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1b5a52607e54681"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6654" w14:textId="77777777" w:rsidR="008E4A72" w:rsidRPr="00FE7DE3" w:rsidRDefault="008E4A72" w:rsidP="008E4A72">
      <w:pPr>
        <w:spacing w:after="0" w:line="480" w:lineRule="auto"/>
        <w:rPr>
          <w:rFonts w:ascii="Times New Roman" w:hAnsi="Times New Roman" w:cs="Times New Roman"/>
          <w:b/>
          <w:bCs/>
        </w:rPr>
      </w:pPr>
      <w:r w:rsidRPr="00FE7DE3">
        <w:rPr>
          <w:rFonts w:ascii="Times New Roman" w:hAnsi="Times New Roman" w:cs="Times New Roman"/>
          <w:b/>
          <w:bCs/>
        </w:rPr>
        <w:t>Abstract</w:t>
      </w:r>
    </w:p>
    <w:p w14:paraId="776CDAAD" w14:textId="4A7E1A50" w:rsidR="009B75F7" w:rsidRPr="00FE7DE3" w:rsidRDefault="003A7CE4" w:rsidP="008E4A72">
      <w:pPr>
        <w:pStyle w:val="heading"/>
        <w:spacing w:before="0" w:beforeAutospacing="0" w:line="360" w:lineRule="auto"/>
        <w:jc w:val="both"/>
      </w:pPr>
      <w:r w:rsidRPr="00FE7DE3">
        <w:rPr>
          <w:b/>
          <w:bCs/>
        </w:rPr>
        <w:t xml:space="preserve">Background: </w:t>
      </w:r>
      <w:r w:rsidR="008E4A72" w:rsidRPr="00FE7DE3">
        <w:t xml:space="preserve">Long-COVID diagnosis is prominent, and our attention must support those experiencing debilitating and long-standing symptoms. To establish patient pathways, we must consider the societal and economic impacts of sustained COVID-19. Accordingly, we sought to determine the pertinent areas impacting quality of life (QoL) following a COVID-19 infection. </w:t>
      </w:r>
    </w:p>
    <w:p w14:paraId="71A9E2F8" w14:textId="62C4471A" w:rsidR="00626D77" w:rsidRPr="00FE7DE3" w:rsidRDefault="00626D77" w:rsidP="008E4A72">
      <w:pPr>
        <w:pStyle w:val="heading"/>
        <w:spacing w:before="0" w:beforeAutospacing="0" w:line="360" w:lineRule="auto"/>
        <w:jc w:val="both"/>
      </w:pPr>
      <w:r w:rsidRPr="00FE7DE3">
        <w:rPr>
          <w:b/>
          <w:bCs/>
        </w:rPr>
        <w:t>Research methods:</w:t>
      </w:r>
      <w:r w:rsidR="002F476E" w:rsidRPr="00FE7DE3">
        <w:t xml:space="preserve"> Three hundred and eighty-one participants completed a web</w:t>
      </w:r>
      <w:r w:rsidR="003F43FD" w:rsidRPr="00FE7DE3">
        <w:t>-</w:t>
      </w:r>
      <w:r w:rsidR="002F476E" w:rsidRPr="00FE7DE3">
        <w:t>based survey (83% female, 17% male) consisting of 70 questions across 7 sections</w:t>
      </w:r>
      <w:r w:rsidR="007B65C7" w:rsidRPr="00FE7DE3">
        <w:t xml:space="preserve"> </w:t>
      </w:r>
      <w:r w:rsidR="002F476E" w:rsidRPr="00FE7DE3">
        <w:t>(demographics, COVID-19 symptoms; QoL; sleep quality; breathlessness; physical activity and mental health). Mean age, height, body mass and body mass index (BMI) were 42 ± 12 years, 167.6 ± 10.4 cm, 81.2 ± 22.2 kg, and 29.1 ± 8.4 kg.m</w:t>
      </w:r>
      <w:r w:rsidR="002F476E" w:rsidRPr="00FE7DE3">
        <w:rPr>
          <w:vertAlign w:val="superscript"/>
        </w:rPr>
        <w:t>2</w:t>
      </w:r>
      <w:r w:rsidR="002F476E" w:rsidRPr="00FE7DE3">
        <w:t xml:space="preserve">, respectively. </w:t>
      </w:r>
    </w:p>
    <w:p w14:paraId="0ED3A472" w14:textId="246650BE" w:rsidR="0079458C" w:rsidRPr="00FE7DE3" w:rsidRDefault="00F20738" w:rsidP="008E4A72">
      <w:pPr>
        <w:pStyle w:val="heading"/>
        <w:spacing w:before="0" w:beforeAutospacing="0" w:line="360" w:lineRule="auto"/>
        <w:jc w:val="both"/>
      </w:pPr>
      <w:r w:rsidRPr="00FE7DE3">
        <w:rPr>
          <w:b/>
          <w:bCs/>
        </w:rPr>
        <w:t xml:space="preserve">Results: </w:t>
      </w:r>
      <w:r w:rsidR="008E4A72" w:rsidRPr="00FE7DE3">
        <w:t xml:space="preserve">Participant health </w:t>
      </w:r>
      <w:r w:rsidR="003F43FD" w:rsidRPr="00FE7DE3">
        <w:t xml:space="preserve">was </w:t>
      </w:r>
      <w:r w:rsidR="008E4A72" w:rsidRPr="00FE7DE3">
        <w:t>reduced because of COVID-19 symptoms (“</w:t>
      </w:r>
      <w:r w:rsidR="008E4A72" w:rsidRPr="00FE7DE3">
        <w:rPr>
          <w:i/>
          <w:iCs/>
        </w:rPr>
        <w:t>Good health</w:t>
      </w:r>
      <w:r w:rsidR="008E4A72" w:rsidRPr="00FE7DE3">
        <w:t>” to “</w:t>
      </w:r>
      <w:r w:rsidR="008E4A72" w:rsidRPr="00FE7DE3">
        <w:rPr>
          <w:i/>
          <w:iCs/>
        </w:rPr>
        <w:t>Poor health</w:t>
      </w:r>
      <w:r w:rsidR="008E4A72" w:rsidRPr="00FE7DE3">
        <w:t>” [</w:t>
      </w:r>
      <w:r w:rsidR="008E4A72" w:rsidRPr="00FE7DE3">
        <w:rPr>
          <w:i/>
          <w:iCs/>
        </w:rPr>
        <w:t>P</w:t>
      </w:r>
      <w:r w:rsidR="008E4A72" w:rsidRPr="00FE7DE3">
        <w:t>&lt;0.001]). Survey respondents who work reported ongoing issues with performing moderate (83%) and vigorous (79%) work</w:t>
      </w:r>
      <w:r w:rsidR="00C143C0" w:rsidRPr="00FE7DE3">
        <w:t>-related</w:t>
      </w:r>
      <w:r w:rsidR="008E4A72" w:rsidRPr="00FE7DE3">
        <w:t xml:space="preserve"> activities. </w:t>
      </w:r>
    </w:p>
    <w:p w14:paraId="512BC41C" w14:textId="62CC03A7" w:rsidR="00EF5D5A" w:rsidRPr="00FE7DE3" w:rsidRDefault="0079458C" w:rsidP="007B3B3A">
      <w:pPr>
        <w:pStyle w:val="heading"/>
        <w:spacing w:before="0" w:beforeAutospacing="0" w:line="360" w:lineRule="auto"/>
        <w:jc w:val="both"/>
      </w:pPr>
      <w:r w:rsidRPr="00FE7DE3">
        <w:rPr>
          <w:b/>
          <w:bCs/>
        </w:rPr>
        <w:t>Conclusions:</w:t>
      </w:r>
      <w:r w:rsidRPr="00FE7DE3">
        <w:t xml:space="preserve"> </w:t>
      </w:r>
      <w:r w:rsidR="008E4A72" w:rsidRPr="00FE7DE3">
        <w:t>COVID-19</w:t>
      </w:r>
      <w:r w:rsidR="0093220C" w:rsidRPr="00FE7DE3">
        <w:t xml:space="preserve"> </w:t>
      </w:r>
      <w:r w:rsidR="00107F18" w:rsidRPr="00FE7DE3">
        <w:t>patients</w:t>
      </w:r>
      <w:r w:rsidR="008E4A72" w:rsidRPr="00FE7DE3">
        <w:t xml:space="preserve"> report</w:t>
      </w:r>
      <w:r w:rsidR="00107F18" w:rsidRPr="00FE7DE3">
        <w:t xml:space="preserve"> </w:t>
      </w:r>
      <w:r w:rsidR="008E4A72" w:rsidRPr="00FE7DE3">
        <w:t xml:space="preserve">reduced capacity to participate in activities associated with daily life, including employment activities. </w:t>
      </w:r>
      <w:r w:rsidR="00A668F4" w:rsidRPr="00FE7DE3">
        <w:t xml:space="preserve">Bespoke </w:t>
      </w:r>
      <w:r w:rsidR="008E4A72" w:rsidRPr="00FE7DE3">
        <w:t>COVID-19 support pathways</w:t>
      </w:r>
      <w:r w:rsidR="0093220C" w:rsidRPr="00FE7DE3">
        <w:t xml:space="preserve"> must consider</w:t>
      </w:r>
      <w:r w:rsidR="00063AB2" w:rsidRPr="00FE7DE3">
        <w:t xml:space="preserve"> multi-disciplinary</w:t>
      </w:r>
      <w:r w:rsidR="0093220C" w:rsidRPr="00FE7DE3">
        <w:t xml:space="preserve"> </w:t>
      </w:r>
      <w:r w:rsidR="00063AB2" w:rsidRPr="00FE7DE3">
        <w:t>approache</w:t>
      </w:r>
      <w:r w:rsidR="00A668F4" w:rsidRPr="00FE7DE3">
        <w:t xml:space="preserve">s </w:t>
      </w:r>
      <w:r w:rsidR="00063AB2" w:rsidRPr="00FE7DE3">
        <w:t xml:space="preserve">that address the </w:t>
      </w:r>
      <w:r w:rsidR="00A676D2" w:rsidRPr="00FE7DE3">
        <w:t>holistic</w:t>
      </w:r>
      <w:r w:rsidR="00063AB2" w:rsidRPr="00FE7DE3">
        <w:t xml:space="preserve"> </w:t>
      </w:r>
      <w:r w:rsidR="001040CA" w:rsidRPr="00FE7DE3">
        <w:t>needs of patients</w:t>
      </w:r>
      <w:r w:rsidR="008E4A72" w:rsidRPr="00FE7DE3">
        <w:t xml:space="preserve"> </w:t>
      </w:r>
      <w:r w:rsidR="00835C6A" w:rsidRPr="00FE7DE3">
        <w:t xml:space="preserve">to restore </w:t>
      </w:r>
      <w:r w:rsidR="008E4A72" w:rsidRPr="00FE7DE3">
        <w:t xml:space="preserve">pre-pandemic </w:t>
      </w:r>
      <w:r w:rsidR="00835C6A" w:rsidRPr="00FE7DE3">
        <w:t xml:space="preserve">quality of life </w:t>
      </w:r>
      <w:r w:rsidR="001040CA" w:rsidRPr="00FE7DE3">
        <w:t xml:space="preserve">and </w:t>
      </w:r>
      <w:r w:rsidR="00C50027" w:rsidRPr="00FE7DE3">
        <w:t xml:space="preserve">address </w:t>
      </w:r>
      <w:r w:rsidR="00226AF4" w:rsidRPr="00FE7DE3">
        <w:t>experienced health and wellbeing</w:t>
      </w:r>
      <w:r w:rsidR="00C50027" w:rsidRPr="00FE7DE3">
        <w:t xml:space="preserve"> challenges. </w:t>
      </w:r>
    </w:p>
    <w:p w14:paraId="695F4EAB" w14:textId="15B80F33" w:rsidR="00EF5D5A" w:rsidRPr="00FE7DE3" w:rsidRDefault="00EF5D5A" w:rsidP="00EF5D5A">
      <w:pPr>
        <w:pStyle w:val="heading"/>
        <w:spacing w:before="0" w:beforeAutospacing="0" w:line="360" w:lineRule="auto"/>
        <w:jc w:val="both"/>
        <w:rPr>
          <w:b/>
          <w:bCs/>
        </w:rPr>
      </w:pPr>
      <w:r w:rsidRPr="00FE7DE3">
        <w:rPr>
          <w:b/>
          <w:bCs/>
        </w:rPr>
        <w:t>Plain Language Summary</w:t>
      </w:r>
    </w:p>
    <w:p w14:paraId="3F879FB8" w14:textId="249B918D" w:rsidR="00EF5D5A" w:rsidRPr="00FE7DE3" w:rsidRDefault="00EF5D5A" w:rsidP="001C5876">
      <w:pPr>
        <w:spacing w:after="120" w:line="480" w:lineRule="auto"/>
        <w:jc w:val="both"/>
        <w:rPr>
          <w:rFonts w:ascii="Times New Roman" w:hAnsi="Times New Roman" w:cs="Times New Roman"/>
          <w:b/>
          <w:bCs/>
        </w:rPr>
      </w:pPr>
      <w:r w:rsidRPr="00FE7DE3">
        <w:rPr>
          <w:rFonts w:ascii="Times New Roman" w:hAnsi="Times New Roman" w:cs="Times New Roman"/>
        </w:rPr>
        <w:t xml:space="preserve">The long-term impact of long-COVID has a dramatic impact upon daily activities and lifestyle. The development of bespoke support pathways to support patients must address the physical and psychological considerations to adequately restore pre-COVID quality of life and address broader societal and economic implications, especially for those that are of working age. </w:t>
      </w:r>
      <w:r w:rsidRPr="00FE7DE3">
        <w:rPr>
          <w:rFonts w:ascii="Times New Roman" w:hAnsi="Times New Roman" w:cs="Times New Roman"/>
          <w:b/>
          <w:bCs/>
        </w:rPr>
        <w:br w:type="page"/>
      </w:r>
    </w:p>
    <w:p w14:paraId="20094AE6" w14:textId="170F42F0" w:rsidR="007F06E0" w:rsidRPr="00FE7DE3" w:rsidRDefault="007F06E0" w:rsidP="008E4A72">
      <w:pPr>
        <w:spacing w:after="0" w:line="480" w:lineRule="auto"/>
        <w:jc w:val="both"/>
        <w:rPr>
          <w:rFonts w:ascii="Times New Roman" w:hAnsi="Times New Roman" w:cs="Times New Roman"/>
          <w:b/>
          <w:bCs/>
        </w:rPr>
      </w:pPr>
      <w:r w:rsidRPr="00FE7DE3">
        <w:rPr>
          <w:rFonts w:ascii="Times New Roman" w:hAnsi="Times New Roman" w:cs="Times New Roman"/>
          <w:b/>
          <w:bCs/>
        </w:rPr>
        <w:lastRenderedPageBreak/>
        <w:t>Article Highlights:</w:t>
      </w:r>
    </w:p>
    <w:p w14:paraId="170D4394" w14:textId="77777777" w:rsidR="0049419E" w:rsidRPr="00FE7DE3" w:rsidRDefault="0049419E" w:rsidP="00EF5D5A">
      <w:pPr>
        <w:pStyle w:val="ListParagraph"/>
        <w:numPr>
          <w:ilvl w:val="0"/>
          <w:numId w:val="1"/>
        </w:numPr>
        <w:spacing w:after="0" w:line="480" w:lineRule="auto"/>
        <w:jc w:val="both"/>
        <w:rPr>
          <w:rFonts w:ascii="Times New Roman" w:hAnsi="Times New Roman" w:cs="Times New Roman"/>
        </w:rPr>
      </w:pPr>
      <w:r w:rsidRPr="00FE7DE3">
        <w:rPr>
          <w:rFonts w:ascii="Times New Roman" w:hAnsi="Times New Roman" w:cs="Times New Roman"/>
        </w:rPr>
        <w:t xml:space="preserve">The longitudinal impact to which long-COVID affects health and wellbeing is yet to be understood in its entirety. </w:t>
      </w:r>
    </w:p>
    <w:p w14:paraId="06C51BAD" w14:textId="77777777" w:rsidR="0071444F" w:rsidRPr="00FE7DE3" w:rsidRDefault="0049419E" w:rsidP="00EF5D5A">
      <w:pPr>
        <w:pStyle w:val="ListParagraph"/>
        <w:numPr>
          <w:ilvl w:val="0"/>
          <w:numId w:val="1"/>
        </w:numPr>
        <w:spacing w:after="0" w:line="480" w:lineRule="auto"/>
        <w:jc w:val="both"/>
        <w:rPr>
          <w:rFonts w:ascii="Times New Roman" w:hAnsi="Times New Roman" w:cs="Times New Roman"/>
        </w:rPr>
      </w:pPr>
      <w:r w:rsidRPr="00FE7DE3">
        <w:rPr>
          <w:rFonts w:ascii="Times New Roman" w:hAnsi="Times New Roman" w:cs="Times New Roman"/>
        </w:rPr>
        <w:t>Our data highlights a broad and complex symptom profile that persists in the post-COVID period and reduces quality of life</w:t>
      </w:r>
      <w:r w:rsidR="0071444F" w:rsidRPr="00FE7DE3">
        <w:rPr>
          <w:rFonts w:ascii="Times New Roman" w:hAnsi="Times New Roman" w:cs="Times New Roman"/>
        </w:rPr>
        <w:t xml:space="preserve">. </w:t>
      </w:r>
      <w:r w:rsidRPr="00FE7DE3">
        <w:rPr>
          <w:rFonts w:ascii="Times New Roman" w:hAnsi="Times New Roman" w:cs="Times New Roman"/>
        </w:rPr>
        <w:t xml:space="preserve"> </w:t>
      </w:r>
    </w:p>
    <w:p w14:paraId="331FD0A4" w14:textId="56A3336C" w:rsidR="008E4A72" w:rsidRPr="00FE7DE3" w:rsidRDefault="0049419E" w:rsidP="00DE16F3">
      <w:pPr>
        <w:pStyle w:val="ListParagraph"/>
        <w:numPr>
          <w:ilvl w:val="0"/>
          <w:numId w:val="1"/>
        </w:numPr>
        <w:spacing w:after="0" w:line="480" w:lineRule="auto"/>
        <w:jc w:val="both"/>
        <w:rPr>
          <w:rFonts w:ascii="Times New Roman" w:hAnsi="Times New Roman" w:cs="Times New Roman"/>
        </w:rPr>
      </w:pPr>
      <w:r w:rsidRPr="00FE7DE3">
        <w:rPr>
          <w:rFonts w:ascii="Times New Roman" w:hAnsi="Times New Roman" w:cs="Times New Roman"/>
        </w:rPr>
        <w:t xml:space="preserve">COVID-19 specific </w:t>
      </w:r>
      <w:r w:rsidR="0071444F" w:rsidRPr="00FE7DE3">
        <w:rPr>
          <w:rFonts w:ascii="Times New Roman" w:hAnsi="Times New Roman" w:cs="Times New Roman"/>
        </w:rPr>
        <w:t xml:space="preserve">and multi-disciplinary </w:t>
      </w:r>
      <w:r w:rsidRPr="00FE7DE3">
        <w:rPr>
          <w:rFonts w:ascii="Times New Roman" w:hAnsi="Times New Roman" w:cs="Times New Roman"/>
        </w:rPr>
        <w:t xml:space="preserve">rehabilitation approaches are </w:t>
      </w:r>
      <w:r w:rsidR="0071444F" w:rsidRPr="00FE7DE3">
        <w:rPr>
          <w:rFonts w:ascii="Times New Roman" w:hAnsi="Times New Roman" w:cs="Times New Roman"/>
        </w:rPr>
        <w:t xml:space="preserve">needed </w:t>
      </w:r>
      <w:r w:rsidRPr="00FE7DE3">
        <w:rPr>
          <w:rFonts w:ascii="Times New Roman" w:hAnsi="Times New Roman" w:cs="Times New Roman"/>
        </w:rPr>
        <w:t xml:space="preserve">to </w:t>
      </w:r>
      <w:r w:rsidR="0071444F" w:rsidRPr="00FE7DE3">
        <w:rPr>
          <w:rFonts w:ascii="Times New Roman" w:hAnsi="Times New Roman" w:cs="Times New Roman"/>
        </w:rPr>
        <w:t>pre-COVID</w:t>
      </w:r>
      <w:r w:rsidR="004A0F32" w:rsidRPr="00FE7DE3">
        <w:rPr>
          <w:rFonts w:ascii="Times New Roman" w:hAnsi="Times New Roman" w:cs="Times New Roman"/>
        </w:rPr>
        <w:t xml:space="preserve">-19 </w:t>
      </w:r>
      <w:r w:rsidRPr="00FE7DE3">
        <w:rPr>
          <w:rFonts w:ascii="Times New Roman" w:hAnsi="Times New Roman" w:cs="Times New Roman"/>
        </w:rPr>
        <w:t xml:space="preserve">restore </w:t>
      </w:r>
      <w:r w:rsidR="00F225B0" w:rsidRPr="00FE7DE3">
        <w:rPr>
          <w:rFonts w:ascii="Times New Roman" w:hAnsi="Times New Roman" w:cs="Times New Roman"/>
        </w:rPr>
        <w:t xml:space="preserve">pre-COVID-19 patient status. </w:t>
      </w:r>
      <w:r w:rsidRPr="00FE7DE3">
        <w:rPr>
          <w:rFonts w:ascii="Times New Roman" w:hAnsi="Times New Roman" w:cs="Times New Roman"/>
        </w:rPr>
        <w:t xml:space="preserve">  </w:t>
      </w:r>
      <w:r w:rsidR="008E4A72" w:rsidRPr="00FE7DE3">
        <w:rPr>
          <w:rFonts w:ascii="Times New Roman" w:hAnsi="Times New Roman" w:cs="Times New Roman"/>
          <w:b/>
          <w:bCs/>
        </w:rPr>
        <w:br w:type="page"/>
      </w:r>
    </w:p>
    <w:p w14:paraId="6C7F2F8E" w14:textId="7D8AE1BF" w:rsidR="00432BCB" w:rsidRPr="00FE7DE3" w:rsidRDefault="00997101" w:rsidP="00432BCB">
      <w:pPr>
        <w:spacing w:line="480" w:lineRule="auto"/>
        <w:rPr>
          <w:rFonts w:ascii="Times New Roman" w:hAnsi="Times New Roman" w:cs="Times New Roman"/>
          <w:b/>
          <w:bCs/>
        </w:rPr>
      </w:pPr>
      <w:r w:rsidRPr="00FE7DE3">
        <w:rPr>
          <w:rFonts w:ascii="Times New Roman" w:hAnsi="Times New Roman" w:cs="Times New Roman"/>
          <w:b/>
          <w:bCs/>
        </w:rPr>
        <w:lastRenderedPageBreak/>
        <w:t xml:space="preserve">1.0 </w:t>
      </w:r>
      <w:r w:rsidR="00432BCB" w:rsidRPr="00FE7DE3">
        <w:rPr>
          <w:rFonts w:ascii="Times New Roman" w:hAnsi="Times New Roman" w:cs="Times New Roman"/>
          <w:b/>
          <w:bCs/>
        </w:rPr>
        <w:t xml:space="preserve">Introduction </w:t>
      </w:r>
    </w:p>
    <w:p w14:paraId="05651EC2" w14:textId="2948E9A3" w:rsidR="008967E1" w:rsidRPr="00FE7DE3" w:rsidRDefault="00CF185D" w:rsidP="008967E1">
      <w:pPr>
        <w:spacing w:line="480" w:lineRule="auto"/>
        <w:jc w:val="both"/>
        <w:rPr>
          <w:rFonts w:ascii="Times New Roman" w:hAnsi="Times New Roman" w:cs="Times New Roman"/>
        </w:rPr>
      </w:pPr>
      <w:r w:rsidRPr="00FE7DE3">
        <w:rPr>
          <w:rFonts w:ascii="Times New Roman" w:hAnsi="Times New Roman" w:cs="Times New Roman"/>
        </w:rPr>
        <w:t>T</w:t>
      </w:r>
      <w:r w:rsidR="00C9591B" w:rsidRPr="00FE7DE3">
        <w:rPr>
          <w:rFonts w:ascii="Times New Roman" w:hAnsi="Times New Roman" w:cs="Times New Roman"/>
        </w:rPr>
        <w:t xml:space="preserve">he introduction of widespread and efficacious vaccination programmes </w:t>
      </w:r>
      <w:r w:rsidRPr="00FE7DE3">
        <w:rPr>
          <w:rFonts w:ascii="Times New Roman" w:hAnsi="Times New Roman" w:cs="Times New Roman"/>
        </w:rPr>
        <w:t xml:space="preserve">globally has played an integral part in </w:t>
      </w:r>
      <w:r w:rsidR="00C9591B" w:rsidRPr="00FE7DE3">
        <w:rPr>
          <w:rFonts w:ascii="Times New Roman" w:hAnsi="Times New Roman" w:cs="Times New Roman"/>
        </w:rPr>
        <w:t>reduc</w:t>
      </w:r>
      <w:r w:rsidRPr="00FE7DE3">
        <w:rPr>
          <w:rFonts w:ascii="Times New Roman" w:hAnsi="Times New Roman" w:cs="Times New Roman"/>
        </w:rPr>
        <w:t>ing</w:t>
      </w:r>
      <w:r w:rsidR="00231D23" w:rsidRPr="00FE7DE3">
        <w:rPr>
          <w:rFonts w:ascii="Times New Roman" w:hAnsi="Times New Roman" w:cs="Times New Roman"/>
        </w:rPr>
        <w:t xml:space="preserve"> </w:t>
      </w:r>
      <w:r w:rsidR="00521909" w:rsidRPr="00FE7DE3">
        <w:rPr>
          <w:rFonts w:ascii="Times New Roman" w:hAnsi="Times New Roman" w:cs="Times New Roman"/>
        </w:rPr>
        <w:t xml:space="preserve">transmission </w:t>
      </w:r>
      <w:r w:rsidR="00521909" w:rsidRPr="00FE7DE3">
        <w:rPr>
          <w:rFonts w:ascii="Times New Roman" w:hAnsi="Times New Roman" w:cs="Times New Roman"/>
        </w:rPr>
        <w:fldChar w:fldCharType="begin" w:fldLock="1"/>
      </w:r>
      <w:r w:rsidR="004646C7" w:rsidRPr="00FE7DE3">
        <w:rPr>
          <w:rFonts w:ascii="Times New Roman" w:hAnsi="Times New Roman" w:cs="Times New Roman"/>
        </w:rPr>
        <w:instrText xml:space="preserve"> ADDIN ZOTERO_ITEM CSL_CITATION {"citationID":"OXEBKnj3","properties":{"formattedCitation":"[1]","plainCitation":"[1]","noteIndex":0},"citationItems":[{"id":"1ibuZtGN/EHF3Zxpp","uris":["http://www.mendeley.com/documents/?uuid=3afcab65-7fa2-40b3-9822-4204f238aa5e"],"uri":["http://www.mendeley.com/documents/?uuid=3afcab65-7fa2-40b3-9822-4204f238aa5e"],"itemData":{"author":[{"dropping-particle":"","family":"Hall, VJ; Foulkes, S; Saei","given":"A et al.","non-dropping-particle":"","parse-names":false,"suffix":""}],"container-title":"SSRN Preprint","id":"ITEM-1","issued":{"date-parts":[["2021"]]},"title":"Effectiveness of BNT162b2 mRNA Vaccine Against Infection and COVID-19 Vaccine Coverage in Healthcare Workers in England, Multicentre Prospective Cohort Study (the SIREN Study)","type":"article-journal"}}],"schema":"https://github.com/citation-style-language/schema/raw/master/csl-citation.json"} </w:instrText>
      </w:r>
      <w:r w:rsidR="00521909" w:rsidRPr="00FE7DE3">
        <w:rPr>
          <w:rFonts w:ascii="Times New Roman" w:hAnsi="Times New Roman" w:cs="Times New Roman"/>
        </w:rPr>
        <w:fldChar w:fldCharType="separate"/>
      </w:r>
      <w:r w:rsidR="004E5335" w:rsidRPr="00FE7DE3">
        <w:rPr>
          <w:rFonts w:ascii="Times New Roman" w:hAnsi="Times New Roman" w:cs="Times New Roman"/>
        </w:rPr>
        <w:t>[1]</w:t>
      </w:r>
      <w:r w:rsidR="00521909" w:rsidRPr="00FE7DE3">
        <w:rPr>
          <w:rFonts w:ascii="Times New Roman" w:hAnsi="Times New Roman" w:cs="Times New Roman"/>
        </w:rPr>
        <w:fldChar w:fldCharType="end"/>
      </w:r>
      <w:r w:rsidR="00521909" w:rsidRPr="00FE7DE3">
        <w:rPr>
          <w:rFonts w:ascii="Times New Roman" w:hAnsi="Times New Roman" w:cs="Times New Roman"/>
        </w:rPr>
        <w:t xml:space="preserve">, admission to </w:t>
      </w:r>
      <w:r w:rsidR="00877019" w:rsidRPr="00FE7DE3">
        <w:rPr>
          <w:rFonts w:ascii="Times New Roman" w:hAnsi="Times New Roman" w:cs="Times New Roman"/>
        </w:rPr>
        <w:t xml:space="preserve">intensive care units </w:t>
      </w:r>
      <w:r w:rsidR="00877019" w:rsidRPr="00FE7DE3">
        <w:rPr>
          <w:rFonts w:ascii="Times New Roman" w:hAnsi="Times New Roman" w:cs="Times New Roman"/>
        </w:rPr>
        <w:fldChar w:fldCharType="begin" w:fldLock="1"/>
      </w:r>
      <w:r w:rsidR="004646C7" w:rsidRPr="00FE7DE3">
        <w:rPr>
          <w:rFonts w:ascii="Times New Roman" w:hAnsi="Times New Roman" w:cs="Times New Roman"/>
        </w:rPr>
        <w:instrText xml:space="preserve"> ADDIN ZOTERO_ITEM CSL_CITATION {"citationID":"SbBfuOtv","properties":{"formattedCitation":"[2]","plainCitation":"[2]","noteIndex":0},"citationItems":[{"id":"1ibuZtGN/ac8XijzY","uris":["http://www.mendeley.com/documents/?uuid=3acbe015-d332-498d-a152-cb69d244a216"],"uri":["http://www.mendeley.com/documents/?uuid=3acbe015-d332-498d-a152-cb69d244a216"],"itemData":{"author":[{"dropping-particle":"","family":"Cook","given":"TM; Roberts JV","non-dropping-particle":"","parse-names":false,"suffix":""}],"container-title":"Anaesthesia","id":"ITEM-1","issued":{"date-parts":[["2021"]]},"page":"608-616","title":"Impact of vaccination by priority group on UK deaths, hospital admissions and intensive care admissions from COVID‐19","type":"article-journal","volume":"76"}}],"schema":"https://github.com/citation-style-language/schema/raw/master/csl-citation.json"} </w:instrText>
      </w:r>
      <w:r w:rsidR="00877019" w:rsidRPr="00FE7DE3">
        <w:rPr>
          <w:rFonts w:ascii="Times New Roman" w:hAnsi="Times New Roman" w:cs="Times New Roman"/>
        </w:rPr>
        <w:fldChar w:fldCharType="separate"/>
      </w:r>
      <w:r w:rsidR="004E5335" w:rsidRPr="00FE7DE3">
        <w:rPr>
          <w:rFonts w:ascii="Times New Roman" w:hAnsi="Times New Roman" w:cs="Times New Roman"/>
        </w:rPr>
        <w:t>[2]</w:t>
      </w:r>
      <w:r w:rsidR="00877019" w:rsidRPr="00FE7DE3">
        <w:rPr>
          <w:rFonts w:ascii="Times New Roman" w:hAnsi="Times New Roman" w:cs="Times New Roman"/>
        </w:rPr>
        <w:fldChar w:fldCharType="end"/>
      </w:r>
      <w:r w:rsidR="00521909" w:rsidRPr="00FE7DE3">
        <w:rPr>
          <w:rFonts w:ascii="Times New Roman" w:hAnsi="Times New Roman" w:cs="Times New Roman"/>
        </w:rPr>
        <w:t xml:space="preserve"> and morta</w:t>
      </w:r>
      <w:r w:rsidR="000F39BC" w:rsidRPr="00FE7DE3">
        <w:rPr>
          <w:rFonts w:ascii="Times New Roman" w:hAnsi="Times New Roman" w:cs="Times New Roman"/>
        </w:rPr>
        <w:t xml:space="preserve">lity </w:t>
      </w:r>
      <w:r w:rsidR="004E5335" w:rsidRPr="00FE7DE3">
        <w:rPr>
          <w:rFonts w:ascii="Times New Roman" w:hAnsi="Times New Roman" w:cs="Times New Roman"/>
        </w:rPr>
        <w:fldChar w:fldCharType="begin"/>
      </w:r>
      <w:r w:rsidR="004E5335" w:rsidRPr="00FE7DE3">
        <w:rPr>
          <w:rFonts w:ascii="Times New Roman" w:hAnsi="Times New Roman" w:cs="Times New Roman"/>
        </w:rPr>
        <w:instrText xml:space="preserve"> ADDIN ZOTERO_ITEM CSL_CITATION {"citationID":"WiZxqDhY","properties":{"formattedCitation":"[3]","plainCitation":"[3]","noteIndex":0},"citationItems":[{"id":1816,"uris":["http://zotero.org/users/1330063/items/6LMTYQI2"],"uri":["http://zotero.org/users/1330063/items/6LMTYQI2"],"itemData":{"id":1816,"type":"report","abstract":"The COVID-19 outbreak highlights the vulnerability to novel infections, and vaccination remains a foreseeable method to return to normal life. However, infrastructure is inadequate for the whole population to be vaccinated immediately. Therefore, policies have adopted a strategy to vaccinate the elderly and vulnerable population while delaying others. This study uses the Tennessee official statistic from the onset of COVID vaccination (17th of December 2021) to understand how age-specific vaccination strategies reduce daily cases, hospitalization, and death rate. The result shows that vaccination strategy can significantly influence the numbers of patients with COVID-19 in all age groups and lower hospitalization and death rates just in older age groups. The Elderly had a 95% lower death rate from December to March; however, and no change in the death rate in other age groups. The Hospitalization rate was reduced by 80% in this study cohort for people aged 80 or older, while people who were between 50 to 70 had almost the same hospitalization rate. The study indicates that vaccination targeting older age groups is the optimal way to avoid higher transmissions and reduce hospitalization and death rate for older groups.","genre":"preprint","language":"en","note":"DOI: 10.1101/2021.03.16.21253767","publisher":"Health Policy","source":"DOI.org (Crossref)","title":"The Influence of Covid-19 Vaccine on Daily Cases, Hospitalization, and Death Rate in Tennessee: A Case Study in the United States","title-short":"The Influence of Covid-19 Vaccine on Daily Cases, Hospitalization, and Death Rate in Tennessee","URL":"http://medrxiv.org/lookup/doi/10.1101/2021.03.16.21253767","author":[{"family":"Roghani","given":"Ali"}],"accessed":{"date-parts":[["2021",11,29]]},"issued":{"date-parts":[["2021",3,17]]}}}],"schema":"https://github.com/citation-style-language/schema/raw/master/csl-citation.json"} </w:instrText>
      </w:r>
      <w:r w:rsidR="004E5335" w:rsidRPr="00FE7DE3">
        <w:rPr>
          <w:rFonts w:ascii="Times New Roman" w:hAnsi="Times New Roman" w:cs="Times New Roman"/>
        </w:rPr>
        <w:fldChar w:fldCharType="separate"/>
      </w:r>
      <w:r w:rsidR="004E5335" w:rsidRPr="00FE7DE3">
        <w:rPr>
          <w:rFonts w:ascii="Times New Roman" w:hAnsi="Times New Roman" w:cs="Times New Roman"/>
        </w:rPr>
        <w:t>[3]</w:t>
      </w:r>
      <w:r w:rsidR="004E5335" w:rsidRPr="00FE7DE3">
        <w:rPr>
          <w:rFonts w:ascii="Times New Roman" w:hAnsi="Times New Roman" w:cs="Times New Roman"/>
        </w:rPr>
        <w:fldChar w:fldCharType="end"/>
      </w:r>
      <w:r w:rsidR="004E5335" w:rsidRPr="00FE7DE3">
        <w:rPr>
          <w:rFonts w:ascii="Times New Roman" w:hAnsi="Times New Roman" w:cs="Times New Roman"/>
        </w:rPr>
        <w:t xml:space="preserve"> </w:t>
      </w:r>
      <w:r w:rsidR="00231D23" w:rsidRPr="00FE7DE3">
        <w:rPr>
          <w:rFonts w:ascii="Times New Roman" w:hAnsi="Times New Roman" w:cs="Times New Roman"/>
        </w:rPr>
        <w:t xml:space="preserve">associated with </w:t>
      </w:r>
      <w:r w:rsidR="00B64D15" w:rsidRPr="00FE7DE3">
        <w:rPr>
          <w:rFonts w:ascii="Times New Roman" w:hAnsi="Times New Roman" w:cs="Times New Roman"/>
        </w:rPr>
        <w:t>Severe Acute Respiratory Syndrome Coronavirus</w:t>
      </w:r>
      <w:r w:rsidR="00C143C0" w:rsidRPr="00FE7DE3">
        <w:rPr>
          <w:rFonts w:ascii="Times New Roman" w:hAnsi="Times New Roman" w:cs="Times New Roman"/>
        </w:rPr>
        <w:t>-</w:t>
      </w:r>
      <w:r w:rsidR="00B64D15" w:rsidRPr="00FE7DE3">
        <w:rPr>
          <w:rFonts w:ascii="Times New Roman" w:hAnsi="Times New Roman" w:cs="Times New Roman"/>
        </w:rPr>
        <w:t>2 (SARS</w:t>
      </w:r>
      <w:r w:rsidR="008738A3" w:rsidRPr="00FE7DE3">
        <w:rPr>
          <w:rFonts w:ascii="Times New Roman" w:hAnsi="Times New Roman" w:cs="Times New Roman"/>
        </w:rPr>
        <w:t>-CoV-2)</w:t>
      </w:r>
      <w:r w:rsidR="00156CB3" w:rsidRPr="00FE7DE3">
        <w:rPr>
          <w:rFonts w:ascii="Times New Roman" w:hAnsi="Times New Roman" w:cs="Times New Roman"/>
        </w:rPr>
        <w:t xml:space="preserve">. Effective treatment and management strategies have been </w:t>
      </w:r>
      <w:r w:rsidR="00CF7705" w:rsidRPr="00FE7DE3">
        <w:rPr>
          <w:rFonts w:ascii="Times New Roman" w:hAnsi="Times New Roman" w:cs="Times New Roman"/>
        </w:rPr>
        <w:t xml:space="preserve">implemented </w:t>
      </w:r>
      <w:r w:rsidR="00156CB3" w:rsidRPr="00FE7DE3">
        <w:rPr>
          <w:rFonts w:ascii="Times New Roman" w:hAnsi="Times New Roman" w:cs="Times New Roman"/>
        </w:rPr>
        <w:t xml:space="preserve">to manage clinical presentations </w:t>
      </w:r>
      <w:r w:rsidR="0080106D" w:rsidRPr="00FE7DE3">
        <w:rPr>
          <w:rFonts w:ascii="Times New Roman" w:hAnsi="Times New Roman" w:cs="Times New Roman"/>
        </w:rPr>
        <w:fldChar w:fldCharType="begin"/>
      </w:r>
      <w:r w:rsidR="0080106D" w:rsidRPr="00FE7DE3">
        <w:rPr>
          <w:rFonts w:ascii="Times New Roman" w:hAnsi="Times New Roman" w:cs="Times New Roman"/>
        </w:rPr>
        <w:instrText xml:space="preserve"> ADDIN ZOTERO_ITEM CSL_CITATION {"citationID":"gOz6voIA","properties":{"formattedCitation":"[4]","plainCitation":"[4]","noteIndex":0},"citationItems":[{"id":1821,"uris":["http://zotero.org/users/1330063/items/D74UXMKU"],"uri":["http://zotero.org/users/1330063/items/D74UXMKU"],"itemData":{"id":1821,"type":"article-journal","container-title":"Journal of Medical Virology","DOI":"10.1002/jmv.25815","ISSN":"0146-6615","journalAbbreviation":"J Med Virol","note":"PMID: 32239511\nPMCID: PMC7228392","page":"10.1002/jmv.25815","source":"PubMed Central","title":"Sore throat in COVID‐19: Comment on “Clinical characteristics of hospitalized patients with SARS‐CoV‐2 infection: A single arm meta‐analysis”","title-short":"Sore throat in COVID‐19","author":[{"family":"Lovato","given":"Andrea"},{"family":"Rossettini","given":"Giacomo"},{"family":"Filippis","given":"Cosimo","non-dropping-particle":"de"}],"issued":{"date-parts":[["2020",4,6]]}}}],"schema":"https://github.com/citation-style-language/schema/raw/master/csl-citation.json"} </w:instrText>
      </w:r>
      <w:r w:rsidR="0080106D" w:rsidRPr="00FE7DE3">
        <w:rPr>
          <w:rFonts w:ascii="Times New Roman" w:hAnsi="Times New Roman" w:cs="Times New Roman"/>
        </w:rPr>
        <w:fldChar w:fldCharType="separate"/>
      </w:r>
      <w:r w:rsidR="0080106D" w:rsidRPr="00FE7DE3">
        <w:rPr>
          <w:rFonts w:ascii="Times New Roman" w:hAnsi="Times New Roman" w:cs="Times New Roman"/>
        </w:rPr>
        <w:t>[4]</w:t>
      </w:r>
      <w:r w:rsidR="0080106D" w:rsidRPr="00FE7DE3">
        <w:rPr>
          <w:rFonts w:ascii="Times New Roman" w:hAnsi="Times New Roman" w:cs="Times New Roman"/>
        </w:rPr>
        <w:fldChar w:fldCharType="end"/>
      </w:r>
      <w:r w:rsidR="009833C0" w:rsidRPr="00FE7DE3">
        <w:rPr>
          <w:rFonts w:ascii="Times New Roman" w:hAnsi="Times New Roman" w:cs="Times New Roman"/>
        </w:rPr>
        <w:t xml:space="preserve"> </w:t>
      </w:r>
      <w:r w:rsidR="00CF7705" w:rsidRPr="00FE7DE3">
        <w:rPr>
          <w:rFonts w:ascii="Times New Roman" w:hAnsi="Times New Roman" w:cs="Times New Roman"/>
        </w:rPr>
        <w:t>however, a</w:t>
      </w:r>
      <w:r w:rsidR="00C9591B" w:rsidRPr="00FE7DE3">
        <w:rPr>
          <w:rFonts w:ascii="Times New Roman" w:hAnsi="Times New Roman" w:cs="Times New Roman"/>
        </w:rPr>
        <w:t xml:space="preserve">ttention </w:t>
      </w:r>
      <w:r w:rsidR="00A73506" w:rsidRPr="00FE7DE3">
        <w:rPr>
          <w:rFonts w:ascii="Times New Roman" w:hAnsi="Times New Roman" w:cs="Times New Roman"/>
        </w:rPr>
        <w:t xml:space="preserve">must be directed </w:t>
      </w:r>
      <w:r w:rsidR="00C9591B" w:rsidRPr="00FE7DE3">
        <w:rPr>
          <w:rFonts w:ascii="Times New Roman" w:hAnsi="Times New Roman" w:cs="Times New Roman"/>
        </w:rPr>
        <w:t xml:space="preserve">to </w:t>
      </w:r>
      <w:r w:rsidR="002C36C1" w:rsidRPr="00FE7DE3">
        <w:rPr>
          <w:rFonts w:ascii="Times New Roman" w:hAnsi="Times New Roman" w:cs="Times New Roman"/>
        </w:rPr>
        <w:t xml:space="preserve">increasing the </w:t>
      </w:r>
      <w:r w:rsidR="00A73506" w:rsidRPr="00FE7DE3">
        <w:rPr>
          <w:rFonts w:ascii="Times New Roman" w:hAnsi="Times New Roman" w:cs="Times New Roman"/>
        </w:rPr>
        <w:t xml:space="preserve">understanding and support for </w:t>
      </w:r>
      <w:r w:rsidR="00C9591B" w:rsidRPr="00FE7DE3">
        <w:rPr>
          <w:rFonts w:ascii="Times New Roman" w:hAnsi="Times New Roman" w:cs="Times New Roman"/>
        </w:rPr>
        <w:t>the millions of people globally experiencing severe and debilitating symptom profiles</w:t>
      </w:r>
      <w:r w:rsidR="00A73506" w:rsidRPr="00FE7DE3">
        <w:rPr>
          <w:rFonts w:ascii="Times New Roman" w:hAnsi="Times New Roman" w:cs="Times New Roman"/>
        </w:rPr>
        <w:t xml:space="preserve"> associated with </w:t>
      </w:r>
      <w:r w:rsidR="00AC37C1" w:rsidRPr="00FE7DE3">
        <w:rPr>
          <w:rFonts w:ascii="Times New Roman" w:hAnsi="Times New Roman" w:cs="Times New Roman"/>
        </w:rPr>
        <w:t>post-coronavirus disease 2019 (COVID-19) syndrome</w:t>
      </w:r>
      <w:r w:rsidR="002C36C1" w:rsidRPr="00FE7DE3">
        <w:rPr>
          <w:rFonts w:ascii="Times New Roman" w:hAnsi="Times New Roman" w:cs="Times New Roman"/>
        </w:rPr>
        <w:t xml:space="preserve"> or long-COVID</w:t>
      </w:r>
      <w:r w:rsidR="0044149C" w:rsidRPr="00FE7DE3">
        <w:rPr>
          <w:rFonts w:ascii="Times New Roman" w:hAnsi="Times New Roman" w:cs="Times New Roman"/>
        </w:rPr>
        <w:t>.</w:t>
      </w:r>
      <w:r w:rsidR="002C36C1" w:rsidRPr="00FE7DE3">
        <w:rPr>
          <w:rFonts w:ascii="Times New Roman" w:hAnsi="Times New Roman" w:cs="Times New Roman"/>
        </w:rPr>
        <w:t xml:space="preserve"> Affecting 1 in 10 patients </w:t>
      </w:r>
      <w:r w:rsidR="002C36C1" w:rsidRPr="00FE7DE3">
        <w:rPr>
          <w:rFonts w:ascii="Times New Roman" w:hAnsi="Times New Roman" w:cs="Times New Roman"/>
        </w:rPr>
        <w:fldChar w:fldCharType="begin"/>
      </w:r>
      <w:r w:rsidR="0080106D" w:rsidRPr="00FE7DE3">
        <w:rPr>
          <w:rFonts w:ascii="Times New Roman" w:hAnsi="Times New Roman" w:cs="Times New Roman"/>
        </w:rPr>
        <w:instrText xml:space="preserve"> ADDIN ZOTERO_ITEM CSL_CITATION {"citationID":"j1ljG9Ch","properties":{"formattedCitation":"[5]","plainCitation":"[5]","noteIndex":0},"citationItems":[{"id":1812,"uris":["http://zotero.org/users/1330063/items/ZYABD5QI"],"uri":["http://zotero.org/users/1330063/items/ZYABD5QI"],"itemData":{"id":1812,"type":"article-journal","container-title":"BMJ","DOI":"10.1136/bmj.m4938","ISSN":"1756-1833","journalAbbreviation":"BMJ","language":"en","page":"m4938","source":"DOI.org (Crossref)","title":"NICE guideline on long covid","author":[{"family":"Sivan","given":"Manoj"},{"family":"Taylor","given":"Sharon"}],"issued":{"date-parts":[["2020",12,23]]}}}],"schema":"https://github.com/citation-style-language/schema/raw/master/csl-citation.json"} </w:instrText>
      </w:r>
      <w:r w:rsidR="002C36C1" w:rsidRPr="00FE7DE3">
        <w:rPr>
          <w:rFonts w:ascii="Times New Roman" w:hAnsi="Times New Roman" w:cs="Times New Roman"/>
        </w:rPr>
        <w:fldChar w:fldCharType="separate"/>
      </w:r>
      <w:r w:rsidR="0080106D" w:rsidRPr="00FE7DE3">
        <w:rPr>
          <w:rFonts w:ascii="Times New Roman" w:hAnsi="Times New Roman" w:cs="Times New Roman"/>
        </w:rPr>
        <w:t>[5]</w:t>
      </w:r>
      <w:r w:rsidR="002C36C1" w:rsidRPr="00FE7DE3">
        <w:rPr>
          <w:rFonts w:ascii="Times New Roman" w:hAnsi="Times New Roman" w:cs="Times New Roman"/>
        </w:rPr>
        <w:fldChar w:fldCharType="end"/>
      </w:r>
      <w:r w:rsidR="002C36C1" w:rsidRPr="00FE7DE3">
        <w:rPr>
          <w:rFonts w:ascii="Times New Roman" w:hAnsi="Times New Roman" w:cs="Times New Roman"/>
        </w:rPr>
        <w:t xml:space="preserve">, long-COVID is clinically defined as a complex symptom profile that develops during or after a COVID-19 infection, continues for &gt;3 months and is not explained by an alternative diagnosis </w:t>
      </w:r>
      <w:r w:rsidR="002C36C1" w:rsidRPr="00FE7DE3">
        <w:rPr>
          <w:rFonts w:ascii="Times New Roman" w:hAnsi="Times New Roman" w:cs="Times New Roman"/>
        </w:rPr>
        <w:fldChar w:fldCharType="begin"/>
      </w:r>
      <w:r w:rsidR="004646C7" w:rsidRPr="00FE7DE3">
        <w:rPr>
          <w:rFonts w:ascii="Times New Roman" w:hAnsi="Times New Roman" w:cs="Times New Roman"/>
        </w:rPr>
        <w:instrText xml:space="preserve"> ADDIN ZOTERO_ITEM CSL_CITATION {"citationID":"giQZmZib","properties":{"formattedCitation":"[6]","plainCitation":"[6]","noteIndex":0},"citationItems":[{"id":"1ibuZtGN/Gy2hUaol","uris":["http://www.mendeley.com/documents/?uuid=8f7e6d82-daec-4e42-b9bc-a3440657fcf2"],"uri":["http://www.mendeley.com/documents/?uuid=8f7e6d82-daec-4e42-b9bc-a3440657fcf2"],"itemData":{"author":[{"dropping-particle":"","family":"NICE","given":"","non-dropping-particle":"","parse-names":false,"suffix":""}],"id":"jDw6inZQ/uzoGw1st","issued":{"date-parts":[["2020"]]},"title":"COVID-19 rapid guideline: managing the long-term effects of COVID-19","type":"report"}}],"schema":"https://github.com/citation-style-language/schema/raw/master/csl-citation.json"} </w:instrText>
      </w:r>
      <w:r w:rsidR="002C36C1" w:rsidRPr="00FE7DE3">
        <w:rPr>
          <w:rFonts w:ascii="Times New Roman" w:hAnsi="Times New Roman" w:cs="Times New Roman"/>
        </w:rPr>
        <w:fldChar w:fldCharType="separate"/>
      </w:r>
      <w:r w:rsidR="0080106D" w:rsidRPr="00FE7DE3">
        <w:rPr>
          <w:rFonts w:ascii="Times New Roman" w:hAnsi="Times New Roman" w:cs="Times New Roman"/>
        </w:rPr>
        <w:t>[6]</w:t>
      </w:r>
      <w:r w:rsidR="002C36C1" w:rsidRPr="00FE7DE3">
        <w:rPr>
          <w:rFonts w:ascii="Times New Roman" w:hAnsi="Times New Roman" w:cs="Times New Roman"/>
        </w:rPr>
        <w:fldChar w:fldCharType="end"/>
      </w:r>
      <w:r w:rsidR="002C36C1" w:rsidRPr="00FE7DE3">
        <w:rPr>
          <w:rFonts w:ascii="Times New Roman" w:hAnsi="Times New Roman" w:cs="Times New Roman"/>
        </w:rPr>
        <w:t>.</w:t>
      </w:r>
      <w:r w:rsidR="008967E1" w:rsidRPr="00FE7DE3">
        <w:rPr>
          <w:rFonts w:ascii="Times New Roman" w:hAnsi="Times New Roman" w:cs="Times New Roman"/>
        </w:rPr>
        <w:t xml:space="preserve"> With reports of sustained symptoms and morbidity in the months and now</w:t>
      </w:r>
      <w:r w:rsidR="00C143C0" w:rsidRPr="00FE7DE3">
        <w:rPr>
          <w:rFonts w:ascii="Times New Roman" w:hAnsi="Times New Roman" w:cs="Times New Roman"/>
        </w:rPr>
        <w:t>,</w:t>
      </w:r>
      <w:r w:rsidR="008967E1" w:rsidRPr="00FE7DE3">
        <w:rPr>
          <w:rFonts w:ascii="Times New Roman" w:hAnsi="Times New Roman" w:cs="Times New Roman"/>
        </w:rPr>
        <w:t xml:space="preserve"> years following acute infection, there is </w:t>
      </w:r>
      <w:r w:rsidR="003F43FD" w:rsidRPr="00FE7DE3">
        <w:rPr>
          <w:rFonts w:ascii="Times New Roman" w:hAnsi="Times New Roman" w:cs="Times New Roman"/>
        </w:rPr>
        <w:t xml:space="preserve">a </w:t>
      </w:r>
      <w:r w:rsidR="008967E1" w:rsidRPr="00FE7DE3">
        <w:rPr>
          <w:rFonts w:ascii="Times New Roman" w:hAnsi="Times New Roman" w:cs="Times New Roman"/>
        </w:rPr>
        <w:t>growing demand on health care systems globally to support and rehabilitate patients</w:t>
      </w:r>
      <w:r w:rsidR="00C143C0" w:rsidRPr="00FE7DE3">
        <w:rPr>
          <w:rFonts w:ascii="Times New Roman" w:hAnsi="Times New Roman" w:cs="Times New Roman"/>
        </w:rPr>
        <w:t>.</w:t>
      </w:r>
      <w:r w:rsidR="008967E1" w:rsidRPr="00FE7DE3">
        <w:rPr>
          <w:rFonts w:ascii="Times New Roman" w:hAnsi="Times New Roman" w:cs="Times New Roman"/>
        </w:rPr>
        <w:t xml:space="preserve"> and re-establish pre-COVID health status and quality of life (QoL) </w:t>
      </w:r>
      <w:r w:rsidR="008967E1" w:rsidRPr="00FE7DE3">
        <w:rPr>
          <w:rFonts w:ascii="Times New Roman" w:hAnsi="Times New Roman" w:cs="Times New Roman"/>
        </w:rPr>
        <w:fldChar w:fldCharType="begin"/>
      </w:r>
      <w:r w:rsidR="0080106D" w:rsidRPr="00FE7DE3">
        <w:rPr>
          <w:rFonts w:ascii="Times New Roman" w:hAnsi="Times New Roman" w:cs="Times New Roman"/>
        </w:rPr>
        <w:instrText xml:space="preserve"> ADDIN ZOTERO_ITEM CSL_CITATION {"citationID":"wIyenL6i","properties":{"formattedCitation":"[7]","plainCitation":"[7]","noteIndex":0},"citationItems":[{"id":1803,"uris":["http://zotero.org/users/1330063/items/T5RVKKJJ"],"uri":["http://zotero.org/users/1330063/items/T5RVKKJJ"],"itemData":{"id":1803,"type":"article-journal","container-title":"Journal of International Medical Research","issue":"8","note":"publisher: SAGE Publications Sage UK: London, England","page":"0300060520948382","source":"Google Scholar","title":"Rehabilitation of patients post-COVID-19 infection: a literature review","title-short":"Rehabilitation of patients post-COVID-19 infection","volume":"48","author":[{"family":"Demeco","given":"A."},{"family":"Marotta","given":"N."},{"family":"Barletta","given":"M."},{"family":"Pino","given":"I."},{"family":"Marinaro","given":"C."},{"family":"Petraroli","given":"A."},{"family":"Moggio","given":"L."},{"family":"Ammendolia","given":"Antonio"}],"issued":{"date-parts":[["2020"]]}}}],"schema":"https://github.com/citation-style-language/schema/raw/master/csl-citation.json"} </w:instrText>
      </w:r>
      <w:r w:rsidR="008967E1" w:rsidRPr="00FE7DE3">
        <w:rPr>
          <w:rFonts w:ascii="Times New Roman" w:hAnsi="Times New Roman" w:cs="Times New Roman"/>
        </w:rPr>
        <w:fldChar w:fldCharType="separate"/>
      </w:r>
      <w:r w:rsidR="0080106D" w:rsidRPr="00FE7DE3">
        <w:rPr>
          <w:rFonts w:ascii="Times New Roman" w:hAnsi="Times New Roman" w:cs="Times New Roman"/>
        </w:rPr>
        <w:t>[7]</w:t>
      </w:r>
      <w:r w:rsidR="008967E1" w:rsidRPr="00FE7DE3">
        <w:rPr>
          <w:rFonts w:ascii="Times New Roman" w:hAnsi="Times New Roman" w:cs="Times New Roman"/>
        </w:rPr>
        <w:fldChar w:fldCharType="end"/>
      </w:r>
      <w:r w:rsidR="008967E1" w:rsidRPr="00FE7DE3">
        <w:rPr>
          <w:rFonts w:ascii="Times New Roman" w:hAnsi="Times New Roman" w:cs="Times New Roman"/>
        </w:rPr>
        <w:t>. Whilst there is</w:t>
      </w:r>
      <w:r w:rsidR="008967E1" w:rsidRPr="00FE7DE3">
        <w:t xml:space="preserve"> </w:t>
      </w:r>
      <w:r w:rsidR="008967E1" w:rsidRPr="00FE7DE3">
        <w:rPr>
          <w:rFonts w:ascii="Times New Roman" w:hAnsi="Times New Roman" w:cs="Times New Roman"/>
        </w:rPr>
        <w:t xml:space="preserve">currently no established trajectory towards recovery, long-COVID is likely to pose </w:t>
      </w:r>
      <w:r w:rsidR="007967B9" w:rsidRPr="00FE7DE3">
        <w:rPr>
          <w:rFonts w:ascii="Times New Roman" w:hAnsi="Times New Roman" w:cs="Times New Roman"/>
        </w:rPr>
        <w:t xml:space="preserve">long-term </w:t>
      </w:r>
      <w:r w:rsidR="00B471D3" w:rsidRPr="00FE7DE3">
        <w:rPr>
          <w:rFonts w:ascii="Times New Roman" w:hAnsi="Times New Roman" w:cs="Times New Roman"/>
        </w:rPr>
        <w:t xml:space="preserve">challenges </w:t>
      </w:r>
      <w:r w:rsidR="007967B9" w:rsidRPr="00FE7DE3">
        <w:rPr>
          <w:rFonts w:ascii="Times New Roman" w:hAnsi="Times New Roman" w:cs="Times New Roman"/>
        </w:rPr>
        <w:t>to health and wellbeing</w:t>
      </w:r>
      <w:r w:rsidR="00C143C0" w:rsidRPr="00FE7DE3">
        <w:rPr>
          <w:rFonts w:ascii="Times New Roman" w:hAnsi="Times New Roman" w:cs="Times New Roman"/>
        </w:rPr>
        <w:t>,</w:t>
      </w:r>
      <w:r w:rsidR="00B471D3" w:rsidRPr="00FE7DE3">
        <w:rPr>
          <w:rFonts w:ascii="Times New Roman" w:hAnsi="Times New Roman" w:cs="Times New Roman"/>
        </w:rPr>
        <w:t xml:space="preserve"> and </w:t>
      </w:r>
      <w:r w:rsidR="002F18FB" w:rsidRPr="00FE7DE3">
        <w:rPr>
          <w:rFonts w:ascii="Times New Roman" w:hAnsi="Times New Roman" w:cs="Times New Roman"/>
        </w:rPr>
        <w:t>broad</w:t>
      </w:r>
      <w:r w:rsidR="00B471D3" w:rsidRPr="00FE7DE3">
        <w:rPr>
          <w:rFonts w:ascii="Times New Roman" w:hAnsi="Times New Roman" w:cs="Times New Roman"/>
        </w:rPr>
        <w:t xml:space="preserve"> </w:t>
      </w:r>
      <w:r w:rsidR="007967B9" w:rsidRPr="00FE7DE3">
        <w:rPr>
          <w:rFonts w:ascii="Times New Roman" w:hAnsi="Times New Roman" w:cs="Times New Roman"/>
        </w:rPr>
        <w:t xml:space="preserve">societal and </w:t>
      </w:r>
      <w:r w:rsidR="002F18FB" w:rsidRPr="00FE7DE3">
        <w:rPr>
          <w:rFonts w:ascii="Times New Roman" w:hAnsi="Times New Roman" w:cs="Times New Roman"/>
        </w:rPr>
        <w:t>economic</w:t>
      </w:r>
      <w:r w:rsidR="007967B9" w:rsidRPr="00FE7DE3">
        <w:rPr>
          <w:rFonts w:ascii="Times New Roman" w:hAnsi="Times New Roman" w:cs="Times New Roman"/>
        </w:rPr>
        <w:t xml:space="preserve"> </w:t>
      </w:r>
      <w:r w:rsidR="002F18FB" w:rsidRPr="00FE7DE3">
        <w:rPr>
          <w:rFonts w:ascii="Times New Roman" w:hAnsi="Times New Roman" w:cs="Times New Roman"/>
        </w:rPr>
        <w:t xml:space="preserve">impacts </w:t>
      </w:r>
      <w:r w:rsidR="008967E1" w:rsidRPr="00FE7DE3">
        <w:rPr>
          <w:rFonts w:ascii="Times New Roman" w:hAnsi="Times New Roman" w:cs="Times New Roman"/>
        </w:rPr>
        <w:fldChar w:fldCharType="begin" w:fldLock="1"/>
      </w:r>
      <w:r w:rsidR="004646C7" w:rsidRPr="00FE7DE3">
        <w:rPr>
          <w:rFonts w:ascii="Times New Roman" w:hAnsi="Times New Roman" w:cs="Times New Roman"/>
        </w:rPr>
        <w:instrText xml:space="preserve"> ADDIN ZOTERO_ITEM CSL_CITATION {"citationID":"hUhmXNaP","properties":{"formattedCitation":"[8]","plainCitation":"[8]","noteIndex":0},"citationItems":[{"id":"1ibuZtGN/ohIESCyw","uris":["http://www.mendeley.com/documents/?uuid=bcee997b-a2a6-4127-a71c-3b6772f56c5d"],"uri":["http://www.mendeley.com/documents/?uuid=bcee997b-a2a6-4127-a71c-3b6772f56c5d"],"itemData":{"author":[{"dropping-particle":"","family":"O'Sullivan","given":"O","non-dropping-particle":"","parse-names":false,"suffix":""}],"container-title":"Clinical Medicine","id":"ITEM-1","issue":"1","issued":{"date-parts":[["2021"]]},"page":"e68-70","title":"Long-term sequelae following previous coronavirus epidemics","type":"article-journal","volume":"21"}}],"schema":"https://github.com/citation-style-language/schema/raw/master/csl-citation.json"} </w:instrText>
      </w:r>
      <w:r w:rsidR="008967E1" w:rsidRPr="00FE7DE3">
        <w:rPr>
          <w:rFonts w:ascii="Times New Roman" w:hAnsi="Times New Roman" w:cs="Times New Roman"/>
        </w:rPr>
        <w:fldChar w:fldCharType="separate"/>
      </w:r>
      <w:r w:rsidR="0080106D" w:rsidRPr="00FE7DE3">
        <w:rPr>
          <w:rFonts w:ascii="Times New Roman" w:hAnsi="Times New Roman" w:cs="Times New Roman"/>
        </w:rPr>
        <w:t>[8]</w:t>
      </w:r>
      <w:r w:rsidR="008967E1" w:rsidRPr="00FE7DE3">
        <w:rPr>
          <w:rFonts w:ascii="Times New Roman" w:hAnsi="Times New Roman" w:cs="Times New Roman"/>
        </w:rPr>
        <w:fldChar w:fldCharType="end"/>
      </w:r>
      <w:r w:rsidR="008967E1" w:rsidRPr="00FE7DE3">
        <w:rPr>
          <w:rFonts w:ascii="Times New Roman" w:hAnsi="Times New Roman" w:cs="Times New Roman"/>
        </w:rPr>
        <w:t>.</w:t>
      </w:r>
    </w:p>
    <w:p w14:paraId="08027BF4" w14:textId="3B5A2B98" w:rsidR="00754E4F" w:rsidRPr="00FE7DE3" w:rsidRDefault="00E16470" w:rsidP="008005D5">
      <w:pPr>
        <w:spacing w:line="480" w:lineRule="auto"/>
        <w:jc w:val="both"/>
        <w:rPr>
          <w:rFonts w:ascii="Times New Roman" w:hAnsi="Times New Roman" w:cs="Times New Roman"/>
        </w:rPr>
      </w:pPr>
      <w:r w:rsidRPr="00FE7DE3">
        <w:rPr>
          <w:rFonts w:ascii="Times New Roman" w:hAnsi="Times New Roman" w:cs="Times New Roman"/>
        </w:rPr>
        <w:t xml:space="preserve">Whilst cases of long-COVID rise exponentially, the </w:t>
      </w:r>
      <w:r w:rsidR="00C143C0" w:rsidRPr="00FE7DE3">
        <w:rPr>
          <w:rFonts w:ascii="Times New Roman" w:hAnsi="Times New Roman" w:cs="Times New Roman"/>
        </w:rPr>
        <w:t>extent</w:t>
      </w:r>
      <w:r w:rsidRPr="00FE7DE3">
        <w:rPr>
          <w:rFonts w:ascii="Times New Roman" w:hAnsi="Times New Roman" w:cs="Times New Roman"/>
        </w:rPr>
        <w:t xml:space="preserve"> of symptom prevalence and severity is broad; at this point, there is limited knowledge of risk factors and attributable mechanisms for long-COVID </w:t>
      </w:r>
      <w:r w:rsidRPr="00FE7DE3">
        <w:rPr>
          <w:rFonts w:ascii="Times New Roman" w:hAnsi="Times New Roman" w:cs="Times New Roman"/>
        </w:rPr>
        <w:fldChar w:fldCharType="begin" w:fldLock="1"/>
      </w:r>
      <w:r w:rsidR="004646C7" w:rsidRPr="00FE7DE3">
        <w:rPr>
          <w:rFonts w:ascii="Times New Roman" w:hAnsi="Times New Roman" w:cs="Times New Roman"/>
        </w:rPr>
        <w:instrText xml:space="preserve"> ADDIN ZOTERO_ITEM CSL_CITATION {"citationID":"kbzpY2x3","properties":{"formattedCitation":"[9]","plainCitation":"[9]","noteIndex":0},"citationItems":[{"id":"1ibuZtGN/kJi46qxD","uris":["http://www.mendeley.com/documents/?uuid=1cb2ac2f-5863-49ae-acad-48eea888e502"],"uri":["http://www.mendeley.com/documents/?uuid=1cb2ac2f-5863-49ae-acad-48eea888e502"],"itemData":{"author":[{"dropping-particle":"","family":"Sudre","given":"C.H.","non-dropping-particle":"","parse-names":false,"suffix":""},{"dropping-particle":"","family":"Murray","given":"B.","non-dropping-particle":"","parse-names":false,"suffix":""},{"dropping-particle":"","family":"Varsavsky","given":"T.","non-dropping-particle":"","parse-names":false,"suffix":""},{"dropping-particle":"","family":"et al.","given":"","non-dropping-particle":"","parse-names":false,"suffix":""}],"container-title":"Nature Medicine","id":"ITEM-1","issued":{"date-parts":[["2021"]]},"page":"626-631","title":"Attributes and predictors of long COVID","type":"article-journal","volume":"27"}}],"schema":"https://github.com/citation-style-language/schema/raw/master/csl-citation.json"} </w:instrText>
      </w:r>
      <w:r w:rsidRPr="00FE7DE3">
        <w:rPr>
          <w:rFonts w:ascii="Times New Roman" w:hAnsi="Times New Roman" w:cs="Times New Roman"/>
        </w:rPr>
        <w:fldChar w:fldCharType="separate"/>
      </w:r>
      <w:r w:rsidR="0080106D" w:rsidRPr="00FE7DE3">
        <w:rPr>
          <w:rFonts w:ascii="Times New Roman" w:hAnsi="Times New Roman" w:cs="Times New Roman"/>
        </w:rPr>
        <w:t>[9]</w:t>
      </w:r>
      <w:r w:rsidRPr="00FE7DE3">
        <w:rPr>
          <w:rFonts w:ascii="Times New Roman" w:hAnsi="Times New Roman" w:cs="Times New Roman"/>
        </w:rPr>
        <w:fldChar w:fldCharType="end"/>
      </w:r>
      <w:r w:rsidRPr="00FE7DE3">
        <w:rPr>
          <w:rFonts w:ascii="Times New Roman" w:hAnsi="Times New Roman" w:cs="Times New Roman"/>
        </w:rPr>
        <w:t xml:space="preserve">. Whilst global efforts to increase </w:t>
      </w:r>
      <w:r w:rsidR="00386B62" w:rsidRPr="00FE7DE3">
        <w:rPr>
          <w:rFonts w:ascii="Times New Roman" w:hAnsi="Times New Roman" w:cs="Times New Roman"/>
        </w:rPr>
        <w:t>the</w:t>
      </w:r>
      <w:r w:rsidRPr="00FE7DE3">
        <w:rPr>
          <w:rFonts w:ascii="Times New Roman" w:hAnsi="Times New Roman" w:cs="Times New Roman"/>
        </w:rPr>
        <w:t xml:space="preserve"> understanding of long-COVID gains momentum, </w:t>
      </w:r>
      <w:r w:rsidR="00E86DA9" w:rsidRPr="00FE7DE3">
        <w:rPr>
          <w:rFonts w:ascii="Times New Roman" w:hAnsi="Times New Roman" w:cs="Times New Roman"/>
        </w:rPr>
        <w:t>information</w:t>
      </w:r>
      <w:r w:rsidR="002B37DB" w:rsidRPr="00FE7DE3">
        <w:rPr>
          <w:rFonts w:ascii="Times New Roman" w:hAnsi="Times New Roman" w:cs="Times New Roman"/>
        </w:rPr>
        <w:t xml:space="preserve"> relating to the</w:t>
      </w:r>
      <w:r w:rsidR="00221DFA" w:rsidRPr="00FE7DE3">
        <w:rPr>
          <w:rFonts w:ascii="Times New Roman" w:hAnsi="Times New Roman" w:cs="Times New Roman"/>
        </w:rPr>
        <w:t xml:space="preserve"> symptom</w:t>
      </w:r>
      <w:r w:rsidR="002B37DB" w:rsidRPr="00FE7DE3">
        <w:rPr>
          <w:rFonts w:ascii="Times New Roman" w:hAnsi="Times New Roman" w:cs="Times New Roman"/>
        </w:rPr>
        <w:t xml:space="preserve"> </w:t>
      </w:r>
      <w:r w:rsidR="00221DFA" w:rsidRPr="00FE7DE3">
        <w:rPr>
          <w:rFonts w:ascii="Times New Roman" w:hAnsi="Times New Roman" w:cs="Times New Roman"/>
        </w:rPr>
        <w:t>prevalence</w:t>
      </w:r>
      <w:r w:rsidR="00382A13" w:rsidRPr="00FE7DE3">
        <w:rPr>
          <w:rFonts w:ascii="Times New Roman" w:hAnsi="Times New Roman" w:cs="Times New Roman"/>
        </w:rPr>
        <w:t xml:space="preserve">, </w:t>
      </w:r>
      <w:r w:rsidR="00221DFA" w:rsidRPr="00FE7DE3">
        <w:rPr>
          <w:rFonts w:ascii="Times New Roman" w:hAnsi="Times New Roman" w:cs="Times New Roman"/>
        </w:rPr>
        <w:t xml:space="preserve">severity and impact upon the individuals are </w:t>
      </w:r>
      <w:r w:rsidR="00117224" w:rsidRPr="00FE7DE3">
        <w:rPr>
          <w:rFonts w:ascii="Times New Roman" w:hAnsi="Times New Roman" w:cs="Times New Roman"/>
        </w:rPr>
        <w:t xml:space="preserve">greatly </w:t>
      </w:r>
      <w:r w:rsidR="002B37DB" w:rsidRPr="00FE7DE3">
        <w:rPr>
          <w:rFonts w:ascii="Times New Roman" w:hAnsi="Times New Roman" w:cs="Times New Roman"/>
        </w:rPr>
        <w:t xml:space="preserve">needed to inform </w:t>
      </w:r>
      <w:r w:rsidR="00E86DA9" w:rsidRPr="00FE7DE3">
        <w:rPr>
          <w:rFonts w:ascii="Times New Roman" w:hAnsi="Times New Roman" w:cs="Times New Roman"/>
        </w:rPr>
        <w:t>the development of COVID-19 specific support pathways and rehabilitation services</w:t>
      </w:r>
      <w:r w:rsidR="00221DFA" w:rsidRPr="00FE7DE3">
        <w:rPr>
          <w:rFonts w:ascii="Times New Roman" w:hAnsi="Times New Roman" w:cs="Times New Roman"/>
        </w:rPr>
        <w:t xml:space="preserve">. </w:t>
      </w:r>
      <w:r w:rsidR="004D67FA" w:rsidRPr="00FE7DE3">
        <w:rPr>
          <w:rFonts w:ascii="Times New Roman" w:hAnsi="Times New Roman" w:cs="Times New Roman"/>
        </w:rPr>
        <w:t xml:space="preserve">To be </w:t>
      </w:r>
      <w:r w:rsidR="0023017D" w:rsidRPr="00FE7DE3">
        <w:rPr>
          <w:rFonts w:ascii="Times New Roman" w:hAnsi="Times New Roman" w:cs="Times New Roman"/>
        </w:rPr>
        <w:t xml:space="preserve">truly </w:t>
      </w:r>
      <w:r w:rsidR="004D67FA" w:rsidRPr="00FE7DE3">
        <w:rPr>
          <w:rFonts w:ascii="Times New Roman" w:hAnsi="Times New Roman" w:cs="Times New Roman"/>
        </w:rPr>
        <w:t>effective</w:t>
      </w:r>
      <w:r w:rsidR="00117224" w:rsidRPr="00FE7DE3">
        <w:rPr>
          <w:rFonts w:ascii="Times New Roman" w:hAnsi="Times New Roman" w:cs="Times New Roman"/>
        </w:rPr>
        <w:t>,</w:t>
      </w:r>
      <w:r w:rsidR="004D67FA" w:rsidRPr="00FE7DE3">
        <w:rPr>
          <w:rFonts w:ascii="Times New Roman" w:hAnsi="Times New Roman" w:cs="Times New Roman"/>
        </w:rPr>
        <w:t xml:space="preserve"> the patient support pathways will undoubtedly be as complex as the symptomology, creating a unique challenge for clinical and non-clinical entities to work collaboratively in the interest of </w:t>
      </w:r>
      <w:r w:rsidR="0023017D" w:rsidRPr="00FE7DE3">
        <w:rPr>
          <w:rFonts w:ascii="Times New Roman" w:hAnsi="Times New Roman" w:cs="Times New Roman"/>
        </w:rPr>
        <w:t xml:space="preserve">achieving improved </w:t>
      </w:r>
      <w:r w:rsidR="004D67FA" w:rsidRPr="00FE7DE3">
        <w:rPr>
          <w:rFonts w:ascii="Times New Roman" w:hAnsi="Times New Roman" w:cs="Times New Roman"/>
        </w:rPr>
        <w:t xml:space="preserve">patient outcomes. </w:t>
      </w:r>
      <w:r w:rsidR="00F81CBB" w:rsidRPr="00FE7DE3">
        <w:rPr>
          <w:rFonts w:ascii="Times New Roman" w:hAnsi="Times New Roman" w:cs="Times New Roman"/>
        </w:rPr>
        <w:t>Therefore, engaging</w:t>
      </w:r>
      <w:r w:rsidR="004D67FA" w:rsidRPr="00FE7DE3">
        <w:rPr>
          <w:rFonts w:ascii="Times New Roman" w:hAnsi="Times New Roman" w:cs="Times New Roman"/>
        </w:rPr>
        <w:t xml:space="preserve"> </w:t>
      </w:r>
      <w:r w:rsidR="00E46B6E" w:rsidRPr="00FE7DE3">
        <w:rPr>
          <w:rFonts w:ascii="Times New Roman" w:hAnsi="Times New Roman" w:cs="Times New Roman"/>
        </w:rPr>
        <w:t>multi-disciplinary</w:t>
      </w:r>
      <w:r w:rsidR="00A50CEE" w:rsidRPr="00FE7DE3">
        <w:rPr>
          <w:rFonts w:ascii="Times New Roman" w:hAnsi="Times New Roman" w:cs="Times New Roman"/>
        </w:rPr>
        <w:t xml:space="preserve"> </w:t>
      </w:r>
      <w:r w:rsidR="004D67FA" w:rsidRPr="00FE7DE3">
        <w:rPr>
          <w:rFonts w:ascii="Times New Roman" w:hAnsi="Times New Roman" w:cs="Times New Roman"/>
        </w:rPr>
        <w:t>stakeholder</w:t>
      </w:r>
      <w:r w:rsidR="00A50CEE" w:rsidRPr="00FE7DE3">
        <w:rPr>
          <w:rFonts w:ascii="Times New Roman" w:hAnsi="Times New Roman" w:cs="Times New Roman"/>
        </w:rPr>
        <w:t xml:space="preserve"> groups to support healthcare leaders </w:t>
      </w:r>
      <w:r w:rsidR="004D67FA" w:rsidRPr="00FE7DE3">
        <w:rPr>
          <w:rFonts w:ascii="Times New Roman" w:hAnsi="Times New Roman" w:cs="Times New Roman"/>
        </w:rPr>
        <w:t>in a system</w:t>
      </w:r>
      <w:r w:rsidR="00EA10BF" w:rsidRPr="00FE7DE3">
        <w:rPr>
          <w:rFonts w:ascii="Times New Roman" w:hAnsi="Times New Roman" w:cs="Times New Roman"/>
        </w:rPr>
        <w:t>s</w:t>
      </w:r>
      <w:r w:rsidR="004D67FA" w:rsidRPr="00FE7DE3">
        <w:rPr>
          <w:rFonts w:ascii="Times New Roman" w:hAnsi="Times New Roman" w:cs="Times New Roman"/>
        </w:rPr>
        <w:t xml:space="preserve"> approach will be imperative to </w:t>
      </w:r>
      <w:r w:rsidR="00E46B6E" w:rsidRPr="00FE7DE3">
        <w:rPr>
          <w:rFonts w:ascii="Times New Roman" w:hAnsi="Times New Roman" w:cs="Times New Roman"/>
        </w:rPr>
        <w:t>developing</w:t>
      </w:r>
      <w:r w:rsidR="004D67FA" w:rsidRPr="00FE7DE3">
        <w:rPr>
          <w:rFonts w:ascii="Times New Roman" w:hAnsi="Times New Roman" w:cs="Times New Roman"/>
        </w:rPr>
        <w:t xml:space="preserve"> </w:t>
      </w:r>
      <w:r w:rsidR="00E46B6E" w:rsidRPr="00FE7DE3">
        <w:rPr>
          <w:rFonts w:ascii="Times New Roman" w:hAnsi="Times New Roman" w:cs="Times New Roman"/>
        </w:rPr>
        <w:t xml:space="preserve">bespoke COVID-19 approaches and achieving </w:t>
      </w:r>
      <w:r w:rsidR="004D67FA" w:rsidRPr="00FE7DE3">
        <w:rPr>
          <w:rFonts w:ascii="Times New Roman" w:hAnsi="Times New Roman" w:cs="Times New Roman"/>
        </w:rPr>
        <w:t>widespread patient</w:t>
      </w:r>
      <w:r w:rsidR="00EA10BF" w:rsidRPr="00FE7DE3">
        <w:rPr>
          <w:rFonts w:ascii="Times New Roman" w:hAnsi="Times New Roman" w:cs="Times New Roman"/>
        </w:rPr>
        <w:t xml:space="preserve"> benefit</w:t>
      </w:r>
      <w:r w:rsidR="00E46B6E" w:rsidRPr="00FE7DE3">
        <w:rPr>
          <w:rFonts w:ascii="Times New Roman" w:hAnsi="Times New Roman" w:cs="Times New Roman"/>
        </w:rPr>
        <w:t xml:space="preserve"> </w:t>
      </w:r>
      <w:r w:rsidR="00E46B6E" w:rsidRPr="00FE7DE3">
        <w:rPr>
          <w:rFonts w:ascii="Times New Roman" w:hAnsi="Times New Roman" w:cs="Times New Roman"/>
        </w:rPr>
        <w:fldChar w:fldCharType="begin"/>
      </w:r>
      <w:r w:rsidR="00E46B6E" w:rsidRPr="00FE7DE3">
        <w:rPr>
          <w:rFonts w:ascii="Times New Roman" w:hAnsi="Times New Roman" w:cs="Times New Roman"/>
        </w:rPr>
        <w:instrText xml:space="preserve"> ADDIN ZOTERO_ITEM CSL_CITATION {"citationID":"JBzWUF7G","properties":{"formattedCitation":"[10]","plainCitation":"[10]","noteIndex":0},"citationItems":[{"id":1824,"uris":["http://zotero.org/users/1330063/items/8D88UGDQ"],"uri":["http://zotero.org/users/1330063/items/8D88UGDQ"],"itemData":{"id":1824,"type":"article-journal","container-title":"Physical Therapy","DOI":"10.1093/ptj/pzab143","ISSN":"1538-6724","issue":"9","journalAbbreviation":"Physical Therapy","source":"Silverchair","title":"COVID-19 and Health Care Leaders: How Could Emotional Intelligence Be a Helpful Resource During a Pandemic?","title-short":"COVID-19 and Health Care Leaders","URL":"https://doi.org/10.1093/ptj/pzab143","volume":"101","author":[{"family":"Rossettini","given":"Giacomo"},{"family":"Conti","given":"Cristiana"},{"family":"Suardelli","given":"Martina"},{"family":"Geri","given":"Tommaso"},{"family":"Palese","given":"Alvisa"},{"family":"Turolla","given":"Andrea"},{"family":"Lovato","given":"Andrea"},{"family":"Gianola","given":"Silvia"},{"family":"Dell’Isola","given":"Andrea"}],"accessed":{"date-parts":[["2021",11,29]]},"issued":{"date-parts":[["2021",9,1]]}}}],"schema":"https://github.com/citation-style-language/schema/raw/master/csl-citation.json"} </w:instrText>
      </w:r>
      <w:r w:rsidR="00E46B6E" w:rsidRPr="00FE7DE3">
        <w:rPr>
          <w:rFonts w:ascii="Times New Roman" w:hAnsi="Times New Roman" w:cs="Times New Roman"/>
        </w:rPr>
        <w:fldChar w:fldCharType="separate"/>
      </w:r>
      <w:r w:rsidR="00E46B6E" w:rsidRPr="00FE7DE3">
        <w:rPr>
          <w:rFonts w:ascii="Times New Roman" w:hAnsi="Times New Roman" w:cs="Times New Roman"/>
        </w:rPr>
        <w:t>[10]</w:t>
      </w:r>
      <w:r w:rsidR="00E46B6E" w:rsidRPr="00FE7DE3">
        <w:rPr>
          <w:rFonts w:ascii="Times New Roman" w:hAnsi="Times New Roman" w:cs="Times New Roman"/>
        </w:rPr>
        <w:fldChar w:fldCharType="end"/>
      </w:r>
      <w:r w:rsidR="00E46B6E" w:rsidRPr="00FE7DE3">
        <w:rPr>
          <w:rFonts w:ascii="Times New Roman" w:hAnsi="Times New Roman" w:cs="Times New Roman"/>
        </w:rPr>
        <w:t>.</w:t>
      </w:r>
      <w:r w:rsidR="00FA1004" w:rsidRPr="00FE7DE3">
        <w:rPr>
          <w:rFonts w:ascii="Times New Roman" w:hAnsi="Times New Roman" w:cs="Times New Roman"/>
        </w:rPr>
        <w:t xml:space="preserve"> </w:t>
      </w:r>
      <w:r w:rsidR="00AA5CC7" w:rsidRPr="00FE7DE3">
        <w:rPr>
          <w:rFonts w:ascii="Times New Roman" w:hAnsi="Times New Roman" w:cs="Times New Roman"/>
        </w:rPr>
        <w:t xml:space="preserve">To </w:t>
      </w:r>
      <w:r w:rsidR="00FA1004" w:rsidRPr="00FE7DE3">
        <w:rPr>
          <w:rFonts w:ascii="Times New Roman" w:hAnsi="Times New Roman" w:cs="Times New Roman"/>
        </w:rPr>
        <w:t>be successful, there is a need to</w:t>
      </w:r>
      <w:r w:rsidR="00AA5CC7" w:rsidRPr="00FE7DE3">
        <w:rPr>
          <w:rFonts w:ascii="Times New Roman" w:hAnsi="Times New Roman" w:cs="Times New Roman"/>
        </w:rPr>
        <w:t xml:space="preserve"> </w:t>
      </w:r>
      <w:r w:rsidR="00386B62" w:rsidRPr="00FE7DE3">
        <w:rPr>
          <w:rFonts w:ascii="Times New Roman" w:hAnsi="Times New Roman" w:cs="Times New Roman"/>
        </w:rPr>
        <w:t xml:space="preserve">characterise </w:t>
      </w:r>
      <w:r w:rsidR="00FA1004" w:rsidRPr="00FE7DE3">
        <w:rPr>
          <w:rFonts w:ascii="Times New Roman" w:hAnsi="Times New Roman" w:cs="Times New Roman"/>
        </w:rPr>
        <w:t xml:space="preserve">symptom profile and </w:t>
      </w:r>
      <w:r w:rsidRPr="00FE7DE3">
        <w:rPr>
          <w:rFonts w:ascii="Times New Roman" w:hAnsi="Times New Roman" w:cs="Times New Roman"/>
        </w:rPr>
        <w:t xml:space="preserve">the </w:t>
      </w:r>
      <w:r w:rsidR="00155D8D" w:rsidRPr="00FE7DE3">
        <w:rPr>
          <w:rFonts w:ascii="Times New Roman" w:hAnsi="Times New Roman" w:cs="Times New Roman"/>
        </w:rPr>
        <w:t>impact</w:t>
      </w:r>
      <w:r w:rsidR="0001731A" w:rsidRPr="00FE7DE3">
        <w:rPr>
          <w:rFonts w:ascii="Times New Roman" w:hAnsi="Times New Roman" w:cs="Times New Roman"/>
        </w:rPr>
        <w:t xml:space="preserve">s </w:t>
      </w:r>
      <w:r w:rsidRPr="00FE7DE3">
        <w:rPr>
          <w:rFonts w:ascii="Times New Roman" w:hAnsi="Times New Roman" w:cs="Times New Roman"/>
        </w:rPr>
        <w:t xml:space="preserve">upon QoL, activities of daily life and </w:t>
      </w:r>
      <w:r w:rsidR="008B21F8" w:rsidRPr="00FE7DE3">
        <w:rPr>
          <w:rFonts w:ascii="Times New Roman" w:hAnsi="Times New Roman" w:cs="Times New Roman"/>
        </w:rPr>
        <w:t>importantly</w:t>
      </w:r>
      <w:r w:rsidR="00117224" w:rsidRPr="00FE7DE3">
        <w:rPr>
          <w:rFonts w:ascii="Times New Roman" w:hAnsi="Times New Roman" w:cs="Times New Roman"/>
        </w:rPr>
        <w:t>,</w:t>
      </w:r>
      <w:r w:rsidR="008B21F8" w:rsidRPr="00FE7DE3">
        <w:rPr>
          <w:rFonts w:ascii="Times New Roman" w:hAnsi="Times New Roman" w:cs="Times New Roman"/>
        </w:rPr>
        <w:t xml:space="preserve"> the </w:t>
      </w:r>
      <w:r w:rsidRPr="00FE7DE3">
        <w:rPr>
          <w:rFonts w:ascii="Times New Roman" w:hAnsi="Times New Roman" w:cs="Times New Roman"/>
        </w:rPr>
        <w:t>lived experience</w:t>
      </w:r>
      <w:r w:rsidR="00934103" w:rsidRPr="00FE7DE3">
        <w:rPr>
          <w:rFonts w:ascii="Times New Roman" w:hAnsi="Times New Roman" w:cs="Times New Roman"/>
        </w:rPr>
        <w:t xml:space="preserve"> </w:t>
      </w:r>
      <w:r w:rsidR="0012167E" w:rsidRPr="00FE7DE3">
        <w:rPr>
          <w:rFonts w:ascii="Times New Roman" w:hAnsi="Times New Roman" w:cs="Times New Roman"/>
        </w:rPr>
        <w:fldChar w:fldCharType="begin"/>
      </w:r>
      <w:r w:rsidR="00AA5CC7" w:rsidRPr="00FE7DE3">
        <w:rPr>
          <w:rFonts w:ascii="Times New Roman" w:hAnsi="Times New Roman" w:cs="Times New Roman"/>
        </w:rPr>
        <w:instrText xml:space="preserve"> ADDIN ZOTERO_ITEM CSL_CITATION {"citationID":"Su7j3SqU","properties":{"formattedCitation":"[11]","plainCitation":"[11]","noteIndex":0},"citationItems":[{"id":1820,"uris":["http://zotero.org/users/1330063/items/958EHQX9"],"uri":["http://zotero.org/users/1330063/items/958EHQX9"],"itemData":{"id":1820,"type":"article-journal","container-title":"The Lancet","DOI":"10.1016/S0140-6736(20)32705-7","ISSN":"01406736","issue":"10273","journalAbbreviation":"The Lancet","language":"en","page":"455-457","source":"DOI.org (Crossref)","title":"Long COVID guidelines need to reflect lived experience","volume":"397","author":[{"family":"Gorna","given":"Robin"},{"family":"MacDermott","given":"Nathalie"},{"family":"Rayner","given":"Clare"},{"family":"O’Hara","given":"Margaret"},{"family":"Evans","given":"Sophie"},{"family":"Agyen","given":"Lisa"},{"family":"Nutland","given":"Will"},{"family":"Rogers","given":"Natalie"},{"family":"Hastie","given":"Claire"}],"issued":{"date-parts":[["2021",2]]}}}],"schema":"https://github.com/citation-style-language/schema/raw/master/csl-citation.json"} </w:instrText>
      </w:r>
      <w:r w:rsidR="0012167E" w:rsidRPr="00FE7DE3">
        <w:rPr>
          <w:rFonts w:ascii="Times New Roman" w:hAnsi="Times New Roman" w:cs="Times New Roman"/>
        </w:rPr>
        <w:fldChar w:fldCharType="separate"/>
      </w:r>
      <w:r w:rsidR="00AA5CC7" w:rsidRPr="00FE7DE3">
        <w:rPr>
          <w:rFonts w:ascii="Times New Roman" w:hAnsi="Times New Roman" w:cs="Times New Roman"/>
        </w:rPr>
        <w:t>[11]</w:t>
      </w:r>
      <w:r w:rsidR="0012167E" w:rsidRPr="00FE7DE3">
        <w:rPr>
          <w:rFonts w:ascii="Times New Roman" w:hAnsi="Times New Roman" w:cs="Times New Roman"/>
        </w:rPr>
        <w:fldChar w:fldCharType="end"/>
      </w:r>
      <w:r w:rsidRPr="00FE7DE3">
        <w:rPr>
          <w:rFonts w:ascii="Times New Roman" w:hAnsi="Times New Roman" w:cs="Times New Roman"/>
        </w:rPr>
        <w:t xml:space="preserve">. </w:t>
      </w:r>
    </w:p>
    <w:p w14:paraId="737ADB16" w14:textId="340768D9" w:rsidR="00997101" w:rsidRPr="00FE7DE3" w:rsidRDefault="00BD1A58" w:rsidP="008005D5">
      <w:pPr>
        <w:spacing w:line="480" w:lineRule="auto"/>
        <w:jc w:val="both"/>
        <w:rPr>
          <w:rFonts w:ascii="Times New Roman" w:hAnsi="Times New Roman" w:cs="Times New Roman"/>
        </w:rPr>
      </w:pPr>
      <w:r w:rsidRPr="00FE7DE3">
        <w:rPr>
          <w:rFonts w:ascii="Times New Roman" w:hAnsi="Times New Roman" w:cs="Times New Roman"/>
        </w:rPr>
        <w:lastRenderedPageBreak/>
        <w:t>To date, a</w:t>
      </w:r>
      <w:r w:rsidR="0028068A" w:rsidRPr="00FE7DE3">
        <w:rPr>
          <w:rFonts w:ascii="Times New Roman" w:hAnsi="Times New Roman" w:cs="Times New Roman"/>
        </w:rPr>
        <w:t xml:space="preserve">n abundance </w:t>
      </w:r>
      <w:r w:rsidR="008A7D17" w:rsidRPr="00FE7DE3">
        <w:rPr>
          <w:rFonts w:ascii="Times New Roman" w:hAnsi="Times New Roman" w:cs="Times New Roman"/>
        </w:rPr>
        <w:t xml:space="preserve">of cohort studies </w:t>
      </w:r>
      <w:r w:rsidR="0028068A" w:rsidRPr="00FE7DE3">
        <w:rPr>
          <w:rFonts w:ascii="Times New Roman" w:hAnsi="Times New Roman" w:cs="Times New Roman"/>
        </w:rPr>
        <w:t xml:space="preserve">from acute </w:t>
      </w:r>
      <w:r w:rsidR="00506F97" w:rsidRPr="00FE7DE3">
        <w:rPr>
          <w:rFonts w:ascii="Times New Roman" w:hAnsi="Times New Roman" w:cs="Times New Roman"/>
        </w:rPr>
        <w:t xml:space="preserve">and clinical </w:t>
      </w:r>
      <w:r w:rsidR="0028068A" w:rsidRPr="00FE7DE3">
        <w:rPr>
          <w:rFonts w:ascii="Times New Roman" w:hAnsi="Times New Roman" w:cs="Times New Roman"/>
        </w:rPr>
        <w:t>settings demonstrate</w:t>
      </w:r>
      <w:r w:rsidR="00506F97" w:rsidRPr="00FE7DE3">
        <w:rPr>
          <w:rFonts w:ascii="Times New Roman" w:hAnsi="Times New Roman" w:cs="Times New Roman"/>
        </w:rPr>
        <w:t xml:space="preserve"> </w:t>
      </w:r>
      <w:r w:rsidR="0028068A" w:rsidRPr="00FE7DE3">
        <w:rPr>
          <w:rFonts w:ascii="Times New Roman" w:hAnsi="Times New Roman" w:cs="Times New Roman"/>
        </w:rPr>
        <w:t xml:space="preserve">a broad symptom profile </w:t>
      </w:r>
      <w:r w:rsidR="003A5A9E" w:rsidRPr="00FE7DE3">
        <w:rPr>
          <w:rFonts w:ascii="Times New Roman" w:hAnsi="Times New Roman" w:cs="Times New Roman"/>
        </w:rPr>
        <w:t xml:space="preserve">and </w:t>
      </w:r>
      <w:r w:rsidR="0028068A" w:rsidRPr="00FE7DE3">
        <w:rPr>
          <w:rFonts w:ascii="Times New Roman" w:hAnsi="Times New Roman" w:cs="Times New Roman"/>
        </w:rPr>
        <w:t xml:space="preserve">prevalence </w:t>
      </w:r>
      <w:r w:rsidR="00934103" w:rsidRPr="00FE7DE3">
        <w:rPr>
          <w:rFonts w:ascii="Times New Roman" w:hAnsi="Times New Roman" w:cs="Times New Roman"/>
        </w:rPr>
        <w:t>as synthesised by Hayes et al</w:t>
      </w:r>
      <w:r w:rsidR="003A5A9E" w:rsidRPr="00FE7DE3">
        <w:rPr>
          <w:rFonts w:ascii="Times New Roman" w:hAnsi="Times New Roman" w:cs="Times New Roman"/>
        </w:rPr>
        <w:fldChar w:fldCharType="begin"/>
      </w:r>
      <w:r w:rsidR="00AA5CC7" w:rsidRPr="00FE7DE3">
        <w:rPr>
          <w:rFonts w:ascii="Times New Roman" w:hAnsi="Times New Roman" w:cs="Times New Roman"/>
        </w:rPr>
        <w:instrText xml:space="preserve"> ADDIN ZOTERO_ITEM CSL_CITATION {"citationID":"8yN3bwJt","properties":{"formattedCitation":"[12]","plainCitation":"[12]","noteIndex":0},"citationItems":[{"id":1801,"uris":["http://zotero.org/users/1330063/items/VNE7LVD3"],"uri":["http://zotero.org/users/1330063/items/VNE7LVD3"],"itemData":{"id":1801,"type":"article-journal","abstract":"Background: Persistent coronavirus disease 2019 (COVID-19) symptoms are increasingly well-reported in cohort studies and case series. Given the spread of the pandemic, number of individuals suffering from persistent symptoms, termed ‘long COVID', are significant. However, type and prevalence of symptoms are not well reported using systematic literature reviews.Objectives: In this scoping review of the literature, we aggregated type and prevalence of symptoms in people with long COVID.Eligibility Criteria: Original investigations concerning the name and prevalence of symptoms were considered in participants ≥4-weeks post-infection.Sources of Evidence: Four electronic databases [Medline, Web of Science, Scopus, and the Cochrane Central Register of Controlled Trials (CENTRAL)] were searched.Methods: A scoping review was conducted using the Arksey and O'Malley framework. Review selection and characterisation was performed by three independent reviewers using pretested forms.Results: Authors reviewed 2,711 titles and abstracts for inclusion with 152 selected for full-text review. 102 articles were subsequently removed as this did not meet inclusion criteria. Thus, fifty studies were analysed, 34 of which were described as cohort studies or prospective cohort studies, 14 were described as cross-sectional studies, one was described as a case control study, and one was described as a retrospective observational study. In total, &gt;100 symptoms were identified and there was considerable heterogeneity in symptom prevalence and setting of study. Ten studies reported cardiovascular symptoms, four examined pulmonary symptoms, 25 reported respiratory symptoms, 24 reported pain-related symptoms, 21 reported fatigue, 16 reported general infection symptoms, 10 reported symptoms of psychological disorders, nine reported cognitive impairment, 31 reported a sensory impairment, seven reported a dermatological complaint, 11 reported a functional impairment, and 18 reported a symptom which did not fit into any of the above categories.Conclusion: Most studies report symptoms analogous to those apparent in acute COVID-19 infection (i.e., sensory impairment and respiratory symptoms). Yet, our data suggest a larger spectrum of symptoms, evidenced by &gt;100 reported symptoms. Symptom prevalence varied significantly and was not explained by data collection approaches, study design or other methodological approaches, and may be related to unknown cohort-specific factors.","container-title":"Frontiers in Medicine","DOI":"10.3389/fmed.2021.750378","ISSN":"2296-858X","page":"2028","source":"Frontiers","title":"More Than 100 Persistent Symptoms of SARS-CoV-2 (Long COVID): A Scoping Review","title-short":"More Than 100 Persistent Symptoms of SARS-CoV-2 (Long COVID)","volume":"8","author":[{"family":"Hayes","given":"Lawrence D."},{"family":"Ingram","given":"Joanne"},{"family":"Sculthorpe","given":"Nicholas F."}],"issued":{"date-parts":[["2021"]]}}}],"schema":"https://github.com/citation-style-language/schema/raw/master/csl-citation.json"} </w:instrText>
      </w:r>
      <w:r w:rsidR="003A5A9E" w:rsidRPr="00FE7DE3">
        <w:rPr>
          <w:rFonts w:ascii="Times New Roman" w:hAnsi="Times New Roman" w:cs="Times New Roman"/>
        </w:rPr>
        <w:fldChar w:fldCharType="separate"/>
      </w:r>
      <w:r w:rsidR="00AA5CC7" w:rsidRPr="00FE7DE3">
        <w:rPr>
          <w:rFonts w:ascii="Times New Roman" w:hAnsi="Times New Roman" w:cs="Times New Roman"/>
        </w:rPr>
        <w:t>[12]</w:t>
      </w:r>
      <w:r w:rsidR="003A5A9E" w:rsidRPr="00FE7DE3">
        <w:rPr>
          <w:rFonts w:ascii="Times New Roman" w:hAnsi="Times New Roman" w:cs="Times New Roman"/>
        </w:rPr>
        <w:fldChar w:fldCharType="end"/>
      </w:r>
      <w:r w:rsidR="00506F97" w:rsidRPr="00FE7DE3">
        <w:rPr>
          <w:rFonts w:ascii="Times New Roman" w:hAnsi="Times New Roman" w:cs="Times New Roman"/>
        </w:rPr>
        <w:t xml:space="preserve">, </w:t>
      </w:r>
      <w:r w:rsidR="00117224" w:rsidRPr="00FE7DE3">
        <w:rPr>
          <w:rFonts w:ascii="Times New Roman" w:hAnsi="Times New Roman" w:cs="Times New Roman"/>
        </w:rPr>
        <w:t xml:space="preserve">whereby, </w:t>
      </w:r>
      <w:r w:rsidR="002F18FB" w:rsidRPr="00FE7DE3">
        <w:rPr>
          <w:rFonts w:ascii="Times New Roman" w:hAnsi="Times New Roman" w:cs="Times New Roman"/>
        </w:rPr>
        <w:t>i</w:t>
      </w:r>
      <w:r w:rsidR="00A5792D" w:rsidRPr="00FE7DE3">
        <w:rPr>
          <w:rFonts w:ascii="Times New Roman" w:hAnsi="Times New Roman" w:cs="Times New Roman"/>
        </w:rPr>
        <w:t xml:space="preserve">t is </w:t>
      </w:r>
      <w:r w:rsidR="001913E2" w:rsidRPr="00FE7DE3">
        <w:rPr>
          <w:rFonts w:ascii="Times New Roman" w:hAnsi="Times New Roman" w:cs="Times New Roman"/>
        </w:rPr>
        <w:t xml:space="preserve">acknowledged </w:t>
      </w:r>
      <w:r w:rsidR="00A5792D" w:rsidRPr="00FE7DE3">
        <w:rPr>
          <w:rFonts w:ascii="Times New Roman" w:hAnsi="Times New Roman" w:cs="Times New Roman"/>
        </w:rPr>
        <w:t xml:space="preserve">that long-COVID symptoms </w:t>
      </w:r>
      <w:r w:rsidR="00117224" w:rsidRPr="00FE7DE3">
        <w:rPr>
          <w:rFonts w:ascii="Times New Roman" w:hAnsi="Times New Roman" w:cs="Times New Roman"/>
        </w:rPr>
        <w:t xml:space="preserve">and severity </w:t>
      </w:r>
      <w:r w:rsidR="00A5792D" w:rsidRPr="00FE7DE3">
        <w:rPr>
          <w:rFonts w:ascii="Times New Roman" w:hAnsi="Times New Roman" w:cs="Times New Roman"/>
        </w:rPr>
        <w:t>are disparate from acute COVID-19 and unrelated to acute infection</w:t>
      </w:r>
      <w:r w:rsidR="00117224" w:rsidRPr="00FE7DE3">
        <w:rPr>
          <w:rFonts w:ascii="Times New Roman" w:hAnsi="Times New Roman" w:cs="Times New Roman"/>
        </w:rPr>
        <w:t>, respectively</w:t>
      </w:r>
      <w:r w:rsidR="00A5792D" w:rsidRPr="00FE7DE3">
        <w:rPr>
          <w:rFonts w:ascii="Times New Roman" w:hAnsi="Times New Roman" w:cs="Times New Roman"/>
        </w:rPr>
        <w:fldChar w:fldCharType="begin"/>
      </w:r>
      <w:r w:rsidR="00AA5CC7" w:rsidRPr="00FE7DE3">
        <w:rPr>
          <w:rFonts w:ascii="Times New Roman" w:hAnsi="Times New Roman" w:cs="Times New Roman"/>
        </w:rPr>
        <w:instrText xml:space="preserve"> ADDIN ZOTERO_ITEM CSL_CITATION {"citationID":"Xn98ybgx","properties":{"formattedCitation":"[13]","plainCitation":"[13]","noteIndex":0},"citationItems":[{"id":1808,"uris":["http://zotero.org/users/1330063/items/MGY8L3ZM"],"uri":["http://zotero.org/users/1330063/items/MGY8L3ZM"],"itemData":{"id":1808,"type":"article-journal","container-title":"Morbidity and Mortality Weekly Report","DOI":"10.15585/mmwr.mm6930e1","ISSN":"0149-2195","issue":"30","journalAbbreviation":"MMWR Morb Mortal Wkly Rep","note":"PMID: 32730238\nPMCID: PMC7392393","page":"993-998","source":"PubMed Central","title":"Symptom Duration and Risk Factors for Delayed Return to Usual Health Among Outpatients with COVID-19 in a Multistate Health Care Systems Network — United States, March–June 2020","volume":"69","author":[{"family":"Tenforde","given":"Mark W."},{"family":"Kim","given":"Sara S."},{"family":"Lindsell","given":"Christopher J."},{"family":"Billig Rose","given":"Erica"},{"family":"Shapiro","given":"Nathan I."},{"family":"Files","given":"D. Clark"},{"family":"Gibbs","given":"Kevin W."},{"family":"Erickson","given":"Heidi L."},{"family":"Steingrub","given":"Jay S."},{"family":"Smithline","given":"Howard A."},{"family":"Gong","given":"Michelle N."},{"family":"Aboodi","given":"Michael S."},{"family":"Exline","given":"Matthew C."},{"family":"Henning","given":"Daniel J."},{"family":"Wilson","given":"Jennifer G."},{"family":"Khan","given":"Akram"},{"family":"Qadir","given":"Nida"},{"family":"Brown","given":"Samuel M."},{"family":"Peltan","given":"Ithan D."},{"family":"Rice","given":"Todd W."},{"family":"Hager","given":"David N."},{"family":"Ginde","given":"Adit A."},{"family":"Stubblefield","given":"William B."},{"family":"Patel","given":"Manish M."},{"family":"Self","given":"Wesley H."},{"family":"Feldstein","given":"Leora R."},{"family":"Hart","given":"Kimberly W."},{"family":"McClellan","given":"Robert"},{"family":"Dorough","given":"Layne"},{"family":"Dzuris","given":"Nicole"},{"family":"Griggs","given":"Eric P."},{"family":"Kassem","given":"Ahmed M."},{"family":"Marcet","given":"Paula L."},{"family":"Ogokeh","given":"Constance E."},{"family":"Sciarratta","given":"Courtney N."},{"family":"Siddula","given":"Akshita"},{"family":"Smith","given":"Emily R."},{"family":"Wu","given":"Michael J."}],"issued":{"date-parts":[["2020",7,31]]}}}],"schema":"https://github.com/citation-style-language/schema/raw/master/csl-citation.json"} </w:instrText>
      </w:r>
      <w:r w:rsidR="00A5792D" w:rsidRPr="00FE7DE3">
        <w:rPr>
          <w:rFonts w:ascii="Times New Roman" w:hAnsi="Times New Roman" w:cs="Times New Roman"/>
        </w:rPr>
        <w:fldChar w:fldCharType="separate"/>
      </w:r>
      <w:r w:rsidR="00AA5CC7" w:rsidRPr="00FE7DE3">
        <w:rPr>
          <w:rFonts w:ascii="Times New Roman" w:hAnsi="Times New Roman" w:cs="Times New Roman"/>
        </w:rPr>
        <w:t>[13]</w:t>
      </w:r>
      <w:r w:rsidR="00A5792D" w:rsidRPr="00FE7DE3">
        <w:rPr>
          <w:rFonts w:ascii="Times New Roman" w:hAnsi="Times New Roman" w:cs="Times New Roman"/>
        </w:rPr>
        <w:fldChar w:fldCharType="end"/>
      </w:r>
      <w:r w:rsidR="00915F3A" w:rsidRPr="00FE7DE3">
        <w:rPr>
          <w:rFonts w:ascii="Times New Roman" w:hAnsi="Times New Roman" w:cs="Times New Roman"/>
        </w:rPr>
        <w:t>. T</w:t>
      </w:r>
      <w:r w:rsidR="00506F97" w:rsidRPr="00FE7DE3">
        <w:rPr>
          <w:rFonts w:ascii="Times New Roman" w:hAnsi="Times New Roman" w:cs="Times New Roman"/>
        </w:rPr>
        <w:t>here</w:t>
      </w:r>
      <w:r w:rsidR="00915F3A" w:rsidRPr="00FE7DE3">
        <w:rPr>
          <w:rFonts w:ascii="Times New Roman" w:hAnsi="Times New Roman" w:cs="Times New Roman"/>
        </w:rPr>
        <w:t xml:space="preserve">fore, </w:t>
      </w:r>
      <w:r w:rsidR="00D13525" w:rsidRPr="00FE7DE3">
        <w:rPr>
          <w:rFonts w:ascii="Times New Roman" w:hAnsi="Times New Roman" w:cs="Times New Roman"/>
        </w:rPr>
        <w:t xml:space="preserve">those </w:t>
      </w:r>
      <w:r w:rsidR="00462945" w:rsidRPr="00FE7DE3">
        <w:rPr>
          <w:rFonts w:ascii="Times New Roman" w:hAnsi="Times New Roman" w:cs="Times New Roman"/>
        </w:rPr>
        <w:t xml:space="preserve">recuperating in </w:t>
      </w:r>
      <w:r w:rsidR="00D13525" w:rsidRPr="00FE7DE3">
        <w:rPr>
          <w:rFonts w:ascii="Times New Roman" w:hAnsi="Times New Roman" w:cs="Times New Roman"/>
        </w:rPr>
        <w:t xml:space="preserve">community settings that did not require </w:t>
      </w:r>
      <w:r w:rsidR="0026626E" w:rsidRPr="00FE7DE3">
        <w:rPr>
          <w:rFonts w:ascii="Times New Roman" w:hAnsi="Times New Roman" w:cs="Times New Roman"/>
        </w:rPr>
        <w:t>clinical intervention (e.g., those with mild symptoms or that were asymptomatic)</w:t>
      </w:r>
      <w:r w:rsidR="00851240" w:rsidRPr="00FE7DE3">
        <w:rPr>
          <w:rFonts w:ascii="Times New Roman" w:hAnsi="Times New Roman" w:cs="Times New Roman"/>
        </w:rPr>
        <w:t xml:space="preserve"> and have subsequently report</w:t>
      </w:r>
      <w:r w:rsidR="00411B04" w:rsidRPr="00FE7DE3">
        <w:rPr>
          <w:rFonts w:ascii="Times New Roman" w:hAnsi="Times New Roman" w:cs="Times New Roman"/>
        </w:rPr>
        <w:t>ed</w:t>
      </w:r>
      <w:r w:rsidR="00851240" w:rsidRPr="00FE7DE3">
        <w:rPr>
          <w:rFonts w:ascii="Times New Roman" w:hAnsi="Times New Roman" w:cs="Times New Roman"/>
        </w:rPr>
        <w:t xml:space="preserve"> long-COVI</w:t>
      </w:r>
      <w:r w:rsidR="008A4C47" w:rsidRPr="00FE7DE3">
        <w:rPr>
          <w:rFonts w:ascii="Times New Roman" w:hAnsi="Times New Roman" w:cs="Times New Roman"/>
        </w:rPr>
        <w:t>D</w:t>
      </w:r>
      <w:r w:rsidR="00117224" w:rsidRPr="00FE7DE3">
        <w:rPr>
          <w:rFonts w:ascii="Times New Roman" w:hAnsi="Times New Roman" w:cs="Times New Roman"/>
        </w:rPr>
        <w:t>,</w:t>
      </w:r>
      <w:r w:rsidR="008A4C47" w:rsidRPr="00FE7DE3">
        <w:rPr>
          <w:rFonts w:ascii="Times New Roman" w:hAnsi="Times New Roman" w:cs="Times New Roman"/>
        </w:rPr>
        <w:t xml:space="preserve"> </w:t>
      </w:r>
      <w:r w:rsidR="00117224" w:rsidRPr="00FE7DE3">
        <w:rPr>
          <w:rFonts w:ascii="Times New Roman" w:hAnsi="Times New Roman" w:cs="Times New Roman"/>
        </w:rPr>
        <w:t>requires further investigation</w:t>
      </w:r>
      <w:r w:rsidR="008A4C47" w:rsidRPr="00FE7DE3">
        <w:rPr>
          <w:rFonts w:ascii="Times New Roman" w:hAnsi="Times New Roman" w:cs="Times New Roman"/>
        </w:rPr>
        <w:t xml:space="preserve">. </w:t>
      </w:r>
      <w:r w:rsidR="00690B70" w:rsidRPr="00FE7DE3">
        <w:rPr>
          <w:rFonts w:ascii="Times New Roman" w:hAnsi="Times New Roman" w:cs="Times New Roman"/>
        </w:rPr>
        <w:t xml:space="preserve">Accordingly, the current study aimed to </w:t>
      </w:r>
      <w:r w:rsidR="00BE7AB4" w:rsidRPr="00FE7DE3">
        <w:rPr>
          <w:rFonts w:ascii="Times New Roman" w:hAnsi="Times New Roman" w:cs="Times New Roman"/>
        </w:rPr>
        <w:t>characterise</w:t>
      </w:r>
      <w:r w:rsidR="00D232FC" w:rsidRPr="00FE7DE3">
        <w:rPr>
          <w:rFonts w:ascii="Times New Roman" w:hAnsi="Times New Roman" w:cs="Times New Roman"/>
        </w:rPr>
        <w:t xml:space="preserve"> </w:t>
      </w:r>
      <w:r w:rsidR="00A73B15" w:rsidRPr="00FE7DE3">
        <w:rPr>
          <w:rFonts w:ascii="Times New Roman" w:hAnsi="Times New Roman" w:cs="Times New Roman"/>
        </w:rPr>
        <w:t xml:space="preserve">and quantify </w:t>
      </w:r>
      <w:r w:rsidR="00D232FC" w:rsidRPr="00FE7DE3">
        <w:rPr>
          <w:rFonts w:ascii="Times New Roman" w:hAnsi="Times New Roman" w:cs="Times New Roman"/>
        </w:rPr>
        <w:t xml:space="preserve">the symptom profile of long-COVID patients living in community settings and outline the impact upon </w:t>
      </w:r>
      <w:r w:rsidR="00117224" w:rsidRPr="00FE7DE3">
        <w:rPr>
          <w:rFonts w:ascii="Times New Roman" w:hAnsi="Times New Roman" w:cs="Times New Roman"/>
        </w:rPr>
        <w:t>QoL</w:t>
      </w:r>
      <w:r w:rsidR="00FC6DA6" w:rsidRPr="00FE7DE3">
        <w:rPr>
          <w:rFonts w:ascii="Times New Roman" w:hAnsi="Times New Roman" w:cs="Times New Roman"/>
        </w:rPr>
        <w:t xml:space="preserve"> and</w:t>
      </w:r>
      <w:r w:rsidR="00084F8D" w:rsidRPr="00FE7DE3">
        <w:rPr>
          <w:rFonts w:ascii="Times New Roman" w:hAnsi="Times New Roman" w:cs="Times New Roman"/>
        </w:rPr>
        <w:t xml:space="preserve"> activities of daily life</w:t>
      </w:r>
      <w:r w:rsidR="00FC6DA6" w:rsidRPr="00FE7DE3">
        <w:rPr>
          <w:rFonts w:ascii="Times New Roman" w:hAnsi="Times New Roman" w:cs="Times New Roman"/>
        </w:rPr>
        <w:t xml:space="preserve">. </w:t>
      </w:r>
    </w:p>
    <w:p w14:paraId="65E77BE2" w14:textId="4F73AF9B" w:rsidR="00432BCB" w:rsidRPr="00FE7DE3" w:rsidRDefault="00997101" w:rsidP="00432BCB">
      <w:pPr>
        <w:spacing w:after="120" w:line="480" w:lineRule="auto"/>
        <w:jc w:val="both"/>
        <w:rPr>
          <w:rFonts w:ascii="Times New Roman" w:hAnsi="Times New Roman" w:cs="Times New Roman"/>
          <w:b/>
          <w:bCs/>
        </w:rPr>
      </w:pPr>
      <w:r w:rsidRPr="00FE7DE3">
        <w:rPr>
          <w:rFonts w:ascii="Times New Roman" w:hAnsi="Times New Roman" w:cs="Times New Roman"/>
          <w:b/>
          <w:bCs/>
        </w:rPr>
        <w:t xml:space="preserve">2.0 </w:t>
      </w:r>
      <w:r w:rsidR="00432BCB" w:rsidRPr="00FE7DE3">
        <w:rPr>
          <w:rFonts w:ascii="Times New Roman" w:hAnsi="Times New Roman" w:cs="Times New Roman"/>
          <w:b/>
          <w:bCs/>
        </w:rPr>
        <w:t>Methods</w:t>
      </w:r>
    </w:p>
    <w:p w14:paraId="306266F0" w14:textId="5CF0D9AF" w:rsidR="00952A62" w:rsidRPr="00FE7DE3" w:rsidRDefault="00B85470" w:rsidP="00E8744F">
      <w:pPr>
        <w:spacing w:line="480" w:lineRule="auto"/>
        <w:jc w:val="both"/>
        <w:rPr>
          <w:rFonts w:ascii="Times New Roman" w:hAnsi="Times New Roman" w:cs="Times New Roman"/>
        </w:rPr>
      </w:pPr>
      <w:r w:rsidRPr="00FE7DE3">
        <w:rPr>
          <w:rFonts w:ascii="Times New Roman" w:hAnsi="Times New Roman" w:cs="Times New Roman"/>
        </w:rPr>
        <w:t>Following i</w:t>
      </w:r>
      <w:r w:rsidR="00432BCB" w:rsidRPr="00FE7DE3">
        <w:rPr>
          <w:rFonts w:ascii="Times New Roman" w:hAnsi="Times New Roman" w:cs="Times New Roman"/>
        </w:rPr>
        <w:t>nstitutional ethic</w:t>
      </w:r>
      <w:r w:rsidR="000E4117" w:rsidRPr="00FE7DE3">
        <w:rPr>
          <w:rFonts w:ascii="Times New Roman" w:hAnsi="Times New Roman" w:cs="Times New Roman"/>
        </w:rPr>
        <w:t>s</w:t>
      </w:r>
      <w:r w:rsidR="00432BCB" w:rsidRPr="00FE7DE3">
        <w:rPr>
          <w:rFonts w:ascii="Times New Roman" w:hAnsi="Times New Roman" w:cs="Times New Roman"/>
        </w:rPr>
        <w:t xml:space="preserve"> approval</w:t>
      </w:r>
      <w:r w:rsidR="000E4117" w:rsidRPr="00FE7DE3">
        <w:rPr>
          <w:rFonts w:ascii="Times New Roman" w:hAnsi="Times New Roman" w:cs="Times New Roman"/>
        </w:rPr>
        <w:t xml:space="preserve"> </w:t>
      </w:r>
      <w:r w:rsidR="007E572D" w:rsidRPr="00FE7DE3">
        <w:rPr>
          <w:rFonts w:ascii="Times New Roman" w:hAnsi="Times New Roman" w:cs="Times New Roman"/>
        </w:rPr>
        <w:t>(</w:t>
      </w:r>
      <w:r w:rsidR="00440C7A" w:rsidRPr="00FE7DE3">
        <w:rPr>
          <w:rFonts w:ascii="Times New Roman" w:hAnsi="Times New Roman" w:cs="Times New Roman"/>
        </w:rPr>
        <w:t>ETH2021-1452</w:t>
      </w:r>
      <w:r w:rsidR="007E572D" w:rsidRPr="00FE7DE3">
        <w:rPr>
          <w:rFonts w:ascii="Times New Roman" w:hAnsi="Times New Roman" w:cs="Times New Roman"/>
        </w:rPr>
        <w:t>)</w:t>
      </w:r>
      <w:r w:rsidR="002C5C39" w:rsidRPr="00FE7DE3">
        <w:rPr>
          <w:rFonts w:ascii="Times New Roman" w:hAnsi="Times New Roman" w:cs="Times New Roman"/>
        </w:rPr>
        <w:t xml:space="preserve"> </w:t>
      </w:r>
      <w:r w:rsidRPr="00FE7DE3">
        <w:rPr>
          <w:rFonts w:ascii="Times New Roman" w:hAnsi="Times New Roman" w:cs="Times New Roman"/>
        </w:rPr>
        <w:t xml:space="preserve">from </w:t>
      </w:r>
      <w:r w:rsidR="002C5C39" w:rsidRPr="00FE7DE3">
        <w:rPr>
          <w:rFonts w:ascii="Times New Roman" w:hAnsi="Times New Roman" w:cs="Times New Roman"/>
        </w:rPr>
        <w:t>the Human Sciences Research Ethics Committee</w:t>
      </w:r>
      <w:r w:rsidRPr="00FE7DE3">
        <w:rPr>
          <w:rFonts w:ascii="Times New Roman" w:hAnsi="Times New Roman" w:cs="Times New Roman"/>
        </w:rPr>
        <w:t xml:space="preserve">, an online </w:t>
      </w:r>
      <w:r w:rsidR="00432BCB" w:rsidRPr="00FE7DE3">
        <w:rPr>
          <w:rFonts w:ascii="Times New Roman" w:hAnsi="Times New Roman" w:cs="Times New Roman"/>
        </w:rPr>
        <w:t>web-based survey</w:t>
      </w:r>
      <w:r w:rsidR="00952A62" w:rsidRPr="00FE7DE3">
        <w:rPr>
          <w:rFonts w:ascii="Times New Roman" w:hAnsi="Times New Roman" w:cs="Times New Roman"/>
        </w:rPr>
        <w:t xml:space="preserve"> </w:t>
      </w:r>
      <w:r w:rsidR="006645AB" w:rsidRPr="00FE7DE3">
        <w:rPr>
          <w:rFonts w:ascii="Times New Roman" w:hAnsi="Times New Roman" w:cs="Times New Roman"/>
        </w:rPr>
        <w:t xml:space="preserve">was developed in conjunction with patient and public representatives and hosted using an online survey platform (Qualtrics, Provo, Utah, USA). The survey was available for completion between September 2020 and </w:t>
      </w:r>
      <w:r w:rsidR="00934103" w:rsidRPr="00FE7DE3">
        <w:rPr>
          <w:rFonts w:ascii="Times New Roman" w:hAnsi="Times New Roman" w:cs="Times New Roman"/>
        </w:rPr>
        <w:t>May 2021 and</w:t>
      </w:r>
      <w:r w:rsidR="006645AB" w:rsidRPr="00FE7DE3">
        <w:rPr>
          <w:rFonts w:ascii="Times New Roman" w:hAnsi="Times New Roman" w:cs="Times New Roman"/>
        </w:rPr>
        <w:t xml:space="preserve"> was distributed via social media</w:t>
      </w:r>
      <w:r w:rsidR="00934103" w:rsidRPr="00FE7DE3">
        <w:rPr>
          <w:rFonts w:ascii="Times New Roman" w:hAnsi="Times New Roman" w:cs="Times New Roman"/>
        </w:rPr>
        <w:t xml:space="preserve"> </w:t>
      </w:r>
      <w:r w:rsidR="00117224" w:rsidRPr="00FE7DE3">
        <w:rPr>
          <w:rFonts w:ascii="Times New Roman" w:hAnsi="Times New Roman" w:cs="Times New Roman"/>
        </w:rPr>
        <w:t>(</w:t>
      </w:r>
      <w:r w:rsidR="006645AB" w:rsidRPr="00FE7DE3">
        <w:rPr>
          <w:rFonts w:ascii="Times New Roman" w:hAnsi="Times New Roman" w:cs="Times New Roman"/>
        </w:rPr>
        <w:t xml:space="preserve">with targeted </w:t>
      </w:r>
      <w:r w:rsidR="00117224" w:rsidRPr="00FE7DE3">
        <w:rPr>
          <w:rFonts w:ascii="Times New Roman" w:hAnsi="Times New Roman" w:cs="Times New Roman"/>
        </w:rPr>
        <w:t>audiences</w:t>
      </w:r>
      <w:r w:rsidR="006645AB" w:rsidRPr="00FE7DE3">
        <w:rPr>
          <w:rFonts w:ascii="Times New Roman" w:hAnsi="Times New Roman" w:cs="Times New Roman"/>
        </w:rPr>
        <w:t xml:space="preserve"> </w:t>
      </w:r>
      <w:r w:rsidR="00682784" w:rsidRPr="00FE7DE3">
        <w:rPr>
          <w:rFonts w:ascii="Times New Roman" w:hAnsi="Times New Roman" w:cs="Times New Roman"/>
        </w:rPr>
        <w:t>in</w:t>
      </w:r>
      <w:r w:rsidR="006645AB" w:rsidRPr="00FE7DE3">
        <w:rPr>
          <w:rFonts w:ascii="Times New Roman" w:hAnsi="Times New Roman" w:cs="Times New Roman"/>
        </w:rPr>
        <w:t xml:space="preserve"> public and private COVID-19 </w:t>
      </w:r>
      <w:r w:rsidR="00682784" w:rsidRPr="00FE7DE3">
        <w:rPr>
          <w:rFonts w:ascii="Times New Roman" w:hAnsi="Times New Roman" w:cs="Times New Roman"/>
        </w:rPr>
        <w:t>groups/pages</w:t>
      </w:r>
      <w:r w:rsidR="00117224" w:rsidRPr="00FE7DE3">
        <w:rPr>
          <w:rFonts w:ascii="Times New Roman" w:hAnsi="Times New Roman" w:cs="Times New Roman"/>
        </w:rPr>
        <w:t>)</w:t>
      </w:r>
      <w:r w:rsidR="006645AB" w:rsidRPr="00FE7DE3">
        <w:rPr>
          <w:rFonts w:ascii="Times New Roman" w:hAnsi="Times New Roman" w:cs="Times New Roman"/>
        </w:rPr>
        <w:t xml:space="preserve">. </w:t>
      </w:r>
      <w:r w:rsidR="00E254F6" w:rsidRPr="00FE7DE3">
        <w:rPr>
          <w:rFonts w:ascii="Times New Roman" w:hAnsi="Times New Roman" w:cs="Times New Roman"/>
        </w:rPr>
        <w:t>In-line with ethics standards, a</w:t>
      </w:r>
      <w:r w:rsidR="00276699" w:rsidRPr="00FE7DE3">
        <w:rPr>
          <w:rFonts w:ascii="Times New Roman" w:hAnsi="Times New Roman" w:cs="Times New Roman"/>
        </w:rPr>
        <w:t xml:space="preserve">ll participants were required to provide </w:t>
      </w:r>
      <w:r w:rsidR="00E8744F" w:rsidRPr="00FE7DE3">
        <w:rPr>
          <w:rFonts w:ascii="Times New Roman" w:hAnsi="Times New Roman" w:cs="Times New Roman"/>
        </w:rPr>
        <w:t xml:space="preserve">informed consent </w:t>
      </w:r>
      <w:r w:rsidR="004B261B" w:rsidRPr="00FE7DE3">
        <w:rPr>
          <w:rFonts w:ascii="Times New Roman" w:hAnsi="Times New Roman" w:cs="Times New Roman"/>
        </w:rPr>
        <w:t>before</w:t>
      </w:r>
      <w:r w:rsidR="00E8744F" w:rsidRPr="00FE7DE3">
        <w:rPr>
          <w:rFonts w:ascii="Times New Roman" w:hAnsi="Times New Roman" w:cs="Times New Roman"/>
        </w:rPr>
        <w:t xml:space="preserve"> completing the </w:t>
      </w:r>
      <w:r w:rsidR="00E254F6" w:rsidRPr="00FE7DE3">
        <w:rPr>
          <w:rFonts w:ascii="Times New Roman" w:hAnsi="Times New Roman" w:cs="Times New Roman"/>
        </w:rPr>
        <w:t>survey</w:t>
      </w:r>
      <w:r w:rsidR="00E8744F" w:rsidRPr="00FE7DE3">
        <w:rPr>
          <w:rFonts w:ascii="Times New Roman" w:hAnsi="Times New Roman" w:cs="Times New Roman"/>
        </w:rPr>
        <w:t xml:space="preserve"> and all responses were anonymised by generating a unique participant ID. </w:t>
      </w:r>
    </w:p>
    <w:p w14:paraId="7C8888F4" w14:textId="6EA49763" w:rsidR="00432BCB" w:rsidRPr="00FE7DE3" w:rsidRDefault="00432BCB" w:rsidP="008E4A72">
      <w:pPr>
        <w:spacing w:line="480" w:lineRule="auto"/>
        <w:jc w:val="both"/>
        <w:rPr>
          <w:rFonts w:ascii="Times New Roman" w:hAnsi="Times New Roman" w:cs="Times New Roman"/>
        </w:rPr>
      </w:pPr>
      <w:r w:rsidRPr="00FE7DE3">
        <w:rPr>
          <w:rFonts w:ascii="Times New Roman" w:hAnsi="Times New Roman" w:cs="Times New Roman"/>
        </w:rPr>
        <w:t xml:space="preserve">The survey consisted of 70 questions, across 7 sections </w:t>
      </w:r>
      <w:r w:rsidR="00E0180E" w:rsidRPr="00FE7DE3">
        <w:rPr>
          <w:rFonts w:ascii="Times New Roman" w:hAnsi="Times New Roman" w:cs="Times New Roman"/>
        </w:rPr>
        <w:t xml:space="preserve">using validated measures to explore </w:t>
      </w:r>
      <w:r w:rsidRPr="00FE7DE3">
        <w:rPr>
          <w:rFonts w:ascii="Times New Roman" w:hAnsi="Times New Roman" w:cs="Times New Roman"/>
        </w:rPr>
        <w:t>the impact of long-COVID on participant health and wellbeing. The survey included</w:t>
      </w:r>
      <w:r w:rsidR="00983AED" w:rsidRPr="00FE7DE3">
        <w:rPr>
          <w:rFonts w:ascii="Times New Roman" w:hAnsi="Times New Roman" w:cs="Times New Roman"/>
        </w:rPr>
        <w:t xml:space="preserve"> separate sections on</w:t>
      </w:r>
      <w:r w:rsidR="00117224" w:rsidRPr="00FE7DE3">
        <w:rPr>
          <w:rFonts w:ascii="Times New Roman" w:hAnsi="Times New Roman" w:cs="Times New Roman"/>
        </w:rPr>
        <w:t>;</w:t>
      </w:r>
      <w:r w:rsidRPr="00FE7DE3">
        <w:rPr>
          <w:rFonts w:ascii="Times New Roman" w:hAnsi="Times New Roman" w:cs="Times New Roman"/>
        </w:rPr>
        <w:t xml:space="preserve"> 1) participant characteristics</w:t>
      </w:r>
      <w:r w:rsidR="004A1D44" w:rsidRPr="00FE7DE3">
        <w:rPr>
          <w:rFonts w:ascii="Times New Roman" w:hAnsi="Times New Roman" w:cs="Times New Roman"/>
        </w:rPr>
        <w:t xml:space="preserve"> (</w:t>
      </w:r>
      <w:r w:rsidR="00187548" w:rsidRPr="00FE7DE3">
        <w:rPr>
          <w:rFonts w:ascii="Times New Roman" w:hAnsi="Times New Roman" w:cs="Times New Roman"/>
        </w:rPr>
        <w:t>18</w:t>
      </w:r>
      <w:r w:rsidR="004A1D44" w:rsidRPr="00FE7DE3">
        <w:rPr>
          <w:rFonts w:ascii="Times New Roman" w:hAnsi="Times New Roman" w:cs="Times New Roman"/>
        </w:rPr>
        <w:t xml:space="preserve"> questions</w:t>
      </w:r>
      <w:r w:rsidR="00117224" w:rsidRPr="00FE7DE3">
        <w:rPr>
          <w:rFonts w:ascii="Times New Roman" w:hAnsi="Times New Roman" w:cs="Times New Roman"/>
        </w:rPr>
        <w:t>:</w:t>
      </w:r>
      <w:r w:rsidR="004A1D44" w:rsidRPr="00FE7DE3">
        <w:rPr>
          <w:rFonts w:ascii="Times New Roman" w:hAnsi="Times New Roman" w:cs="Times New Roman"/>
        </w:rPr>
        <w:t xml:space="preserve"> </w:t>
      </w:r>
      <w:r w:rsidRPr="00FE7DE3">
        <w:rPr>
          <w:rFonts w:ascii="Times New Roman" w:hAnsi="Times New Roman" w:cs="Times New Roman"/>
        </w:rPr>
        <w:t xml:space="preserve"> age, body mass index [BMI], sex, comorbidities, and lifestyle factors [smoking status and weekly alcohol consumption], demographics [country of residence and ethnicity], and </w:t>
      </w:r>
      <w:r w:rsidRPr="00FE7DE3">
        <w:rPr>
          <w:rFonts w:ascii="Times New Roman" w:eastAsia="ヒラギノ角ゴ Pro W3" w:hAnsi="Times New Roman" w:cs="Times New Roman"/>
          <w:lang w:val="en-AU" w:eastAsia="en-GB"/>
        </w:rPr>
        <w:t>socioeconomic status [</w:t>
      </w:r>
      <w:r w:rsidRPr="00FE7DE3">
        <w:rPr>
          <w:rFonts w:ascii="Times New Roman" w:hAnsi="Times New Roman" w:cs="Times New Roman"/>
        </w:rPr>
        <w:t xml:space="preserve">employment status and role, number of household occupants and situation, and approximate income]); 2) </w:t>
      </w:r>
      <w:r w:rsidRPr="00FE7DE3">
        <w:rPr>
          <w:rFonts w:ascii="Times New Roman" w:eastAsia="ヒラギノ角ゴ Pro W3" w:hAnsi="Times New Roman" w:cs="Times New Roman"/>
          <w:lang w:val="en-AU" w:eastAsia="en-GB"/>
        </w:rPr>
        <w:t>COVID-19 symptoms</w:t>
      </w:r>
      <w:r w:rsidR="009F3359" w:rsidRPr="00FE7DE3">
        <w:rPr>
          <w:rFonts w:ascii="Times New Roman" w:eastAsia="ヒラギノ角ゴ Pro W3" w:hAnsi="Times New Roman" w:cs="Times New Roman"/>
          <w:lang w:val="en-AU" w:eastAsia="en-GB"/>
        </w:rPr>
        <w:t xml:space="preserve"> </w:t>
      </w:r>
      <w:r w:rsidR="009F3359" w:rsidRPr="00FE7DE3">
        <w:rPr>
          <w:rFonts w:ascii="Times New Roman" w:hAnsi="Times New Roman" w:cs="Times New Roman"/>
        </w:rPr>
        <w:t>(</w:t>
      </w:r>
      <w:r w:rsidR="00603323" w:rsidRPr="00FE7DE3">
        <w:rPr>
          <w:rFonts w:ascii="Times New Roman" w:hAnsi="Times New Roman" w:cs="Times New Roman"/>
        </w:rPr>
        <w:t>10 q</w:t>
      </w:r>
      <w:r w:rsidR="009F3359" w:rsidRPr="00FE7DE3">
        <w:rPr>
          <w:rFonts w:ascii="Times New Roman" w:hAnsi="Times New Roman" w:cs="Times New Roman"/>
        </w:rPr>
        <w:t>uestions),</w:t>
      </w:r>
      <w:r w:rsidRPr="00FE7DE3">
        <w:rPr>
          <w:rFonts w:ascii="Times New Roman" w:eastAsia="ヒラギノ角ゴ Pro W3" w:hAnsi="Times New Roman" w:cs="Times New Roman"/>
          <w:lang w:val="en-AU" w:eastAsia="en-GB"/>
        </w:rPr>
        <w:t xml:space="preserve"> 3) QoL </w:t>
      </w:r>
      <w:r w:rsidRPr="00FE7DE3">
        <w:rPr>
          <w:rFonts w:ascii="Times New Roman" w:hAnsi="Times New Roman" w:cs="Times New Roman"/>
        </w:rPr>
        <w:t xml:space="preserve">(Short-Form 36 [SF-36] and </w:t>
      </w:r>
      <w:r w:rsidRPr="00FE7DE3">
        <w:rPr>
          <w:rFonts w:ascii="Times New Roman" w:eastAsia="ヒラギノ角ゴ Pro W3" w:hAnsi="Times New Roman" w:cs="Times New Roman"/>
          <w:lang w:val="en-AU" w:eastAsia="en-GB"/>
        </w:rPr>
        <w:t xml:space="preserve">health-related </w:t>
      </w:r>
      <w:r w:rsidR="00117224" w:rsidRPr="00FE7DE3">
        <w:rPr>
          <w:rFonts w:ascii="Times New Roman" w:eastAsia="ヒラギノ角ゴ Pro W3" w:hAnsi="Times New Roman" w:cs="Times New Roman"/>
          <w:lang w:val="en-AU" w:eastAsia="en-GB"/>
        </w:rPr>
        <w:t>QoL</w:t>
      </w:r>
      <w:r w:rsidRPr="00FE7DE3">
        <w:rPr>
          <w:rFonts w:ascii="Times New Roman" w:eastAsia="ヒラギノ角ゴ Pro W3" w:hAnsi="Times New Roman" w:cs="Times New Roman"/>
          <w:lang w:val="en-AU" w:eastAsia="en-GB"/>
        </w:rPr>
        <w:t xml:space="preserve"> [</w:t>
      </w:r>
      <w:proofErr w:type="spellStart"/>
      <w:r w:rsidRPr="00FE7DE3">
        <w:rPr>
          <w:rFonts w:ascii="Times New Roman" w:eastAsia="ヒラギノ角ゴ Pro W3" w:hAnsi="Times New Roman" w:cs="Times New Roman"/>
          <w:lang w:val="en-AU" w:eastAsia="en-GB"/>
        </w:rPr>
        <w:t>HRQoL</w:t>
      </w:r>
      <w:proofErr w:type="spellEnd"/>
      <w:r w:rsidRPr="00FE7DE3">
        <w:rPr>
          <w:rFonts w:ascii="Times New Roman" w:eastAsia="ヒラギノ角ゴ Pro W3" w:hAnsi="Times New Roman" w:cs="Times New Roman"/>
          <w:lang w:val="en-AU" w:eastAsia="en-GB"/>
        </w:rPr>
        <w:t>])</w:t>
      </w:r>
      <w:r w:rsidR="00187548" w:rsidRPr="00FE7DE3">
        <w:rPr>
          <w:rFonts w:ascii="Times New Roman" w:eastAsia="ヒラギノ角ゴ Pro W3" w:hAnsi="Times New Roman" w:cs="Times New Roman"/>
          <w:lang w:val="en-AU" w:eastAsia="en-GB"/>
        </w:rPr>
        <w:t xml:space="preserve"> (8 questions)</w:t>
      </w:r>
      <w:r w:rsidRPr="00FE7DE3">
        <w:rPr>
          <w:rFonts w:ascii="Times New Roman" w:eastAsia="ヒラギノ角ゴ Pro W3" w:hAnsi="Times New Roman" w:cs="Times New Roman"/>
          <w:lang w:val="en-AU" w:eastAsia="en-GB"/>
        </w:rPr>
        <w:t xml:space="preserve">; 4) sleep quality </w:t>
      </w:r>
      <w:r w:rsidR="009F3359" w:rsidRPr="00FE7DE3">
        <w:rPr>
          <w:rFonts w:ascii="Times New Roman" w:hAnsi="Times New Roman" w:cs="Times New Roman"/>
        </w:rPr>
        <w:t>(</w:t>
      </w:r>
      <w:r w:rsidR="00187548" w:rsidRPr="00FE7DE3">
        <w:rPr>
          <w:rFonts w:ascii="Times New Roman" w:hAnsi="Times New Roman" w:cs="Times New Roman"/>
        </w:rPr>
        <w:t>8</w:t>
      </w:r>
      <w:r w:rsidR="009F3359" w:rsidRPr="00FE7DE3">
        <w:rPr>
          <w:rFonts w:ascii="Times New Roman" w:hAnsi="Times New Roman" w:cs="Times New Roman"/>
        </w:rPr>
        <w:t xml:space="preserve"> questions,</w:t>
      </w:r>
      <w:r w:rsidR="009F3359" w:rsidRPr="00FE7DE3">
        <w:rPr>
          <w:rFonts w:ascii="Times New Roman" w:eastAsia="ヒラギノ角ゴ Pro W3" w:hAnsi="Times New Roman" w:cs="Times New Roman"/>
          <w:lang w:val="en-AU" w:eastAsia="en-GB"/>
        </w:rPr>
        <w:t xml:space="preserve"> </w:t>
      </w:r>
      <w:r w:rsidRPr="00FE7DE3">
        <w:rPr>
          <w:rFonts w:ascii="Times New Roman" w:eastAsia="ヒラギノ角ゴ Pro W3" w:hAnsi="Times New Roman" w:cs="Times New Roman"/>
          <w:lang w:val="en-AU" w:eastAsia="en-GB"/>
        </w:rPr>
        <w:t xml:space="preserve">Pittsburgh Sleep Quality Index); 5) breathlessness </w:t>
      </w:r>
      <w:r w:rsidR="00417AD1" w:rsidRPr="00FE7DE3">
        <w:rPr>
          <w:rFonts w:ascii="Times New Roman" w:hAnsi="Times New Roman" w:cs="Times New Roman"/>
        </w:rPr>
        <w:t>(</w:t>
      </w:r>
      <w:r w:rsidR="00603323" w:rsidRPr="00FE7DE3">
        <w:rPr>
          <w:rFonts w:ascii="Times New Roman" w:hAnsi="Times New Roman" w:cs="Times New Roman"/>
        </w:rPr>
        <w:t>4</w:t>
      </w:r>
      <w:r w:rsidR="001F3CB6" w:rsidRPr="00FE7DE3">
        <w:rPr>
          <w:rFonts w:ascii="Times New Roman" w:hAnsi="Times New Roman" w:cs="Times New Roman"/>
        </w:rPr>
        <w:t xml:space="preserve"> questions</w:t>
      </w:r>
      <w:r w:rsidR="00117224" w:rsidRPr="00FE7DE3">
        <w:rPr>
          <w:rFonts w:ascii="Times New Roman" w:hAnsi="Times New Roman" w:cs="Times New Roman"/>
        </w:rPr>
        <w:t>:</w:t>
      </w:r>
      <w:r w:rsidR="00417AD1" w:rsidRPr="00FE7DE3">
        <w:rPr>
          <w:rFonts w:ascii="Times New Roman" w:eastAsia="ヒラギノ角ゴ Pro W3" w:hAnsi="Times New Roman" w:cs="Times New Roman"/>
          <w:lang w:val="en-AU" w:eastAsia="en-GB"/>
        </w:rPr>
        <w:t xml:space="preserve"> </w:t>
      </w:r>
      <w:r w:rsidRPr="00FE7DE3">
        <w:rPr>
          <w:rFonts w:ascii="Times New Roman" w:eastAsia="ヒラギノ角ゴ Pro W3" w:hAnsi="Times New Roman" w:cs="Times New Roman"/>
          <w:lang w:val="en-AU" w:eastAsia="en-GB"/>
        </w:rPr>
        <w:t xml:space="preserve">Shortness-of-breath questionnaire); 6) physical activity </w:t>
      </w:r>
      <w:r w:rsidR="00417AD1" w:rsidRPr="00FE7DE3">
        <w:rPr>
          <w:rFonts w:ascii="Times New Roman" w:hAnsi="Times New Roman" w:cs="Times New Roman"/>
        </w:rPr>
        <w:t>(</w:t>
      </w:r>
      <w:r w:rsidR="00CE1BEF" w:rsidRPr="00FE7DE3">
        <w:rPr>
          <w:rFonts w:ascii="Times New Roman" w:hAnsi="Times New Roman" w:cs="Times New Roman"/>
        </w:rPr>
        <w:t>[PA]</w:t>
      </w:r>
      <w:r w:rsidR="00187548" w:rsidRPr="00FE7DE3">
        <w:rPr>
          <w:rFonts w:ascii="Times New Roman" w:hAnsi="Times New Roman" w:cs="Times New Roman"/>
        </w:rPr>
        <w:t>14</w:t>
      </w:r>
      <w:r w:rsidR="00417AD1" w:rsidRPr="00FE7DE3">
        <w:rPr>
          <w:rFonts w:ascii="Times New Roman" w:hAnsi="Times New Roman" w:cs="Times New Roman"/>
        </w:rPr>
        <w:t xml:space="preserve"> questions</w:t>
      </w:r>
      <w:r w:rsidR="00117224" w:rsidRPr="00FE7DE3">
        <w:rPr>
          <w:rFonts w:ascii="Times New Roman" w:hAnsi="Times New Roman" w:cs="Times New Roman"/>
        </w:rPr>
        <w:t>:</w:t>
      </w:r>
      <w:r w:rsidR="00417AD1" w:rsidRPr="00FE7DE3">
        <w:rPr>
          <w:rFonts w:ascii="Times New Roman" w:eastAsia="ヒラギノ角ゴ Pro W3" w:hAnsi="Times New Roman" w:cs="Times New Roman"/>
          <w:lang w:val="en-AU" w:eastAsia="en-GB"/>
        </w:rPr>
        <w:t xml:space="preserve"> </w:t>
      </w:r>
      <w:r w:rsidRPr="00FE7DE3">
        <w:rPr>
          <w:rStyle w:val="Emphasis"/>
          <w:rFonts w:ascii="Times New Roman" w:hAnsi="Times New Roman" w:cs="Times New Roman"/>
          <w:i w:val="0"/>
          <w:iCs w:val="0"/>
        </w:rPr>
        <w:t>SF</w:t>
      </w:r>
      <w:r w:rsidRPr="00FE7DE3">
        <w:rPr>
          <w:rFonts w:ascii="Times New Roman" w:hAnsi="Times New Roman" w:cs="Times New Roman"/>
          <w:i/>
          <w:iCs/>
        </w:rPr>
        <w:t>-</w:t>
      </w:r>
      <w:r w:rsidRPr="00FE7DE3">
        <w:rPr>
          <w:rStyle w:val="Emphasis"/>
          <w:rFonts w:ascii="Times New Roman" w:hAnsi="Times New Roman" w:cs="Times New Roman"/>
          <w:i w:val="0"/>
          <w:iCs w:val="0"/>
        </w:rPr>
        <w:t>36</w:t>
      </w:r>
      <w:r w:rsidRPr="00FE7DE3">
        <w:rPr>
          <w:rFonts w:ascii="Times New Roman" w:eastAsia="ヒラギノ角ゴ Pro W3" w:hAnsi="Times New Roman" w:cs="Times New Roman"/>
          <w:i/>
          <w:iCs/>
          <w:lang w:val="en-AU" w:eastAsia="en-GB"/>
        </w:rPr>
        <w:t>);</w:t>
      </w:r>
      <w:r w:rsidRPr="00FE7DE3">
        <w:rPr>
          <w:rFonts w:ascii="Times New Roman" w:eastAsia="ヒラギノ角ゴ Pro W3" w:hAnsi="Times New Roman" w:cs="Times New Roman"/>
          <w:lang w:val="en-AU" w:eastAsia="en-GB"/>
        </w:rPr>
        <w:t xml:space="preserve"> and 7) mental health </w:t>
      </w:r>
      <w:r w:rsidR="00417AD1" w:rsidRPr="00FE7DE3">
        <w:rPr>
          <w:rFonts w:ascii="Times New Roman" w:hAnsi="Times New Roman" w:cs="Times New Roman"/>
        </w:rPr>
        <w:t>(</w:t>
      </w:r>
      <w:r w:rsidR="00603323" w:rsidRPr="00FE7DE3">
        <w:rPr>
          <w:rFonts w:ascii="Times New Roman" w:hAnsi="Times New Roman" w:cs="Times New Roman"/>
        </w:rPr>
        <w:t>6</w:t>
      </w:r>
      <w:r w:rsidR="00417AD1" w:rsidRPr="00FE7DE3">
        <w:rPr>
          <w:rFonts w:ascii="Times New Roman" w:hAnsi="Times New Roman" w:cs="Times New Roman"/>
        </w:rPr>
        <w:t xml:space="preserve"> questions</w:t>
      </w:r>
      <w:r w:rsidR="00117224" w:rsidRPr="00FE7DE3">
        <w:rPr>
          <w:rFonts w:ascii="Times New Roman" w:hAnsi="Times New Roman" w:cs="Times New Roman"/>
        </w:rPr>
        <w:t>:</w:t>
      </w:r>
      <w:r w:rsidR="00417AD1" w:rsidRPr="00FE7DE3">
        <w:rPr>
          <w:rFonts w:ascii="Times New Roman" w:eastAsia="ヒラギノ角ゴ Pro W3" w:hAnsi="Times New Roman" w:cs="Times New Roman"/>
          <w:lang w:val="en-AU" w:eastAsia="en-GB"/>
        </w:rPr>
        <w:t xml:space="preserve"> </w:t>
      </w:r>
      <w:proofErr w:type="spellStart"/>
      <w:r w:rsidRPr="00FE7DE3">
        <w:rPr>
          <w:rFonts w:ascii="Times New Roman" w:eastAsia="ヒラギノ角ゴ Pro W3" w:hAnsi="Times New Roman" w:cs="Times New Roman"/>
          <w:lang w:val="en-AU" w:eastAsia="en-GB"/>
        </w:rPr>
        <w:t>HRQoL</w:t>
      </w:r>
      <w:proofErr w:type="spellEnd"/>
      <w:r w:rsidRPr="00FE7DE3">
        <w:rPr>
          <w:rFonts w:ascii="Times New Roman" w:eastAsia="ヒラギノ角ゴ Pro W3" w:hAnsi="Times New Roman" w:cs="Times New Roman"/>
          <w:lang w:val="en-AU" w:eastAsia="en-GB"/>
        </w:rPr>
        <w:t xml:space="preserve"> and SF-36).  </w:t>
      </w:r>
      <w:r w:rsidR="00EF2320" w:rsidRPr="00FE7DE3">
        <w:rPr>
          <w:rFonts w:ascii="Times New Roman" w:eastAsia="ヒラギノ角ゴ Pro W3" w:hAnsi="Times New Roman" w:cs="Times New Roman"/>
          <w:lang w:val="en-AU" w:eastAsia="en-GB"/>
        </w:rPr>
        <w:t>All q</w:t>
      </w:r>
      <w:proofErr w:type="spellStart"/>
      <w:r w:rsidRPr="00FE7DE3">
        <w:rPr>
          <w:rFonts w:ascii="Times New Roman" w:hAnsi="Times New Roman" w:cs="Times New Roman"/>
        </w:rPr>
        <w:t>uestions</w:t>
      </w:r>
      <w:proofErr w:type="spellEnd"/>
      <w:r w:rsidRPr="00FE7DE3">
        <w:rPr>
          <w:rFonts w:ascii="Times New Roman" w:hAnsi="Times New Roman" w:cs="Times New Roman"/>
        </w:rPr>
        <w:t xml:space="preserve"> were scored on Likert or frequency scales.</w:t>
      </w:r>
      <w:r w:rsidR="0045062C" w:rsidRPr="00FE7DE3">
        <w:rPr>
          <w:rFonts w:ascii="Times New Roman" w:hAnsi="Times New Roman" w:cs="Times New Roman"/>
        </w:rPr>
        <w:t xml:space="preserve"> The resulting data was reported in accordance with established and published guidelines specific for e-surveys</w:t>
      </w:r>
      <w:r w:rsidR="004646C7" w:rsidRPr="00FE7DE3">
        <w:rPr>
          <w:rFonts w:ascii="Times New Roman" w:hAnsi="Times New Roman" w:cs="Times New Roman"/>
        </w:rPr>
        <w:t xml:space="preserve"> </w:t>
      </w:r>
      <w:r w:rsidR="004646C7" w:rsidRPr="00FE7DE3">
        <w:rPr>
          <w:rFonts w:ascii="Times New Roman" w:hAnsi="Times New Roman" w:cs="Times New Roman"/>
        </w:rPr>
        <w:fldChar w:fldCharType="begin"/>
      </w:r>
      <w:r w:rsidR="004646C7" w:rsidRPr="00FE7DE3">
        <w:rPr>
          <w:rFonts w:ascii="Times New Roman" w:hAnsi="Times New Roman" w:cs="Times New Roman"/>
        </w:rPr>
        <w:instrText xml:space="preserve"> ADDIN ZOTERO_ITEM CSL_CITATION {"citationID":"zlXXtOIA","properties":{"formattedCitation":"[14]","plainCitation":"[14]","noteIndex":0},"citationItems":[{"id":1844,"uris":["http://zotero.org/users/1330063/items/XNGRTWAY"],"uri":["http://zotero.org/users/1330063/items/XNGRTWAY"],"itemData":{"id":1844,"type":"article-journal","abstract":": Analogous to checklists of recommendations such as the CONSORT statement (for randomized trials), or the QUORUM statement (for systematic reviews), which are designed to ensure the quality of reports in the medical literature, a checklist of recommendations for authors is being presented by the Journal of Medical Internet Research (JMIR) in an effort to ensure complete descriptions of Web-based surveys. Papers on Web-based surveys reported according to the CHERRIES statement will give readers a better understanding of the sample (self-)selection and its possible differences from a &amp;#x201C;representative&amp;#x201D; sample. It is hoped that author adherence to the checklist will increase the usefulness of such reports.","container-title":"Journal of Medical Internet Research","DOI":"10.2196/jmir.6.3.e34","issue":"3","language":"EN","note":"Company: Journal of Medical Internet Research\nDistributor: Journal of Medical Internet Research\nInstitution: Journal of Medical Internet Research\nLabel: Journal of Medical Internet Research\npublisher: JMIR Publications Inc., Toronto, Canada","page":"e132","source":"www.jmir.org","title":"Improving the Quality of Web Surveys: The Checklist for Reporting Results of Internet E-Surveys (CHERRIES)","title-short":"Improving the Quality of Web Surveys","volume":"6","author":[{"family":"Eysenbach","given":"Gunther"}],"issued":{"date-parts":[["2004",9,29]]}}}],"schema":"https://github.com/citation-style-language/schema/raw/master/csl-citation.json"} </w:instrText>
      </w:r>
      <w:r w:rsidR="004646C7" w:rsidRPr="00FE7DE3">
        <w:rPr>
          <w:rFonts w:ascii="Times New Roman" w:hAnsi="Times New Roman" w:cs="Times New Roman"/>
        </w:rPr>
        <w:fldChar w:fldCharType="separate"/>
      </w:r>
      <w:r w:rsidR="004646C7" w:rsidRPr="00FE7DE3">
        <w:rPr>
          <w:rFonts w:ascii="Times New Roman" w:hAnsi="Times New Roman" w:cs="Times New Roman"/>
        </w:rPr>
        <w:t>[14]</w:t>
      </w:r>
      <w:r w:rsidR="004646C7" w:rsidRPr="00FE7DE3">
        <w:rPr>
          <w:rFonts w:ascii="Times New Roman" w:hAnsi="Times New Roman" w:cs="Times New Roman"/>
        </w:rPr>
        <w:fldChar w:fldCharType="end"/>
      </w:r>
      <w:r w:rsidR="004646C7" w:rsidRPr="00FE7DE3">
        <w:rPr>
          <w:rFonts w:ascii="Times New Roman" w:hAnsi="Times New Roman" w:cs="Times New Roman"/>
        </w:rPr>
        <w:t>.</w:t>
      </w:r>
      <w:r w:rsidR="0045062C" w:rsidRPr="00FE7DE3">
        <w:rPr>
          <w:rFonts w:ascii="Times New Roman" w:hAnsi="Times New Roman" w:cs="Times New Roman"/>
        </w:rPr>
        <w:t xml:space="preserve"> </w:t>
      </w:r>
    </w:p>
    <w:p w14:paraId="14E46606" w14:textId="77777777" w:rsidR="00EF2320" w:rsidRPr="00FE7DE3" w:rsidRDefault="00EF2320" w:rsidP="008636AD">
      <w:pPr>
        <w:spacing w:line="480" w:lineRule="auto"/>
        <w:jc w:val="both"/>
        <w:rPr>
          <w:rFonts w:ascii="Times New Roman" w:hAnsi="Times New Roman" w:cs="Times New Roman"/>
        </w:rPr>
      </w:pPr>
      <w:r w:rsidRPr="00FE7DE3">
        <w:rPr>
          <w:rFonts w:ascii="Times New Roman" w:hAnsi="Times New Roman" w:cs="Times New Roman"/>
          <w:i/>
          <w:iCs/>
        </w:rPr>
        <w:lastRenderedPageBreak/>
        <w:t>2.1 Statistical Analysis:</w:t>
      </w:r>
    </w:p>
    <w:p w14:paraId="7AC2AAE6" w14:textId="33993E04" w:rsidR="00D907D3" w:rsidRPr="00FE7DE3" w:rsidRDefault="00686E21" w:rsidP="00D907D3">
      <w:pPr>
        <w:spacing w:line="480" w:lineRule="auto"/>
        <w:jc w:val="both"/>
        <w:rPr>
          <w:rFonts w:ascii="Times New Roman" w:hAnsi="Times New Roman" w:cs="Times New Roman"/>
        </w:rPr>
      </w:pPr>
      <w:r w:rsidRPr="00FE7DE3">
        <w:rPr>
          <w:rFonts w:ascii="Times New Roman" w:hAnsi="Times New Roman" w:cs="Times New Roman"/>
        </w:rPr>
        <w:t>Normal distribution was assessed through a visual inspection of the frequency histograms and a Shapiro–Wilk test</w:t>
      </w:r>
      <w:r w:rsidR="00117224" w:rsidRPr="00FE7DE3">
        <w:rPr>
          <w:rFonts w:ascii="Times New Roman" w:hAnsi="Times New Roman" w:cs="Times New Roman"/>
        </w:rPr>
        <w:t xml:space="preserve"> with </w:t>
      </w:r>
      <w:r w:rsidRPr="00FE7DE3">
        <w:rPr>
          <w:rFonts w:ascii="Times New Roman" w:hAnsi="Times New Roman" w:cs="Times New Roman"/>
        </w:rPr>
        <w:t xml:space="preserve">all parametric assumptions satisfied. </w:t>
      </w:r>
      <w:r w:rsidR="00525591" w:rsidRPr="00FE7DE3">
        <w:rPr>
          <w:rFonts w:ascii="Times New Roman" w:hAnsi="Times New Roman" w:cs="Times New Roman"/>
        </w:rPr>
        <w:t>Likert scores were treated as interval data for analysis and reported as arbitrary units (AU)</w:t>
      </w:r>
      <w:r w:rsidR="00117224" w:rsidRPr="00FE7DE3">
        <w:rPr>
          <w:rFonts w:ascii="Times New Roman" w:hAnsi="Times New Roman" w:cs="Times New Roman"/>
        </w:rPr>
        <w:t xml:space="preserve">. </w:t>
      </w:r>
      <w:r w:rsidR="00525591" w:rsidRPr="00FE7DE3">
        <w:rPr>
          <w:rFonts w:ascii="Times New Roman" w:hAnsi="Times New Roman" w:cs="Times New Roman"/>
        </w:rPr>
        <w:t xml:space="preserve"> </w:t>
      </w:r>
      <w:r w:rsidR="00117224" w:rsidRPr="00FE7DE3">
        <w:rPr>
          <w:rFonts w:ascii="Times New Roman" w:hAnsi="Times New Roman" w:cs="Times New Roman"/>
        </w:rPr>
        <w:t>A</w:t>
      </w:r>
      <w:r w:rsidR="00432BCB" w:rsidRPr="00FE7DE3">
        <w:rPr>
          <w:rFonts w:ascii="Times New Roman" w:hAnsi="Times New Roman" w:cs="Times New Roman"/>
        </w:rPr>
        <w:t xml:space="preserve">ll survey responses were analysed using frequency counts, Wilcoxon signed-rank tests (within groups), </w:t>
      </w:r>
      <w:r w:rsidR="00117224" w:rsidRPr="00FE7DE3">
        <w:rPr>
          <w:rFonts w:ascii="Times New Roman" w:hAnsi="Times New Roman" w:cs="Times New Roman"/>
        </w:rPr>
        <w:t xml:space="preserve">or </w:t>
      </w:r>
      <w:r w:rsidR="00432BCB" w:rsidRPr="00FE7DE3">
        <w:rPr>
          <w:rFonts w:ascii="Times New Roman" w:hAnsi="Times New Roman" w:cs="Times New Roman"/>
        </w:rPr>
        <w:t xml:space="preserve">Mann-Whitney U test (between groups). Data are presented as mean ± standard deviation (SD), median (with interquartile range [IQR]) and/or frequency (n/%), with statistical significance set to </w:t>
      </w:r>
      <w:r w:rsidR="00432BCB" w:rsidRPr="00FE7DE3">
        <w:rPr>
          <w:rFonts w:ascii="Times New Roman" w:hAnsi="Times New Roman" w:cs="Times New Roman"/>
          <w:i/>
          <w:iCs/>
        </w:rPr>
        <w:t>P</w:t>
      </w:r>
      <w:r w:rsidR="00432BCB" w:rsidRPr="00FE7DE3">
        <w:rPr>
          <w:rFonts w:ascii="Times New Roman" w:hAnsi="Times New Roman" w:cs="Times New Roman"/>
        </w:rPr>
        <w:t xml:space="preserve">&lt;0.05. </w:t>
      </w:r>
      <w:r w:rsidR="00D907D3" w:rsidRPr="00FE7DE3">
        <w:rPr>
          <w:rFonts w:ascii="Times New Roman" w:hAnsi="Times New Roman" w:cs="Times New Roman"/>
        </w:rPr>
        <w:t>All data were analysed using IBM SPSS Statistics (v24, NY, USA).</w:t>
      </w:r>
      <w:r w:rsidR="00D907D3" w:rsidRPr="00FE7DE3">
        <w:rPr>
          <w:rFonts w:ascii="Times New Roman" w:hAnsi="Times New Roman" w:cs="Times New Roman"/>
        </w:rPr>
        <w:br w:type="page"/>
      </w:r>
    </w:p>
    <w:p w14:paraId="649C1775" w14:textId="7CB2C96C" w:rsidR="00432BCB" w:rsidRPr="00FE7DE3" w:rsidRDefault="00997101" w:rsidP="00432BCB">
      <w:pPr>
        <w:spacing w:line="480" w:lineRule="auto"/>
        <w:rPr>
          <w:rFonts w:ascii="Times New Roman" w:hAnsi="Times New Roman" w:cs="Times New Roman"/>
          <w:b/>
          <w:bCs/>
        </w:rPr>
      </w:pPr>
      <w:r w:rsidRPr="00FE7DE3">
        <w:rPr>
          <w:rFonts w:ascii="Times New Roman" w:hAnsi="Times New Roman" w:cs="Times New Roman"/>
          <w:b/>
          <w:bCs/>
        </w:rPr>
        <w:lastRenderedPageBreak/>
        <w:t xml:space="preserve">3.0 </w:t>
      </w:r>
      <w:r w:rsidR="00432BCB" w:rsidRPr="00FE7DE3">
        <w:rPr>
          <w:rFonts w:ascii="Times New Roman" w:hAnsi="Times New Roman" w:cs="Times New Roman"/>
          <w:b/>
          <w:bCs/>
        </w:rPr>
        <w:t xml:space="preserve">Results </w:t>
      </w:r>
    </w:p>
    <w:p w14:paraId="050F0A3B" w14:textId="10A57D56" w:rsidR="00BB22DC" w:rsidRPr="00FE7DE3" w:rsidRDefault="00304418" w:rsidP="00432BCB">
      <w:pPr>
        <w:spacing w:line="480" w:lineRule="auto"/>
        <w:jc w:val="both"/>
        <w:rPr>
          <w:rFonts w:ascii="Times New Roman" w:hAnsi="Times New Roman" w:cs="Times New Roman"/>
          <w:b/>
          <w:bCs/>
          <w:lang w:val="en-US"/>
        </w:rPr>
      </w:pPr>
      <w:r w:rsidRPr="00FE7DE3">
        <w:rPr>
          <w:rFonts w:ascii="Times New Roman" w:hAnsi="Times New Roman" w:cs="Times New Roman"/>
          <w:b/>
          <w:bCs/>
          <w:lang w:val="en-US"/>
        </w:rPr>
        <w:t>3.1 Demographics</w:t>
      </w:r>
    </w:p>
    <w:p w14:paraId="77FE91D5" w14:textId="64C51D86" w:rsidR="002F1264" w:rsidRPr="00FE7DE3" w:rsidRDefault="00823B5C" w:rsidP="002F1264">
      <w:pPr>
        <w:spacing w:line="480" w:lineRule="auto"/>
        <w:jc w:val="both"/>
        <w:rPr>
          <w:rFonts w:ascii="Times New Roman" w:hAnsi="Times New Roman" w:cs="Times New Roman"/>
        </w:rPr>
      </w:pPr>
      <w:r w:rsidRPr="00FE7DE3">
        <w:rPr>
          <w:rFonts w:ascii="Times New Roman" w:hAnsi="Times New Roman" w:cs="Times New Roman"/>
          <w:lang w:val="en-US"/>
        </w:rPr>
        <w:t>Three hundred and eighty-one participants completed the full survey (83% female</w:t>
      </w:r>
      <w:r w:rsidR="00A8084D" w:rsidRPr="00FE7DE3">
        <w:rPr>
          <w:rFonts w:ascii="Times New Roman" w:hAnsi="Times New Roman" w:cs="Times New Roman"/>
          <w:lang w:val="en-US"/>
        </w:rPr>
        <w:t>, n=316</w:t>
      </w:r>
      <w:r w:rsidRPr="00FE7DE3">
        <w:rPr>
          <w:rFonts w:ascii="Times New Roman" w:hAnsi="Times New Roman" w:cs="Times New Roman"/>
          <w:lang w:val="en-US"/>
        </w:rPr>
        <w:t xml:space="preserve">), of which, mean age and BMI were 42 </w:t>
      </w:r>
      <w:r w:rsidRPr="00FE7DE3">
        <w:rPr>
          <w:rFonts w:ascii="Times New Roman" w:hAnsi="Times New Roman" w:cs="Times New Roman"/>
        </w:rPr>
        <w:t>± 12 years, and 29.1 ± 8.4 kg.m</w:t>
      </w:r>
      <w:r w:rsidRPr="00FE7DE3">
        <w:rPr>
          <w:rFonts w:ascii="Times New Roman" w:hAnsi="Times New Roman" w:cs="Times New Roman"/>
          <w:vertAlign w:val="superscript"/>
        </w:rPr>
        <w:t>2</w:t>
      </w:r>
      <w:r w:rsidR="00161CF6" w:rsidRPr="00FE7DE3">
        <w:rPr>
          <w:rFonts w:ascii="Times New Roman" w:hAnsi="Times New Roman" w:cs="Times New Roman"/>
        </w:rPr>
        <w:t>,</w:t>
      </w:r>
      <w:r w:rsidRPr="00FE7DE3">
        <w:rPr>
          <w:rFonts w:ascii="Times New Roman" w:hAnsi="Times New Roman" w:cs="Times New Roman"/>
        </w:rPr>
        <w:t xml:space="preserve"> respectively.</w:t>
      </w:r>
      <w:r w:rsidR="002F1264" w:rsidRPr="00FE7DE3">
        <w:rPr>
          <w:rFonts w:ascii="Times New Roman" w:hAnsi="Times New Roman" w:cs="Times New Roman"/>
        </w:rPr>
        <w:t xml:space="preserve"> Eighty-one percent</w:t>
      </w:r>
      <w:r w:rsidR="00A8084D" w:rsidRPr="00FE7DE3">
        <w:rPr>
          <w:rFonts w:ascii="Times New Roman" w:hAnsi="Times New Roman" w:cs="Times New Roman"/>
        </w:rPr>
        <w:t xml:space="preserve"> (n=319)</w:t>
      </w:r>
      <w:r w:rsidR="002F1264" w:rsidRPr="00FE7DE3">
        <w:rPr>
          <w:rFonts w:ascii="Times New Roman" w:hAnsi="Times New Roman" w:cs="Times New Roman"/>
        </w:rPr>
        <w:t xml:space="preserve"> of respondents were from the UK, with a further </w:t>
      </w:r>
      <w:r w:rsidR="00A8084D" w:rsidRPr="00FE7DE3">
        <w:rPr>
          <w:rFonts w:ascii="Times New Roman" w:hAnsi="Times New Roman" w:cs="Times New Roman"/>
        </w:rPr>
        <w:t>7</w:t>
      </w:r>
      <w:r w:rsidR="002F1264" w:rsidRPr="00FE7DE3">
        <w:rPr>
          <w:rFonts w:ascii="Times New Roman" w:hAnsi="Times New Roman" w:cs="Times New Roman"/>
        </w:rPr>
        <w:t>%</w:t>
      </w:r>
      <w:r w:rsidR="00A8084D" w:rsidRPr="00FE7DE3">
        <w:rPr>
          <w:rFonts w:ascii="Times New Roman" w:hAnsi="Times New Roman" w:cs="Times New Roman"/>
        </w:rPr>
        <w:t xml:space="preserve"> (n=28)</w:t>
      </w:r>
      <w:r w:rsidR="002F1264" w:rsidRPr="00FE7DE3">
        <w:rPr>
          <w:rFonts w:ascii="Times New Roman" w:hAnsi="Times New Roman" w:cs="Times New Roman"/>
        </w:rPr>
        <w:t xml:space="preserve"> from Europe and </w:t>
      </w:r>
      <w:r w:rsidR="00A8084D" w:rsidRPr="00FE7DE3">
        <w:rPr>
          <w:rFonts w:ascii="Times New Roman" w:hAnsi="Times New Roman" w:cs="Times New Roman"/>
        </w:rPr>
        <w:t>6</w:t>
      </w:r>
      <w:r w:rsidR="002F1264" w:rsidRPr="00FE7DE3">
        <w:rPr>
          <w:rFonts w:ascii="Times New Roman" w:hAnsi="Times New Roman" w:cs="Times New Roman"/>
        </w:rPr>
        <w:t>% from the USA. The majority of respondents were employed full-time (5</w:t>
      </w:r>
      <w:r w:rsidR="00411960" w:rsidRPr="00FE7DE3">
        <w:rPr>
          <w:rFonts w:ascii="Times New Roman" w:hAnsi="Times New Roman" w:cs="Times New Roman"/>
        </w:rPr>
        <w:t>3</w:t>
      </w:r>
      <w:r w:rsidR="002F1264" w:rsidRPr="00FE7DE3">
        <w:rPr>
          <w:rFonts w:ascii="Times New Roman" w:hAnsi="Times New Roman" w:cs="Times New Roman"/>
        </w:rPr>
        <w:t>%</w:t>
      </w:r>
      <w:r w:rsidR="00A8084D" w:rsidRPr="00FE7DE3">
        <w:rPr>
          <w:rFonts w:ascii="Times New Roman" w:hAnsi="Times New Roman" w:cs="Times New Roman"/>
        </w:rPr>
        <w:t>, n=198</w:t>
      </w:r>
      <w:r w:rsidR="002F1264" w:rsidRPr="00FE7DE3">
        <w:rPr>
          <w:rFonts w:ascii="Times New Roman" w:hAnsi="Times New Roman" w:cs="Times New Roman"/>
        </w:rPr>
        <w:t>), part-time (21%</w:t>
      </w:r>
      <w:r w:rsidR="00A8084D" w:rsidRPr="00FE7DE3">
        <w:rPr>
          <w:rFonts w:ascii="Times New Roman" w:hAnsi="Times New Roman" w:cs="Times New Roman"/>
        </w:rPr>
        <w:t>, n=80</w:t>
      </w:r>
      <w:r w:rsidR="002F1264" w:rsidRPr="00FE7DE3">
        <w:rPr>
          <w:rFonts w:ascii="Times New Roman" w:hAnsi="Times New Roman" w:cs="Times New Roman"/>
        </w:rPr>
        <w:t>) or self-employed (10%</w:t>
      </w:r>
      <w:r w:rsidR="00A8084D" w:rsidRPr="00FE7DE3">
        <w:rPr>
          <w:rFonts w:ascii="Times New Roman" w:hAnsi="Times New Roman" w:cs="Times New Roman"/>
        </w:rPr>
        <w:t>, n=39</w:t>
      </w:r>
      <w:r w:rsidR="002F1264" w:rsidRPr="00FE7DE3">
        <w:rPr>
          <w:rFonts w:ascii="Times New Roman" w:hAnsi="Times New Roman" w:cs="Times New Roman"/>
        </w:rPr>
        <w:t>), with the remainder unemployed, students or retired. Those in employment were frontline workers (2</w:t>
      </w:r>
      <w:r w:rsidR="00573E7E" w:rsidRPr="00FE7DE3">
        <w:rPr>
          <w:rFonts w:ascii="Times New Roman" w:hAnsi="Times New Roman" w:cs="Times New Roman"/>
        </w:rPr>
        <w:t>6</w:t>
      </w:r>
      <w:r w:rsidR="002F1264" w:rsidRPr="00FE7DE3">
        <w:rPr>
          <w:rFonts w:ascii="Times New Roman" w:hAnsi="Times New Roman" w:cs="Times New Roman"/>
        </w:rPr>
        <w:t>%; n=83), keyworkers (29%; n=93), working from home (2</w:t>
      </w:r>
      <w:r w:rsidR="00573E7E" w:rsidRPr="00FE7DE3">
        <w:rPr>
          <w:rFonts w:ascii="Times New Roman" w:hAnsi="Times New Roman" w:cs="Times New Roman"/>
        </w:rPr>
        <w:t>6</w:t>
      </w:r>
      <w:r w:rsidR="002F1264" w:rsidRPr="00FE7DE3">
        <w:rPr>
          <w:rFonts w:ascii="Times New Roman" w:hAnsi="Times New Roman" w:cs="Times New Roman"/>
        </w:rPr>
        <w:t>%, n=83), office workers (9%, n=30) or, in high contact roles such as retail (</w:t>
      </w:r>
      <w:r w:rsidR="00573E7E" w:rsidRPr="00FE7DE3">
        <w:rPr>
          <w:rFonts w:ascii="Times New Roman" w:hAnsi="Times New Roman" w:cs="Times New Roman"/>
        </w:rPr>
        <w:t>8</w:t>
      </w:r>
      <w:r w:rsidR="002F1264" w:rsidRPr="00FE7DE3">
        <w:rPr>
          <w:rFonts w:ascii="Times New Roman" w:hAnsi="Times New Roman" w:cs="Times New Roman"/>
        </w:rPr>
        <w:t xml:space="preserve">%, n=25). </w:t>
      </w:r>
    </w:p>
    <w:p w14:paraId="0B047B97" w14:textId="6E011BF6" w:rsidR="00823B5C" w:rsidRPr="00FE7DE3" w:rsidRDefault="007E142A" w:rsidP="002F1264">
      <w:pPr>
        <w:pStyle w:val="ListParagraph"/>
        <w:numPr>
          <w:ilvl w:val="1"/>
          <w:numId w:val="2"/>
        </w:numPr>
        <w:spacing w:line="480" w:lineRule="auto"/>
        <w:jc w:val="both"/>
        <w:rPr>
          <w:rFonts w:ascii="Times New Roman" w:hAnsi="Times New Roman" w:cs="Times New Roman"/>
          <w:b/>
          <w:bCs/>
          <w:lang w:val="en-US"/>
        </w:rPr>
      </w:pPr>
      <w:r w:rsidRPr="00FE7DE3">
        <w:rPr>
          <w:rFonts w:ascii="Times New Roman" w:hAnsi="Times New Roman" w:cs="Times New Roman"/>
          <w:b/>
          <w:bCs/>
          <w:lang w:val="en-US"/>
        </w:rPr>
        <w:t>Healthcare Utilization:</w:t>
      </w:r>
    </w:p>
    <w:p w14:paraId="7E998291" w14:textId="53B5FFF2" w:rsidR="00421801" w:rsidRPr="00FE7DE3" w:rsidRDefault="00421801" w:rsidP="002F1264">
      <w:pPr>
        <w:spacing w:line="480" w:lineRule="auto"/>
        <w:jc w:val="both"/>
        <w:rPr>
          <w:rFonts w:ascii="Times New Roman" w:hAnsi="Times New Roman" w:cs="Times New Roman"/>
        </w:rPr>
      </w:pPr>
      <w:r w:rsidRPr="00FE7DE3">
        <w:rPr>
          <w:rFonts w:ascii="Times New Roman" w:hAnsi="Times New Roman" w:cs="Times New Roman"/>
        </w:rPr>
        <w:t>Of all participants, 79.5% (n =303) contacted their general practitioner</w:t>
      </w:r>
      <w:r w:rsidR="00FD6FE4" w:rsidRPr="00FE7DE3">
        <w:rPr>
          <w:rFonts w:ascii="Times New Roman" w:hAnsi="Times New Roman" w:cs="Times New Roman"/>
        </w:rPr>
        <w:t xml:space="preserve"> specifically about their COVID-19</w:t>
      </w:r>
      <w:r w:rsidRPr="00FE7DE3">
        <w:rPr>
          <w:rFonts w:ascii="Times New Roman" w:hAnsi="Times New Roman" w:cs="Times New Roman"/>
        </w:rPr>
        <w:t>, 4</w:t>
      </w:r>
      <w:r w:rsidR="005E7181" w:rsidRPr="00FE7DE3">
        <w:rPr>
          <w:rFonts w:ascii="Times New Roman" w:hAnsi="Times New Roman" w:cs="Times New Roman"/>
        </w:rPr>
        <w:t>1</w:t>
      </w:r>
      <w:r w:rsidRPr="00FE7DE3">
        <w:rPr>
          <w:rFonts w:ascii="Times New Roman" w:hAnsi="Times New Roman" w:cs="Times New Roman"/>
        </w:rPr>
        <w:t>% (n=155)</w:t>
      </w:r>
      <w:r w:rsidR="00FD6FE4" w:rsidRPr="00FE7DE3">
        <w:rPr>
          <w:rFonts w:ascii="Times New Roman" w:hAnsi="Times New Roman" w:cs="Times New Roman"/>
        </w:rPr>
        <w:t xml:space="preserve"> </w:t>
      </w:r>
      <w:r w:rsidRPr="00FE7DE3">
        <w:rPr>
          <w:rFonts w:ascii="Times New Roman" w:hAnsi="Times New Roman" w:cs="Times New Roman"/>
        </w:rPr>
        <w:t>contacted a dedicated COVID-19 telephone service (e.g., N</w:t>
      </w:r>
      <w:r w:rsidR="007B3831" w:rsidRPr="00FE7DE3">
        <w:rPr>
          <w:rFonts w:ascii="Times New Roman" w:hAnsi="Times New Roman" w:cs="Times New Roman"/>
        </w:rPr>
        <w:t xml:space="preserve">ational </w:t>
      </w:r>
      <w:r w:rsidRPr="00FE7DE3">
        <w:rPr>
          <w:rFonts w:ascii="Times New Roman" w:hAnsi="Times New Roman" w:cs="Times New Roman"/>
        </w:rPr>
        <w:t>H</w:t>
      </w:r>
      <w:r w:rsidR="007B3831" w:rsidRPr="00FE7DE3">
        <w:rPr>
          <w:rFonts w:ascii="Times New Roman" w:hAnsi="Times New Roman" w:cs="Times New Roman"/>
        </w:rPr>
        <w:t xml:space="preserve">ealth </w:t>
      </w:r>
      <w:r w:rsidRPr="00FE7DE3">
        <w:rPr>
          <w:rFonts w:ascii="Times New Roman" w:hAnsi="Times New Roman" w:cs="Times New Roman"/>
        </w:rPr>
        <w:t>S</w:t>
      </w:r>
      <w:r w:rsidR="007B3831" w:rsidRPr="00FE7DE3">
        <w:rPr>
          <w:rFonts w:ascii="Times New Roman" w:hAnsi="Times New Roman" w:cs="Times New Roman"/>
        </w:rPr>
        <w:t>ervice</w:t>
      </w:r>
      <w:r w:rsidRPr="00FE7DE3">
        <w:rPr>
          <w:rFonts w:ascii="Times New Roman" w:hAnsi="Times New Roman" w:cs="Times New Roman"/>
        </w:rPr>
        <w:t xml:space="preserve"> Direct), 5% (n=19) were referred for specialist treatment, 5% (n=17) attended an emergency department, and 2% (n =8) were admitted to hospital for treatment.</w:t>
      </w:r>
    </w:p>
    <w:p w14:paraId="08567F9A" w14:textId="51D15B5C" w:rsidR="00304418" w:rsidRPr="00FE7DE3" w:rsidRDefault="00823B5C" w:rsidP="00432BCB">
      <w:pPr>
        <w:spacing w:line="480" w:lineRule="auto"/>
        <w:jc w:val="both"/>
        <w:rPr>
          <w:rFonts w:ascii="Times New Roman" w:hAnsi="Times New Roman" w:cs="Times New Roman"/>
          <w:b/>
          <w:bCs/>
          <w:lang w:val="en-US"/>
        </w:rPr>
      </w:pPr>
      <w:r w:rsidRPr="00FE7DE3">
        <w:rPr>
          <w:rFonts w:ascii="Times New Roman" w:hAnsi="Times New Roman" w:cs="Times New Roman"/>
          <w:b/>
          <w:bCs/>
          <w:lang w:val="en-US"/>
        </w:rPr>
        <w:t>3.3 COVID-19 S</w:t>
      </w:r>
      <w:r w:rsidR="00304418" w:rsidRPr="00FE7DE3">
        <w:rPr>
          <w:rFonts w:ascii="Times New Roman" w:hAnsi="Times New Roman" w:cs="Times New Roman"/>
          <w:b/>
          <w:bCs/>
          <w:lang w:val="en-US"/>
        </w:rPr>
        <w:t>ymptoms</w:t>
      </w:r>
    </w:p>
    <w:p w14:paraId="6629A77D" w14:textId="2B27D8B7" w:rsidR="00A07FB9" w:rsidRPr="00FE7DE3" w:rsidRDefault="00846C5C" w:rsidP="00A07FB9">
      <w:pPr>
        <w:spacing w:line="480" w:lineRule="auto"/>
        <w:jc w:val="both"/>
        <w:rPr>
          <w:rFonts w:ascii="Times New Roman" w:hAnsi="Times New Roman" w:cs="Times New Roman"/>
        </w:rPr>
      </w:pPr>
      <w:r w:rsidRPr="00FE7DE3">
        <w:rPr>
          <w:rFonts w:ascii="Times New Roman" w:hAnsi="Times New Roman" w:cs="Times New Roman"/>
          <w:lang w:val="en-US"/>
        </w:rPr>
        <w:t xml:space="preserve">The range and frequency of </w:t>
      </w:r>
      <w:r w:rsidR="003025FC" w:rsidRPr="00FE7DE3">
        <w:rPr>
          <w:rFonts w:ascii="Times New Roman" w:hAnsi="Times New Roman" w:cs="Times New Roman"/>
          <w:lang w:val="en-US"/>
        </w:rPr>
        <w:t xml:space="preserve">COVID-19 symptoms are highlighted </w:t>
      </w:r>
      <w:r w:rsidR="00765B2E" w:rsidRPr="00FE7DE3">
        <w:rPr>
          <w:rFonts w:ascii="Times New Roman" w:hAnsi="Times New Roman" w:cs="Times New Roman"/>
          <w:lang w:val="en-US"/>
        </w:rPr>
        <w:t xml:space="preserve">in their entirety </w:t>
      </w:r>
      <w:r w:rsidR="003025FC" w:rsidRPr="00FE7DE3">
        <w:rPr>
          <w:rFonts w:ascii="Times New Roman" w:hAnsi="Times New Roman" w:cs="Times New Roman"/>
          <w:lang w:val="en-US"/>
        </w:rPr>
        <w:t xml:space="preserve">in </w:t>
      </w:r>
      <w:r w:rsidR="003025FC" w:rsidRPr="00FE7DE3">
        <w:rPr>
          <w:rFonts w:ascii="Times New Roman" w:hAnsi="Times New Roman" w:cs="Times New Roman"/>
          <w:b/>
          <w:bCs/>
          <w:lang w:val="en-US"/>
        </w:rPr>
        <w:t>Figure 1A</w:t>
      </w:r>
      <w:r w:rsidR="003025FC" w:rsidRPr="00FE7DE3">
        <w:rPr>
          <w:rFonts w:ascii="Times New Roman" w:hAnsi="Times New Roman" w:cs="Times New Roman"/>
          <w:lang w:val="en-US"/>
        </w:rPr>
        <w:t>, with symptom severity reducing from the onset of symptoms to the time this survey was completed for</w:t>
      </w:r>
      <w:r w:rsidR="00161CF6" w:rsidRPr="00FE7DE3">
        <w:rPr>
          <w:rFonts w:ascii="Times New Roman" w:hAnsi="Times New Roman" w:cs="Times New Roman"/>
          <w:lang w:val="en-US"/>
        </w:rPr>
        <w:t>;</w:t>
      </w:r>
      <w:r w:rsidR="003025FC" w:rsidRPr="00FE7DE3">
        <w:rPr>
          <w:rFonts w:ascii="Times New Roman" w:hAnsi="Times New Roman" w:cs="Times New Roman"/>
          <w:lang w:val="en-US"/>
        </w:rPr>
        <w:t xml:space="preserve"> shortness of breath, bodily pain, muscle weakness, headaches, sore throat, </w:t>
      </w:r>
      <w:proofErr w:type="spellStart"/>
      <w:r w:rsidR="003E4F49" w:rsidRPr="00FE7DE3">
        <w:rPr>
          <w:rFonts w:ascii="Times New Roman" w:hAnsi="Times New Roman" w:cs="Times New Roman"/>
          <w:lang w:val="en-US"/>
        </w:rPr>
        <w:t>diarrh</w:t>
      </w:r>
      <w:r w:rsidR="00CA0AF6" w:rsidRPr="00FE7DE3">
        <w:rPr>
          <w:rFonts w:ascii="Times New Roman" w:hAnsi="Times New Roman" w:cs="Times New Roman"/>
          <w:lang w:val="en-US"/>
        </w:rPr>
        <w:t>o</w:t>
      </w:r>
      <w:r w:rsidR="003E4F49" w:rsidRPr="00FE7DE3">
        <w:rPr>
          <w:rFonts w:ascii="Times New Roman" w:hAnsi="Times New Roman" w:cs="Times New Roman"/>
          <w:lang w:val="en-US"/>
        </w:rPr>
        <w:t>ea</w:t>
      </w:r>
      <w:proofErr w:type="spellEnd"/>
      <w:r w:rsidR="003025FC" w:rsidRPr="00FE7DE3">
        <w:rPr>
          <w:rFonts w:ascii="Times New Roman" w:hAnsi="Times New Roman" w:cs="Times New Roman"/>
          <w:lang w:val="en-US"/>
        </w:rPr>
        <w:t>, memory loss, confusion and eye redness (</w:t>
      </w:r>
      <w:r w:rsidR="003025FC" w:rsidRPr="00FE7DE3">
        <w:rPr>
          <w:rFonts w:ascii="Times New Roman" w:hAnsi="Times New Roman" w:cs="Times New Roman"/>
          <w:i/>
          <w:iCs/>
          <w:lang w:val="en-US"/>
        </w:rPr>
        <w:t>P</w:t>
      </w:r>
      <w:r w:rsidR="003025FC" w:rsidRPr="00FE7DE3">
        <w:rPr>
          <w:rFonts w:ascii="Times New Roman" w:hAnsi="Times New Roman" w:cs="Times New Roman"/>
          <w:lang w:val="en-US"/>
        </w:rPr>
        <w:t xml:space="preserve">&lt;0.001; </w:t>
      </w:r>
      <w:r w:rsidR="003025FC" w:rsidRPr="00FE7DE3">
        <w:rPr>
          <w:rFonts w:ascii="Times New Roman" w:hAnsi="Times New Roman" w:cs="Times New Roman"/>
          <w:b/>
          <w:bCs/>
          <w:lang w:val="en-US"/>
        </w:rPr>
        <w:t>Figure 1B</w:t>
      </w:r>
      <w:r w:rsidR="003025FC" w:rsidRPr="00FE7DE3">
        <w:rPr>
          <w:rFonts w:ascii="Times New Roman" w:hAnsi="Times New Roman" w:cs="Times New Roman"/>
          <w:lang w:val="en-US"/>
        </w:rPr>
        <w:t>). Sustained COVID-19 symptoms also affected</w:t>
      </w:r>
      <w:r w:rsidR="00161CF6" w:rsidRPr="00FE7DE3">
        <w:rPr>
          <w:rFonts w:ascii="Times New Roman" w:hAnsi="Times New Roman" w:cs="Times New Roman"/>
          <w:lang w:val="en-US"/>
        </w:rPr>
        <w:t>;</w:t>
      </w:r>
      <w:r w:rsidR="003025FC" w:rsidRPr="00FE7DE3">
        <w:rPr>
          <w:rFonts w:ascii="Times New Roman" w:hAnsi="Times New Roman" w:cs="Times New Roman"/>
          <w:lang w:val="en-US"/>
        </w:rPr>
        <w:t xml:space="preserve"> </w:t>
      </w:r>
      <w:r w:rsidR="00765B2E" w:rsidRPr="00FE7DE3">
        <w:rPr>
          <w:rFonts w:ascii="Times New Roman" w:hAnsi="Times New Roman" w:cs="Times New Roman"/>
          <w:lang w:val="en-US"/>
        </w:rPr>
        <w:t xml:space="preserve">fatigue, </w:t>
      </w:r>
      <w:r w:rsidR="003025FC" w:rsidRPr="00FE7DE3">
        <w:rPr>
          <w:rFonts w:ascii="Times New Roman" w:hAnsi="Times New Roman" w:cs="Times New Roman"/>
          <w:lang w:val="en-US"/>
        </w:rPr>
        <w:t xml:space="preserve">breathlessness, completion of daily activities, sleep quality and moderate-to-vigorous work activities, with </w:t>
      </w:r>
      <w:r w:rsidR="00411960" w:rsidRPr="00FE7DE3">
        <w:rPr>
          <w:rFonts w:ascii="Times New Roman" w:hAnsi="Times New Roman" w:cs="Times New Roman"/>
          <w:lang w:val="en-US"/>
        </w:rPr>
        <w:t xml:space="preserve">reported </w:t>
      </w:r>
      <w:r w:rsidR="003025FC" w:rsidRPr="00FE7DE3">
        <w:rPr>
          <w:rFonts w:ascii="Times New Roman" w:hAnsi="Times New Roman" w:cs="Times New Roman"/>
          <w:lang w:val="en-US"/>
        </w:rPr>
        <w:t xml:space="preserve">severity highlighted in </w:t>
      </w:r>
      <w:r w:rsidR="003025FC" w:rsidRPr="00FE7DE3">
        <w:rPr>
          <w:rFonts w:ascii="Times New Roman" w:hAnsi="Times New Roman" w:cs="Times New Roman"/>
          <w:b/>
          <w:bCs/>
          <w:lang w:val="en-US"/>
        </w:rPr>
        <w:t>Figure 2</w:t>
      </w:r>
      <w:r w:rsidR="003025FC" w:rsidRPr="00FE7DE3">
        <w:rPr>
          <w:rFonts w:ascii="Times New Roman" w:hAnsi="Times New Roman" w:cs="Times New Roman"/>
          <w:lang w:val="en-US"/>
        </w:rPr>
        <w:t>.</w:t>
      </w:r>
      <w:r w:rsidR="003025FC" w:rsidRPr="00FE7DE3">
        <w:rPr>
          <w:rFonts w:ascii="Times New Roman" w:hAnsi="Times New Roman" w:cs="Times New Roman"/>
        </w:rPr>
        <w:t xml:space="preserve"> </w:t>
      </w:r>
      <w:r w:rsidR="003025FC" w:rsidRPr="00FE7DE3">
        <w:rPr>
          <w:rFonts w:ascii="Times New Roman" w:eastAsia="Times New Roman" w:hAnsi="Times New Roman" w:cs="Times New Roman"/>
          <w:lang w:eastAsia="en-GB"/>
        </w:rPr>
        <w:t>This was similar across working classifications, including frontline workers (both 91%), keyworkers (both 82%), those working from home (83% and 78%), office workers (72% and 69%), and those working in high-contact roles (82% and 68%)</w:t>
      </w:r>
      <w:r w:rsidR="006A42CA" w:rsidRPr="00FE7DE3">
        <w:rPr>
          <w:rFonts w:ascii="Times New Roman" w:eastAsia="Times New Roman" w:hAnsi="Times New Roman" w:cs="Times New Roman"/>
          <w:lang w:eastAsia="en-GB"/>
        </w:rPr>
        <w:t xml:space="preserve">. </w:t>
      </w:r>
      <w:r w:rsidR="003025FC" w:rsidRPr="00FE7DE3">
        <w:rPr>
          <w:rFonts w:ascii="Times New Roman" w:hAnsi="Times New Roman" w:cs="Times New Roman"/>
        </w:rPr>
        <w:t xml:space="preserve">There was no difference in the effect of COVID-19 symptoms on </w:t>
      </w:r>
      <w:r w:rsidR="00841C43" w:rsidRPr="00FE7DE3">
        <w:rPr>
          <w:rFonts w:ascii="Times New Roman" w:hAnsi="Times New Roman" w:cs="Times New Roman"/>
        </w:rPr>
        <w:t xml:space="preserve">moderate and vigorous </w:t>
      </w:r>
      <w:r w:rsidR="003025FC" w:rsidRPr="00FE7DE3">
        <w:rPr>
          <w:rFonts w:ascii="Times New Roman" w:hAnsi="Times New Roman" w:cs="Times New Roman"/>
        </w:rPr>
        <w:t xml:space="preserve">activities between those individuals </w:t>
      </w:r>
      <w:r w:rsidR="00F533C1" w:rsidRPr="00FE7DE3">
        <w:rPr>
          <w:rFonts w:ascii="Times New Roman" w:hAnsi="Times New Roman" w:cs="Times New Roman"/>
        </w:rPr>
        <w:t xml:space="preserve">denoting </w:t>
      </w:r>
      <w:r w:rsidR="003025FC" w:rsidRPr="00FE7DE3">
        <w:rPr>
          <w:rFonts w:ascii="Times New Roman" w:hAnsi="Times New Roman" w:cs="Times New Roman"/>
        </w:rPr>
        <w:t xml:space="preserve">a </w:t>
      </w:r>
      <w:r w:rsidR="00A514A7" w:rsidRPr="00FE7DE3">
        <w:rPr>
          <w:rFonts w:ascii="Times New Roman" w:hAnsi="Times New Roman" w:cs="Times New Roman"/>
        </w:rPr>
        <w:t>previous history of a l</w:t>
      </w:r>
      <w:r w:rsidR="003025FC" w:rsidRPr="00FE7DE3">
        <w:rPr>
          <w:rFonts w:ascii="Times New Roman" w:hAnsi="Times New Roman" w:cs="Times New Roman"/>
        </w:rPr>
        <w:t xml:space="preserve">ong-term </w:t>
      </w:r>
      <w:r w:rsidR="00A514A7" w:rsidRPr="00FE7DE3">
        <w:rPr>
          <w:rFonts w:ascii="Times New Roman" w:hAnsi="Times New Roman" w:cs="Times New Roman"/>
        </w:rPr>
        <w:t xml:space="preserve">health </w:t>
      </w:r>
      <w:r w:rsidR="003025FC" w:rsidRPr="00FE7DE3">
        <w:rPr>
          <w:rFonts w:ascii="Times New Roman" w:hAnsi="Times New Roman" w:cs="Times New Roman"/>
        </w:rPr>
        <w:t xml:space="preserve">condition (moderate: </w:t>
      </w:r>
      <w:r w:rsidR="003025FC" w:rsidRPr="00FE7DE3">
        <w:rPr>
          <w:rFonts w:ascii="Times New Roman" w:hAnsi="Times New Roman" w:cs="Times New Roman"/>
          <w:i/>
          <w:iCs/>
          <w:lang w:val="en-US"/>
        </w:rPr>
        <w:t>U</w:t>
      </w:r>
      <w:r w:rsidR="003025FC" w:rsidRPr="00FE7DE3">
        <w:rPr>
          <w:rFonts w:ascii="Times New Roman" w:hAnsi="Times New Roman" w:cs="Times New Roman"/>
          <w:lang w:val="en-US"/>
        </w:rPr>
        <w:t xml:space="preserve">=-1.7, </w:t>
      </w:r>
      <w:r w:rsidR="003025FC" w:rsidRPr="00FE7DE3">
        <w:rPr>
          <w:rFonts w:ascii="Times New Roman" w:hAnsi="Times New Roman" w:cs="Times New Roman"/>
          <w:i/>
          <w:iCs/>
          <w:lang w:val="en-US"/>
        </w:rPr>
        <w:t>P</w:t>
      </w:r>
      <w:r w:rsidR="003025FC" w:rsidRPr="00FE7DE3">
        <w:rPr>
          <w:rFonts w:ascii="Times New Roman" w:hAnsi="Times New Roman" w:cs="Times New Roman"/>
          <w:lang w:val="en-US"/>
        </w:rPr>
        <w:t xml:space="preserve">=0.094, and vigorous: </w:t>
      </w:r>
      <w:r w:rsidR="003025FC" w:rsidRPr="00FE7DE3">
        <w:rPr>
          <w:rFonts w:ascii="Times New Roman" w:hAnsi="Times New Roman" w:cs="Times New Roman"/>
          <w:i/>
          <w:iCs/>
          <w:lang w:val="en-US"/>
        </w:rPr>
        <w:t>U</w:t>
      </w:r>
      <w:r w:rsidR="003025FC" w:rsidRPr="00FE7DE3">
        <w:rPr>
          <w:rFonts w:ascii="Times New Roman" w:hAnsi="Times New Roman" w:cs="Times New Roman"/>
          <w:lang w:val="en-US"/>
        </w:rPr>
        <w:t xml:space="preserve">=-1.8, </w:t>
      </w:r>
      <w:r w:rsidR="003025FC" w:rsidRPr="00FE7DE3">
        <w:rPr>
          <w:rFonts w:ascii="Times New Roman" w:hAnsi="Times New Roman" w:cs="Times New Roman"/>
          <w:i/>
          <w:iCs/>
          <w:lang w:val="en-US"/>
        </w:rPr>
        <w:t>P</w:t>
      </w:r>
      <w:r w:rsidR="003025FC" w:rsidRPr="00FE7DE3">
        <w:rPr>
          <w:rFonts w:ascii="Times New Roman" w:hAnsi="Times New Roman" w:cs="Times New Roman"/>
          <w:lang w:val="en-US"/>
        </w:rPr>
        <w:t>=0.075).</w:t>
      </w:r>
      <w:r w:rsidR="003025FC" w:rsidRPr="00FE7DE3">
        <w:rPr>
          <w:rFonts w:ascii="Times New Roman" w:hAnsi="Times New Roman" w:cs="Times New Roman"/>
        </w:rPr>
        <w:t xml:space="preserve">  </w:t>
      </w:r>
    </w:p>
    <w:p w14:paraId="6845CDA4" w14:textId="0AC957B7" w:rsidR="00A07FB9" w:rsidRPr="00FE7DE3" w:rsidRDefault="00A07FB9" w:rsidP="00A07FB9">
      <w:pPr>
        <w:spacing w:line="480" w:lineRule="auto"/>
        <w:jc w:val="center"/>
        <w:rPr>
          <w:rFonts w:ascii="Times New Roman" w:hAnsi="Times New Roman" w:cs="Times New Roman"/>
          <w:b/>
          <w:bCs/>
          <w:lang w:val="en-US"/>
        </w:rPr>
      </w:pPr>
      <w:r w:rsidRPr="00FE7DE3">
        <w:rPr>
          <w:rFonts w:ascii="Times New Roman" w:hAnsi="Times New Roman" w:cs="Times New Roman"/>
          <w:b/>
          <w:bCs/>
          <w:lang w:val="en-US"/>
        </w:rPr>
        <w:lastRenderedPageBreak/>
        <w:t>**Figure 1 around here**</w:t>
      </w:r>
    </w:p>
    <w:p w14:paraId="53C1E778" w14:textId="107EC179" w:rsidR="00304418" w:rsidRPr="00FE7DE3" w:rsidRDefault="00304418" w:rsidP="00432BCB">
      <w:pPr>
        <w:spacing w:line="480" w:lineRule="auto"/>
        <w:jc w:val="both"/>
        <w:rPr>
          <w:rFonts w:ascii="Times New Roman" w:hAnsi="Times New Roman" w:cs="Times New Roman"/>
          <w:b/>
          <w:bCs/>
          <w:lang w:val="en-US"/>
        </w:rPr>
      </w:pPr>
      <w:r w:rsidRPr="00FE7DE3">
        <w:rPr>
          <w:rFonts w:ascii="Times New Roman" w:hAnsi="Times New Roman" w:cs="Times New Roman"/>
          <w:b/>
          <w:bCs/>
          <w:lang w:val="en-US"/>
        </w:rPr>
        <w:t>3.</w:t>
      </w:r>
      <w:r w:rsidR="00823B5C" w:rsidRPr="00FE7DE3">
        <w:rPr>
          <w:rFonts w:ascii="Times New Roman" w:hAnsi="Times New Roman" w:cs="Times New Roman"/>
          <w:b/>
          <w:bCs/>
          <w:lang w:val="en-US"/>
        </w:rPr>
        <w:t>4</w:t>
      </w:r>
      <w:r w:rsidRPr="00FE7DE3">
        <w:rPr>
          <w:rFonts w:ascii="Times New Roman" w:hAnsi="Times New Roman" w:cs="Times New Roman"/>
          <w:b/>
          <w:bCs/>
          <w:lang w:val="en-US"/>
        </w:rPr>
        <w:t xml:space="preserve"> Quality of Life</w:t>
      </w:r>
    </w:p>
    <w:p w14:paraId="46F90C00" w14:textId="4BED7DF1" w:rsidR="0039317A" w:rsidRPr="00FE7DE3" w:rsidRDefault="003025FC" w:rsidP="003025FC">
      <w:pPr>
        <w:spacing w:line="480" w:lineRule="auto"/>
        <w:jc w:val="both"/>
        <w:rPr>
          <w:rFonts w:ascii="Times New Roman" w:hAnsi="Times New Roman" w:cs="Times New Roman"/>
        </w:rPr>
      </w:pPr>
      <w:r w:rsidRPr="00FE7DE3">
        <w:rPr>
          <w:rFonts w:ascii="Times New Roman" w:hAnsi="Times New Roman" w:cs="Times New Roman"/>
          <w:lang w:val="en-US"/>
        </w:rPr>
        <w:t xml:space="preserve">Participant health </w:t>
      </w:r>
      <w:r w:rsidR="004B261B" w:rsidRPr="00FE7DE3">
        <w:rPr>
          <w:rFonts w:ascii="Times New Roman" w:hAnsi="Times New Roman" w:cs="Times New Roman"/>
          <w:lang w:val="en-US"/>
        </w:rPr>
        <w:t xml:space="preserve">was </w:t>
      </w:r>
      <w:r w:rsidR="00F533C1" w:rsidRPr="00FE7DE3">
        <w:rPr>
          <w:rFonts w:ascii="Times New Roman" w:hAnsi="Times New Roman" w:cs="Times New Roman"/>
          <w:lang w:val="en-US"/>
        </w:rPr>
        <w:t xml:space="preserve">universally </w:t>
      </w:r>
      <w:r w:rsidRPr="00FE7DE3">
        <w:rPr>
          <w:rFonts w:ascii="Times New Roman" w:hAnsi="Times New Roman" w:cs="Times New Roman"/>
          <w:lang w:val="en-US"/>
        </w:rPr>
        <w:t xml:space="preserve">reduced </w:t>
      </w:r>
      <w:r w:rsidR="00F533C1" w:rsidRPr="00FE7DE3">
        <w:rPr>
          <w:rFonts w:ascii="Times New Roman" w:hAnsi="Times New Roman" w:cs="Times New Roman"/>
          <w:lang w:val="en-US"/>
        </w:rPr>
        <w:t xml:space="preserve">due to </w:t>
      </w:r>
      <w:r w:rsidRPr="00FE7DE3">
        <w:rPr>
          <w:rFonts w:ascii="Times New Roman" w:hAnsi="Times New Roman" w:cs="Times New Roman"/>
          <w:lang w:val="en-US"/>
        </w:rPr>
        <w:t>COVID-19 symptoms (from 2 [1-2] “</w:t>
      </w:r>
      <w:r w:rsidRPr="00FE7DE3">
        <w:rPr>
          <w:rFonts w:ascii="Times New Roman" w:hAnsi="Times New Roman" w:cs="Times New Roman"/>
          <w:i/>
          <w:iCs/>
          <w:lang w:val="en-US"/>
        </w:rPr>
        <w:t>Good health</w:t>
      </w:r>
      <w:r w:rsidRPr="00FE7DE3">
        <w:rPr>
          <w:rFonts w:ascii="Times New Roman" w:hAnsi="Times New Roman" w:cs="Times New Roman"/>
          <w:lang w:val="en-US"/>
        </w:rPr>
        <w:t>” to 4 [3-4] “</w:t>
      </w:r>
      <w:r w:rsidRPr="00FE7DE3">
        <w:rPr>
          <w:rFonts w:ascii="Times New Roman" w:hAnsi="Times New Roman" w:cs="Times New Roman"/>
          <w:i/>
          <w:iCs/>
          <w:lang w:val="en-US"/>
        </w:rPr>
        <w:t>Poor health</w:t>
      </w:r>
      <w:r w:rsidRPr="00FE7DE3">
        <w:rPr>
          <w:rFonts w:ascii="Times New Roman" w:hAnsi="Times New Roman" w:cs="Times New Roman"/>
          <w:lang w:val="en-US"/>
        </w:rPr>
        <w:t>” [</w:t>
      </w:r>
      <w:r w:rsidRPr="00FE7DE3">
        <w:rPr>
          <w:rFonts w:ascii="Times New Roman" w:hAnsi="Times New Roman" w:cs="Times New Roman"/>
          <w:i/>
          <w:iCs/>
          <w:lang w:val="en-US"/>
        </w:rPr>
        <w:t>Z</w:t>
      </w:r>
      <w:r w:rsidRPr="00FE7DE3">
        <w:rPr>
          <w:rFonts w:ascii="Times New Roman" w:hAnsi="Times New Roman" w:cs="Times New Roman"/>
          <w:lang w:val="en-US"/>
        </w:rPr>
        <w:t xml:space="preserve">=-16.1, </w:t>
      </w:r>
      <w:r w:rsidRPr="00FE7DE3">
        <w:rPr>
          <w:rFonts w:ascii="Times New Roman" w:hAnsi="Times New Roman" w:cs="Times New Roman"/>
          <w:i/>
          <w:iCs/>
          <w:lang w:val="en-US"/>
        </w:rPr>
        <w:t>P</w:t>
      </w:r>
      <w:r w:rsidRPr="00FE7DE3">
        <w:rPr>
          <w:rFonts w:ascii="Times New Roman" w:hAnsi="Times New Roman" w:cs="Times New Roman"/>
          <w:lang w:val="en-US"/>
        </w:rPr>
        <w:t xml:space="preserve">&lt;0.001]). </w:t>
      </w:r>
      <w:r w:rsidR="00B77310" w:rsidRPr="00FE7DE3">
        <w:rPr>
          <w:rFonts w:ascii="Times New Roman" w:hAnsi="Times New Roman" w:cs="Times New Roman"/>
        </w:rPr>
        <w:t xml:space="preserve"> </w:t>
      </w:r>
      <w:r w:rsidR="00161CF6" w:rsidRPr="00FE7DE3">
        <w:rPr>
          <w:rFonts w:ascii="Times New Roman" w:hAnsi="Times New Roman" w:cs="Times New Roman"/>
        </w:rPr>
        <w:t>M</w:t>
      </w:r>
      <w:r w:rsidR="00B77310" w:rsidRPr="00FE7DE3">
        <w:rPr>
          <w:rFonts w:ascii="Times New Roman" w:hAnsi="Times New Roman" w:cs="Times New Roman"/>
        </w:rPr>
        <w:t>edium, positive correlation</w:t>
      </w:r>
      <w:r w:rsidR="00161CF6" w:rsidRPr="00FE7DE3">
        <w:rPr>
          <w:rFonts w:ascii="Times New Roman" w:hAnsi="Times New Roman" w:cs="Times New Roman"/>
        </w:rPr>
        <w:t>s were</w:t>
      </w:r>
      <w:r w:rsidR="00B77310" w:rsidRPr="00FE7DE3">
        <w:rPr>
          <w:rFonts w:ascii="Times New Roman" w:hAnsi="Times New Roman" w:cs="Times New Roman"/>
        </w:rPr>
        <w:t xml:space="preserve"> </w:t>
      </w:r>
      <w:r w:rsidR="00161CF6" w:rsidRPr="00FE7DE3">
        <w:rPr>
          <w:rFonts w:ascii="Times New Roman" w:hAnsi="Times New Roman" w:cs="Times New Roman"/>
        </w:rPr>
        <w:t xml:space="preserve">found </w:t>
      </w:r>
      <w:r w:rsidR="00B77310" w:rsidRPr="00FE7DE3">
        <w:rPr>
          <w:rFonts w:ascii="Times New Roman" w:hAnsi="Times New Roman" w:cs="Times New Roman"/>
        </w:rPr>
        <w:t>between the number of initial symptoms and post COVID-19 general health (</w:t>
      </w:r>
      <w:r w:rsidR="00B77310" w:rsidRPr="00FE7DE3">
        <w:rPr>
          <w:rFonts w:ascii="Times New Roman" w:hAnsi="Times New Roman" w:cs="Times New Roman"/>
          <w:i/>
          <w:iCs/>
        </w:rPr>
        <w:t>r</w:t>
      </w:r>
      <w:r w:rsidR="00B77310" w:rsidRPr="00FE7DE3">
        <w:rPr>
          <w:rFonts w:ascii="Times New Roman" w:hAnsi="Times New Roman" w:cs="Times New Roman"/>
        </w:rPr>
        <w:t xml:space="preserve">=0.56, </w:t>
      </w:r>
      <w:r w:rsidR="00B77310" w:rsidRPr="00FE7DE3">
        <w:rPr>
          <w:rFonts w:ascii="Times New Roman" w:hAnsi="Times New Roman" w:cs="Times New Roman"/>
          <w:i/>
          <w:iCs/>
        </w:rPr>
        <w:t>n</w:t>
      </w:r>
      <w:r w:rsidR="00B77310" w:rsidRPr="00FE7DE3">
        <w:rPr>
          <w:rFonts w:ascii="Times New Roman" w:hAnsi="Times New Roman" w:cs="Times New Roman"/>
        </w:rPr>
        <w:t xml:space="preserve">=358, </w:t>
      </w:r>
      <w:r w:rsidR="00B77310" w:rsidRPr="00FE7DE3">
        <w:rPr>
          <w:rFonts w:ascii="Times New Roman" w:hAnsi="Times New Roman" w:cs="Times New Roman"/>
          <w:i/>
          <w:iCs/>
        </w:rPr>
        <w:t>p</w:t>
      </w:r>
      <w:r w:rsidR="00B77310" w:rsidRPr="00FE7DE3">
        <w:rPr>
          <w:rFonts w:ascii="Times New Roman" w:hAnsi="Times New Roman" w:cs="Times New Roman"/>
        </w:rPr>
        <w:t>&lt;0.001)</w:t>
      </w:r>
      <w:r w:rsidR="00C16B7E" w:rsidRPr="00FE7DE3">
        <w:rPr>
          <w:rFonts w:ascii="Times New Roman" w:hAnsi="Times New Roman" w:cs="Times New Roman"/>
        </w:rPr>
        <w:t xml:space="preserve">. </w:t>
      </w:r>
      <w:r w:rsidR="00AF669F" w:rsidRPr="00FE7DE3">
        <w:rPr>
          <w:rFonts w:ascii="Times New Roman" w:hAnsi="Times New Roman" w:cs="Times New Roman"/>
        </w:rPr>
        <w:t xml:space="preserve"> As a result of COVID-19 infection, 27%</w:t>
      </w:r>
      <w:r w:rsidR="00C16B7E" w:rsidRPr="00FE7DE3">
        <w:rPr>
          <w:rFonts w:ascii="Times New Roman" w:hAnsi="Times New Roman" w:cs="Times New Roman"/>
        </w:rPr>
        <w:t xml:space="preserve">(n=104) of participants reported they were unable to live alone without </w:t>
      </w:r>
      <w:r w:rsidR="00DF4DDF" w:rsidRPr="00FE7DE3">
        <w:rPr>
          <w:rFonts w:ascii="Times New Roman" w:hAnsi="Times New Roman" w:cs="Times New Roman"/>
        </w:rPr>
        <w:t xml:space="preserve">the </w:t>
      </w:r>
      <w:r w:rsidR="00C16B7E" w:rsidRPr="00FE7DE3">
        <w:rPr>
          <w:rFonts w:ascii="Times New Roman" w:hAnsi="Times New Roman" w:cs="Times New Roman"/>
        </w:rPr>
        <w:t>assistance of another person at the time of completion,</w:t>
      </w:r>
      <w:r w:rsidR="00DF4F94" w:rsidRPr="00FE7DE3">
        <w:rPr>
          <w:rFonts w:ascii="Times New Roman" w:hAnsi="Times New Roman" w:cs="Times New Roman"/>
        </w:rPr>
        <w:t xml:space="preserve"> </w:t>
      </w:r>
      <w:r w:rsidR="00AF669F" w:rsidRPr="00FE7DE3">
        <w:rPr>
          <w:rFonts w:ascii="Times New Roman" w:hAnsi="Times New Roman" w:cs="Times New Roman"/>
        </w:rPr>
        <w:t xml:space="preserve">24% </w:t>
      </w:r>
      <w:r w:rsidR="00DF4F94" w:rsidRPr="00FE7DE3">
        <w:rPr>
          <w:rFonts w:ascii="Times New Roman" w:hAnsi="Times New Roman" w:cs="Times New Roman"/>
        </w:rPr>
        <w:t>(n=90) reported difficult</w:t>
      </w:r>
      <w:r w:rsidR="00AF669F" w:rsidRPr="00FE7DE3">
        <w:rPr>
          <w:rFonts w:ascii="Times New Roman" w:hAnsi="Times New Roman" w:cs="Times New Roman"/>
        </w:rPr>
        <w:t>y in complet</w:t>
      </w:r>
      <w:r w:rsidR="00382A13" w:rsidRPr="00FE7DE3">
        <w:rPr>
          <w:rFonts w:ascii="Times New Roman" w:hAnsi="Times New Roman" w:cs="Times New Roman"/>
        </w:rPr>
        <w:t>ing</w:t>
      </w:r>
      <w:r w:rsidR="00DF4F94" w:rsidRPr="00FE7DE3">
        <w:rPr>
          <w:rFonts w:ascii="Times New Roman" w:hAnsi="Times New Roman" w:cs="Times New Roman"/>
        </w:rPr>
        <w:t xml:space="preserve"> daily activities </w:t>
      </w:r>
      <w:r w:rsidR="00AF669F" w:rsidRPr="00FE7DE3">
        <w:rPr>
          <w:rFonts w:ascii="Times New Roman" w:hAnsi="Times New Roman" w:cs="Times New Roman"/>
        </w:rPr>
        <w:t>“</w:t>
      </w:r>
      <w:r w:rsidR="00DF4F94" w:rsidRPr="00FE7DE3">
        <w:rPr>
          <w:rFonts w:ascii="Times New Roman" w:hAnsi="Times New Roman" w:cs="Times New Roman"/>
          <w:i/>
          <w:iCs/>
        </w:rPr>
        <w:t>all of the time</w:t>
      </w:r>
      <w:r w:rsidR="00AF669F" w:rsidRPr="00FE7DE3">
        <w:rPr>
          <w:rFonts w:ascii="Times New Roman" w:hAnsi="Times New Roman" w:cs="Times New Roman"/>
        </w:rPr>
        <w:t>”</w:t>
      </w:r>
      <w:r w:rsidR="00DF4F94" w:rsidRPr="00FE7DE3">
        <w:rPr>
          <w:rFonts w:ascii="Times New Roman" w:hAnsi="Times New Roman" w:cs="Times New Roman"/>
        </w:rPr>
        <w:t xml:space="preserve">, </w:t>
      </w:r>
      <w:r w:rsidR="00AF669F" w:rsidRPr="00FE7DE3">
        <w:rPr>
          <w:rFonts w:ascii="Times New Roman" w:hAnsi="Times New Roman" w:cs="Times New Roman"/>
        </w:rPr>
        <w:t>31%</w:t>
      </w:r>
      <w:r w:rsidR="00DF4F94" w:rsidRPr="00FE7DE3">
        <w:rPr>
          <w:rFonts w:ascii="Times New Roman" w:hAnsi="Times New Roman" w:cs="Times New Roman"/>
        </w:rPr>
        <w:t xml:space="preserve"> (n=115) </w:t>
      </w:r>
      <w:r w:rsidR="00AF669F" w:rsidRPr="00FE7DE3">
        <w:rPr>
          <w:rFonts w:ascii="Times New Roman" w:hAnsi="Times New Roman" w:cs="Times New Roman"/>
        </w:rPr>
        <w:t xml:space="preserve"> reported difficulty “</w:t>
      </w:r>
      <w:r w:rsidR="00DF4F94" w:rsidRPr="00FE7DE3">
        <w:rPr>
          <w:rFonts w:ascii="Times New Roman" w:hAnsi="Times New Roman" w:cs="Times New Roman"/>
          <w:i/>
          <w:iCs/>
        </w:rPr>
        <w:t>most of the time</w:t>
      </w:r>
      <w:r w:rsidR="00AF669F" w:rsidRPr="00FE7DE3">
        <w:rPr>
          <w:rFonts w:ascii="Times New Roman" w:hAnsi="Times New Roman" w:cs="Times New Roman"/>
        </w:rPr>
        <w:t>”, 39%</w:t>
      </w:r>
      <w:r w:rsidR="00DF4F94" w:rsidRPr="00FE7DE3">
        <w:rPr>
          <w:rFonts w:ascii="Times New Roman" w:hAnsi="Times New Roman" w:cs="Times New Roman"/>
        </w:rPr>
        <w:t xml:space="preserve">(n=143) </w:t>
      </w:r>
      <w:r w:rsidR="00AF669F" w:rsidRPr="00FE7DE3">
        <w:rPr>
          <w:rFonts w:ascii="Times New Roman" w:hAnsi="Times New Roman" w:cs="Times New Roman"/>
        </w:rPr>
        <w:t>reported difficulty “</w:t>
      </w:r>
      <w:r w:rsidR="00DF4F94" w:rsidRPr="00FE7DE3">
        <w:rPr>
          <w:rFonts w:ascii="Times New Roman" w:hAnsi="Times New Roman" w:cs="Times New Roman"/>
          <w:i/>
          <w:iCs/>
        </w:rPr>
        <w:t>some of the time</w:t>
      </w:r>
      <w:r w:rsidR="00AF669F" w:rsidRPr="00FE7DE3">
        <w:rPr>
          <w:rFonts w:ascii="Times New Roman" w:hAnsi="Times New Roman" w:cs="Times New Roman"/>
        </w:rPr>
        <w:t>”</w:t>
      </w:r>
      <w:r w:rsidR="00DF4F94" w:rsidRPr="00FE7DE3">
        <w:rPr>
          <w:rFonts w:ascii="Times New Roman" w:hAnsi="Times New Roman" w:cs="Times New Roman"/>
        </w:rPr>
        <w:t>, and 5% (n=33) reported that their COVID-19 symptoms d</w:t>
      </w:r>
      <w:r w:rsidR="00AF669F" w:rsidRPr="00FE7DE3">
        <w:rPr>
          <w:rFonts w:ascii="Times New Roman" w:hAnsi="Times New Roman" w:cs="Times New Roman"/>
        </w:rPr>
        <w:t>id</w:t>
      </w:r>
      <w:r w:rsidR="00DF4F94" w:rsidRPr="00FE7DE3">
        <w:rPr>
          <w:rFonts w:ascii="Times New Roman" w:hAnsi="Times New Roman" w:cs="Times New Roman"/>
        </w:rPr>
        <w:t xml:space="preserve"> not affect their ability to complete daily tasks. </w:t>
      </w:r>
    </w:p>
    <w:p w14:paraId="0F9841CC" w14:textId="6F26ADE2" w:rsidR="00BF10FB" w:rsidRPr="00FE7DE3" w:rsidRDefault="00BF10FB" w:rsidP="00BF10FB">
      <w:pPr>
        <w:spacing w:line="480" w:lineRule="auto"/>
        <w:jc w:val="center"/>
        <w:rPr>
          <w:rFonts w:ascii="Times New Roman" w:hAnsi="Times New Roman" w:cs="Times New Roman"/>
          <w:b/>
          <w:bCs/>
          <w:lang w:val="en-US"/>
        </w:rPr>
      </w:pPr>
      <w:r w:rsidRPr="00FE7DE3">
        <w:rPr>
          <w:rFonts w:ascii="Times New Roman" w:hAnsi="Times New Roman" w:cs="Times New Roman"/>
          <w:b/>
          <w:bCs/>
        </w:rPr>
        <w:t>**Table 1 around here**</w:t>
      </w:r>
    </w:p>
    <w:p w14:paraId="0CC68B49" w14:textId="19D7ED06" w:rsidR="00304418" w:rsidRPr="00FE7DE3" w:rsidRDefault="00304418" w:rsidP="00432BCB">
      <w:pPr>
        <w:spacing w:line="480" w:lineRule="auto"/>
        <w:jc w:val="both"/>
        <w:rPr>
          <w:rFonts w:ascii="Times New Roman" w:hAnsi="Times New Roman" w:cs="Times New Roman"/>
          <w:b/>
          <w:bCs/>
          <w:lang w:val="en-US"/>
        </w:rPr>
      </w:pPr>
      <w:r w:rsidRPr="00FE7DE3">
        <w:rPr>
          <w:rFonts w:ascii="Times New Roman" w:hAnsi="Times New Roman" w:cs="Times New Roman"/>
          <w:b/>
          <w:bCs/>
          <w:lang w:val="en-US"/>
        </w:rPr>
        <w:t>3.</w:t>
      </w:r>
      <w:r w:rsidR="00823B5C" w:rsidRPr="00FE7DE3">
        <w:rPr>
          <w:rFonts w:ascii="Times New Roman" w:hAnsi="Times New Roman" w:cs="Times New Roman"/>
          <w:b/>
          <w:bCs/>
          <w:lang w:val="en-US"/>
        </w:rPr>
        <w:t>5</w:t>
      </w:r>
      <w:r w:rsidRPr="00FE7DE3">
        <w:rPr>
          <w:rFonts w:ascii="Times New Roman" w:hAnsi="Times New Roman" w:cs="Times New Roman"/>
          <w:b/>
          <w:bCs/>
          <w:lang w:val="en-US"/>
        </w:rPr>
        <w:t xml:space="preserve"> Sleep Quality </w:t>
      </w:r>
    </w:p>
    <w:p w14:paraId="31B48AA8" w14:textId="732F3C81" w:rsidR="00B52864" w:rsidRPr="00FE7DE3" w:rsidRDefault="007F11A7" w:rsidP="00432BCB">
      <w:pPr>
        <w:spacing w:line="480" w:lineRule="auto"/>
        <w:jc w:val="both"/>
        <w:rPr>
          <w:rFonts w:ascii="Times New Roman" w:hAnsi="Times New Roman" w:cs="Times New Roman"/>
          <w:lang w:val="en-US"/>
        </w:rPr>
      </w:pPr>
      <w:r w:rsidRPr="00FE7DE3">
        <w:rPr>
          <w:rFonts w:ascii="Times New Roman" w:hAnsi="Times New Roman" w:cs="Times New Roman"/>
        </w:rPr>
        <w:t>An increase in daytime sleeping was reported by e</w:t>
      </w:r>
      <w:r w:rsidR="00B77310" w:rsidRPr="00FE7DE3">
        <w:rPr>
          <w:rFonts w:ascii="Times New Roman" w:hAnsi="Times New Roman" w:cs="Times New Roman"/>
        </w:rPr>
        <w:t>ighty-thre</w:t>
      </w:r>
      <w:r w:rsidRPr="00FE7DE3">
        <w:rPr>
          <w:rFonts w:ascii="Times New Roman" w:hAnsi="Times New Roman" w:cs="Times New Roman"/>
        </w:rPr>
        <w:t xml:space="preserve">e percent </w:t>
      </w:r>
      <w:r w:rsidR="00B77310" w:rsidRPr="00FE7DE3">
        <w:rPr>
          <w:rFonts w:ascii="Times New Roman" w:hAnsi="Times New Roman" w:cs="Times New Roman"/>
        </w:rPr>
        <w:t>(</w:t>
      </w:r>
      <w:r w:rsidR="00B77310" w:rsidRPr="00FE7DE3">
        <w:rPr>
          <w:rFonts w:ascii="Times New Roman" w:hAnsi="Times New Roman" w:cs="Times New Roman"/>
          <w:i/>
          <w:iCs/>
        </w:rPr>
        <w:t>n</w:t>
      </w:r>
      <w:r w:rsidR="00B77310" w:rsidRPr="00FE7DE3">
        <w:rPr>
          <w:rFonts w:ascii="Times New Roman" w:hAnsi="Times New Roman" w:cs="Times New Roman"/>
        </w:rPr>
        <w:t xml:space="preserve">=318) </w:t>
      </w:r>
      <w:r w:rsidR="00526B2F" w:rsidRPr="00FE7DE3">
        <w:rPr>
          <w:rFonts w:ascii="Times New Roman" w:hAnsi="Times New Roman" w:cs="Times New Roman"/>
        </w:rPr>
        <w:t xml:space="preserve">of participants </w:t>
      </w:r>
      <w:r w:rsidRPr="00FE7DE3">
        <w:rPr>
          <w:rFonts w:ascii="Times New Roman" w:hAnsi="Times New Roman" w:cs="Times New Roman"/>
        </w:rPr>
        <w:t xml:space="preserve">as a result of COVID-19 symptoms. </w:t>
      </w:r>
      <w:r w:rsidR="00931166" w:rsidRPr="00FE7DE3">
        <w:rPr>
          <w:rFonts w:ascii="Times New Roman" w:hAnsi="Times New Roman" w:cs="Times New Roman"/>
        </w:rPr>
        <w:t>There was a reduction in sleep quality found in those with increased daytime sleeping (</w:t>
      </w:r>
      <w:proofErr w:type="gramStart"/>
      <w:r w:rsidR="00931166" w:rsidRPr="00FE7DE3">
        <w:rPr>
          <w:rFonts w:ascii="Times New Roman" w:hAnsi="Times New Roman" w:cs="Times New Roman"/>
          <w:i/>
          <w:iCs/>
        </w:rPr>
        <w:t>H</w:t>
      </w:r>
      <w:r w:rsidR="00931166" w:rsidRPr="00FE7DE3">
        <w:rPr>
          <w:rFonts w:ascii="Times New Roman" w:hAnsi="Times New Roman" w:cs="Times New Roman"/>
          <w:vertAlign w:val="subscript"/>
        </w:rPr>
        <w:t>(</w:t>
      </w:r>
      <w:proofErr w:type="gramEnd"/>
      <w:r w:rsidR="00F63882" w:rsidRPr="00FE7DE3">
        <w:rPr>
          <w:rFonts w:ascii="Times New Roman" w:hAnsi="Times New Roman" w:cs="Times New Roman"/>
          <w:vertAlign w:val="subscript"/>
        </w:rPr>
        <w:t>2)</w:t>
      </w:r>
      <w:r w:rsidR="00F63882" w:rsidRPr="00FE7DE3">
        <w:rPr>
          <w:rFonts w:ascii="Times New Roman" w:hAnsi="Times New Roman" w:cs="Times New Roman"/>
        </w:rPr>
        <w:t xml:space="preserve"> =</w:t>
      </w:r>
      <w:r w:rsidR="00931166" w:rsidRPr="00FE7DE3">
        <w:rPr>
          <w:rFonts w:ascii="Times New Roman" w:hAnsi="Times New Roman" w:cs="Times New Roman"/>
        </w:rPr>
        <w:t xml:space="preserve">16.3, </w:t>
      </w:r>
      <w:r w:rsidR="00931166" w:rsidRPr="00FE7DE3">
        <w:rPr>
          <w:rFonts w:ascii="Times New Roman" w:hAnsi="Times New Roman" w:cs="Times New Roman"/>
          <w:i/>
          <w:iCs/>
        </w:rPr>
        <w:t>p</w:t>
      </w:r>
      <w:r w:rsidR="00931166" w:rsidRPr="00FE7DE3">
        <w:rPr>
          <w:rFonts w:ascii="Times New Roman" w:hAnsi="Times New Roman" w:cs="Times New Roman"/>
        </w:rPr>
        <w:t>&lt;0.001), and an increase in sleep duration after experiencing symptoms of COVID-19 (</w:t>
      </w:r>
      <w:r w:rsidR="00931166" w:rsidRPr="00FE7DE3">
        <w:rPr>
          <w:rFonts w:ascii="Times New Roman" w:hAnsi="Times New Roman" w:cs="Times New Roman"/>
          <w:i/>
          <w:iCs/>
        </w:rPr>
        <w:t>H</w:t>
      </w:r>
      <w:r w:rsidR="00931166" w:rsidRPr="00FE7DE3">
        <w:rPr>
          <w:rFonts w:ascii="Times New Roman" w:hAnsi="Times New Roman" w:cs="Times New Roman"/>
          <w:vertAlign w:val="subscript"/>
        </w:rPr>
        <w:t xml:space="preserve">(4) </w:t>
      </w:r>
      <w:r w:rsidR="00931166" w:rsidRPr="00FE7DE3">
        <w:rPr>
          <w:rFonts w:ascii="Times New Roman" w:hAnsi="Times New Roman" w:cs="Times New Roman"/>
        </w:rPr>
        <w:t xml:space="preserve">= 2.416, </w:t>
      </w:r>
      <w:r w:rsidR="00931166" w:rsidRPr="00FE7DE3">
        <w:rPr>
          <w:rFonts w:ascii="Times New Roman" w:hAnsi="Times New Roman" w:cs="Times New Roman"/>
          <w:i/>
          <w:iCs/>
        </w:rPr>
        <w:t>p</w:t>
      </w:r>
      <w:r w:rsidR="00931166" w:rsidRPr="00FE7DE3">
        <w:rPr>
          <w:rFonts w:ascii="Times New Roman" w:hAnsi="Times New Roman" w:cs="Times New Roman"/>
        </w:rPr>
        <w:t xml:space="preserve">&lt;0.001). </w:t>
      </w:r>
      <w:r w:rsidRPr="00FE7DE3">
        <w:rPr>
          <w:rFonts w:ascii="Times New Roman" w:hAnsi="Times New Roman" w:cs="Times New Roman"/>
        </w:rPr>
        <w:t>E</w:t>
      </w:r>
      <w:r w:rsidR="00B77310" w:rsidRPr="00FE7DE3">
        <w:rPr>
          <w:rFonts w:ascii="Times New Roman" w:hAnsi="Times New Roman" w:cs="Times New Roman"/>
        </w:rPr>
        <w:t>ighty-one</w:t>
      </w:r>
      <w:r w:rsidRPr="00FE7DE3">
        <w:rPr>
          <w:rFonts w:ascii="Times New Roman" w:hAnsi="Times New Roman" w:cs="Times New Roman"/>
        </w:rPr>
        <w:t xml:space="preserve"> percent</w:t>
      </w:r>
      <w:r w:rsidR="00B77310" w:rsidRPr="00FE7DE3">
        <w:rPr>
          <w:rFonts w:ascii="Times New Roman" w:hAnsi="Times New Roman" w:cs="Times New Roman"/>
        </w:rPr>
        <w:t xml:space="preserve"> (</w:t>
      </w:r>
      <w:r w:rsidR="00B77310" w:rsidRPr="00FE7DE3">
        <w:rPr>
          <w:rFonts w:ascii="Times New Roman" w:hAnsi="Times New Roman" w:cs="Times New Roman"/>
          <w:i/>
          <w:iCs/>
        </w:rPr>
        <w:t>n</w:t>
      </w:r>
      <w:r w:rsidR="00B77310" w:rsidRPr="00FE7DE3">
        <w:rPr>
          <w:rFonts w:ascii="Times New Roman" w:hAnsi="Times New Roman" w:cs="Times New Roman"/>
        </w:rPr>
        <w:t>=348)</w:t>
      </w:r>
      <w:r w:rsidRPr="00FE7DE3">
        <w:rPr>
          <w:rFonts w:ascii="Times New Roman" w:hAnsi="Times New Roman" w:cs="Times New Roman"/>
        </w:rPr>
        <w:t xml:space="preserve"> of participants</w:t>
      </w:r>
      <w:r w:rsidR="00B77310" w:rsidRPr="00FE7DE3">
        <w:rPr>
          <w:rFonts w:ascii="Times New Roman" w:hAnsi="Times New Roman" w:cs="Times New Roman"/>
        </w:rPr>
        <w:t xml:space="preserve"> reported a </w:t>
      </w:r>
      <w:r w:rsidR="00B73956" w:rsidRPr="00FE7DE3">
        <w:rPr>
          <w:rFonts w:ascii="Times New Roman" w:hAnsi="Times New Roman" w:cs="Times New Roman"/>
        </w:rPr>
        <w:t>change</w:t>
      </w:r>
      <w:r w:rsidR="00B77310" w:rsidRPr="00FE7DE3">
        <w:rPr>
          <w:rFonts w:ascii="Times New Roman" w:hAnsi="Times New Roman" w:cs="Times New Roman"/>
        </w:rPr>
        <w:t xml:space="preserve"> in sleep quality and </w:t>
      </w:r>
      <w:r w:rsidRPr="00FE7DE3">
        <w:rPr>
          <w:rFonts w:ascii="Times New Roman" w:hAnsi="Times New Roman" w:cs="Times New Roman"/>
        </w:rPr>
        <w:t>fifty-seven percent</w:t>
      </w:r>
      <w:r w:rsidR="00B77310" w:rsidRPr="00FE7DE3">
        <w:rPr>
          <w:rFonts w:ascii="Times New Roman" w:hAnsi="Times New Roman" w:cs="Times New Roman"/>
        </w:rPr>
        <w:t xml:space="preserve"> (</w:t>
      </w:r>
      <w:r w:rsidR="00B77310" w:rsidRPr="00FE7DE3">
        <w:rPr>
          <w:rFonts w:ascii="Times New Roman" w:hAnsi="Times New Roman" w:cs="Times New Roman"/>
          <w:i/>
          <w:iCs/>
        </w:rPr>
        <w:t>n</w:t>
      </w:r>
      <w:r w:rsidR="00B77310" w:rsidRPr="00FE7DE3">
        <w:rPr>
          <w:rFonts w:ascii="Times New Roman" w:hAnsi="Times New Roman" w:cs="Times New Roman"/>
        </w:rPr>
        <w:t xml:space="preserve">=216) reported COVID-19 related symptoms </w:t>
      </w:r>
      <w:r w:rsidR="0020171A" w:rsidRPr="00FE7DE3">
        <w:rPr>
          <w:rFonts w:ascii="Times New Roman" w:hAnsi="Times New Roman" w:cs="Times New Roman"/>
        </w:rPr>
        <w:t>were impacting</w:t>
      </w:r>
      <w:r w:rsidR="00B77310" w:rsidRPr="00FE7DE3">
        <w:rPr>
          <w:rFonts w:ascii="Times New Roman" w:hAnsi="Times New Roman" w:cs="Times New Roman"/>
        </w:rPr>
        <w:t xml:space="preserve"> their ability to get out of bed in the morning. Lower sleep quality was positively associated with reports of poor physical health (</w:t>
      </w:r>
      <w:r w:rsidR="00B77310" w:rsidRPr="00FE7DE3">
        <w:rPr>
          <w:rFonts w:ascii="Times New Roman" w:hAnsi="Times New Roman" w:cs="Times New Roman"/>
          <w:i/>
          <w:iCs/>
        </w:rPr>
        <w:t>r</w:t>
      </w:r>
      <w:r w:rsidR="00B77310" w:rsidRPr="00FE7DE3">
        <w:rPr>
          <w:rFonts w:ascii="Times New Roman" w:hAnsi="Times New Roman" w:cs="Times New Roman"/>
        </w:rPr>
        <w:t xml:space="preserve">=0.42, </w:t>
      </w:r>
      <w:r w:rsidR="00B77310" w:rsidRPr="00FE7DE3">
        <w:rPr>
          <w:rFonts w:ascii="Times New Roman" w:hAnsi="Times New Roman" w:cs="Times New Roman"/>
          <w:i/>
          <w:iCs/>
        </w:rPr>
        <w:t>n</w:t>
      </w:r>
      <w:r w:rsidR="00B77310" w:rsidRPr="00FE7DE3">
        <w:rPr>
          <w:rFonts w:ascii="Times New Roman" w:hAnsi="Times New Roman" w:cs="Times New Roman"/>
        </w:rPr>
        <w:t xml:space="preserve">=358, </w:t>
      </w:r>
      <w:r w:rsidR="00B77310" w:rsidRPr="00FE7DE3">
        <w:rPr>
          <w:rFonts w:ascii="Times New Roman" w:hAnsi="Times New Roman" w:cs="Times New Roman"/>
          <w:i/>
          <w:iCs/>
        </w:rPr>
        <w:t>p</w:t>
      </w:r>
      <w:r w:rsidR="00B77310" w:rsidRPr="00FE7DE3">
        <w:rPr>
          <w:rFonts w:ascii="Times New Roman" w:hAnsi="Times New Roman" w:cs="Times New Roman"/>
        </w:rPr>
        <w:t>&lt;0.001)</w:t>
      </w:r>
      <w:r w:rsidR="00EB6C98" w:rsidRPr="00FE7DE3">
        <w:rPr>
          <w:rFonts w:ascii="Times New Roman" w:hAnsi="Times New Roman" w:cs="Times New Roman"/>
        </w:rPr>
        <w:t xml:space="preserve"> </w:t>
      </w:r>
      <w:r w:rsidR="00B77310" w:rsidRPr="00FE7DE3">
        <w:rPr>
          <w:rFonts w:ascii="Times New Roman" w:hAnsi="Times New Roman" w:cs="Times New Roman"/>
        </w:rPr>
        <w:t>and the number of initial symptoms (</w:t>
      </w:r>
      <w:r w:rsidR="00B77310" w:rsidRPr="00FE7DE3">
        <w:rPr>
          <w:rFonts w:ascii="Times New Roman" w:hAnsi="Times New Roman" w:cs="Times New Roman"/>
          <w:i/>
          <w:iCs/>
        </w:rPr>
        <w:t>r</w:t>
      </w:r>
      <w:r w:rsidR="00B77310" w:rsidRPr="00FE7DE3">
        <w:rPr>
          <w:rFonts w:ascii="Times New Roman" w:hAnsi="Times New Roman" w:cs="Times New Roman"/>
        </w:rPr>
        <w:t xml:space="preserve">=0.35, </w:t>
      </w:r>
      <w:r w:rsidR="00B77310" w:rsidRPr="00FE7DE3">
        <w:rPr>
          <w:rFonts w:ascii="Times New Roman" w:hAnsi="Times New Roman" w:cs="Times New Roman"/>
          <w:i/>
          <w:iCs/>
        </w:rPr>
        <w:t>n</w:t>
      </w:r>
      <w:r w:rsidR="00B77310" w:rsidRPr="00FE7DE3">
        <w:rPr>
          <w:rFonts w:ascii="Times New Roman" w:hAnsi="Times New Roman" w:cs="Times New Roman"/>
        </w:rPr>
        <w:t xml:space="preserve">=358, </w:t>
      </w:r>
      <w:r w:rsidR="00B77310" w:rsidRPr="00FE7DE3">
        <w:rPr>
          <w:rFonts w:ascii="Times New Roman" w:hAnsi="Times New Roman" w:cs="Times New Roman"/>
          <w:i/>
          <w:iCs/>
        </w:rPr>
        <w:t>p</w:t>
      </w:r>
      <w:r w:rsidR="00B77310" w:rsidRPr="00FE7DE3">
        <w:rPr>
          <w:rFonts w:ascii="Times New Roman" w:hAnsi="Times New Roman" w:cs="Times New Roman"/>
        </w:rPr>
        <w:t xml:space="preserve">&lt;0.001). </w:t>
      </w:r>
      <w:r w:rsidR="00595681" w:rsidRPr="00FE7DE3">
        <w:rPr>
          <w:rFonts w:ascii="Times New Roman" w:hAnsi="Times New Roman" w:cs="Times New Roman"/>
        </w:rPr>
        <w:t>Forty-nine percent (</w:t>
      </w:r>
      <w:r w:rsidR="00595681" w:rsidRPr="00FE7DE3">
        <w:rPr>
          <w:rFonts w:ascii="Times New Roman" w:hAnsi="Times New Roman" w:cs="Times New Roman"/>
          <w:i/>
          <w:iCs/>
        </w:rPr>
        <w:t>n</w:t>
      </w:r>
      <w:r w:rsidR="00595681" w:rsidRPr="00FE7DE3">
        <w:rPr>
          <w:rFonts w:ascii="Times New Roman" w:hAnsi="Times New Roman" w:cs="Times New Roman"/>
        </w:rPr>
        <w:t xml:space="preserve">=188) of participants </w:t>
      </w:r>
      <w:r w:rsidR="00931166" w:rsidRPr="00FE7DE3">
        <w:rPr>
          <w:rFonts w:ascii="Times New Roman" w:hAnsi="Times New Roman" w:cs="Times New Roman"/>
        </w:rPr>
        <w:t xml:space="preserve">also </w:t>
      </w:r>
      <w:r w:rsidR="00595681" w:rsidRPr="00FE7DE3">
        <w:rPr>
          <w:rFonts w:ascii="Times New Roman" w:hAnsi="Times New Roman" w:cs="Times New Roman"/>
        </w:rPr>
        <w:t>reported taking longer to fall asleep since experiencing symptoms of COVID-19, with 51% (</w:t>
      </w:r>
      <w:r w:rsidR="00595681" w:rsidRPr="00FE7DE3">
        <w:rPr>
          <w:rFonts w:ascii="Times New Roman" w:hAnsi="Times New Roman" w:cs="Times New Roman"/>
          <w:i/>
          <w:iCs/>
        </w:rPr>
        <w:t>n</w:t>
      </w:r>
      <w:r w:rsidR="00595681" w:rsidRPr="00FE7DE3">
        <w:rPr>
          <w:rFonts w:ascii="Times New Roman" w:hAnsi="Times New Roman" w:cs="Times New Roman"/>
        </w:rPr>
        <w:t>=193) sleeping ‘</w:t>
      </w:r>
      <w:r w:rsidR="00595681" w:rsidRPr="00FE7DE3">
        <w:rPr>
          <w:rFonts w:ascii="Times New Roman" w:hAnsi="Times New Roman" w:cs="Times New Roman"/>
          <w:i/>
          <w:iCs/>
        </w:rPr>
        <w:t xml:space="preserve">a little less’ </w:t>
      </w:r>
      <w:r w:rsidR="00595681" w:rsidRPr="00FE7DE3">
        <w:rPr>
          <w:rFonts w:ascii="Times New Roman" w:hAnsi="Times New Roman" w:cs="Times New Roman"/>
        </w:rPr>
        <w:t>or ‘</w:t>
      </w:r>
      <w:r w:rsidR="00595681" w:rsidRPr="00FE7DE3">
        <w:rPr>
          <w:rFonts w:ascii="Times New Roman" w:hAnsi="Times New Roman" w:cs="Times New Roman"/>
          <w:i/>
          <w:iCs/>
        </w:rPr>
        <w:t>a lot less</w:t>
      </w:r>
      <w:r w:rsidR="00595681" w:rsidRPr="00FE7DE3">
        <w:rPr>
          <w:rFonts w:ascii="Times New Roman" w:hAnsi="Times New Roman" w:cs="Times New Roman"/>
        </w:rPr>
        <w:t xml:space="preserve">’ </w:t>
      </w:r>
      <w:r w:rsidR="00EB6C98" w:rsidRPr="00FE7DE3">
        <w:rPr>
          <w:rFonts w:ascii="Times New Roman" w:hAnsi="Times New Roman" w:cs="Times New Roman"/>
        </w:rPr>
        <w:t xml:space="preserve">compared with </w:t>
      </w:r>
      <w:r w:rsidR="00595681" w:rsidRPr="00FE7DE3">
        <w:rPr>
          <w:rFonts w:ascii="Times New Roman" w:hAnsi="Times New Roman" w:cs="Times New Roman"/>
        </w:rPr>
        <w:t xml:space="preserve">pre-COVID levels. </w:t>
      </w:r>
    </w:p>
    <w:p w14:paraId="2C71B067" w14:textId="77777777" w:rsidR="005B3DF1" w:rsidRPr="00FE7DE3" w:rsidRDefault="00304418" w:rsidP="005B3DF1">
      <w:pPr>
        <w:spacing w:line="480" w:lineRule="auto"/>
        <w:jc w:val="both"/>
        <w:rPr>
          <w:rFonts w:ascii="Times New Roman" w:hAnsi="Times New Roman" w:cs="Times New Roman"/>
          <w:b/>
          <w:bCs/>
          <w:lang w:val="en-US"/>
        </w:rPr>
      </w:pPr>
      <w:r w:rsidRPr="00FE7DE3">
        <w:rPr>
          <w:rFonts w:ascii="Times New Roman" w:hAnsi="Times New Roman" w:cs="Times New Roman"/>
          <w:b/>
          <w:bCs/>
          <w:lang w:val="en-US"/>
        </w:rPr>
        <w:t>3.</w:t>
      </w:r>
      <w:r w:rsidR="00823B5C" w:rsidRPr="00FE7DE3">
        <w:rPr>
          <w:rFonts w:ascii="Times New Roman" w:hAnsi="Times New Roman" w:cs="Times New Roman"/>
          <w:b/>
          <w:bCs/>
          <w:lang w:val="en-US"/>
        </w:rPr>
        <w:t>6</w:t>
      </w:r>
      <w:r w:rsidRPr="00FE7DE3">
        <w:rPr>
          <w:rFonts w:ascii="Times New Roman" w:hAnsi="Times New Roman" w:cs="Times New Roman"/>
          <w:b/>
          <w:bCs/>
          <w:lang w:val="en-US"/>
        </w:rPr>
        <w:t xml:space="preserve"> Breathlessnes</w:t>
      </w:r>
      <w:r w:rsidR="005B3DF1" w:rsidRPr="00FE7DE3">
        <w:rPr>
          <w:rFonts w:ascii="Times New Roman" w:hAnsi="Times New Roman" w:cs="Times New Roman"/>
          <w:b/>
          <w:bCs/>
          <w:lang w:val="en-US"/>
        </w:rPr>
        <w:t>s</w:t>
      </w:r>
    </w:p>
    <w:p w14:paraId="1144D404" w14:textId="2D4AA52E" w:rsidR="005B3DF1" w:rsidRPr="00FE7DE3" w:rsidRDefault="00E753C0" w:rsidP="007D2BBC">
      <w:pPr>
        <w:spacing w:line="480" w:lineRule="auto"/>
        <w:jc w:val="both"/>
        <w:rPr>
          <w:rFonts w:ascii="Times New Roman" w:hAnsi="Times New Roman" w:cs="Times New Roman"/>
          <w:b/>
          <w:bCs/>
          <w:lang w:val="en-US"/>
        </w:rPr>
      </w:pPr>
      <w:r w:rsidRPr="00FE7DE3">
        <w:rPr>
          <w:rFonts w:ascii="Times New Roman" w:hAnsi="Times New Roman" w:cs="Times New Roman"/>
        </w:rPr>
        <w:t>Fifty-eight percent</w:t>
      </w:r>
      <w:r w:rsidR="005B3DF1" w:rsidRPr="00FE7DE3">
        <w:rPr>
          <w:rFonts w:ascii="Times New Roman" w:hAnsi="Times New Roman" w:cs="Times New Roman"/>
        </w:rPr>
        <w:t xml:space="preserve"> (</w:t>
      </w:r>
      <w:r w:rsidR="005B3DF1" w:rsidRPr="00FE7DE3">
        <w:rPr>
          <w:rFonts w:ascii="Times New Roman" w:hAnsi="Times New Roman" w:cs="Times New Roman"/>
          <w:i/>
          <w:iCs/>
        </w:rPr>
        <w:t>n</w:t>
      </w:r>
      <w:r w:rsidR="005B3DF1" w:rsidRPr="00FE7DE3">
        <w:rPr>
          <w:rFonts w:ascii="Times New Roman" w:hAnsi="Times New Roman" w:cs="Times New Roman"/>
        </w:rPr>
        <w:t xml:space="preserve">=221) </w:t>
      </w:r>
      <w:r w:rsidRPr="00FE7DE3">
        <w:rPr>
          <w:rFonts w:ascii="Times New Roman" w:hAnsi="Times New Roman" w:cs="Times New Roman"/>
        </w:rPr>
        <w:t xml:space="preserve">of participants </w:t>
      </w:r>
      <w:r w:rsidR="005B3DF1" w:rsidRPr="00FE7DE3">
        <w:rPr>
          <w:rFonts w:ascii="Times New Roman" w:hAnsi="Times New Roman" w:cs="Times New Roman"/>
        </w:rPr>
        <w:t>reported</w:t>
      </w:r>
      <w:r w:rsidR="007F11A7" w:rsidRPr="00FE7DE3">
        <w:rPr>
          <w:rFonts w:ascii="Times New Roman" w:hAnsi="Times New Roman" w:cs="Times New Roman"/>
        </w:rPr>
        <w:t xml:space="preserve"> symptoms of</w:t>
      </w:r>
      <w:r w:rsidR="005B3DF1" w:rsidRPr="00FE7DE3">
        <w:rPr>
          <w:rFonts w:ascii="Times New Roman" w:hAnsi="Times New Roman" w:cs="Times New Roman"/>
        </w:rPr>
        <w:t xml:space="preserve"> breathlessness ha</w:t>
      </w:r>
      <w:r w:rsidRPr="00FE7DE3">
        <w:rPr>
          <w:rFonts w:ascii="Times New Roman" w:hAnsi="Times New Roman" w:cs="Times New Roman"/>
        </w:rPr>
        <w:t>d</w:t>
      </w:r>
      <w:r w:rsidR="005B3DF1" w:rsidRPr="00FE7DE3">
        <w:rPr>
          <w:rFonts w:ascii="Times New Roman" w:hAnsi="Times New Roman" w:cs="Times New Roman"/>
        </w:rPr>
        <w:t xml:space="preserve"> made </w:t>
      </w:r>
      <w:r w:rsidRPr="00FE7DE3">
        <w:rPr>
          <w:rFonts w:ascii="Times New Roman" w:hAnsi="Times New Roman" w:cs="Times New Roman"/>
        </w:rPr>
        <w:t>them</w:t>
      </w:r>
      <w:r w:rsidR="005B3DF1" w:rsidRPr="00FE7DE3">
        <w:rPr>
          <w:rFonts w:ascii="Times New Roman" w:hAnsi="Times New Roman" w:cs="Times New Roman"/>
        </w:rPr>
        <w:t xml:space="preserve"> unable to complete </w:t>
      </w:r>
      <w:r w:rsidR="00A11D9A" w:rsidRPr="00FE7DE3">
        <w:rPr>
          <w:rFonts w:ascii="Times New Roman" w:hAnsi="Times New Roman" w:cs="Times New Roman"/>
        </w:rPr>
        <w:t xml:space="preserve">their typical activities of </w:t>
      </w:r>
      <w:r w:rsidR="005B3DF1" w:rsidRPr="00FE7DE3">
        <w:rPr>
          <w:rFonts w:ascii="Times New Roman" w:hAnsi="Times New Roman" w:cs="Times New Roman"/>
        </w:rPr>
        <w:t xml:space="preserve">daily </w:t>
      </w:r>
      <w:r w:rsidR="00A11D9A" w:rsidRPr="00FE7DE3">
        <w:rPr>
          <w:rFonts w:ascii="Times New Roman" w:hAnsi="Times New Roman" w:cs="Times New Roman"/>
        </w:rPr>
        <w:t>living</w:t>
      </w:r>
      <w:r w:rsidR="00161CF6" w:rsidRPr="00FE7DE3">
        <w:rPr>
          <w:rFonts w:ascii="Times New Roman" w:hAnsi="Times New Roman" w:cs="Times New Roman"/>
        </w:rPr>
        <w:t xml:space="preserve"> </w:t>
      </w:r>
      <w:r w:rsidR="00A04A00" w:rsidRPr="00FE7DE3">
        <w:rPr>
          <w:rFonts w:ascii="Times New Roman" w:hAnsi="Times New Roman" w:cs="Times New Roman"/>
        </w:rPr>
        <w:t>compared with pre-</w:t>
      </w:r>
      <w:r w:rsidR="005B3DF1" w:rsidRPr="00FE7DE3">
        <w:rPr>
          <w:rFonts w:ascii="Times New Roman" w:hAnsi="Times New Roman" w:cs="Times New Roman"/>
        </w:rPr>
        <w:t>COVID-19.</w:t>
      </w:r>
      <w:r w:rsidR="00A04A00" w:rsidRPr="00FE7DE3">
        <w:rPr>
          <w:rFonts w:ascii="Times New Roman" w:hAnsi="Times New Roman" w:cs="Times New Roman"/>
        </w:rPr>
        <w:t xml:space="preserve"> </w:t>
      </w:r>
      <w:r w:rsidR="00286931" w:rsidRPr="00FE7DE3">
        <w:rPr>
          <w:rFonts w:ascii="Times New Roman" w:hAnsi="Times New Roman" w:cs="Times New Roman"/>
        </w:rPr>
        <w:t>Five pre</w:t>
      </w:r>
      <w:r w:rsidR="00161CF6" w:rsidRPr="00FE7DE3">
        <w:rPr>
          <w:rFonts w:ascii="Times New Roman" w:hAnsi="Times New Roman" w:cs="Times New Roman"/>
        </w:rPr>
        <w:t>c</w:t>
      </w:r>
      <w:r w:rsidR="00286931" w:rsidRPr="00FE7DE3">
        <w:rPr>
          <w:rFonts w:ascii="Times New Roman" w:hAnsi="Times New Roman" w:cs="Times New Roman"/>
        </w:rPr>
        <w:t xml:space="preserve">ent </w:t>
      </w:r>
      <w:r w:rsidR="005B3DF1" w:rsidRPr="00FE7DE3">
        <w:rPr>
          <w:rFonts w:ascii="Times New Roman" w:hAnsi="Times New Roman" w:cs="Times New Roman"/>
        </w:rPr>
        <w:t>(</w:t>
      </w:r>
      <w:r w:rsidR="005B3DF1" w:rsidRPr="00FE7DE3">
        <w:rPr>
          <w:rFonts w:ascii="Times New Roman" w:hAnsi="Times New Roman" w:cs="Times New Roman"/>
          <w:i/>
          <w:iCs/>
        </w:rPr>
        <w:t>n</w:t>
      </w:r>
      <w:r w:rsidR="005B3DF1" w:rsidRPr="00FE7DE3">
        <w:rPr>
          <w:rFonts w:ascii="Times New Roman" w:hAnsi="Times New Roman" w:cs="Times New Roman"/>
        </w:rPr>
        <w:t xml:space="preserve">=19) </w:t>
      </w:r>
      <w:r w:rsidR="00B77310" w:rsidRPr="00FE7DE3">
        <w:rPr>
          <w:rFonts w:ascii="Times New Roman" w:hAnsi="Times New Roman" w:cs="Times New Roman"/>
        </w:rPr>
        <w:lastRenderedPageBreak/>
        <w:t xml:space="preserve">of participants reported they </w:t>
      </w:r>
      <w:r w:rsidR="005B3DF1" w:rsidRPr="00FE7DE3">
        <w:rPr>
          <w:rFonts w:ascii="Times New Roman" w:hAnsi="Times New Roman" w:cs="Times New Roman"/>
        </w:rPr>
        <w:t xml:space="preserve">were unable to leave the house due to </w:t>
      </w:r>
      <w:r w:rsidR="00B73956" w:rsidRPr="00FE7DE3">
        <w:rPr>
          <w:rFonts w:ascii="Times New Roman" w:hAnsi="Times New Roman" w:cs="Times New Roman"/>
        </w:rPr>
        <w:t xml:space="preserve">COVID-19 related </w:t>
      </w:r>
      <w:r w:rsidR="005B3DF1" w:rsidRPr="00FE7DE3">
        <w:rPr>
          <w:rFonts w:ascii="Times New Roman" w:hAnsi="Times New Roman" w:cs="Times New Roman"/>
        </w:rPr>
        <w:t>breathlessness. Thirty-two percent (</w:t>
      </w:r>
      <w:r w:rsidR="005B3DF1" w:rsidRPr="00FE7DE3">
        <w:rPr>
          <w:rFonts w:ascii="Times New Roman" w:hAnsi="Times New Roman" w:cs="Times New Roman"/>
          <w:i/>
          <w:iCs/>
        </w:rPr>
        <w:t>n</w:t>
      </w:r>
      <w:r w:rsidR="005B3DF1" w:rsidRPr="00FE7DE3">
        <w:rPr>
          <w:rFonts w:ascii="Times New Roman" w:hAnsi="Times New Roman" w:cs="Times New Roman"/>
        </w:rPr>
        <w:t>=122) and twenty-six percent (</w:t>
      </w:r>
      <w:r w:rsidR="005B3DF1" w:rsidRPr="00FE7DE3">
        <w:rPr>
          <w:rFonts w:ascii="Times New Roman" w:hAnsi="Times New Roman" w:cs="Times New Roman"/>
          <w:i/>
          <w:iCs/>
        </w:rPr>
        <w:t>n</w:t>
      </w:r>
      <w:r w:rsidR="005B3DF1" w:rsidRPr="00FE7DE3">
        <w:rPr>
          <w:rFonts w:ascii="Times New Roman" w:hAnsi="Times New Roman" w:cs="Times New Roman"/>
        </w:rPr>
        <w:t>=100) report</w:t>
      </w:r>
      <w:r w:rsidR="00B77310" w:rsidRPr="00FE7DE3">
        <w:rPr>
          <w:rFonts w:ascii="Times New Roman" w:hAnsi="Times New Roman" w:cs="Times New Roman"/>
        </w:rPr>
        <w:t>ed</w:t>
      </w:r>
      <w:r w:rsidR="005B3DF1" w:rsidRPr="00FE7DE3">
        <w:rPr>
          <w:rFonts w:ascii="Times New Roman" w:hAnsi="Times New Roman" w:cs="Times New Roman"/>
        </w:rPr>
        <w:t xml:space="preserve"> being short of breath whilst hurrying or having to stop after </w:t>
      </w:r>
      <w:r w:rsidR="00A04A00" w:rsidRPr="00FE7DE3">
        <w:rPr>
          <w:rFonts w:ascii="Times New Roman" w:hAnsi="Times New Roman" w:cs="Times New Roman"/>
        </w:rPr>
        <w:t>short periods of activity</w:t>
      </w:r>
      <w:r w:rsidR="005B3DF1" w:rsidRPr="00FE7DE3">
        <w:rPr>
          <w:rFonts w:ascii="Times New Roman" w:hAnsi="Times New Roman" w:cs="Times New Roman"/>
        </w:rPr>
        <w:t xml:space="preserve">, respectively. </w:t>
      </w:r>
    </w:p>
    <w:p w14:paraId="2F045A3D" w14:textId="1B2083E7" w:rsidR="00D442CD" w:rsidRPr="00FE7DE3" w:rsidRDefault="00304418" w:rsidP="007D2BBC">
      <w:pPr>
        <w:spacing w:line="360" w:lineRule="auto"/>
        <w:jc w:val="both"/>
        <w:rPr>
          <w:rFonts w:ascii="Times New Roman" w:hAnsi="Times New Roman" w:cs="Times New Roman"/>
          <w:b/>
          <w:bCs/>
          <w:lang w:val="en-US"/>
        </w:rPr>
      </w:pPr>
      <w:r w:rsidRPr="00FE7DE3">
        <w:rPr>
          <w:rFonts w:ascii="Times New Roman" w:hAnsi="Times New Roman" w:cs="Times New Roman"/>
          <w:b/>
          <w:bCs/>
          <w:lang w:val="en-US"/>
        </w:rPr>
        <w:t>3.</w:t>
      </w:r>
      <w:r w:rsidR="00823B5C" w:rsidRPr="00FE7DE3">
        <w:rPr>
          <w:rFonts w:ascii="Times New Roman" w:hAnsi="Times New Roman" w:cs="Times New Roman"/>
          <w:b/>
          <w:bCs/>
          <w:lang w:val="en-US"/>
        </w:rPr>
        <w:t>7</w:t>
      </w:r>
      <w:r w:rsidRPr="00FE7DE3">
        <w:rPr>
          <w:rFonts w:ascii="Times New Roman" w:hAnsi="Times New Roman" w:cs="Times New Roman"/>
          <w:b/>
          <w:bCs/>
          <w:lang w:val="en-US"/>
        </w:rPr>
        <w:t xml:space="preserve"> Physical Activity</w:t>
      </w:r>
    </w:p>
    <w:p w14:paraId="7C8D2104" w14:textId="3314EF88" w:rsidR="00CE1BEF" w:rsidRPr="00FE7DE3" w:rsidRDefault="00CE1BEF" w:rsidP="00AF669F">
      <w:pPr>
        <w:spacing w:line="480" w:lineRule="auto"/>
        <w:jc w:val="both"/>
        <w:rPr>
          <w:rFonts w:ascii="Times New Roman" w:hAnsi="Times New Roman" w:cs="Times New Roman"/>
        </w:rPr>
      </w:pPr>
      <w:r w:rsidRPr="00FE7DE3">
        <w:rPr>
          <w:rFonts w:ascii="Times New Roman" w:hAnsi="Times New Roman" w:cs="Times New Roman"/>
        </w:rPr>
        <w:t>Reportedly, the time taken for participants to return to their pre-COVID PA levels ranged from</w:t>
      </w:r>
      <w:r w:rsidR="00AF669F" w:rsidRPr="00FE7DE3">
        <w:rPr>
          <w:rFonts w:ascii="Times New Roman" w:hAnsi="Times New Roman" w:cs="Times New Roman"/>
        </w:rPr>
        <w:t>:</w:t>
      </w:r>
      <w:r w:rsidRPr="00FE7DE3">
        <w:rPr>
          <w:rFonts w:ascii="Times New Roman" w:hAnsi="Times New Roman" w:cs="Times New Roman"/>
        </w:rPr>
        <w:t xml:space="preserve"> &gt;5</w:t>
      </w:r>
      <w:r w:rsidR="0023337D" w:rsidRPr="00FE7DE3">
        <w:rPr>
          <w:rFonts w:ascii="Times New Roman" w:hAnsi="Times New Roman" w:cs="Times New Roman"/>
        </w:rPr>
        <w:t xml:space="preserve"> weeks</w:t>
      </w:r>
      <w:r w:rsidRPr="00FE7DE3">
        <w:rPr>
          <w:rFonts w:ascii="Times New Roman" w:hAnsi="Times New Roman" w:cs="Times New Roman"/>
        </w:rPr>
        <w:t xml:space="preserve"> (81%, n=290)</w:t>
      </w:r>
      <w:r w:rsidR="00AF669F" w:rsidRPr="00FE7DE3">
        <w:rPr>
          <w:rFonts w:ascii="Times New Roman" w:hAnsi="Times New Roman" w:cs="Times New Roman"/>
        </w:rPr>
        <w:t>, 3-4</w:t>
      </w:r>
      <w:r w:rsidR="0023337D" w:rsidRPr="00FE7DE3">
        <w:rPr>
          <w:rFonts w:ascii="Times New Roman" w:hAnsi="Times New Roman" w:cs="Times New Roman"/>
        </w:rPr>
        <w:t xml:space="preserve"> weeks</w:t>
      </w:r>
      <w:r w:rsidR="00AF669F" w:rsidRPr="00FE7DE3">
        <w:rPr>
          <w:rFonts w:ascii="Times New Roman" w:hAnsi="Times New Roman" w:cs="Times New Roman"/>
        </w:rPr>
        <w:t xml:space="preserve"> (6%, n = 2</w:t>
      </w:r>
      <w:r w:rsidR="0023337D" w:rsidRPr="00FE7DE3">
        <w:rPr>
          <w:rFonts w:ascii="Times New Roman" w:hAnsi="Times New Roman" w:cs="Times New Roman"/>
        </w:rPr>
        <w:t>1</w:t>
      </w:r>
      <w:r w:rsidR="00AF669F" w:rsidRPr="00FE7DE3">
        <w:rPr>
          <w:rFonts w:ascii="Times New Roman" w:hAnsi="Times New Roman" w:cs="Times New Roman"/>
        </w:rPr>
        <w:t>), 1-2</w:t>
      </w:r>
      <w:r w:rsidR="0023337D" w:rsidRPr="00FE7DE3">
        <w:rPr>
          <w:rFonts w:ascii="Times New Roman" w:hAnsi="Times New Roman" w:cs="Times New Roman"/>
        </w:rPr>
        <w:t xml:space="preserve"> weeks</w:t>
      </w:r>
      <w:r w:rsidR="00AF669F" w:rsidRPr="00FE7DE3">
        <w:rPr>
          <w:rFonts w:ascii="Times New Roman" w:hAnsi="Times New Roman" w:cs="Times New Roman"/>
        </w:rPr>
        <w:t xml:space="preserve"> (6%, n=22), or &lt;1 week (2%, n = 8). However, </w:t>
      </w:r>
      <w:r w:rsidRPr="00FE7DE3">
        <w:rPr>
          <w:rFonts w:ascii="Times New Roman" w:hAnsi="Times New Roman" w:cs="Times New Roman"/>
        </w:rPr>
        <w:t xml:space="preserve">64% </w:t>
      </w:r>
      <w:r w:rsidR="00AF669F" w:rsidRPr="00FE7DE3">
        <w:rPr>
          <w:rFonts w:ascii="Times New Roman" w:hAnsi="Times New Roman" w:cs="Times New Roman"/>
        </w:rPr>
        <w:t>(n</w:t>
      </w:r>
      <w:r w:rsidR="0023337D" w:rsidRPr="00FE7DE3">
        <w:rPr>
          <w:rFonts w:ascii="Times New Roman" w:hAnsi="Times New Roman" w:cs="Times New Roman"/>
        </w:rPr>
        <w:t>=244</w:t>
      </w:r>
      <w:r w:rsidR="00AF669F" w:rsidRPr="00FE7DE3">
        <w:rPr>
          <w:rFonts w:ascii="Times New Roman" w:hAnsi="Times New Roman" w:cs="Times New Roman"/>
        </w:rPr>
        <w:t xml:space="preserve">) </w:t>
      </w:r>
      <w:r w:rsidRPr="00FE7DE3">
        <w:rPr>
          <w:rFonts w:ascii="Times New Roman" w:hAnsi="Times New Roman" w:cs="Times New Roman"/>
        </w:rPr>
        <w:t>indicat</w:t>
      </w:r>
      <w:r w:rsidR="00AF669F" w:rsidRPr="00FE7DE3">
        <w:rPr>
          <w:rFonts w:ascii="Times New Roman" w:hAnsi="Times New Roman" w:cs="Times New Roman"/>
        </w:rPr>
        <w:t>ed</w:t>
      </w:r>
      <w:r w:rsidRPr="00FE7DE3">
        <w:rPr>
          <w:rFonts w:ascii="Times New Roman" w:hAnsi="Times New Roman" w:cs="Times New Roman"/>
        </w:rPr>
        <w:t xml:space="preserve"> they had still not been able to return at the time of completing the survey</w:t>
      </w:r>
      <w:r w:rsidR="00AF669F" w:rsidRPr="00FE7DE3">
        <w:rPr>
          <w:rFonts w:ascii="Times New Roman" w:hAnsi="Times New Roman" w:cs="Times New Roman"/>
        </w:rPr>
        <w:t>, whilst</w:t>
      </w:r>
      <w:r w:rsidRPr="00FE7DE3">
        <w:rPr>
          <w:rFonts w:ascii="Times New Roman" w:hAnsi="Times New Roman" w:cs="Times New Roman"/>
        </w:rPr>
        <w:t xml:space="preserve"> </w:t>
      </w:r>
      <w:r w:rsidR="00AF669F" w:rsidRPr="00FE7DE3">
        <w:rPr>
          <w:rFonts w:ascii="Times New Roman" w:hAnsi="Times New Roman" w:cs="Times New Roman"/>
        </w:rPr>
        <w:t>5% (</w:t>
      </w:r>
      <w:r w:rsidRPr="00FE7DE3">
        <w:rPr>
          <w:rFonts w:ascii="Times New Roman" w:hAnsi="Times New Roman" w:cs="Times New Roman"/>
        </w:rPr>
        <w:t xml:space="preserve">n=18) </w:t>
      </w:r>
      <w:r w:rsidR="00AF669F" w:rsidRPr="00FE7DE3">
        <w:rPr>
          <w:rFonts w:ascii="Times New Roman" w:hAnsi="Times New Roman" w:cs="Times New Roman"/>
        </w:rPr>
        <w:t>were</w:t>
      </w:r>
      <w:r w:rsidRPr="00FE7DE3">
        <w:rPr>
          <w:rFonts w:ascii="Times New Roman" w:hAnsi="Times New Roman" w:cs="Times New Roman"/>
        </w:rPr>
        <w:t xml:space="preserve"> </w:t>
      </w:r>
      <w:r w:rsidR="00AF669F" w:rsidRPr="00FE7DE3">
        <w:rPr>
          <w:rFonts w:ascii="Times New Roman" w:hAnsi="Times New Roman" w:cs="Times New Roman"/>
        </w:rPr>
        <w:t>un</w:t>
      </w:r>
      <w:r w:rsidRPr="00FE7DE3">
        <w:rPr>
          <w:rFonts w:ascii="Times New Roman" w:hAnsi="Times New Roman" w:cs="Times New Roman"/>
        </w:rPr>
        <w:t>affect</w:t>
      </w:r>
      <w:r w:rsidR="00AF669F" w:rsidRPr="00FE7DE3">
        <w:rPr>
          <w:rFonts w:ascii="Times New Roman" w:hAnsi="Times New Roman" w:cs="Times New Roman"/>
        </w:rPr>
        <w:t>ed.</w:t>
      </w:r>
    </w:p>
    <w:p w14:paraId="09DD2306" w14:textId="15B6CEF3" w:rsidR="00CB727D" w:rsidRPr="00FE7DE3" w:rsidRDefault="00304418" w:rsidP="006A0A41">
      <w:pPr>
        <w:spacing w:line="480" w:lineRule="auto"/>
        <w:jc w:val="both"/>
        <w:rPr>
          <w:rFonts w:ascii="Times New Roman" w:hAnsi="Times New Roman" w:cs="Times New Roman"/>
          <w:b/>
          <w:bCs/>
          <w:lang w:val="en-US"/>
        </w:rPr>
      </w:pPr>
      <w:r w:rsidRPr="00FE7DE3">
        <w:rPr>
          <w:rFonts w:ascii="Times New Roman" w:hAnsi="Times New Roman" w:cs="Times New Roman"/>
          <w:b/>
          <w:bCs/>
          <w:lang w:val="en-US"/>
        </w:rPr>
        <w:t>3.</w:t>
      </w:r>
      <w:r w:rsidR="00823B5C" w:rsidRPr="00FE7DE3">
        <w:rPr>
          <w:rFonts w:ascii="Times New Roman" w:hAnsi="Times New Roman" w:cs="Times New Roman"/>
          <w:b/>
          <w:bCs/>
          <w:lang w:val="en-US"/>
        </w:rPr>
        <w:t>8</w:t>
      </w:r>
      <w:r w:rsidRPr="00FE7DE3">
        <w:rPr>
          <w:rFonts w:ascii="Times New Roman" w:hAnsi="Times New Roman" w:cs="Times New Roman"/>
          <w:b/>
          <w:bCs/>
          <w:lang w:val="en-US"/>
        </w:rPr>
        <w:t xml:space="preserve"> Mental Health</w:t>
      </w:r>
    </w:p>
    <w:p w14:paraId="085E9922" w14:textId="06EE4A51" w:rsidR="00CE1BEF" w:rsidRPr="00FE7DE3" w:rsidRDefault="00CE1BEF" w:rsidP="006A0A41">
      <w:pPr>
        <w:spacing w:line="480" w:lineRule="auto"/>
        <w:jc w:val="both"/>
        <w:rPr>
          <w:rFonts w:ascii="Times New Roman" w:hAnsi="Times New Roman" w:cs="Times New Roman"/>
          <w:lang w:val="en-US"/>
        </w:rPr>
      </w:pPr>
      <w:r w:rsidRPr="00FE7DE3">
        <w:rPr>
          <w:rFonts w:ascii="Times New Roman" w:hAnsi="Times New Roman" w:cs="Times New Roman"/>
          <w:lang w:val="en-US"/>
        </w:rPr>
        <w:t>Due to COVID-19 symptoms, participants felt depressed, anxious, or worried either; ‘</w:t>
      </w:r>
      <w:r w:rsidRPr="00FE7DE3">
        <w:rPr>
          <w:rFonts w:ascii="Times New Roman" w:hAnsi="Times New Roman" w:cs="Times New Roman"/>
          <w:i/>
          <w:iCs/>
          <w:lang w:val="en-US"/>
        </w:rPr>
        <w:t>all of the time’</w:t>
      </w:r>
      <w:r w:rsidRPr="00FE7DE3">
        <w:rPr>
          <w:rFonts w:ascii="Times New Roman" w:hAnsi="Times New Roman" w:cs="Times New Roman"/>
          <w:lang w:val="en-US"/>
        </w:rPr>
        <w:t xml:space="preserve"> (9%, n=33), ‘</w:t>
      </w:r>
      <w:r w:rsidRPr="00FE7DE3">
        <w:rPr>
          <w:rFonts w:ascii="Times New Roman" w:hAnsi="Times New Roman" w:cs="Times New Roman"/>
          <w:i/>
          <w:iCs/>
          <w:lang w:val="en-US"/>
        </w:rPr>
        <w:t xml:space="preserve">most of the time’ </w:t>
      </w:r>
      <w:r w:rsidRPr="00FE7DE3">
        <w:rPr>
          <w:rFonts w:ascii="Times New Roman" w:hAnsi="Times New Roman" w:cs="Times New Roman"/>
          <w:lang w:val="en-US"/>
        </w:rPr>
        <w:t>(27%, n=102), or ‘</w:t>
      </w:r>
      <w:r w:rsidRPr="00FE7DE3">
        <w:rPr>
          <w:rFonts w:ascii="Times New Roman" w:hAnsi="Times New Roman" w:cs="Times New Roman"/>
          <w:i/>
          <w:iCs/>
          <w:lang w:val="en-US"/>
        </w:rPr>
        <w:t>some of the time</w:t>
      </w:r>
      <w:r w:rsidRPr="00FE7DE3">
        <w:rPr>
          <w:rFonts w:ascii="Times New Roman" w:hAnsi="Times New Roman" w:cs="Times New Roman"/>
          <w:lang w:val="en-US"/>
        </w:rPr>
        <w:t>’ (57%, n=216), yet 8% (n=30) were reportedly unaffected.</w:t>
      </w:r>
    </w:p>
    <w:p w14:paraId="4EE90661" w14:textId="54822AEA" w:rsidR="00A07FB9" w:rsidRPr="00FE7DE3" w:rsidRDefault="00CB727D" w:rsidP="00CB727D">
      <w:pPr>
        <w:spacing w:line="480" w:lineRule="auto"/>
        <w:jc w:val="center"/>
        <w:rPr>
          <w:rFonts w:ascii="Times New Roman" w:hAnsi="Times New Roman" w:cs="Times New Roman"/>
          <w:b/>
          <w:bCs/>
        </w:rPr>
      </w:pPr>
      <w:r w:rsidRPr="00FE7DE3">
        <w:rPr>
          <w:rFonts w:ascii="Times New Roman" w:hAnsi="Times New Roman" w:cs="Times New Roman"/>
          <w:b/>
          <w:bCs/>
          <w:lang w:val="en-US"/>
        </w:rPr>
        <w:t>**Figure 2 around here**</w:t>
      </w:r>
      <w:r w:rsidR="00A07FB9" w:rsidRPr="00FE7DE3">
        <w:rPr>
          <w:rFonts w:ascii="Times New Roman" w:hAnsi="Times New Roman" w:cs="Times New Roman"/>
          <w:b/>
          <w:bCs/>
        </w:rPr>
        <w:br w:type="page"/>
      </w:r>
    </w:p>
    <w:p w14:paraId="4FC44D27" w14:textId="2DF5EF45" w:rsidR="00432BCB" w:rsidRPr="00FE7DE3" w:rsidRDefault="00997101" w:rsidP="00432BCB">
      <w:pPr>
        <w:rPr>
          <w:rFonts w:ascii="Times New Roman" w:hAnsi="Times New Roman" w:cs="Times New Roman"/>
          <w:b/>
          <w:bCs/>
        </w:rPr>
      </w:pPr>
      <w:r w:rsidRPr="00FE7DE3">
        <w:rPr>
          <w:rFonts w:ascii="Times New Roman" w:hAnsi="Times New Roman" w:cs="Times New Roman"/>
          <w:b/>
          <w:bCs/>
        </w:rPr>
        <w:lastRenderedPageBreak/>
        <w:t xml:space="preserve">4.0 </w:t>
      </w:r>
      <w:r w:rsidR="00432BCB" w:rsidRPr="00FE7DE3">
        <w:rPr>
          <w:rFonts w:ascii="Times New Roman" w:hAnsi="Times New Roman" w:cs="Times New Roman"/>
          <w:b/>
          <w:bCs/>
        </w:rPr>
        <w:t xml:space="preserve">Discussion </w:t>
      </w:r>
    </w:p>
    <w:p w14:paraId="1B55CCAE" w14:textId="442572EE" w:rsidR="008A525E" w:rsidRPr="00FE7DE3" w:rsidRDefault="00C64A21" w:rsidP="004C658F">
      <w:pPr>
        <w:spacing w:after="120" w:line="480" w:lineRule="auto"/>
        <w:jc w:val="both"/>
        <w:rPr>
          <w:rFonts w:ascii="Times New Roman" w:hAnsi="Times New Roman" w:cs="Times New Roman"/>
        </w:rPr>
      </w:pPr>
      <w:r w:rsidRPr="00FE7DE3">
        <w:rPr>
          <w:rFonts w:ascii="Times New Roman" w:hAnsi="Times New Roman" w:cs="Times New Roman"/>
        </w:rPr>
        <w:t xml:space="preserve">The current study aimed to characterise and quantify </w:t>
      </w:r>
      <w:r w:rsidR="001015B3" w:rsidRPr="00FE7DE3">
        <w:rPr>
          <w:rFonts w:ascii="Times New Roman" w:hAnsi="Times New Roman" w:cs="Times New Roman"/>
        </w:rPr>
        <w:t xml:space="preserve">the </w:t>
      </w:r>
      <w:r w:rsidRPr="00FE7DE3">
        <w:rPr>
          <w:rFonts w:ascii="Times New Roman" w:hAnsi="Times New Roman" w:cs="Times New Roman"/>
        </w:rPr>
        <w:t>symptom profile of long-COVID patients living in community settings</w:t>
      </w:r>
      <w:r w:rsidR="00AF669F" w:rsidRPr="00FE7DE3">
        <w:rPr>
          <w:rFonts w:ascii="Times New Roman" w:hAnsi="Times New Roman" w:cs="Times New Roman"/>
        </w:rPr>
        <w:t>,</w:t>
      </w:r>
      <w:r w:rsidRPr="00FE7DE3">
        <w:rPr>
          <w:rFonts w:ascii="Times New Roman" w:hAnsi="Times New Roman" w:cs="Times New Roman"/>
        </w:rPr>
        <w:t xml:space="preserve"> with a particular focus on characterising the impact upon </w:t>
      </w:r>
      <w:r w:rsidR="00AF669F" w:rsidRPr="00FE7DE3">
        <w:rPr>
          <w:rFonts w:ascii="Times New Roman" w:hAnsi="Times New Roman" w:cs="Times New Roman"/>
        </w:rPr>
        <w:t>QoL</w:t>
      </w:r>
      <w:r w:rsidRPr="00FE7DE3">
        <w:rPr>
          <w:rFonts w:ascii="Times New Roman" w:hAnsi="Times New Roman" w:cs="Times New Roman"/>
        </w:rPr>
        <w:t xml:space="preserve"> and activities </w:t>
      </w:r>
      <w:r w:rsidR="00AF669F" w:rsidRPr="00FE7DE3">
        <w:rPr>
          <w:rFonts w:ascii="Times New Roman" w:hAnsi="Times New Roman" w:cs="Times New Roman"/>
        </w:rPr>
        <w:t xml:space="preserve">of </w:t>
      </w:r>
      <w:r w:rsidRPr="00FE7DE3">
        <w:rPr>
          <w:rFonts w:ascii="Times New Roman" w:hAnsi="Times New Roman" w:cs="Times New Roman"/>
        </w:rPr>
        <w:t>daily</w:t>
      </w:r>
      <w:r w:rsidR="00AF669F" w:rsidRPr="00FE7DE3">
        <w:rPr>
          <w:rFonts w:ascii="Times New Roman" w:hAnsi="Times New Roman" w:cs="Times New Roman"/>
        </w:rPr>
        <w:t xml:space="preserve"> life</w:t>
      </w:r>
      <w:r w:rsidRPr="00FE7DE3">
        <w:rPr>
          <w:rFonts w:ascii="Times New Roman" w:hAnsi="Times New Roman" w:cs="Times New Roman"/>
        </w:rPr>
        <w:t>.</w:t>
      </w:r>
      <w:r w:rsidR="00226B49" w:rsidRPr="00FE7DE3">
        <w:rPr>
          <w:rFonts w:ascii="Times New Roman" w:hAnsi="Times New Roman" w:cs="Times New Roman"/>
        </w:rPr>
        <w:t xml:space="preserve"> </w:t>
      </w:r>
      <w:r w:rsidR="008A525E" w:rsidRPr="00FE7DE3">
        <w:rPr>
          <w:rFonts w:ascii="Times New Roman" w:hAnsi="Times New Roman" w:cs="Times New Roman"/>
        </w:rPr>
        <w:t>A</w:t>
      </w:r>
      <w:r w:rsidR="00432BCB" w:rsidRPr="00FE7DE3">
        <w:rPr>
          <w:rFonts w:ascii="Times New Roman" w:hAnsi="Times New Roman" w:cs="Times New Roman"/>
        </w:rPr>
        <w:t xml:space="preserve"> broad and debilitating symptom profile</w:t>
      </w:r>
      <w:r w:rsidR="008A525E" w:rsidRPr="00FE7DE3">
        <w:rPr>
          <w:rFonts w:ascii="Times New Roman" w:hAnsi="Times New Roman" w:cs="Times New Roman"/>
        </w:rPr>
        <w:t xml:space="preserve"> was observed,</w:t>
      </w:r>
      <w:r w:rsidR="00432BCB" w:rsidRPr="00FE7DE3">
        <w:rPr>
          <w:rFonts w:ascii="Times New Roman" w:hAnsi="Times New Roman" w:cs="Times New Roman"/>
        </w:rPr>
        <w:t xml:space="preserve"> </w:t>
      </w:r>
      <w:r w:rsidR="008A525E" w:rsidRPr="00FE7DE3">
        <w:rPr>
          <w:rFonts w:ascii="Times New Roman" w:hAnsi="Times New Roman" w:cs="Times New Roman"/>
        </w:rPr>
        <w:t>which</w:t>
      </w:r>
      <w:r w:rsidR="00432BCB" w:rsidRPr="00FE7DE3">
        <w:rPr>
          <w:rFonts w:ascii="Times New Roman" w:hAnsi="Times New Roman" w:cs="Times New Roman"/>
        </w:rPr>
        <w:t xml:space="preserve"> is reflective of prolonged morbidity being reported in the months following a COVID-19 infection</w:t>
      </w:r>
      <w:r w:rsidR="00EC6050" w:rsidRPr="00FE7DE3">
        <w:rPr>
          <w:rFonts w:ascii="Times New Roman" w:hAnsi="Times New Roman" w:cs="Times New Roman"/>
        </w:rPr>
        <w:t xml:space="preserve">, </w:t>
      </w:r>
      <w:r w:rsidR="008A525E" w:rsidRPr="00FE7DE3">
        <w:rPr>
          <w:rFonts w:ascii="Times New Roman" w:hAnsi="Times New Roman" w:cs="Times New Roman"/>
        </w:rPr>
        <w:t xml:space="preserve">and resultantly has </w:t>
      </w:r>
      <w:r w:rsidR="0004567A" w:rsidRPr="00FE7DE3">
        <w:rPr>
          <w:rFonts w:ascii="Times New Roman" w:hAnsi="Times New Roman" w:cs="Times New Roman"/>
        </w:rPr>
        <w:t xml:space="preserve">far-reaching </w:t>
      </w:r>
      <w:r w:rsidR="00EC6050" w:rsidRPr="00FE7DE3">
        <w:rPr>
          <w:rFonts w:ascii="Times New Roman" w:hAnsi="Times New Roman" w:cs="Times New Roman"/>
        </w:rPr>
        <w:t>health</w:t>
      </w:r>
      <w:r w:rsidR="008A525E" w:rsidRPr="00FE7DE3">
        <w:rPr>
          <w:rFonts w:ascii="Times New Roman" w:hAnsi="Times New Roman" w:cs="Times New Roman"/>
        </w:rPr>
        <w:t xml:space="preserve">, </w:t>
      </w:r>
      <w:r w:rsidR="00EC6050" w:rsidRPr="00FE7DE3">
        <w:rPr>
          <w:rFonts w:ascii="Times New Roman" w:hAnsi="Times New Roman" w:cs="Times New Roman"/>
        </w:rPr>
        <w:t>wellbeing, economical and societal impacts</w:t>
      </w:r>
      <w:r w:rsidR="00432BCB" w:rsidRPr="00FE7DE3">
        <w:rPr>
          <w:rFonts w:ascii="Times New Roman" w:hAnsi="Times New Roman" w:cs="Times New Roman"/>
        </w:rPr>
        <w:t xml:space="preserve">. </w:t>
      </w:r>
      <w:r w:rsidR="008A525E" w:rsidRPr="00FE7DE3">
        <w:rPr>
          <w:rFonts w:ascii="Times New Roman" w:hAnsi="Times New Roman" w:cs="Times New Roman"/>
        </w:rPr>
        <w:t xml:space="preserve">Our data </w:t>
      </w:r>
      <w:r w:rsidR="00423F8C" w:rsidRPr="00FE7DE3">
        <w:rPr>
          <w:rFonts w:ascii="Times New Roman" w:hAnsi="Times New Roman" w:cs="Times New Roman"/>
        </w:rPr>
        <w:t xml:space="preserve">support </w:t>
      </w:r>
      <w:r w:rsidR="00F9377C" w:rsidRPr="00FE7DE3">
        <w:rPr>
          <w:rFonts w:ascii="Times New Roman" w:hAnsi="Times New Roman" w:cs="Times New Roman"/>
        </w:rPr>
        <w:t>existing</w:t>
      </w:r>
      <w:r w:rsidR="00423F8C" w:rsidRPr="00FE7DE3">
        <w:rPr>
          <w:rFonts w:ascii="Times New Roman" w:hAnsi="Times New Roman" w:cs="Times New Roman"/>
        </w:rPr>
        <w:t xml:space="preserve"> work </w:t>
      </w:r>
      <w:r w:rsidR="00F9377C" w:rsidRPr="00FE7DE3">
        <w:rPr>
          <w:rFonts w:ascii="Times New Roman" w:hAnsi="Times New Roman" w:cs="Times New Roman"/>
        </w:rPr>
        <w:t>in this area</w:t>
      </w:r>
      <w:r w:rsidR="005B2FA2" w:rsidRPr="00FE7DE3">
        <w:rPr>
          <w:rFonts w:ascii="Times New Roman" w:hAnsi="Times New Roman" w:cs="Times New Roman"/>
        </w:rPr>
        <w:t xml:space="preserve">, </w:t>
      </w:r>
      <w:r w:rsidR="00F9377C" w:rsidRPr="00FE7DE3">
        <w:rPr>
          <w:rFonts w:ascii="Times New Roman" w:hAnsi="Times New Roman" w:cs="Times New Roman"/>
        </w:rPr>
        <w:t>highli</w:t>
      </w:r>
      <w:r w:rsidR="005B2FA2" w:rsidRPr="00FE7DE3">
        <w:rPr>
          <w:rFonts w:ascii="Times New Roman" w:hAnsi="Times New Roman" w:cs="Times New Roman"/>
        </w:rPr>
        <w:t xml:space="preserve">ghting </w:t>
      </w:r>
      <w:r w:rsidR="00423F8C" w:rsidRPr="00FE7DE3">
        <w:rPr>
          <w:rFonts w:ascii="Times New Roman" w:hAnsi="Times New Roman" w:cs="Times New Roman"/>
        </w:rPr>
        <w:t xml:space="preserve">a </w:t>
      </w:r>
      <w:r w:rsidR="008A525E" w:rsidRPr="00FE7DE3">
        <w:rPr>
          <w:rFonts w:ascii="Times New Roman" w:hAnsi="Times New Roman" w:cs="Times New Roman"/>
        </w:rPr>
        <w:t xml:space="preserve">range of </w:t>
      </w:r>
      <w:r w:rsidR="00111D40" w:rsidRPr="00FE7DE3">
        <w:rPr>
          <w:rFonts w:ascii="Times New Roman" w:hAnsi="Times New Roman" w:cs="Times New Roman"/>
        </w:rPr>
        <w:t>symptom</w:t>
      </w:r>
      <w:r w:rsidR="008A525E" w:rsidRPr="00FE7DE3">
        <w:rPr>
          <w:rFonts w:ascii="Times New Roman" w:hAnsi="Times New Roman" w:cs="Times New Roman"/>
        </w:rPr>
        <w:t>s</w:t>
      </w:r>
      <w:r w:rsidR="00111D40" w:rsidRPr="00FE7DE3">
        <w:rPr>
          <w:rFonts w:ascii="Times New Roman" w:hAnsi="Times New Roman" w:cs="Times New Roman"/>
        </w:rPr>
        <w:t xml:space="preserve"> </w:t>
      </w:r>
      <w:r w:rsidR="005B2FA2" w:rsidRPr="00FE7DE3">
        <w:rPr>
          <w:rFonts w:ascii="Times New Roman" w:hAnsi="Times New Roman" w:cs="Times New Roman"/>
        </w:rPr>
        <w:t>and var</w:t>
      </w:r>
      <w:r w:rsidR="00382A13" w:rsidRPr="00FE7DE3">
        <w:rPr>
          <w:rFonts w:ascii="Times New Roman" w:hAnsi="Times New Roman" w:cs="Times New Roman"/>
        </w:rPr>
        <w:t>ying</w:t>
      </w:r>
      <w:r w:rsidR="005B2FA2" w:rsidRPr="00FE7DE3">
        <w:rPr>
          <w:rFonts w:ascii="Times New Roman" w:hAnsi="Times New Roman" w:cs="Times New Roman"/>
        </w:rPr>
        <w:t xml:space="preserve"> prevalence</w:t>
      </w:r>
      <w:r w:rsidR="008A525E" w:rsidRPr="00FE7DE3">
        <w:rPr>
          <w:rFonts w:ascii="Times New Roman" w:hAnsi="Times New Roman" w:cs="Times New Roman"/>
        </w:rPr>
        <w:t>/severity</w:t>
      </w:r>
      <w:r w:rsidR="009B1936" w:rsidRPr="00FE7DE3">
        <w:rPr>
          <w:rFonts w:ascii="Times New Roman" w:hAnsi="Times New Roman" w:cs="Times New Roman"/>
        </w:rPr>
        <w:t xml:space="preserve"> </w:t>
      </w:r>
      <w:r w:rsidR="009B1936" w:rsidRPr="00FE7DE3">
        <w:rPr>
          <w:rFonts w:ascii="Times New Roman" w:hAnsi="Times New Roman" w:cs="Times New Roman"/>
        </w:rPr>
        <w:fldChar w:fldCharType="begin"/>
      </w:r>
      <w:r w:rsidR="004646C7" w:rsidRPr="00FE7DE3">
        <w:rPr>
          <w:rFonts w:ascii="Times New Roman" w:hAnsi="Times New Roman" w:cs="Times New Roman"/>
        </w:rPr>
        <w:instrText xml:space="preserve"> ADDIN ZOTERO_ITEM CSL_CITATION {"citationID":"tOMtiK8b","properties":{"formattedCitation":"[7,9,12]","plainCitation":"[7,9,12]","noteIndex":0},"citationItems":[{"id":1803,"uris":["http://zotero.org/users/1330063/items/T5RVKKJJ"],"uri":["http://zotero.org/users/1330063/items/T5RVKKJJ"],"itemData":{"id":1803,"type":"article-journal","container-title":"Journal of International Medical Research","issue":"8","note":"publisher: SAGE Publications Sage UK: London, England","page":"0300060520948382","source":"Google Scholar","title":"Rehabilitation of patients post-COVID-19 infection: a literature review","title-short":"Rehabilitation of patients post-COVID-19 infection","volume":"48","author":[{"family":"Demeco","given":"A."},{"family":"Marotta","given":"N."},{"family":"Barletta","given":"M."},{"family":"Pino","given":"I."},{"family":"Marinaro","given":"C."},{"family":"Petraroli","given":"A."},{"family":"Moggio","given":"L."},{"family":"Ammendolia","given":"Antonio"}],"issued":{"date-parts":[["2020"]]}}},{"id":"1ibuZtGN/kJi46qxD","uris":["http://www.mendeley.com/documents/?uuid=1cb2ac2f-5863-49ae-acad-48eea888e502"],"uri":["http://www.mendeley.com/documents/?uuid=1cb2ac2f-5863-49ae-acad-48eea888e502"],"itemData":{"author":[{"dropping-particle":"","family":"Sudre","given":"C.H.","non-dropping-particle":"","parse-names":false,"suffix":""},{"dropping-particle":"","family":"Murray","given":"B.","non-dropping-particle":"","parse-names":false,"suffix":""},{"dropping-particle":"","family":"Varsavsky","given":"T.","non-dropping-particle":"","parse-names":false,"suffix":""},{"dropping-particle":"","family":"et al.","given":"","non-dropping-particle":"","parse-names":false,"suffix":""}],"container-title":"Nature Medicine","id":"NCTbeBoq/dN4HrQFm","issued":{"date-parts":[["2021"]]},"page":"626-631","title":"Attributes and predictors of long COVID","type":"article-journal","volume":"27"}},{"id":1801,"uris":["http://zotero.org/users/1330063/items/VNE7LVD3"],"uri":["http://zotero.org/users/1330063/items/VNE7LVD3"],"itemData":{"id":1801,"type":"article-journal","abstract":"Background: Persistent coronavirus disease 2019 (COVID-19) symptoms are increasingly well-reported in cohort studies and case series. Given the spread of the pandemic, number of individuals suffering from persistent symptoms, termed ‘long COVID', are significant. However, type and prevalence of symptoms are not well reported using systematic literature reviews.Objectives: In this scoping review of the literature, we aggregated type and prevalence of symptoms in people with long COVID.Eligibility Criteria: Original investigations concerning the name and prevalence of symptoms were considered in participants ≥4-weeks post-infection.Sources of Evidence: Four electronic databases [Medline, Web of Science, Scopus, and the Cochrane Central Register of Controlled Trials (CENTRAL)] were searched.Methods: A scoping review was conducted using the Arksey and O'Malley framework. Review selection and characterisation was performed by three independent reviewers using pretested forms.Results: Authors reviewed 2,711 titles and abstracts for inclusion with 152 selected for full-text review. 102 articles were subsequently removed as this did not meet inclusion criteria. Thus, fifty studies were analysed, 34 of which were described as cohort studies or prospective cohort studies, 14 were described as cross-sectional studies, one was described as a case control study, and one was described as a retrospective observational study. In total, &gt;100 symptoms were identified and there was considerable heterogeneity in symptom prevalence and setting of study. Ten studies reported cardiovascular symptoms, four examined pulmonary symptoms, 25 reported respiratory symptoms, 24 reported pain-related symptoms, 21 reported fatigue, 16 reported general infection symptoms, 10 reported symptoms of psychological disorders, nine reported cognitive impairment, 31 reported a sensory impairment, seven reported a dermatological complaint, 11 reported a functional impairment, and 18 reported a symptom which did not fit into any of the above categories.Conclusion: Most studies report symptoms analogous to those apparent in acute COVID-19 infection (i.e., sensory impairment and respiratory symptoms). Yet, our data suggest a larger spectrum of symptoms, evidenced by &gt;100 reported symptoms. Symptom prevalence varied significantly and was not explained by data collection approaches, study design or other methodological approaches, and may be related to unknown cohort-specific factors.","container-title":"Frontiers in Medicine","DOI":"10.3389/fmed.2021.750378","ISSN":"2296-858X","page":"2028","source":"Frontiers","title":"More Than 100 Persistent Symptoms of SARS-CoV-2 (Long COVID): A Scoping Review","title-short":"More Than 100 Persistent Symptoms of SARS-CoV-2 (Long COVID)","volume":"8","author":[{"family":"Hayes","given":"Lawrence D."},{"family":"Ingram","given":"Joanne"},{"family":"Sculthorpe","given":"Nicholas F."}],"issued":{"date-parts":[["2021"]]}}}],"schema":"https://github.com/citation-style-language/schema/raw/master/csl-citation.json"} </w:instrText>
      </w:r>
      <w:r w:rsidR="009B1936" w:rsidRPr="00FE7DE3">
        <w:rPr>
          <w:rFonts w:ascii="Times New Roman" w:hAnsi="Times New Roman" w:cs="Times New Roman"/>
        </w:rPr>
        <w:fldChar w:fldCharType="separate"/>
      </w:r>
      <w:r w:rsidR="00130BFC" w:rsidRPr="00FE7DE3">
        <w:rPr>
          <w:rFonts w:ascii="Times New Roman" w:hAnsi="Times New Roman" w:cs="Times New Roman"/>
        </w:rPr>
        <w:t>[7,9,12]</w:t>
      </w:r>
      <w:r w:rsidR="009B1936" w:rsidRPr="00FE7DE3">
        <w:rPr>
          <w:rFonts w:ascii="Times New Roman" w:hAnsi="Times New Roman" w:cs="Times New Roman"/>
        </w:rPr>
        <w:fldChar w:fldCharType="end"/>
      </w:r>
      <w:r w:rsidR="008A525E" w:rsidRPr="00FE7DE3">
        <w:rPr>
          <w:rFonts w:ascii="Times New Roman" w:hAnsi="Times New Roman" w:cs="Times New Roman"/>
        </w:rPr>
        <w:t xml:space="preserve">. We also observed prolonged periods of morbidity and reduced engagement with daily activities, that result in increased sedentary behaviours (as a consequence of symptoms and reduced sleep quality), </w:t>
      </w:r>
      <w:r w:rsidR="0023337D" w:rsidRPr="00FE7DE3">
        <w:rPr>
          <w:rFonts w:ascii="Times New Roman" w:hAnsi="Times New Roman" w:cs="Times New Roman"/>
        </w:rPr>
        <w:t xml:space="preserve">consequently </w:t>
      </w:r>
      <w:r w:rsidR="008A525E" w:rsidRPr="00FE7DE3">
        <w:rPr>
          <w:rFonts w:ascii="Times New Roman" w:hAnsi="Times New Roman" w:cs="Times New Roman"/>
        </w:rPr>
        <w:t>impair</w:t>
      </w:r>
      <w:r w:rsidR="0023337D" w:rsidRPr="00FE7DE3">
        <w:rPr>
          <w:rFonts w:ascii="Times New Roman" w:hAnsi="Times New Roman" w:cs="Times New Roman"/>
        </w:rPr>
        <w:t>ing</w:t>
      </w:r>
      <w:r w:rsidR="008A525E" w:rsidRPr="00FE7DE3">
        <w:rPr>
          <w:rFonts w:ascii="Times New Roman" w:hAnsi="Times New Roman" w:cs="Times New Roman"/>
        </w:rPr>
        <w:t xml:space="preserve"> </w:t>
      </w:r>
      <w:r w:rsidR="0023337D" w:rsidRPr="00FE7DE3">
        <w:rPr>
          <w:rFonts w:ascii="Times New Roman" w:hAnsi="Times New Roman" w:cs="Times New Roman"/>
        </w:rPr>
        <w:t>quality of life</w:t>
      </w:r>
      <w:r w:rsidR="008A525E" w:rsidRPr="00FE7DE3">
        <w:rPr>
          <w:rFonts w:ascii="Times New Roman" w:hAnsi="Times New Roman" w:cs="Times New Roman"/>
        </w:rPr>
        <w:t xml:space="preserve">. </w:t>
      </w:r>
    </w:p>
    <w:p w14:paraId="676F4B13" w14:textId="5BB4E5AD" w:rsidR="004C658F" w:rsidRPr="00FE7DE3" w:rsidRDefault="002B1D0C" w:rsidP="004C658F">
      <w:pPr>
        <w:spacing w:after="120" w:line="480" w:lineRule="auto"/>
        <w:jc w:val="both"/>
        <w:rPr>
          <w:rFonts w:ascii="Times New Roman" w:hAnsi="Times New Roman" w:cs="Times New Roman"/>
        </w:rPr>
      </w:pPr>
      <w:r w:rsidRPr="00FE7DE3">
        <w:rPr>
          <w:rFonts w:ascii="Times New Roman" w:hAnsi="Times New Roman" w:cs="Times New Roman"/>
        </w:rPr>
        <w:t>For those in employment (n=328)</w:t>
      </w:r>
      <w:r w:rsidR="008A525E" w:rsidRPr="00FE7DE3">
        <w:rPr>
          <w:rFonts w:ascii="Times New Roman" w:hAnsi="Times New Roman" w:cs="Times New Roman"/>
        </w:rPr>
        <w:t>,</w:t>
      </w:r>
      <w:r w:rsidRPr="00FE7DE3">
        <w:rPr>
          <w:rFonts w:ascii="Times New Roman" w:hAnsi="Times New Roman" w:cs="Times New Roman"/>
        </w:rPr>
        <w:t xml:space="preserve"> ongoing issues </w:t>
      </w:r>
      <w:r w:rsidR="008A525E" w:rsidRPr="00FE7DE3">
        <w:rPr>
          <w:rFonts w:ascii="Times New Roman" w:hAnsi="Times New Roman" w:cs="Times New Roman"/>
        </w:rPr>
        <w:t xml:space="preserve">were observed when </w:t>
      </w:r>
      <w:r w:rsidRPr="00FE7DE3">
        <w:rPr>
          <w:rFonts w:ascii="Times New Roman" w:hAnsi="Times New Roman" w:cs="Times New Roman"/>
        </w:rPr>
        <w:t>performing moderate (83%) and vigorous (79%) work</w:t>
      </w:r>
      <w:r w:rsidR="008A525E" w:rsidRPr="00FE7DE3">
        <w:rPr>
          <w:rFonts w:ascii="Times New Roman" w:hAnsi="Times New Roman" w:cs="Times New Roman"/>
        </w:rPr>
        <w:t>-</w:t>
      </w:r>
      <w:r w:rsidRPr="00FE7DE3">
        <w:rPr>
          <w:rFonts w:ascii="Times New Roman" w:hAnsi="Times New Roman" w:cs="Times New Roman"/>
        </w:rPr>
        <w:t xml:space="preserve"> </w:t>
      </w:r>
      <w:r w:rsidR="00E80C00" w:rsidRPr="00FE7DE3">
        <w:rPr>
          <w:rFonts w:ascii="Times New Roman" w:hAnsi="Times New Roman" w:cs="Times New Roman"/>
        </w:rPr>
        <w:t xml:space="preserve">(e.g., </w:t>
      </w:r>
      <w:r w:rsidR="00393D32" w:rsidRPr="00FE7DE3">
        <w:rPr>
          <w:rFonts w:ascii="Times New Roman" w:hAnsi="Times New Roman" w:cs="Times New Roman"/>
        </w:rPr>
        <w:t>manual handling and shift work</w:t>
      </w:r>
      <w:r w:rsidR="00E80C00" w:rsidRPr="00FE7DE3">
        <w:rPr>
          <w:rFonts w:ascii="Times New Roman" w:hAnsi="Times New Roman" w:cs="Times New Roman"/>
        </w:rPr>
        <w:t xml:space="preserve">) </w:t>
      </w:r>
      <w:r w:rsidR="00432BCB" w:rsidRPr="00FE7DE3">
        <w:rPr>
          <w:rFonts w:ascii="Times New Roman" w:hAnsi="Times New Roman" w:cs="Times New Roman"/>
        </w:rPr>
        <w:t xml:space="preserve">and </w:t>
      </w:r>
      <w:r w:rsidR="008A525E" w:rsidRPr="00FE7DE3">
        <w:rPr>
          <w:rFonts w:ascii="Times New Roman" w:hAnsi="Times New Roman" w:cs="Times New Roman"/>
        </w:rPr>
        <w:t>daily life</w:t>
      </w:r>
      <w:r w:rsidR="00382A13" w:rsidRPr="00FE7DE3">
        <w:rPr>
          <w:rFonts w:ascii="Times New Roman" w:hAnsi="Times New Roman" w:cs="Times New Roman"/>
        </w:rPr>
        <w:t xml:space="preserve"> </w:t>
      </w:r>
      <w:r w:rsidR="00432BCB" w:rsidRPr="00FE7DE3">
        <w:rPr>
          <w:rFonts w:ascii="Times New Roman" w:hAnsi="Times New Roman" w:cs="Times New Roman"/>
        </w:rPr>
        <w:t xml:space="preserve">activities </w:t>
      </w:r>
      <w:r w:rsidR="00393D32" w:rsidRPr="00FE7DE3">
        <w:rPr>
          <w:rFonts w:ascii="Times New Roman" w:hAnsi="Times New Roman" w:cs="Times New Roman"/>
        </w:rPr>
        <w:t>(</w:t>
      </w:r>
      <w:r w:rsidR="00E80C00" w:rsidRPr="00FE7DE3">
        <w:rPr>
          <w:rFonts w:ascii="Times New Roman" w:hAnsi="Times New Roman" w:cs="Times New Roman"/>
        </w:rPr>
        <w:t>e.g., structured exercise, walking and socialising</w:t>
      </w:r>
      <w:r w:rsidR="00393D32" w:rsidRPr="00FE7DE3">
        <w:rPr>
          <w:rFonts w:ascii="Times New Roman" w:hAnsi="Times New Roman" w:cs="Times New Roman"/>
        </w:rPr>
        <w:t xml:space="preserve"> with friends and family</w:t>
      </w:r>
      <w:r w:rsidR="00E80C00" w:rsidRPr="00FE7DE3">
        <w:rPr>
          <w:rFonts w:ascii="Times New Roman" w:hAnsi="Times New Roman" w:cs="Times New Roman"/>
        </w:rPr>
        <w:t>)</w:t>
      </w:r>
      <w:r w:rsidR="00432BCB" w:rsidRPr="00FE7DE3">
        <w:rPr>
          <w:rFonts w:ascii="Times New Roman" w:hAnsi="Times New Roman" w:cs="Times New Roman"/>
        </w:rPr>
        <w:t xml:space="preserve">. </w:t>
      </w:r>
      <w:r w:rsidR="00592D64" w:rsidRPr="00FE7DE3">
        <w:rPr>
          <w:rFonts w:ascii="Times New Roman" w:eastAsia="Times New Roman" w:hAnsi="Times New Roman" w:cs="Times New Roman"/>
          <w:lang w:eastAsia="en-GB"/>
        </w:rPr>
        <w:t xml:space="preserve">Moreover, the impact of COVID-19 symptomology and severity on returning to moderate-to-vigorous work activities did not disproportionally affect those with a long-term health condition(s), suggesting the negative effect of long-COVID may influence work performance/physical activities regardless of baseline health status, a finding supported by other work in this area </w:t>
      </w:r>
      <w:r w:rsidR="00592D64" w:rsidRPr="00FE7DE3">
        <w:rPr>
          <w:rFonts w:ascii="Times New Roman" w:eastAsia="Times New Roman" w:hAnsi="Times New Roman" w:cs="Times New Roman"/>
          <w:lang w:eastAsia="en-GB"/>
        </w:rPr>
        <w:fldChar w:fldCharType="begin"/>
      </w:r>
      <w:r w:rsidR="00592D64" w:rsidRPr="00FE7DE3">
        <w:rPr>
          <w:rFonts w:ascii="Times New Roman" w:eastAsia="Times New Roman" w:hAnsi="Times New Roman" w:cs="Times New Roman"/>
          <w:lang w:eastAsia="en-GB"/>
        </w:rPr>
        <w:instrText xml:space="preserve"> ADDIN ZOTERO_ITEM CSL_CITATION {"citationID":"7xZR55Mi","properties":{"formattedCitation":"[13]","plainCitation":"[13]","noteIndex":0},"citationItems":[{"id":1808,"uris":["http://zotero.org/users/1330063/items/MGY8L3ZM"],"uri":["http://zotero.org/users/1330063/items/MGY8L3ZM"],"itemData":{"id":1808,"type":"article-journal","container-title":"Morbidity and Mortality Weekly Report","DOI":"10.15585/mmwr.mm6930e1","ISSN":"0149-2195","issue":"30","journalAbbreviation":"MMWR Morb Mortal Wkly Rep","note":"PMID: 32730238\nPMCID: PMC7392393","page":"993-998","source":"PubMed Central","title":"Symptom Duration and Risk Factors for Delayed Return to Usual Health Among Outpatients with COVID-19 in a Multistate Health Care Systems Network — United States, March–June 2020","volume":"69","author":[{"family":"Tenforde","given":"Mark W."},{"family":"Kim","given":"Sara S."},{"family":"Lindsell","given":"Christopher J."},{"family":"Billig Rose","given":"Erica"},{"family":"Shapiro","given":"Nathan I."},{"family":"Files","given":"D. Clark"},{"family":"Gibbs","given":"Kevin W."},{"family":"Erickson","given":"Heidi L."},{"family":"Steingrub","given":"Jay S."},{"family":"Smithline","given":"Howard A."},{"family":"Gong","given":"Michelle N."},{"family":"Aboodi","given":"Michael S."},{"family":"Exline","given":"Matthew C."},{"family":"Henning","given":"Daniel J."},{"family":"Wilson","given":"Jennifer G."},{"family":"Khan","given":"Akram"},{"family":"Qadir","given":"Nida"},{"family":"Brown","given":"Samuel M."},{"family":"Peltan","given":"Ithan D."},{"family":"Rice","given":"Todd W."},{"family":"Hager","given":"David N."},{"family":"Ginde","given":"Adit A."},{"family":"Stubblefield","given":"William B."},{"family":"Patel","given":"Manish M."},{"family":"Self","given":"Wesley H."},{"family":"Feldstein","given":"Leora R."},{"family":"Hart","given":"Kimberly W."},{"family":"McClellan","given":"Robert"},{"family":"Dorough","given":"Layne"},{"family":"Dzuris","given":"Nicole"},{"family":"Griggs","given":"Eric P."},{"family":"Kassem","given":"Ahmed M."},{"family":"Marcet","given":"Paula L."},{"family":"Ogokeh","given":"Constance E."},{"family":"Sciarratta","given":"Courtney N."},{"family":"Siddula","given":"Akshita"},{"family":"Smith","given":"Emily R."},{"family":"Wu","given":"Michael J."}],"issued":{"date-parts":[["2020",7,31]]}}}],"schema":"https://github.com/citation-style-language/schema/raw/master/csl-citation.json"} </w:instrText>
      </w:r>
      <w:r w:rsidR="00592D64" w:rsidRPr="00FE7DE3">
        <w:rPr>
          <w:rFonts w:ascii="Times New Roman" w:eastAsia="Times New Roman" w:hAnsi="Times New Roman" w:cs="Times New Roman"/>
          <w:lang w:eastAsia="en-GB"/>
        </w:rPr>
        <w:fldChar w:fldCharType="separate"/>
      </w:r>
      <w:r w:rsidR="00592D64" w:rsidRPr="00FE7DE3">
        <w:rPr>
          <w:rFonts w:ascii="Times New Roman" w:hAnsi="Times New Roman" w:cs="Times New Roman"/>
        </w:rPr>
        <w:t>[13]</w:t>
      </w:r>
      <w:r w:rsidR="00592D64" w:rsidRPr="00FE7DE3">
        <w:rPr>
          <w:rFonts w:ascii="Times New Roman" w:eastAsia="Times New Roman" w:hAnsi="Times New Roman" w:cs="Times New Roman"/>
          <w:lang w:eastAsia="en-GB"/>
        </w:rPr>
        <w:fldChar w:fldCharType="end"/>
      </w:r>
      <w:r w:rsidR="00592D64" w:rsidRPr="00FE7DE3">
        <w:rPr>
          <w:rFonts w:ascii="Times New Roman" w:eastAsia="Times New Roman" w:hAnsi="Times New Roman" w:cs="Times New Roman"/>
          <w:lang w:eastAsia="en-GB"/>
        </w:rPr>
        <w:t xml:space="preserve">. </w:t>
      </w:r>
    </w:p>
    <w:p w14:paraId="6662B1E7" w14:textId="610380AD" w:rsidR="002E4207" w:rsidRPr="00FE7DE3" w:rsidRDefault="00592D64" w:rsidP="00C779B4">
      <w:pPr>
        <w:spacing w:after="120" w:line="480" w:lineRule="auto"/>
        <w:jc w:val="both"/>
        <w:rPr>
          <w:rFonts w:ascii="Times New Roman" w:hAnsi="Times New Roman" w:cs="Times New Roman"/>
        </w:rPr>
      </w:pPr>
      <w:r w:rsidRPr="00FE7DE3">
        <w:rPr>
          <w:rFonts w:ascii="Times New Roman" w:hAnsi="Times New Roman" w:cs="Times New Roman"/>
        </w:rPr>
        <w:t>Longitudinal investigations</w:t>
      </w:r>
      <w:r w:rsidR="002212B6" w:rsidRPr="00FE7DE3">
        <w:rPr>
          <w:rFonts w:ascii="Times New Roman" w:hAnsi="Times New Roman" w:cs="Times New Roman"/>
        </w:rPr>
        <w:t xml:space="preserve"> that profile changes in </w:t>
      </w:r>
      <w:r w:rsidR="009F1A01" w:rsidRPr="00FE7DE3">
        <w:rPr>
          <w:rFonts w:ascii="Times New Roman" w:hAnsi="Times New Roman" w:cs="Times New Roman"/>
        </w:rPr>
        <w:t>symptomology</w:t>
      </w:r>
      <w:r w:rsidR="002212B6" w:rsidRPr="00FE7DE3">
        <w:rPr>
          <w:rFonts w:ascii="Times New Roman" w:hAnsi="Times New Roman" w:cs="Times New Roman"/>
        </w:rPr>
        <w:t xml:space="preserve"> and</w:t>
      </w:r>
      <w:r w:rsidR="009F1A01" w:rsidRPr="00FE7DE3">
        <w:rPr>
          <w:rFonts w:ascii="Times New Roman" w:hAnsi="Times New Roman" w:cs="Times New Roman"/>
        </w:rPr>
        <w:t xml:space="preserve"> develop </w:t>
      </w:r>
      <w:r w:rsidR="008A525E" w:rsidRPr="00FE7DE3">
        <w:rPr>
          <w:rFonts w:ascii="Times New Roman" w:hAnsi="Times New Roman" w:cs="Times New Roman"/>
        </w:rPr>
        <w:t>our</w:t>
      </w:r>
      <w:r w:rsidR="009F1A01" w:rsidRPr="00FE7DE3">
        <w:rPr>
          <w:rFonts w:ascii="Times New Roman" w:hAnsi="Times New Roman" w:cs="Times New Roman"/>
        </w:rPr>
        <w:t xml:space="preserve"> understanding of </w:t>
      </w:r>
      <w:r w:rsidR="008A525E" w:rsidRPr="00FE7DE3">
        <w:rPr>
          <w:rFonts w:ascii="Times New Roman" w:hAnsi="Times New Roman" w:cs="Times New Roman"/>
        </w:rPr>
        <w:t xml:space="preserve">the </w:t>
      </w:r>
      <w:r w:rsidR="009F1A01" w:rsidRPr="00FE7DE3">
        <w:rPr>
          <w:rFonts w:ascii="Times New Roman" w:hAnsi="Times New Roman" w:cs="Times New Roman"/>
        </w:rPr>
        <w:t>trajectories towards recovery</w:t>
      </w:r>
      <w:r w:rsidRPr="00FE7DE3">
        <w:rPr>
          <w:rFonts w:ascii="Times New Roman" w:hAnsi="Times New Roman" w:cs="Times New Roman"/>
        </w:rPr>
        <w:t xml:space="preserve"> </w:t>
      </w:r>
      <w:r w:rsidR="00C779B4" w:rsidRPr="00FE7DE3">
        <w:rPr>
          <w:rFonts w:ascii="Times New Roman" w:hAnsi="Times New Roman" w:cs="Times New Roman"/>
        </w:rPr>
        <w:t xml:space="preserve">are </w:t>
      </w:r>
      <w:r w:rsidR="0023337D" w:rsidRPr="00FE7DE3">
        <w:rPr>
          <w:rFonts w:ascii="Times New Roman" w:hAnsi="Times New Roman" w:cs="Times New Roman"/>
        </w:rPr>
        <w:t>needed and</w:t>
      </w:r>
      <w:r w:rsidR="008A525E" w:rsidRPr="00FE7DE3">
        <w:rPr>
          <w:rFonts w:ascii="Times New Roman" w:hAnsi="Times New Roman" w:cs="Times New Roman"/>
        </w:rPr>
        <w:t xml:space="preserve"> must </w:t>
      </w:r>
      <w:r w:rsidR="00C779B4" w:rsidRPr="00FE7DE3">
        <w:rPr>
          <w:rFonts w:ascii="Times New Roman" w:hAnsi="Times New Roman" w:cs="Times New Roman"/>
        </w:rPr>
        <w:t xml:space="preserve">outline the extent to which </w:t>
      </w:r>
      <w:r w:rsidRPr="00FE7DE3">
        <w:rPr>
          <w:rFonts w:ascii="Times New Roman" w:hAnsi="Times New Roman" w:cs="Times New Roman"/>
        </w:rPr>
        <w:t xml:space="preserve">the </w:t>
      </w:r>
      <w:r w:rsidR="008A525E" w:rsidRPr="00FE7DE3">
        <w:rPr>
          <w:rFonts w:ascii="Times New Roman" w:hAnsi="Times New Roman" w:cs="Times New Roman"/>
        </w:rPr>
        <w:t xml:space="preserve">chronic </w:t>
      </w:r>
      <w:r w:rsidR="00C779B4" w:rsidRPr="00FE7DE3">
        <w:rPr>
          <w:rFonts w:ascii="Times New Roman" w:hAnsi="Times New Roman" w:cs="Times New Roman"/>
        </w:rPr>
        <w:t>effects of long</w:t>
      </w:r>
      <w:r w:rsidR="00C779B4" w:rsidRPr="00FE7DE3">
        <w:rPr>
          <w:rFonts w:ascii="Times New Roman" w:eastAsia="Times New Roman" w:hAnsi="Times New Roman" w:cs="Times New Roman"/>
          <w:lang w:eastAsia="en-GB"/>
        </w:rPr>
        <w:t xml:space="preserve">-COVID </w:t>
      </w:r>
      <w:r w:rsidR="001848F4" w:rsidRPr="00FE7DE3">
        <w:rPr>
          <w:rFonts w:ascii="Times New Roman" w:eastAsia="Times New Roman" w:hAnsi="Times New Roman" w:cs="Times New Roman"/>
          <w:lang w:eastAsia="en-GB"/>
        </w:rPr>
        <w:t xml:space="preserve">impact </w:t>
      </w:r>
      <w:r w:rsidR="00C779B4" w:rsidRPr="00FE7DE3">
        <w:rPr>
          <w:rFonts w:ascii="Times New Roman" w:eastAsia="Times New Roman" w:hAnsi="Times New Roman" w:cs="Times New Roman"/>
          <w:lang w:eastAsia="en-GB"/>
        </w:rPr>
        <w:t xml:space="preserve">population </w:t>
      </w:r>
      <w:r w:rsidR="009F1A01" w:rsidRPr="00FE7DE3">
        <w:rPr>
          <w:rFonts w:ascii="Times New Roman" w:eastAsia="Times New Roman" w:hAnsi="Times New Roman" w:cs="Times New Roman"/>
          <w:lang w:eastAsia="en-GB"/>
        </w:rPr>
        <w:t>health</w:t>
      </w:r>
      <w:r w:rsidR="008A525E" w:rsidRPr="00FE7DE3">
        <w:rPr>
          <w:rFonts w:ascii="Times New Roman" w:eastAsia="Times New Roman" w:hAnsi="Times New Roman" w:cs="Times New Roman"/>
          <w:lang w:eastAsia="en-GB"/>
        </w:rPr>
        <w:t>,</w:t>
      </w:r>
      <w:r w:rsidR="009F1A01" w:rsidRPr="00FE7DE3">
        <w:rPr>
          <w:rFonts w:ascii="Times New Roman" w:eastAsia="Times New Roman" w:hAnsi="Times New Roman" w:cs="Times New Roman"/>
          <w:lang w:eastAsia="en-GB"/>
        </w:rPr>
        <w:t xml:space="preserve"> wellbeing and </w:t>
      </w:r>
      <w:r w:rsidR="008A525E" w:rsidRPr="00FE7DE3">
        <w:rPr>
          <w:rFonts w:ascii="Times New Roman" w:eastAsia="Times New Roman" w:hAnsi="Times New Roman" w:cs="Times New Roman"/>
          <w:lang w:eastAsia="en-GB"/>
        </w:rPr>
        <w:t>QoL</w:t>
      </w:r>
      <w:r w:rsidR="00AA7FB2" w:rsidRPr="00FE7DE3">
        <w:rPr>
          <w:rFonts w:ascii="Times New Roman" w:eastAsia="Times New Roman" w:hAnsi="Times New Roman" w:cs="Times New Roman"/>
          <w:lang w:eastAsia="en-GB"/>
        </w:rPr>
        <w:t>.</w:t>
      </w:r>
      <w:r w:rsidR="00C63C61" w:rsidRPr="00FE7DE3">
        <w:rPr>
          <w:rFonts w:ascii="Times New Roman" w:eastAsia="Times New Roman" w:hAnsi="Times New Roman" w:cs="Times New Roman"/>
          <w:lang w:eastAsia="en-GB"/>
        </w:rPr>
        <w:t xml:space="preserve"> The </w:t>
      </w:r>
      <w:r w:rsidR="00D978E9" w:rsidRPr="00FE7DE3">
        <w:rPr>
          <w:rFonts w:ascii="Times New Roman" w:eastAsia="Times New Roman" w:hAnsi="Times New Roman" w:cs="Times New Roman"/>
          <w:lang w:eastAsia="en-GB"/>
        </w:rPr>
        <w:t xml:space="preserve">growing </w:t>
      </w:r>
      <w:r w:rsidR="00C63C61" w:rsidRPr="00FE7DE3">
        <w:rPr>
          <w:rFonts w:ascii="Times New Roman" w:eastAsia="Times New Roman" w:hAnsi="Times New Roman" w:cs="Times New Roman"/>
          <w:lang w:eastAsia="en-GB"/>
        </w:rPr>
        <w:t xml:space="preserve">burden of recovery highlights a clear need </w:t>
      </w:r>
      <w:r w:rsidR="00197E13" w:rsidRPr="00FE7DE3">
        <w:rPr>
          <w:rFonts w:ascii="Times New Roman" w:eastAsia="Times New Roman" w:hAnsi="Times New Roman" w:cs="Times New Roman"/>
          <w:lang w:eastAsia="en-GB"/>
        </w:rPr>
        <w:t xml:space="preserve">to develop </w:t>
      </w:r>
      <w:r w:rsidR="00C63C61" w:rsidRPr="00FE7DE3">
        <w:rPr>
          <w:rFonts w:ascii="Times New Roman" w:eastAsia="Times New Roman" w:hAnsi="Times New Roman" w:cs="Times New Roman"/>
          <w:lang w:eastAsia="en-GB"/>
        </w:rPr>
        <w:t xml:space="preserve">efficacious interventions and </w:t>
      </w:r>
      <w:r w:rsidR="00197E13" w:rsidRPr="00FE7DE3">
        <w:rPr>
          <w:rFonts w:ascii="Times New Roman" w:eastAsia="Times New Roman" w:hAnsi="Times New Roman" w:cs="Times New Roman"/>
          <w:lang w:eastAsia="en-GB"/>
        </w:rPr>
        <w:t xml:space="preserve">multi-disciplinary support pathways </w:t>
      </w:r>
      <w:r w:rsidR="000A2935" w:rsidRPr="00FE7DE3">
        <w:rPr>
          <w:rFonts w:ascii="Times New Roman" w:hAnsi="Times New Roman" w:cs="Times New Roman"/>
        </w:rPr>
        <w:fldChar w:fldCharType="begin"/>
      </w:r>
      <w:r w:rsidR="004646C7" w:rsidRPr="00FE7DE3">
        <w:rPr>
          <w:rFonts w:ascii="Times New Roman" w:hAnsi="Times New Roman" w:cs="Times New Roman"/>
        </w:rPr>
        <w:instrText xml:space="preserve"> ADDIN ZOTERO_ITEM CSL_CITATION {"citationID":"5OJf304a","properties":{"formattedCitation":"[15]","plainCitation":"[15]","noteIndex":0},"citationItems":[{"id":444,"uris":["http://zotero.org/users/1330063/items/4WYHKADR"],"uri":["http://zotero.org/users/1330063/items/4WYHKADR"],"itemData":{"id":444,"type":"article-journal","abstract":"COVID-19 has revealed inequalities in health, wellbeing, and economic status across\ncommunities and has exposed vulnerabilities in societal groups. While the pressure\nof the first peak abates, there is an urgent need to consider the long-term care needs\nof those affected by COVID-19 to ensure that it does not widen inequality. At the\ntime of writing, the long-term effects on recovering patients remains unknown. Research\non Severe Acute Respiratory Syndrome coronavirus (SARS) and Middle Eastern Respiratory\nSyndrome coronavirus (MERS) infection are associated with persisting abnormal radiographic\nchange, substantial impairment of exercise and functional capacity, and reduced quality\nof life following Acute Respiratory Distress Syndrome (ARDS).","container-title":"The Lancet Respiratory Medicine","DOI":"10.1016/S2213-2600(20)30307-6","ISSN":"2213-2600, 2213-2619","issue":"9","journalAbbreviation":"The Lancet Respiratory Medicine","language":"English","note":"publisher: Elsevier\nPMID: 32653073","page":"852","source":"www.thelancet.com","title":"Integrated sports and respiratory medicine in the aftermath of COVID-19","volume":"8","author":[{"family":"Faghy","given":"Mark A."},{"family":"Ashton","given":"Ruth EM"},{"family":"Maden-Wilkinson","given":"Tom M."},{"family":"Copeland","given":"Robert J."},{"family":"Bewick","given":"Thomas"},{"family":"Smith","given":"Andy"},{"family":"Loosemore","given":"Mike"}],"issued":{"date-parts":[["2020",9,1]]}}}],"schema":"https://github.com/citation-style-language/schema/raw/master/csl-citation.json"} </w:instrText>
      </w:r>
      <w:r w:rsidR="000A2935" w:rsidRPr="00FE7DE3">
        <w:rPr>
          <w:rFonts w:ascii="Times New Roman" w:hAnsi="Times New Roman" w:cs="Times New Roman"/>
        </w:rPr>
        <w:fldChar w:fldCharType="separate"/>
      </w:r>
      <w:r w:rsidR="004646C7" w:rsidRPr="00FE7DE3">
        <w:rPr>
          <w:rFonts w:ascii="Times New Roman" w:hAnsi="Times New Roman" w:cs="Times New Roman"/>
        </w:rPr>
        <w:t>[15]</w:t>
      </w:r>
      <w:r w:rsidR="000A2935" w:rsidRPr="00FE7DE3">
        <w:rPr>
          <w:rFonts w:ascii="Times New Roman" w:hAnsi="Times New Roman" w:cs="Times New Roman"/>
        </w:rPr>
        <w:fldChar w:fldCharType="end"/>
      </w:r>
      <w:r w:rsidR="000406BD" w:rsidRPr="00FE7DE3">
        <w:rPr>
          <w:rFonts w:ascii="Times New Roman" w:hAnsi="Times New Roman" w:cs="Times New Roman"/>
        </w:rPr>
        <w:t xml:space="preserve"> </w:t>
      </w:r>
      <w:r w:rsidR="00EA7B76" w:rsidRPr="00FE7DE3">
        <w:rPr>
          <w:rFonts w:ascii="Times New Roman" w:eastAsia="Times New Roman" w:hAnsi="Times New Roman" w:cs="Times New Roman"/>
          <w:lang w:eastAsia="en-GB"/>
        </w:rPr>
        <w:t>to support</w:t>
      </w:r>
      <w:r w:rsidR="00EA7B76" w:rsidRPr="00FE7DE3">
        <w:rPr>
          <w:rFonts w:ascii="Times New Roman" w:hAnsi="Times New Roman" w:cs="Times New Roman"/>
        </w:rPr>
        <w:t xml:space="preserve"> COVID-19 patients </w:t>
      </w:r>
      <w:r w:rsidR="000406BD" w:rsidRPr="00FE7DE3">
        <w:rPr>
          <w:rFonts w:ascii="Times New Roman" w:hAnsi="Times New Roman" w:cs="Times New Roman"/>
        </w:rPr>
        <w:t>living in community</w:t>
      </w:r>
      <w:r w:rsidR="00D978E9" w:rsidRPr="00FE7DE3">
        <w:rPr>
          <w:rFonts w:ascii="Times New Roman" w:hAnsi="Times New Roman" w:cs="Times New Roman"/>
        </w:rPr>
        <w:t xml:space="preserve"> settings</w:t>
      </w:r>
      <w:r w:rsidR="000406BD" w:rsidRPr="00FE7DE3">
        <w:rPr>
          <w:rFonts w:ascii="Times New Roman" w:hAnsi="Times New Roman" w:cs="Times New Roman"/>
        </w:rPr>
        <w:t xml:space="preserve"> with prolonged symptom profiles and morbidity. </w:t>
      </w:r>
      <w:r w:rsidR="00EA7B76" w:rsidRPr="00FE7DE3">
        <w:rPr>
          <w:rFonts w:ascii="Times New Roman" w:hAnsi="Times New Roman" w:cs="Times New Roman"/>
        </w:rPr>
        <w:t>C</w:t>
      </w:r>
      <w:r w:rsidR="000406BD" w:rsidRPr="00FE7DE3">
        <w:rPr>
          <w:rFonts w:ascii="Times New Roman" w:hAnsi="Times New Roman" w:cs="Times New Roman"/>
        </w:rPr>
        <w:t>urrent estimates indicat</w:t>
      </w:r>
      <w:r w:rsidR="00EA7B76" w:rsidRPr="00FE7DE3">
        <w:rPr>
          <w:rFonts w:ascii="Times New Roman" w:hAnsi="Times New Roman" w:cs="Times New Roman"/>
        </w:rPr>
        <w:t>e</w:t>
      </w:r>
      <w:r w:rsidR="000406BD" w:rsidRPr="00FE7DE3">
        <w:rPr>
          <w:rFonts w:ascii="Times New Roman" w:hAnsi="Times New Roman" w:cs="Times New Roman"/>
        </w:rPr>
        <w:t xml:space="preserve"> 1 in 10 people with COVID-19 will </w:t>
      </w:r>
      <w:r w:rsidR="00EA7B76" w:rsidRPr="00FE7DE3">
        <w:rPr>
          <w:rFonts w:ascii="Times New Roman" w:hAnsi="Times New Roman" w:cs="Times New Roman"/>
        </w:rPr>
        <w:t xml:space="preserve">go on to </w:t>
      </w:r>
      <w:r w:rsidR="000406BD" w:rsidRPr="00FE7DE3">
        <w:rPr>
          <w:rFonts w:ascii="Times New Roman" w:hAnsi="Times New Roman" w:cs="Times New Roman"/>
        </w:rPr>
        <w:t xml:space="preserve">experience long-COVID symptoms </w:t>
      </w:r>
      <w:r w:rsidR="000406BD" w:rsidRPr="00FE7DE3">
        <w:rPr>
          <w:rFonts w:ascii="Times New Roman" w:hAnsi="Times New Roman" w:cs="Times New Roman"/>
        </w:rPr>
        <w:fldChar w:fldCharType="begin" w:fldLock="1"/>
      </w:r>
      <w:r w:rsidR="004646C7" w:rsidRPr="00FE7DE3">
        <w:rPr>
          <w:rFonts w:ascii="Times New Roman" w:hAnsi="Times New Roman" w:cs="Times New Roman"/>
        </w:rPr>
        <w:instrText xml:space="preserve"> ADDIN ZOTERO_ITEM CSL_CITATION {"citationID":"VVulZz9U","properties":{"formattedCitation":"[9]","plainCitation":"[9]","noteIndex":0},"citationItems":[{"id":"1ibuZtGN/kJi46qxD","uris":["http://www.mendeley.com/documents/?uuid=1cb2ac2f-5863-49ae-acad-48eea888e502"],"uri":["http://www.mendeley.com/documents/?uuid=1cb2ac2f-5863-49ae-acad-48eea888e502"],"itemData":{"author":[{"dropping-particle":"","family":"Sudre","given":"C.H.","non-dropping-particle":"","parse-names":false,"suffix":""},{"dropping-particle":"","family":"Murray","given":"B.","non-dropping-particle":"","parse-names":false,"suffix":""},{"dropping-particle":"","family":"Varsavsky","given":"T.","non-dropping-particle":"","parse-names":false,"suffix":""},{"dropping-particle":"","family":"et al.","given":"","non-dropping-particle":"","parse-names":false,"suffix":""}],"container-title":"Nature Medicine","id":"ITEM-1","issued":{"date-parts":[["2021"]]},"page":"626-631","title":"Attributes and predictors of long COVID","type":"article-journal","volume":"27"}}],"schema":"https://github.com/citation-style-language/schema/raw/master/csl-citation.json"} </w:instrText>
      </w:r>
      <w:r w:rsidR="000406BD" w:rsidRPr="00FE7DE3">
        <w:rPr>
          <w:rFonts w:ascii="Times New Roman" w:hAnsi="Times New Roman" w:cs="Times New Roman"/>
        </w:rPr>
        <w:fldChar w:fldCharType="separate"/>
      </w:r>
      <w:r w:rsidR="000406BD" w:rsidRPr="00FE7DE3">
        <w:rPr>
          <w:rFonts w:ascii="Times New Roman" w:hAnsi="Times New Roman" w:cs="Times New Roman"/>
        </w:rPr>
        <w:t>[9]</w:t>
      </w:r>
      <w:r w:rsidR="000406BD" w:rsidRPr="00FE7DE3">
        <w:rPr>
          <w:rFonts w:ascii="Times New Roman" w:hAnsi="Times New Roman" w:cs="Times New Roman"/>
        </w:rPr>
        <w:fldChar w:fldCharType="end"/>
      </w:r>
      <w:r w:rsidR="000406BD" w:rsidRPr="00FE7DE3">
        <w:rPr>
          <w:rFonts w:ascii="Times New Roman" w:hAnsi="Times New Roman" w:cs="Times New Roman"/>
        </w:rPr>
        <w:t xml:space="preserve">, </w:t>
      </w:r>
      <w:r w:rsidR="00500E04" w:rsidRPr="00FE7DE3">
        <w:rPr>
          <w:rFonts w:ascii="Times New Roman" w:hAnsi="Times New Roman" w:cs="Times New Roman"/>
        </w:rPr>
        <w:t xml:space="preserve">highlighting a clear </w:t>
      </w:r>
      <w:r w:rsidR="000406BD" w:rsidRPr="00FE7DE3">
        <w:rPr>
          <w:rFonts w:ascii="Times New Roman" w:hAnsi="Times New Roman" w:cs="Times New Roman"/>
        </w:rPr>
        <w:t>need to understand the determinants of recovery</w:t>
      </w:r>
      <w:r w:rsidR="008A525E" w:rsidRPr="00FE7DE3">
        <w:rPr>
          <w:rFonts w:ascii="Times New Roman" w:hAnsi="Times New Roman" w:cs="Times New Roman"/>
        </w:rPr>
        <w:t>,</w:t>
      </w:r>
      <w:r w:rsidR="000221D8" w:rsidRPr="00FE7DE3">
        <w:rPr>
          <w:rFonts w:ascii="Times New Roman" w:hAnsi="Times New Roman" w:cs="Times New Roman"/>
        </w:rPr>
        <w:t xml:space="preserve"> </w:t>
      </w:r>
      <w:r w:rsidR="00500E04" w:rsidRPr="00FE7DE3">
        <w:rPr>
          <w:rFonts w:ascii="Times New Roman" w:hAnsi="Times New Roman" w:cs="Times New Roman"/>
        </w:rPr>
        <w:t xml:space="preserve">and to inform </w:t>
      </w:r>
      <w:r w:rsidR="000221D8" w:rsidRPr="00FE7DE3">
        <w:rPr>
          <w:rFonts w:ascii="Times New Roman" w:hAnsi="Times New Roman" w:cs="Times New Roman"/>
        </w:rPr>
        <w:t>the development of bespoke</w:t>
      </w:r>
      <w:r w:rsidR="008C08F9" w:rsidRPr="00FE7DE3">
        <w:rPr>
          <w:rFonts w:ascii="Times New Roman" w:hAnsi="Times New Roman" w:cs="Times New Roman"/>
        </w:rPr>
        <w:t xml:space="preserve"> </w:t>
      </w:r>
      <w:r w:rsidR="000221D8" w:rsidRPr="00FE7DE3">
        <w:rPr>
          <w:rFonts w:ascii="Times New Roman" w:hAnsi="Times New Roman" w:cs="Times New Roman"/>
        </w:rPr>
        <w:t>COVID-19 intervention approaches</w:t>
      </w:r>
      <w:r w:rsidR="00500E04" w:rsidRPr="00FE7DE3">
        <w:rPr>
          <w:rFonts w:ascii="Times New Roman" w:hAnsi="Times New Roman" w:cs="Times New Roman"/>
        </w:rPr>
        <w:t>.</w:t>
      </w:r>
      <w:r w:rsidR="000221D8" w:rsidRPr="00FE7DE3">
        <w:rPr>
          <w:rFonts w:ascii="Times New Roman" w:hAnsi="Times New Roman" w:cs="Times New Roman"/>
        </w:rPr>
        <w:t xml:space="preserve"> </w:t>
      </w:r>
      <w:r w:rsidR="002E4207" w:rsidRPr="00FE7DE3">
        <w:rPr>
          <w:rFonts w:ascii="Times New Roman" w:hAnsi="Times New Roman" w:cs="Times New Roman"/>
        </w:rPr>
        <w:t xml:space="preserve">Conservative estimates highlight ~15 million cases worldwide (as of December 2021), including a substantial number of healthcare workers </w:t>
      </w:r>
      <w:r w:rsidR="002E4207" w:rsidRPr="00FE7DE3">
        <w:rPr>
          <w:rFonts w:ascii="Times New Roman" w:hAnsi="Times New Roman" w:cs="Times New Roman"/>
        </w:rPr>
        <w:fldChar w:fldCharType="begin"/>
      </w:r>
      <w:r w:rsidR="004646C7" w:rsidRPr="00FE7DE3">
        <w:rPr>
          <w:rFonts w:ascii="Times New Roman" w:hAnsi="Times New Roman" w:cs="Times New Roman"/>
        </w:rPr>
        <w:instrText xml:space="preserve"> ADDIN ZOTERO_ITEM CSL_CITATION {"citationID":"VzLkw0qt","properties":{"formattedCitation":"[16]","plainCitation":"[16]","noteIndex":0},"citationItems":[{"id":772,"uris":["http://zotero.org/users/1330063/items/NRYTYKXK"],"uri":["http://zotero.org/users/1330063/items/NRYTYKXK"],"itemData":{"id":772,"type":"webpage","title":"NHS sickness absence during the covid-19 pandemic | The BMJ","URL":"https://www.bmj.com/content/372/bmj.n471","accessed":{"date-parts":[["2021",5,13]]}}}],"schema":"https://github.com/citation-style-language/schema/raw/master/csl-citation.json"} </w:instrText>
      </w:r>
      <w:r w:rsidR="002E4207" w:rsidRPr="00FE7DE3">
        <w:rPr>
          <w:rFonts w:ascii="Times New Roman" w:hAnsi="Times New Roman" w:cs="Times New Roman"/>
        </w:rPr>
        <w:fldChar w:fldCharType="separate"/>
      </w:r>
      <w:r w:rsidR="004646C7" w:rsidRPr="00FE7DE3">
        <w:rPr>
          <w:rFonts w:ascii="Times New Roman" w:hAnsi="Times New Roman" w:cs="Times New Roman"/>
        </w:rPr>
        <w:t>[16]</w:t>
      </w:r>
      <w:r w:rsidR="002E4207" w:rsidRPr="00FE7DE3">
        <w:rPr>
          <w:rFonts w:ascii="Times New Roman" w:hAnsi="Times New Roman" w:cs="Times New Roman"/>
        </w:rPr>
        <w:fldChar w:fldCharType="end"/>
      </w:r>
      <w:r w:rsidR="002E4207" w:rsidRPr="00FE7DE3">
        <w:rPr>
          <w:rFonts w:ascii="Times New Roman" w:hAnsi="Times New Roman" w:cs="Times New Roman"/>
        </w:rPr>
        <w:t xml:space="preserve">, which will continue to increase due to sustained global transmission </w:t>
      </w:r>
      <w:r w:rsidR="002E4207" w:rsidRPr="00FE7DE3">
        <w:rPr>
          <w:rFonts w:ascii="Times New Roman" w:hAnsi="Times New Roman" w:cs="Times New Roman"/>
        </w:rPr>
        <w:fldChar w:fldCharType="begin"/>
      </w:r>
      <w:r w:rsidR="004646C7" w:rsidRPr="00FE7DE3">
        <w:rPr>
          <w:rFonts w:ascii="Times New Roman" w:hAnsi="Times New Roman" w:cs="Times New Roman"/>
        </w:rPr>
        <w:instrText xml:space="preserve"> ADDIN ZOTERO_ITEM CSL_CITATION {"citationID":"g1DhBfaC","properties":{"formattedCitation":"[17]","plainCitation":"[17]","noteIndex":0},"citationItems":[{"id":1829,"uris":["http://zotero.org/users/1330063/items/3VA9GY2K"],"uri":["http://zotero.org/users/1330063/items/3VA9GY2K"],"itemData":{"id":1829,"type":"article-journal","abstract":"Since its emergence in Wuhan, China, covid-19 has spread and had a profound effect on the lives and health of people around the globe. As of 4 July 2021, more than 183 million confirmed cases of covid-19 had been recorded worldwide, and 3.97 million deaths. Recent evidence has shown that a range of persistent symptoms can remain long after the acute SARS-CoV-2 infection, and this condition is now coined long covid by recognized research institutes. Studies have shown that long covid can affect the whole spectrum of people with covid-19, from those with very mild acute disease to the most severe forms. Like acute covid-19, long covid can involve multiple organs and can affect many systems including, but not limited to, the respiratory, cardiovascular, neurological, gastrointestinal, and musculoskeletal systems. The symptoms of long covid include fatigue, dyspnea, cardiac abnormalities, cognitive impairment, sleep disturbances, symptoms of post-traumatic stress disorder, muscle pain, concentration problems, and headache. This review summarizes studies of the long term effects of covid-19 in hospitalized and non-hospitalized patients and describes the persistent symptoms they endure. Risk factors for acute covid-19 and long covid and possible therapeutic options are also discussed.","container-title":"BMJ","DOI":"10.1136/bmj.n1648","ISSN":"1756-1833","journalAbbreviation":"BMJ","language":"en","note":"publisher: British Medical Journal Publishing Group\nsection: Clinical Review\nPMID: 34312178","page":"n1648","source":"www.bmj.com","title":"Long covid—mechanisms, risk factors, and management","volume":"374","author":[{"family":"Crook","given":"Harry"},{"family":"Raza","given":"Sanara"},{"family":"Nowell","given":"Joseph"},{"family":"Young","given":"Megan"},{"family":"Edison","given":"Paul"}],"issued":{"date-parts":[["2021",7,26]]}}}],"schema":"https://github.com/citation-style-language/schema/raw/master/csl-citation.json"} </w:instrText>
      </w:r>
      <w:r w:rsidR="002E4207" w:rsidRPr="00FE7DE3">
        <w:rPr>
          <w:rFonts w:ascii="Times New Roman" w:hAnsi="Times New Roman" w:cs="Times New Roman"/>
        </w:rPr>
        <w:fldChar w:fldCharType="separate"/>
      </w:r>
      <w:r w:rsidR="004646C7" w:rsidRPr="00FE7DE3">
        <w:rPr>
          <w:rFonts w:ascii="Times New Roman" w:hAnsi="Times New Roman" w:cs="Times New Roman"/>
        </w:rPr>
        <w:t>[17]</w:t>
      </w:r>
      <w:r w:rsidR="002E4207" w:rsidRPr="00FE7DE3">
        <w:rPr>
          <w:rFonts w:ascii="Times New Roman" w:hAnsi="Times New Roman" w:cs="Times New Roman"/>
        </w:rPr>
        <w:fldChar w:fldCharType="end"/>
      </w:r>
      <w:r w:rsidR="002E4207" w:rsidRPr="00FE7DE3">
        <w:rPr>
          <w:rFonts w:ascii="Times New Roman" w:hAnsi="Times New Roman" w:cs="Times New Roman"/>
        </w:rPr>
        <w:t xml:space="preserve">. What </w:t>
      </w:r>
      <w:r w:rsidR="002E4207" w:rsidRPr="00FE7DE3">
        <w:rPr>
          <w:rFonts w:ascii="Times New Roman" w:hAnsi="Times New Roman" w:cs="Times New Roman"/>
        </w:rPr>
        <w:lastRenderedPageBreak/>
        <w:t>is clear from the data here and elsewhere</w:t>
      </w:r>
      <w:r w:rsidR="0023337D" w:rsidRPr="00FE7DE3">
        <w:rPr>
          <w:rFonts w:ascii="Times New Roman" w:hAnsi="Times New Roman" w:cs="Times New Roman"/>
        </w:rPr>
        <w:fldChar w:fldCharType="begin"/>
      </w:r>
      <w:r w:rsidR="0023337D" w:rsidRPr="00FE7DE3">
        <w:rPr>
          <w:rFonts w:ascii="Times New Roman" w:hAnsi="Times New Roman" w:cs="Times New Roman"/>
        </w:rPr>
        <w:instrText xml:space="preserve"> ADDIN ZOTERO_ITEM CSL_CITATION {"citationID":"nM12ahwP","properties":{"formattedCitation":"[18,19]","plainCitation":"[18,19]","noteIndex":0},"citationItems":[{"id":1846,"uris":["http://zotero.org/users/1330063/items/ASDG6EYX"],"uri":["http://zotero.org/users/1330063/items/ASDG6EYX"],"itemData":{"id":1846,"type":"article-journal","container-title":"Economics in the Time of COVID-19","issue":"10.1162","note":"publisher: Centre for Economic Policy Research London","source":"Google Scholar","title":"The economic impact of COVID-19","volume":"45","author":[{"family":"McKibbin","given":"Warwick"},{"family":"Fernando","given":"Roshen"}],"issued":{"date-parts":[["2020"]]}}},{"id":1841,"uris":["http://zotero.org/users/1330063/items/HR3ABXPW"],"uri":["http://zotero.org/users/1330063/items/HR3ABXPW"],"itemData":{"id":1841,"type":"article-journal","container-title":"Current Problems in Cardiology","note":"publisher: Elsevier","page":"100823","source":"Google Scholar","title":"Current Activities Centered on Healthy Living and Recommendations for the Future: A Position Statement from the HL-PIVOT Network","title-short":"Current Activities Centered on Healthy Living and Recommendations for the Future","author":[{"family":"Arena","given":"Ross"},{"family":"Myers","given":"Jonathan"},{"family":"Kaminsky","given":"Leonard A."},{"family":"Williams","given":"Mark"},{"family":"Sabbahi","given":"Ahmad"},{"family":"Popovic","given":"Dejana"},{"family":"Axtell","given":"Robert"},{"family":"Faghy","given":"Mark"},{"family":"Hills","given":"Andrew P."},{"family":"Olivares","given":"Silvia Lizett Olivares"}],"issued":{"date-parts":[["2021"]]}}}],"schema":"https://github.com/citation-style-language/schema/raw/master/csl-citation.json"} </w:instrText>
      </w:r>
      <w:r w:rsidR="0023337D" w:rsidRPr="00FE7DE3">
        <w:rPr>
          <w:rFonts w:ascii="Times New Roman" w:hAnsi="Times New Roman" w:cs="Times New Roman"/>
        </w:rPr>
        <w:fldChar w:fldCharType="separate"/>
      </w:r>
      <w:r w:rsidR="0023337D" w:rsidRPr="00FE7DE3">
        <w:rPr>
          <w:rFonts w:ascii="Times New Roman" w:hAnsi="Times New Roman" w:cs="Times New Roman"/>
        </w:rPr>
        <w:t>[18,19]</w:t>
      </w:r>
      <w:r w:rsidR="0023337D" w:rsidRPr="00FE7DE3">
        <w:rPr>
          <w:rFonts w:ascii="Times New Roman" w:hAnsi="Times New Roman" w:cs="Times New Roman"/>
        </w:rPr>
        <w:fldChar w:fldCharType="end"/>
      </w:r>
      <w:r w:rsidR="002E4207" w:rsidRPr="00FE7DE3">
        <w:rPr>
          <w:rFonts w:ascii="Times New Roman" w:hAnsi="Times New Roman" w:cs="Times New Roman"/>
        </w:rPr>
        <w:t>, is that the impacts which extend beyond the health and wellbeing of patients and transcend into societal and economical areas will continue for some time</w:t>
      </w:r>
      <w:r w:rsidR="00DE32DF" w:rsidRPr="00FE7DE3">
        <w:rPr>
          <w:rFonts w:ascii="Times New Roman" w:hAnsi="Times New Roman" w:cs="Times New Roman"/>
        </w:rPr>
        <w:t xml:space="preserve"> </w:t>
      </w:r>
      <w:r w:rsidR="00DE32DF" w:rsidRPr="00FE7DE3">
        <w:rPr>
          <w:rFonts w:ascii="Times New Roman" w:hAnsi="Times New Roman" w:cs="Times New Roman"/>
        </w:rPr>
        <w:fldChar w:fldCharType="begin"/>
      </w:r>
      <w:r w:rsidR="0023337D" w:rsidRPr="00FE7DE3">
        <w:rPr>
          <w:rFonts w:ascii="Times New Roman" w:hAnsi="Times New Roman" w:cs="Times New Roman"/>
        </w:rPr>
        <w:instrText xml:space="preserve"> ADDIN ZOTERO_ITEM CSL_CITATION {"citationID":"8wtfHpo6","properties":{"formattedCitation":"[20]","plainCitation":"[20]","noteIndex":0},"citationItems":[{"id":1833,"uris":["http://zotero.org/users/1330063/items/CDJ2324G"],"uri":["http://zotero.org/users/1330063/items/CDJ2324G"],"itemData":{"id":1833,"type":"article-journal","container-title":"The Lancet Diabetes &amp; Endocrinology","DOI":"10.1016/S2213-8587(21)00026-7","ISSN":"2213-8587, 2213-8595","issue":"3","journalAbbreviation":"The Lancet Diabetes &amp; Endocrinology","language":"English","note":"publisher: Elsevier\nPMID: 33549161","page":"133-135","source":"www.thelancet.com","title":"Avoiding a legacy of unequal non-communicable disease burden after the COVID-19 pandemic","volume":"9","author":[{"family":"Maani","given":"Nason"},{"family":"Abdalla","given":"Salma M."},{"family":"Galea","given":"Sandro"}],"issued":{"date-parts":[["2021",3,1]]}}}],"schema":"https://github.com/citation-style-language/schema/raw/master/csl-citation.json"} </w:instrText>
      </w:r>
      <w:r w:rsidR="00DE32DF" w:rsidRPr="00FE7DE3">
        <w:rPr>
          <w:rFonts w:ascii="Times New Roman" w:hAnsi="Times New Roman" w:cs="Times New Roman"/>
        </w:rPr>
        <w:fldChar w:fldCharType="separate"/>
      </w:r>
      <w:r w:rsidR="0023337D" w:rsidRPr="00FE7DE3">
        <w:rPr>
          <w:rFonts w:ascii="Times New Roman" w:hAnsi="Times New Roman" w:cs="Times New Roman"/>
        </w:rPr>
        <w:t>[20]</w:t>
      </w:r>
      <w:r w:rsidR="00DE32DF" w:rsidRPr="00FE7DE3">
        <w:rPr>
          <w:rFonts w:ascii="Times New Roman" w:hAnsi="Times New Roman" w:cs="Times New Roman"/>
        </w:rPr>
        <w:fldChar w:fldCharType="end"/>
      </w:r>
      <w:r w:rsidR="00644B9F" w:rsidRPr="00FE7DE3">
        <w:rPr>
          <w:rFonts w:ascii="Times New Roman" w:hAnsi="Times New Roman" w:cs="Times New Roman"/>
        </w:rPr>
        <w:t xml:space="preserve"> and should undoubtedly be considered an international research priority.</w:t>
      </w:r>
    </w:p>
    <w:p w14:paraId="13C16FC4" w14:textId="76220FFB" w:rsidR="00A90F9F" w:rsidRPr="00FE7DE3" w:rsidRDefault="0014328C" w:rsidP="00601EB1">
      <w:pPr>
        <w:spacing w:after="120" w:line="480" w:lineRule="auto"/>
        <w:jc w:val="both"/>
        <w:rPr>
          <w:rFonts w:ascii="Times New Roman" w:hAnsi="Times New Roman" w:cs="Times New Roman"/>
        </w:rPr>
      </w:pPr>
      <w:r w:rsidRPr="00FE7DE3">
        <w:rPr>
          <w:rFonts w:ascii="Times New Roman" w:hAnsi="Times New Roman" w:cs="Times New Roman"/>
        </w:rPr>
        <w:t xml:space="preserve">Whilst research into </w:t>
      </w:r>
      <w:r w:rsidR="003A5855" w:rsidRPr="00FE7DE3">
        <w:rPr>
          <w:rFonts w:ascii="Times New Roman" w:hAnsi="Times New Roman" w:cs="Times New Roman"/>
        </w:rPr>
        <w:t xml:space="preserve">the </w:t>
      </w:r>
      <w:r w:rsidRPr="00FE7DE3">
        <w:rPr>
          <w:rFonts w:ascii="Times New Roman" w:hAnsi="Times New Roman" w:cs="Times New Roman"/>
        </w:rPr>
        <w:t>mechanisms and recovery from COVID-19 and especially</w:t>
      </w:r>
      <w:r w:rsidR="003A5855" w:rsidRPr="00FE7DE3">
        <w:rPr>
          <w:rFonts w:ascii="Times New Roman" w:hAnsi="Times New Roman" w:cs="Times New Roman"/>
        </w:rPr>
        <w:t>,</w:t>
      </w:r>
      <w:r w:rsidRPr="00FE7DE3">
        <w:rPr>
          <w:rFonts w:ascii="Times New Roman" w:hAnsi="Times New Roman" w:cs="Times New Roman"/>
        </w:rPr>
        <w:t xml:space="preserve"> long-COVID is ongoing, the current findings highlight an urgent need for COVID-19 specific rehabilitative strategies </w:t>
      </w:r>
      <w:r w:rsidRPr="00FE7DE3">
        <w:rPr>
          <w:rFonts w:ascii="Times New Roman" w:hAnsi="Times New Roman" w:cs="Times New Roman"/>
        </w:rPr>
        <w:fldChar w:fldCharType="begin" w:fldLock="1"/>
      </w:r>
      <w:r w:rsidR="0023337D" w:rsidRPr="00FE7DE3">
        <w:rPr>
          <w:rFonts w:ascii="Times New Roman" w:hAnsi="Times New Roman" w:cs="Times New Roman"/>
        </w:rPr>
        <w:instrText xml:space="preserve"> ADDIN ZOTERO_ITEM CSL_CITATION {"citationID":"pFhBPMyv","properties":{"formattedCitation":"[21]","plainCitation":"[21]","noteIndex":0},"citationItems":[{"id":"1ibuZtGN/rFHC9uHi","uris":["http://www.mendeley.com/documents/?uuid=92de0263-0576-3dda-89f5-15ef4a991b0d"],"uri":["http://www.mendeley.com/documents/?uuid=92de0263-0576-3dda-89f5-15ef4a991b0d"],"itemData":{"DOI":"10.1016/j.pcad.2021.01.004","ISSN":"18731740","abstract":"© 2021 Elsevier Inc. COVID-19 is one of the biggest health crises that the world has seen. Whilst measures to abate transmission and infection are ongoing, there continues to be growing numbers of patients requiring chronic support, which is already putting a strain on health care systems around the world and which may do so for years to come. A legacy of COVID-19 will be a long-term requirement to support patients with dedicated rehabilitation and support services. With many clinical settings characterized by a lack of funding and resources, the need to provide these additional services could overwhelm clinical capacity. This position statement from the Healthy Living for Pandemic Event Protection (HL-PIVOT) Network provides a collaborative blueprint focused on leading research and developing clinical guidelines, bringing together professionals with expertise in clinical services and the exercise sciences to develop the evidence base needed to improve outcomes for patients infected by COVID-19.","author":[{"dropping-particle":"","family":"Faghy","given":"M.A.","non-dropping-particle":"","parse-names":false,"suffix":""},{"dropping-particle":"","family":"Arena","given":"R.","non-dropping-particle":"","parse-names":false,"suffix":""},{"dropping-particle":"","family":"Stoner","given":"L.","non-dropping-particle":"","parse-names":false,"suffix":""},{"dropping-particle":"","family":"Haraf","given":"R.H.","non-dropping-particle":"","parse-names":false,"suffix":""},{"dropping-particle":"","family":"Josephson","given":"R.","non-dropping-particle":"","parse-names":false,"suffix":""},{"dropping-particle":"","family":"Hills","given":"A.P.","non-dropping-particle":"","parse-names":false,"suffix":""},{"dropping-particle":"","family":"Dixit","given":"S.","non-dropping-particle":"","parse-names":false,"suffix":""},{"dropping-particle":"","family":"Popovic","given":"D.","non-dropping-particle":"","parse-names":false,"suffix":""},{"dropping-particle":"","family":"Smith","given":"A.","non-dropping-particle":"","parse-names":false,"suffix":""},{"dropping-particle":"","family":"Myers","given":"J.","non-dropping-particle":"","parse-names":false,"suffix":""},{"dropping-particle":"","family":"Bacon","given":"S.L.","non-dropping-particle":"","parse-names":false,"suffix":""},{"dropping-particle":"","family":"Niebauer","given":"J.","non-dropping-particle":"","parse-names":false,"suffix":""},{"dropping-particle":"","family":"Dourado","given":"V.Z.","non-dropping-particle":"","parse-names":false,"suffix":""},{"dropping-particle":"","family":"Babu","given":"A.S.","non-dropping-particle":"","parse-names":false,"suffix":""},{"dropping-particle":"","family":"Maden-Wilkinson","given":"T.M.","non-dropping-particle":"","parse-names":false,"suffix":""},{"dropping-particle":"","family":"Copeland","given":"R.J.","non-dropping-particle":"","parse-names":false,"suffix":""},{"dropping-particle":"","family":"Gough","given":"L.A.","non-dropping-particle":"","parse-names":false,"suffix":""},{"dropping-particle":"","family":"Bond","given":"S.","non-dropping-particle":"","parse-names":false,"suffix":""},{"dropping-particle":"","family":"Stuart","given":"K.","non-dropping-particle":"","parse-names":false,"suffix":""},{"dropping-particle":"","family":"Bewick","given":"T.","non-dropping-particle":"","parse-names":false,"suffix":""},{"dropping-particle":"","family":"Ashton","given":"R.E.M.","non-dropping-particle":"","parse-names":false,"suffix":""}],"container-title":"Progress in Cardiovascular Diseases","id":"ITEM-1","issued":{"date-parts":[["2021"]]},"title":"The need for exercise sciences and an integrated response to COVID-19: A position statement from the international HL-PIVOT network","type":"article-journal"}}],"schema":"https://github.com/citation-style-language/schema/raw/master/csl-citation.json"} </w:instrText>
      </w:r>
      <w:r w:rsidRPr="00FE7DE3">
        <w:rPr>
          <w:rFonts w:ascii="Times New Roman" w:hAnsi="Times New Roman" w:cs="Times New Roman"/>
        </w:rPr>
        <w:fldChar w:fldCharType="separate"/>
      </w:r>
      <w:r w:rsidR="0023337D" w:rsidRPr="00FE7DE3">
        <w:rPr>
          <w:rFonts w:ascii="Times New Roman" w:hAnsi="Times New Roman" w:cs="Times New Roman"/>
        </w:rPr>
        <w:t>[21]</w:t>
      </w:r>
      <w:r w:rsidRPr="00FE7DE3">
        <w:rPr>
          <w:rFonts w:ascii="Times New Roman" w:hAnsi="Times New Roman" w:cs="Times New Roman"/>
        </w:rPr>
        <w:fldChar w:fldCharType="end"/>
      </w:r>
      <w:r w:rsidRPr="00FE7DE3">
        <w:rPr>
          <w:rFonts w:ascii="Times New Roman" w:hAnsi="Times New Roman" w:cs="Times New Roman"/>
        </w:rPr>
        <w:t xml:space="preserve"> and patient support pathways to enable a return to pre-COVID </w:t>
      </w:r>
      <w:r w:rsidR="003A5855" w:rsidRPr="00FE7DE3">
        <w:rPr>
          <w:rFonts w:ascii="Times New Roman" w:hAnsi="Times New Roman" w:cs="Times New Roman"/>
        </w:rPr>
        <w:t>QoL</w:t>
      </w:r>
      <w:r w:rsidRPr="00FE7DE3">
        <w:rPr>
          <w:rFonts w:ascii="Times New Roman" w:hAnsi="Times New Roman" w:cs="Times New Roman"/>
        </w:rPr>
        <w:t xml:space="preserve">. </w:t>
      </w:r>
      <w:r w:rsidR="00601EB1" w:rsidRPr="00FE7DE3">
        <w:rPr>
          <w:rFonts w:ascii="Times New Roman" w:hAnsi="Times New Roman" w:cs="Times New Roman"/>
        </w:rPr>
        <w:t>Data here support previous work that has grouped symptoms to include</w:t>
      </w:r>
      <w:r w:rsidR="003A5855" w:rsidRPr="00FE7DE3">
        <w:rPr>
          <w:rFonts w:ascii="Times New Roman" w:hAnsi="Times New Roman" w:cs="Times New Roman"/>
        </w:rPr>
        <w:t>:</w:t>
      </w:r>
      <w:r w:rsidR="00601EB1" w:rsidRPr="00FE7DE3">
        <w:rPr>
          <w:rFonts w:ascii="Times New Roman" w:hAnsi="Times New Roman" w:cs="Times New Roman"/>
        </w:rPr>
        <w:t xml:space="preserve"> cardiovascular, pulmonary and respiratory symptoms, pain, fatigue, general infection symptoms, mental wellbeing, cognitive impairment, sensory impairment, and functional impairment </w:t>
      </w:r>
      <w:r w:rsidR="00601EB1" w:rsidRPr="00FE7DE3">
        <w:rPr>
          <w:rFonts w:ascii="Times New Roman" w:hAnsi="Times New Roman" w:cs="Times New Roman"/>
        </w:rPr>
        <w:fldChar w:fldCharType="begin"/>
      </w:r>
      <w:r w:rsidR="00601EB1" w:rsidRPr="00FE7DE3">
        <w:rPr>
          <w:rFonts w:ascii="Times New Roman" w:hAnsi="Times New Roman" w:cs="Times New Roman"/>
        </w:rPr>
        <w:instrText xml:space="preserve"> ADDIN ZOTERO_ITEM CSL_CITATION {"citationID":"KRcyYYly","properties":{"formattedCitation":"[12]","plainCitation":"[12]","noteIndex":0},"citationItems":[{"id":1801,"uris":["http://zotero.org/users/1330063/items/VNE7LVD3"],"uri":["http://zotero.org/users/1330063/items/VNE7LVD3"],"itemData":{"id":1801,"type":"article-journal","abstract":"Background: Persistent coronavirus disease 2019 (COVID-19) symptoms are increasingly well-reported in cohort studies and case series. Given the spread of the pandemic, number of individuals suffering from persistent symptoms, termed ‘long COVID', are significant. However, type and prevalence of symptoms are not well reported using systematic literature reviews.Objectives: In this scoping review of the literature, we aggregated type and prevalence of symptoms in people with long COVID.Eligibility Criteria: Original investigations concerning the name and prevalence of symptoms were considered in participants ≥4-weeks post-infection.Sources of Evidence: Four electronic databases [Medline, Web of Science, Scopus, and the Cochrane Central Register of Controlled Trials (CENTRAL)] were searched.Methods: A scoping review was conducted using the Arksey and O'Malley framework. Review selection and characterisation was performed by three independent reviewers using pretested forms.Results: Authors reviewed 2,711 titles and abstracts for inclusion with 152 selected for full-text review. 102 articles were subsequently removed as this did not meet inclusion criteria. Thus, fifty studies were analysed, 34 of which were described as cohort studies or prospective cohort studies, 14 were described as cross-sectional studies, one was described as a case control study, and one was described as a retrospective observational study. In total, &gt;100 symptoms were identified and there was considerable heterogeneity in symptom prevalence and setting of study. Ten studies reported cardiovascular symptoms, four examined pulmonary symptoms, 25 reported respiratory symptoms, 24 reported pain-related symptoms, 21 reported fatigue, 16 reported general infection symptoms, 10 reported symptoms of psychological disorders, nine reported cognitive impairment, 31 reported a sensory impairment, seven reported a dermatological complaint, 11 reported a functional impairment, and 18 reported a symptom which did not fit into any of the above categories.Conclusion: Most studies report symptoms analogous to those apparent in acute COVID-19 infection (i.e., sensory impairment and respiratory symptoms). Yet, our data suggest a larger spectrum of symptoms, evidenced by &gt;100 reported symptoms. Symptom prevalence varied significantly and was not explained by data collection approaches, study design or other methodological approaches, and may be related to unknown cohort-specific factors.","container-title":"Frontiers in Medicine","DOI":"10.3389/fmed.2021.750378","ISSN":"2296-858X","page":"2028","source":"Frontiers","title":"More Than 100 Persistent Symptoms of SARS-CoV-2 (Long COVID): A Scoping Review","title-short":"More Than 100 Persistent Symptoms of SARS-CoV-2 (Long COVID)","volume":"8","author":[{"family":"Hayes","given":"Lawrence D."},{"family":"Ingram","given":"Joanne"},{"family":"Sculthorpe","given":"Nicholas F."}],"issued":{"date-parts":[["2021"]]}}}],"schema":"https://github.com/citation-style-language/schema/raw/master/csl-citation.json"} </w:instrText>
      </w:r>
      <w:r w:rsidR="00601EB1" w:rsidRPr="00FE7DE3">
        <w:rPr>
          <w:rFonts w:ascii="Times New Roman" w:hAnsi="Times New Roman" w:cs="Times New Roman"/>
        </w:rPr>
        <w:fldChar w:fldCharType="separate"/>
      </w:r>
      <w:r w:rsidR="00601EB1" w:rsidRPr="00FE7DE3">
        <w:rPr>
          <w:rFonts w:ascii="Times New Roman" w:hAnsi="Times New Roman" w:cs="Times New Roman"/>
        </w:rPr>
        <w:t>[12]</w:t>
      </w:r>
      <w:r w:rsidR="00601EB1" w:rsidRPr="00FE7DE3">
        <w:rPr>
          <w:rFonts w:ascii="Times New Roman" w:hAnsi="Times New Roman" w:cs="Times New Roman"/>
        </w:rPr>
        <w:fldChar w:fldCharType="end"/>
      </w:r>
      <w:r w:rsidR="00601EB1" w:rsidRPr="00FE7DE3">
        <w:rPr>
          <w:rFonts w:ascii="Times New Roman" w:hAnsi="Times New Roman" w:cs="Times New Roman"/>
        </w:rPr>
        <w:t xml:space="preserve">. The increased understanding relating to the interaction between different symptoms (e.g., reduced functional status, physical capacity and fatigue) must be addressed with approaches that are cognisant of COVID-19’s underlying and not yet fully understood complexity </w:t>
      </w:r>
      <w:r w:rsidR="00601EB1" w:rsidRPr="00FE7DE3">
        <w:rPr>
          <w:rFonts w:ascii="Times New Roman" w:hAnsi="Times New Roman" w:cs="Times New Roman"/>
        </w:rPr>
        <w:fldChar w:fldCharType="begin"/>
      </w:r>
      <w:r w:rsidR="0023337D" w:rsidRPr="00FE7DE3">
        <w:rPr>
          <w:rFonts w:ascii="Times New Roman" w:hAnsi="Times New Roman" w:cs="Times New Roman"/>
        </w:rPr>
        <w:instrText xml:space="preserve"> ADDIN ZOTERO_ITEM CSL_CITATION {"citationID":"MTjxTuCI","properties":{"formattedCitation":"[22]","plainCitation":"[22]","noteIndex":0},"citationItems":[{"id":1837,"uris":["http://zotero.org/users/1330063/items/BRL55LUK"],"uri":["http://zotero.org/users/1330063/items/BRL55LUK"],"itemData":{"id":1837,"type":"article-journal","abstract":"ObjectiveCOVID-19 can result in a broad spectrum of dysfunctions, some of which may persist for long periods, requiring long-term rehabilitation. A comprehensive screening tool is therefore necessary to identify these needs. To date, no data exist on satisfaction with medical and therapeutic interventions for COVID-19 in terms of quality and quantity. The aim of this study is to develop a survey for use with COVID-19 patients during and after the end of the acute phase of the disease.MethodsFollowing the definition of dimensions by a group of experts, and a literature search, proven survey instruments were searched for suitable items. In addition, specific questions were developed based on symptoms, and answer options were created with regard to to the complexity of the questions.ResultsThe COVID-19 Rehabilitation Needs Survey (C19-RehabNeS) consists of the established 36-item Short Form Survey (SF-36) together with the newly developed COVID-19-Rehabilitation Needs Questionnaire (C19-RehabNeQ) (11 further dimensions, respectively 57 items).ConclusionC19-RehabNeS is a comprehensive survey to assess functional limitations and rehabilitation needs during and after infection with SARS-CoV-2 (COVID-19). The strength of this survey is that it combines the assessment of important rehabilitation needs with assessment of satisfaction with the health services, treatment and therapy during the pandemic (C19-RehabNeQ) and assessment of patients' quality of life (SF-36). The C19-RehabNeS survey also enables collection of systematic information on patients with Post-COVID-19 syndrome (Long-COVID-19).","container-title":"Journal of rehabilitation medicine","DOI":"10.2340/16501977-2818","ISSN":"1651-2081","issue":"4","journalAbbreviation":"J Rehabil Med","language":"eng","note":"PMID: 33764478","page":"jrm00183","source":"Europe PMC","title":"Assessment of rehabilitation needs in patients after COVID-19: Development of the COVID-19-rehabilitation needs survey","title-short":"Assessment of rehabilitation needs in patients after COVID-19","volume":"53","author":[{"family":"Lemhöfer","given":"Christina"},{"family":"Gutenbrunner","given":"Christoph"},{"family":"Schiller","given":"Jörg"},{"family":"Loudovici-Krug","given":"Dana"},{"family":"Best","given":"Norman"},{"family":"Bökel","given":"Andrea"},{"family":"Sturm","given":"Christian"}],"issued":{"date-parts":[["2021",4,1]]}}}],"schema":"https://github.com/citation-style-language/schema/raw/master/csl-citation.json"} </w:instrText>
      </w:r>
      <w:r w:rsidR="00601EB1" w:rsidRPr="00FE7DE3">
        <w:rPr>
          <w:rFonts w:ascii="Times New Roman" w:hAnsi="Times New Roman" w:cs="Times New Roman"/>
        </w:rPr>
        <w:fldChar w:fldCharType="separate"/>
      </w:r>
      <w:r w:rsidR="0023337D" w:rsidRPr="00FE7DE3">
        <w:rPr>
          <w:rFonts w:ascii="Times New Roman" w:hAnsi="Times New Roman" w:cs="Times New Roman"/>
        </w:rPr>
        <w:t>[22]</w:t>
      </w:r>
      <w:r w:rsidR="00601EB1" w:rsidRPr="00FE7DE3">
        <w:rPr>
          <w:rFonts w:ascii="Times New Roman" w:hAnsi="Times New Roman" w:cs="Times New Roman"/>
        </w:rPr>
        <w:fldChar w:fldCharType="end"/>
      </w:r>
      <w:r w:rsidR="00601EB1" w:rsidRPr="00FE7DE3">
        <w:rPr>
          <w:rFonts w:ascii="Times New Roman" w:hAnsi="Times New Roman" w:cs="Times New Roman"/>
        </w:rPr>
        <w:t>. Attempts to support long-COVID patients and address the aforementioned challenges to population health will require complex de</w:t>
      </w:r>
      <w:r w:rsidR="001015B3" w:rsidRPr="00FE7DE3">
        <w:rPr>
          <w:rFonts w:ascii="Times New Roman" w:hAnsi="Times New Roman" w:cs="Times New Roman"/>
        </w:rPr>
        <w:t>s</w:t>
      </w:r>
      <w:r w:rsidR="00601EB1" w:rsidRPr="00FE7DE3">
        <w:rPr>
          <w:rFonts w:ascii="Times New Roman" w:hAnsi="Times New Roman" w:cs="Times New Roman"/>
        </w:rPr>
        <w:t xml:space="preserve">ign approaches to address broad </w:t>
      </w:r>
      <w:r w:rsidR="00EB0080" w:rsidRPr="00FE7DE3">
        <w:rPr>
          <w:rFonts w:ascii="Times New Roman" w:hAnsi="Times New Roman" w:cs="Times New Roman"/>
        </w:rPr>
        <w:t>patients’</w:t>
      </w:r>
      <w:r w:rsidR="00601EB1" w:rsidRPr="00FE7DE3">
        <w:rPr>
          <w:rFonts w:ascii="Times New Roman" w:hAnsi="Times New Roman" w:cs="Times New Roman"/>
        </w:rPr>
        <w:t xml:space="preserve"> needs</w:t>
      </w:r>
      <w:r w:rsidR="002B1180" w:rsidRPr="00FE7DE3">
        <w:rPr>
          <w:rFonts w:ascii="Times New Roman" w:hAnsi="Times New Roman" w:cs="Times New Roman"/>
        </w:rPr>
        <w:t xml:space="preserve"> </w:t>
      </w:r>
      <w:r w:rsidR="00EB0080" w:rsidRPr="00FE7DE3">
        <w:rPr>
          <w:rFonts w:ascii="Times New Roman" w:hAnsi="Times New Roman" w:cs="Times New Roman"/>
        </w:rPr>
        <w:t>in the context of COVID-19 and future health pandemics</w:t>
      </w:r>
      <w:r w:rsidR="00601EB1" w:rsidRPr="00FE7DE3">
        <w:rPr>
          <w:rFonts w:ascii="Times New Roman" w:hAnsi="Times New Roman" w:cs="Times New Roman"/>
        </w:rPr>
        <w:t xml:space="preserve">. </w:t>
      </w:r>
    </w:p>
    <w:p w14:paraId="5B9D2EA8" w14:textId="71415231" w:rsidR="00500AA0" w:rsidRPr="00FE7DE3" w:rsidRDefault="00BA2965" w:rsidP="00500AA0">
      <w:pPr>
        <w:spacing w:after="120" w:line="480" w:lineRule="auto"/>
        <w:jc w:val="both"/>
        <w:rPr>
          <w:rFonts w:ascii="Times New Roman" w:hAnsi="Times New Roman" w:cs="Times New Roman"/>
          <w:b/>
          <w:bCs/>
        </w:rPr>
      </w:pPr>
      <w:r w:rsidRPr="00FE7DE3">
        <w:rPr>
          <w:rFonts w:ascii="Times New Roman" w:hAnsi="Times New Roman" w:cs="Times New Roman"/>
        </w:rPr>
        <w:t xml:space="preserve">Intervention </w:t>
      </w:r>
      <w:r w:rsidR="00A90F9F" w:rsidRPr="00FE7DE3">
        <w:rPr>
          <w:rFonts w:ascii="Times New Roman" w:hAnsi="Times New Roman" w:cs="Times New Roman"/>
        </w:rPr>
        <w:t xml:space="preserve">approaches </w:t>
      </w:r>
      <w:r w:rsidRPr="00FE7DE3">
        <w:rPr>
          <w:rFonts w:ascii="Times New Roman" w:hAnsi="Times New Roman" w:cs="Times New Roman"/>
        </w:rPr>
        <w:t xml:space="preserve">to restore and promote </w:t>
      </w:r>
      <w:r w:rsidR="0093788F" w:rsidRPr="00FE7DE3">
        <w:rPr>
          <w:rFonts w:ascii="Times New Roman" w:hAnsi="Times New Roman" w:cs="Times New Roman"/>
        </w:rPr>
        <w:t>healthy living factors</w:t>
      </w:r>
      <w:r w:rsidRPr="00FE7DE3">
        <w:rPr>
          <w:rFonts w:ascii="Times New Roman" w:hAnsi="Times New Roman" w:cs="Times New Roman"/>
        </w:rPr>
        <w:t xml:space="preserve">, which are important </w:t>
      </w:r>
      <w:r w:rsidR="00A90F9F" w:rsidRPr="00FE7DE3">
        <w:rPr>
          <w:rFonts w:ascii="Times New Roman" w:hAnsi="Times New Roman" w:cs="Times New Roman"/>
        </w:rPr>
        <w:t xml:space="preserve">in chronic </w:t>
      </w:r>
      <w:r w:rsidR="00AE2F4A" w:rsidRPr="00FE7DE3">
        <w:rPr>
          <w:rFonts w:ascii="Times New Roman" w:hAnsi="Times New Roman" w:cs="Times New Roman"/>
        </w:rPr>
        <w:t xml:space="preserve">illness and healthy living domains </w:t>
      </w:r>
      <w:r w:rsidR="00084BFC" w:rsidRPr="00FE7DE3">
        <w:rPr>
          <w:rFonts w:ascii="Times New Roman" w:hAnsi="Times New Roman" w:cs="Times New Roman"/>
        </w:rPr>
        <w:fldChar w:fldCharType="begin"/>
      </w:r>
      <w:r w:rsidR="0023337D" w:rsidRPr="00FE7DE3">
        <w:rPr>
          <w:rFonts w:ascii="Times New Roman" w:hAnsi="Times New Roman" w:cs="Times New Roman"/>
        </w:rPr>
        <w:instrText xml:space="preserve"> ADDIN ZOTERO_ITEM CSL_CITATION {"citationID":"m1ZqhreJ","properties":{"formattedCitation":"[19]","plainCitation":"[19]","noteIndex":0},"citationItems":[{"id":1841,"uris":["http://zotero.org/users/1330063/items/HR3ABXPW"],"uri":["http://zotero.org/users/1330063/items/HR3ABXPW"],"itemData":{"id":1841,"type":"article-journal","container-title":"Current Problems in Cardiology","note":"publisher: Elsevier","page":"100823","source":"Google Scholar","title":"Current Activities Centered on Healthy Living and Recommendations for the Future: A Position Statement from the HL-PIVOT Network","title-short":"Current Activities Centered on Healthy Living and Recommendations for the Future","author":[{"family":"Arena","given":"Ross"},{"family":"Myers","given":"Jonathan"},{"family":"Kaminsky","given":"Leonard A."},{"family":"Williams","given":"Mark"},{"family":"Sabbahi","given":"Ahmad"},{"family":"Popovic","given":"Dejana"},{"family":"Axtell","given":"Robert"},{"family":"Faghy","given":"Mark"},{"family":"Hills","given":"Andrew P."},{"family":"Olivares","given":"Silvia Lizett Olivares"}],"issued":{"date-parts":[["2021"]]}}}],"schema":"https://github.com/citation-style-language/schema/raw/master/csl-citation.json"} </w:instrText>
      </w:r>
      <w:r w:rsidR="00084BFC" w:rsidRPr="00FE7DE3">
        <w:rPr>
          <w:rFonts w:ascii="Times New Roman" w:hAnsi="Times New Roman" w:cs="Times New Roman"/>
        </w:rPr>
        <w:fldChar w:fldCharType="separate"/>
      </w:r>
      <w:r w:rsidR="0023337D" w:rsidRPr="00FE7DE3">
        <w:rPr>
          <w:rFonts w:ascii="Times New Roman" w:hAnsi="Times New Roman" w:cs="Times New Roman"/>
        </w:rPr>
        <w:t>[19]</w:t>
      </w:r>
      <w:r w:rsidR="00084BFC" w:rsidRPr="00FE7DE3">
        <w:rPr>
          <w:rFonts w:ascii="Times New Roman" w:hAnsi="Times New Roman" w:cs="Times New Roman"/>
        </w:rPr>
        <w:fldChar w:fldCharType="end"/>
      </w:r>
      <w:r w:rsidR="001B197A" w:rsidRPr="00FE7DE3">
        <w:rPr>
          <w:rFonts w:ascii="Times New Roman" w:hAnsi="Times New Roman" w:cs="Times New Roman"/>
        </w:rPr>
        <w:t>,</w:t>
      </w:r>
      <w:r w:rsidR="00084BFC" w:rsidRPr="00FE7DE3">
        <w:rPr>
          <w:rFonts w:ascii="Times New Roman" w:hAnsi="Times New Roman" w:cs="Times New Roman"/>
        </w:rPr>
        <w:t xml:space="preserve"> </w:t>
      </w:r>
      <w:r w:rsidR="001B197A" w:rsidRPr="00FE7DE3">
        <w:rPr>
          <w:rFonts w:ascii="Times New Roman" w:hAnsi="Times New Roman" w:cs="Times New Roman"/>
        </w:rPr>
        <w:t>are</w:t>
      </w:r>
      <w:r w:rsidR="00084BFC" w:rsidRPr="00FE7DE3">
        <w:rPr>
          <w:rFonts w:ascii="Times New Roman" w:hAnsi="Times New Roman" w:cs="Times New Roman"/>
        </w:rPr>
        <w:t xml:space="preserve"> historically </w:t>
      </w:r>
      <w:r w:rsidR="00F67B70" w:rsidRPr="00FE7DE3">
        <w:rPr>
          <w:rFonts w:ascii="Times New Roman" w:hAnsi="Times New Roman" w:cs="Times New Roman"/>
        </w:rPr>
        <w:t>constrained</w:t>
      </w:r>
      <w:r w:rsidR="0093788F" w:rsidRPr="00FE7DE3">
        <w:rPr>
          <w:rFonts w:ascii="Times New Roman" w:hAnsi="Times New Roman" w:cs="Times New Roman"/>
        </w:rPr>
        <w:t xml:space="preserve"> by a lack of </w:t>
      </w:r>
      <w:r w:rsidR="000637E0" w:rsidRPr="00FE7DE3">
        <w:rPr>
          <w:rFonts w:ascii="Times New Roman" w:hAnsi="Times New Roman" w:cs="Times New Roman"/>
        </w:rPr>
        <w:t xml:space="preserve">suitability, </w:t>
      </w:r>
      <w:r w:rsidR="0093788F" w:rsidRPr="00FE7DE3">
        <w:rPr>
          <w:rFonts w:ascii="Times New Roman" w:hAnsi="Times New Roman" w:cs="Times New Roman"/>
        </w:rPr>
        <w:t>scalability</w:t>
      </w:r>
      <w:r w:rsidR="00872C56" w:rsidRPr="00FE7DE3">
        <w:rPr>
          <w:rFonts w:ascii="Times New Roman" w:hAnsi="Times New Roman" w:cs="Times New Roman"/>
        </w:rPr>
        <w:t xml:space="preserve"> and </w:t>
      </w:r>
      <w:r w:rsidR="0093788F" w:rsidRPr="00FE7DE3">
        <w:rPr>
          <w:rFonts w:ascii="Times New Roman" w:hAnsi="Times New Roman" w:cs="Times New Roman"/>
        </w:rPr>
        <w:t>sustainability</w:t>
      </w:r>
      <w:r w:rsidR="003A5855" w:rsidRPr="00FE7DE3">
        <w:rPr>
          <w:rFonts w:ascii="Times New Roman" w:hAnsi="Times New Roman" w:cs="Times New Roman"/>
        </w:rPr>
        <w:t>,</w:t>
      </w:r>
      <w:r w:rsidR="0093788F" w:rsidRPr="00FE7DE3">
        <w:rPr>
          <w:rFonts w:ascii="Times New Roman" w:hAnsi="Times New Roman" w:cs="Times New Roman"/>
        </w:rPr>
        <w:t xml:space="preserve"> </w:t>
      </w:r>
      <w:r w:rsidR="00872C56" w:rsidRPr="00FE7DE3">
        <w:rPr>
          <w:rFonts w:ascii="Times New Roman" w:hAnsi="Times New Roman" w:cs="Times New Roman"/>
        </w:rPr>
        <w:t xml:space="preserve">due in part to nominal </w:t>
      </w:r>
      <w:r w:rsidR="00597FD6" w:rsidRPr="00FE7DE3">
        <w:rPr>
          <w:rFonts w:ascii="Times New Roman" w:hAnsi="Times New Roman" w:cs="Times New Roman"/>
        </w:rPr>
        <w:t xml:space="preserve">attempts </w:t>
      </w:r>
      <w:r w:rsidR="000637E0" w:rsidRPr="00FE7DE3">
        <w:rPr>
          <w:rFonts w:ascii="Times New Roman" w:hAnsi="Times New Roman" w:cs="Times New Roman"/>
        </w:rPr>
        <w:t xml:space="preserve">to </w:t>
      </w:r>
      <w:r w:rsidR="00F67B70" w:rsidRPr="00FE7DE3">
        <w:rPr>
          <w:rFonts w:ascii="Times New Roman" w:hAnsi="Times New Roman" w:cs="Times New Roman"/>
        </w:rPr>
        <w:t xml:space="preserve">address </w:t>
      </w:r>
      <w:r w:rsidR="00B60436" w:rsidRPr="00FE7DE3">
        <w:rPr>
          <w:rFonts w:ascii="Times New Roman" w:hAnsi="Times New Roman" w:cs="Times New Roman"/>
        </w:rPr>
        <w:t xml:space="preserve">complex interactions </w:t>
      </w:r>
      <w:r w:rsidR="00364BFF" w:rsidRPr="00FE7DE3">
        <w:rPr>
          <w:rFonts w:ascii="Times New Roman" w:hAnsi="Times New Roman" w:cs="Times New Roman"/>
        </w:rPr>
        <w:t xml:space="preserve">and </w:t>
      </w:r>
      <w:r w:rsidR="00563D20" w:rsidRPr="00FE7DE3">
        <w:rPr>
          <w:rFonts w:ascii="Times New Roman" w:hAnsi="Times New Roman" w:cs="Times New Roman"/>
        </w:rPr>
        <w:t>encourag</w:t>
      </w:r>
      <w:r w:rsidR="001015B3" w:rsidRPr="00FE7DE3">
        <w:rPr>
          <w:rFonts w:ascii="Times New Roman" w:hAnsi="Times New Roman" w:cs="Times New Roman"/>
        </w:rPr>
        <w:t>e</w:t>
      </w:r>
      <w:r w:rsidR="00563D20" w:rsidRPr="00FE7DE3">
        <w:rPr>
          <w:rFonts w:ascii="Times New Roman" w:hAnsi="Times New Roman" w:cs="Times New Roman"/>
        </w:rPr>
        <w:t xml:space="preserve"> </w:t>
      </w:r>
      <w:r w:rsidR="00597FD6" w:rsidRPr="00FE7DE3">
        <w:rPr>
          <w:rFonts w:ascii="Times New Roman" w:hAnsi="Times New Roman" w:cs="Times New Roman"/>
        </w:rPr>
        <w:t>cross-disciplinary collaboration</w:t>
      </w:r>
      <w:r w:rsidR="005105A0" w:rsidRPr="00FE7DE3">
        <w:rPr>
          <w:rFonts w:ascii="Times New Roman" w:hAnsi="Times New Roman" w:cs="Times New Roman"/>
        </w:rPr>
        <w:t xml:space="preserve"> </w:t>
      </w:r>
      <w:r w:rsidR="00D82D2F" w:rsidRPr="00FE7DE3">
        <w:rPr>
          <w:rFonts w:ascii="Times New Roman" w:hAnsi="Times New Roman" w:cs="Times New Roman"/>
        </w:rPr>
        <w:fldChar w:fldCharType="begin"/>
      </w:r>
      <w:r w:rsidR="0023337D" w:rsidRPr="00FE7DE3">
        <w:rPr>
          <w:rFonts w:ascii="Times New Roman" w:hAnsi="Times New Roman" w:cs="Times New Roman"/>
        </w:rPr>
        <w:instrText xml:space="preserve"> ADDIN ZOTERO_ITEM CSL_CITATION {"citationID":"PiOxHzGs","properties":{"formattedCitation":"[23]","plainCitation":"[23]","noteIndex":0},"citationItems":[{"id":79,"uris":["http://zotero.org/users/1330063/items/NFWEJM52"],"uri":["http://zotero.org/users/1330063/items/NFWEJM52"],"itemData":{"id":79,"type":"article-journal","container-title":"The lancet","issue":"10051","note":"publisher: Elsevier","page":"1337–1348","source":"Google Scholar","title":"Scaling up physical activity interventions worldwide: stepping up to larger and smarter approaches to get people moving","title-short":"Scaling up physical activity interventions worldwide","volume":"388","author":[{"family":"Reis","given":"Rodrigo S."},{"family":"Salvo","given":"Deborah"},{"family":"Ogilvie","given":"David"},{"family":"Lambert","given":"Estelle V."},{"family":"Goenka","given":"Shifalika"},{"family":"Brownson","given":"Ross C."},{"family":"Committee","given":"Lancet Physical Activity Series 2 Executive"}],"issued":{"date-parts":[["2016"]]}}}],"schema":"https://github.com/citation-style-language/schema/raw/master/csl-citation.json"} </w:instrText>
      </w:r>
      <w:r w:rsidR="00D82D2F" w:rsidRPr="00FE7DE3">
        <w:rPr>
          <w:rFonts w:ascii="Times New Roman" w:hAnsi="Times New Roman" w:cs="Times New Roman"/>
        </w:rPr>
        <w:fldChar w:fldCharType="separate"/>
      </w:r>
      <w:r w:rsidR="0023337D" w:rsidRPr="00FE7DE3">
        <w:rPr>
          <w:rFonts w:ascii="Times New Roman" w:hAnsi="Times New Roman" w:cs="Times New Roman"/>
        </w:rPr>
        <w:t>[23]</w:t>
      </w:r>
      <w:r w:rsidR="00D82D2F" w:rsidRPr="00FE7DE3">
        <w:rPr>
          <w:rFonts w:ascii="Times New Roman" w:hAnsi="Times New Roman" w:cs="Times New Roman"/>
        </w:rPr>
        <w:fldChar w:fldCharType="end"/>
      </w:r>
      <w:r w:rsidR="00597FD6" w:rsidRPr="00FE7DE3">
        <w:rPr>
          <w:rFonts w:ascii="Times New Roman" w:hAnsi="Times New Roman" w:cs="Times New Roman"/>
        </w:rPr>
        <w:t xml:space="preserve">. </w:t>
      </w:r>
      <w:r w:rsidR="00F3176C" w:rsidRPr="00FE7DE3">
        <w:rPr>
          <w:rFonts w:ascii="Times New Roman" w:hAnsi="Times New Roman" w:cs="Times New Roman"/>
        </w:rPr>
        <w:t>The legacy impact</w:t>
      </w:r>
      <w:r w:rsidR="005105A0" w:rsidRPr="00FE7DE3">
        <w:rPr>
          <w:rFonts w:ascii="Times New Roman" w:hAnsi="Times New Roman" w:cs="Times New Roman"/>
        </w:rPr>
        <w:t>s</w:t>
      </w:r>
      <w:r w:rsidR="00F3176C" w:rsidRPr="00FE7DE3">
        <w:rPr>
          <w:rFonts w:ascii="Times New Roman" w:hAnsi="Times New Roman" w:cs="Times New Roman"/>
        </w:rPr>
        <w:t xml:space="preserve"> of COVID-19 and arguably more importantly long</w:t>
      </w:r>
      <w:r w:rsidR="00D522DE" w:rsidRPr="00FE7DE3">
        <w:rPr>
          <w:rFonts w:ascii="Times New Roman" w:hAnsi="Times New Roman" w:cs="Times New Roman"/>
        </w:rPr>
        <w:t>-</w:t>
      </w:r>
      <w:r w:rsidR="00F3176C" w:rsidRPr="00FE7DE3">
        <w:rPr>
          <w:rFonts w:ascii="Times New Roman" w:hAnsi="Times New Roman" w:cs="Times New Roman"/>
        </w:rPr>
        <w:t>COVID</w:t>
      </w:r>
      <w:r w:rsidR="00D522DE" w:rsidRPr="00FE7DE3">
        <w:rPr>
          <w:rFonts w:ascii="Times New Roman" w:hAnsi="Times New Roman" w:cs="Times New Roman"/>
        </w:rPr>
        <w:t xml:space="preserve"> </w:t>
      </w:r>
      <w:r w:rsidR="005105A0" w:rsidRPr="00FE7DE3">
        <w:rPr>
          <w:rFonts w:ascii="Times New Roman" w:hAnsi="Times New Roman" w:cs="Times New Roman"/>
        </w:rPr>
        <w:t>will remain a priority for years to come</w:t>
      </w:r>
      <w:r w:rsidR="003A5855" w:rsidRPr="00FE7DE3">
        <w:rPr>
          <w:rFonts w:ascii="Times New Roman" w:hAnsi="Times New Roman" w:cs="Times New Roman"/>
        </w:rPr>
        <w:t>,</w:t>
      </w:r>
      <w:r w:rsidR="005105A0" w:rsidRPr="00FE7DE3">
        <w:rPr>
          <w:rFonts w:ascii="Times New Roman" w:hAnsi="Times New Roman" w:cs="Times New Roman"/>
        </w:rPr>
        <w:t xml:space="preserve"> but </w:t>
      </w:r>
      <w:r w:rsidR="00471D66" w:rsidRPr="00FE7DE3">
        <w:rPr>
          <w:rFonts w:ascii="Times New Roman" w:hAnsi="Times New Roman" w:cs="Times New Roman"/>
        </w:rPr>
        <w:t xml:space="preserve">the development of resulting approaches </w:t>
      </w:r>
      <w:r w:rsidR="00D522DE" w:rsidRPr="00FE7DE3">
        <w:rPr>
          <w:rFonts w:ascii="Times New Roman" w:hAnsi="Times New Roman" w:cs="Times New Roman"/>
        </w:rPr>
        <w:t xml:space="preserve">must address </w:t>
      </w:r>
      <w:r w:rsidR="00597FD6" w:rsidRPr="00FE7DE3">
        <w:rPr>
          <w:rFonts w:ascii="Times New Roman" w:hAnsi="Times New Roman" w:cs="Times New Roman"/>
        </w:rPr>
        <w:t xml:space="preserve">the complex </w:t>
      </w:r>
      <w:r w:rsidR="005715BA" w:rsidRPr="00FE7DE3">
        <w:rPr>
          <w:rFonts w:ascii="Times New Roman" w:hAnsi="Times New Roman" w:cs="Times New Roman"/>
        </w:rPr>
        <w:t xml:space="preserve">and multifactorial </w:t>
      </w:r>
      <w:r w:rsidR="00597FD6" w:rsidRPr="00FE7DE3">
        <w:rPr>
          <w:rFonts w:ascii="Times New Roman" w:hAnsi="Times New Roman" w:cs="Times New Roman"/>
        </w:rPr>
        <w:t xml:space="preserve">issues </w:t>
      </w:r>
      <w:r w:rsidR="00D522DE" w:rsidRPr="00FE7DE3">
        <w:rPr>
          <w:rFonts w:ascii="Times New Roman" w:hAnsi="Times New Roman" w:cs="Times New Roman"/>
        </w:rPr>
        <w:t xml:space="preserve">reported </w:t>
      </w:r>
      <w:r w:rsidR="00597FD6" w:rsidRPr="00FE7DE3">
        <w:rPr>
          <w:rFonts w:ascii="Times New Roman" w:hAnsi="Times New Roman" w:cs="Times New Roman"/>
        </w:rPr>
        <w:t xml:space="preserve">by patients </w:t>
      </w:r>
      <w:r w:rsidR="00D522DE" w:rsidRPr="00FE7DE3">
        <w:rPr>
          <w:rFonts w:ascii="Times New Roman" w:hAnsi="Times New Roman" w:cs="Times New Roman"/>
        </w:rPr>
        <w:t xml:space="preserve">to thwart increasing pressure on </w:t>
      </w:r>
      <w:r w:rsidR="005715BA" w:rsidRPr="00FE7DE3">
        <w:rPr>
          <w:rFonts w:ascii="Times New Roman" w:hAnsi="Times New Roman" w:cs="Times New Roman"/>
        </w:rPr>
        <w:t xml:space="preserve">local, </w:t>
      </w:r>
      <w:r w:rsidR="00725044" w:rsidRPr="00FE7DE3">
        <w:rPr>
          <w:rFonts w:ascii="Times New Roman" w:hAnsi="Times New Roman" w:cs="Times New Roman"/>
        </w:rPr>
        <w:t>national,</w:t>
      </w:r>
      <w:r w:rsidR="005715BA" w:rsidRPr="00FE7DE3">
        <w:rPr>
          <w:rFonts w:ascii="Times New Roman" w:hAnsi="Times New Roman" w:cs="Times New Roman"/>
        </w:rPr>
        <w:t xml:space="preserve"> and </w:t>
      </w:r>
      <w:r w:rsidR="00725044" w:rsidRPr="00FE7DE3">
        <w:rPr>
          <w:rFonts w:ascii="Times New Roman" w:hAnsi="Times New Roman" w:cs="Times New Roman"/>
        </w:rPr>
        <w:t>international health agencies</w:t>
      </w:r>
      <w:r w:rsidR="00D522DE" w:rsidRPr="00FE7DE3">
        <w:rPr>
          <w:rFonts w:ascii="Times New Roman" w:hAnsi="Times New Roman" w:cs="Times New Roman"/>
        </w:rPr>
        <w:t>.</w:t>
      </w:r>
      <w:r w:rsidR="00725044" w:rsidRPr="00FE7DE3">
        <w:rPr>
          <w:rFonts w:ascii="Times New Roman" w:hAnsi="Times New Roman" w:cs="Times New Roman"/>
        </w:rPr>
        <w:t xml:space="preserve"> </w:t>
      </w:r>
      <w:r w:rsidR="00777233" w:rsidRPr="00FE7DE3">
        <w:rPr>
          <w:rFonts w:ascii="Times New Roman" w:hAnsi="Times New Roman" w:cs="Times New Roman"/>
        </w:rPr>
        <w:t xml:space="preserve">To be effective, resulting support pathways will undoubtedly be as complex as the symptomology, creating a novel challenge for clinical and non-clinical partners to </w:t>
      </w:r>
      <w:r w:rsidR="00C33860" w:rsidRPr="00FE7DE3">
        <w:rPr>
          <w:rFonts w:ascii="Times New Roman" w:hAnsi="Times New Roman" w:cs="Times New Roman"/>
        </w:rPr>
        <w:t xml:space="preserve">collaborate effectively </w:t>
      </w:r>
      <w:r w:rsidR="00777233" w:rsidRPr="00FE7DE3">
        <w:rPr>
          <w:rFonts w:ascii="Times New Roman" w:hAnsi="Times New Roman" w:cs="Times New Roman"/>
        </w:rPr>
        <w:t xml:space="preserve">in the interest of improved patient outcomes. Adopting an intricate design </w:t>
      </w:r>
      <w:r w:rsidR="00C33860" w:rsidRPr="00FE7DE3">
        <w:rPr>
          <w:rFonts w:ascii="Times New Roman" w:hAnsi="Times New Roman" w:cs="Times New Roman"/>
        </w:rPr>
        <w:t xml:space="preserve">approach </w:t>
      </w:r>
      <w:r w:rsidR="00777233" w:rsidRPr="00FE7DE3">
        <w:rPr>
          <w:rFonts w:ascii="Times New Roman" w:hAnsi="Times New Roman" w:cs="Times New Roman"/>
        </w:rPr>
        <w:t xml:space="preserve">that </w:t>
      </w:r>
      <w:r w:rsidR="00C33860" w:rsidRPr="00FE7DE3">
        <w:rPr>
          <w:rFonts w:ascii="Times New Roman" w:hAnsi="Times New Roman" w:cs="Times New Roman"/>
        </w:rPr>
        <w:t xml:space="preserve">incorporates all </w:t>
      </w:r>
      <w:r w:rsidR="00777233" w:rsidRPr="00FE7DE3">
        <w:rPr>
          <w:rFonts w:ascii="Times New Roman" w:hAnsi="Times New Roman" w:cs="Times New Roman"/>
        </w:rPr>
        <w:t xml:space="preserve">key stakeholders in a whole system approach </w:t>
      </w:r>
      <w:r w:rsidR="00500AA0" w:rsidRPr="00FE7DE3">
        <w:rPr>
          <w:rFonts w:ascii="Times New Roman" w:hAnsi="Times New Roman" w:cs="Times New Roman"/>
        </w:rPr>
        <w:t xml:space="preserve">is </w:t>
      </w:r>
      <w:r w:rsidR="00777233" w:rsidRPr="00FE7DE3">
        <w:rPr>
          <w:rFonts w:ascii="Times New Roman" w:hAnsi="Times New Roman" w:cs="Times New Roman"/>
        </w:rPr>
        <w:t>imperative to achieve broad widespread</w:t>
      </w:r>
      <w:r w:rsidR="00500AA0" w:rsidRPr="00FE7DE3">
        <w:rPr>
          <w:rFonts w:ascii="Times New Roman" w:hAnsi="Times New Roman" w:cs="Times New Roman"/>
        </w:rPr>
        <w:t xml:space="preserve"> patient and population outcomes.  </w:t>
      </w:r>
      <w:r w:rsidR="00500AA0" w:rsidRPr="00FE7DE3">
        <w:rPr>
          <w:rFonts w:ascii="Times New Roman" w:hAnsi="Times New Roman" w:cs="Times New Roman"/>
          <w:b/>
          <w:bCs/>
        </w:rPr>
        <w:br w:type="page"/>
      </w:r>
    </w:p>
    <w:p w14:paraId="377A366D" w14:textId="62C2860B" w:rsidR="00432BCB" w:rsidRPr="00FE7DE3" w:rsidRDefault="00997101" w:rsidP="00432BCB">
      <w:pPr>
        <w:rPr>
          <w:rFonts w:ascii="Times New Roman" w:hAnsi="Times New Roman" w:cs="Times New Roman"/>
          <w:b/>
          <w:bCs/>
        </w:rPr>
      </w:pPr>
      <w:r w:rsidRPr="00FE7DE3">
        <w:rPr>
          <w:rFonts w:ascii="Times New Roman" w:hAnsi="Times New Roman" w:cs="Times New Roman"/>
          <w:b/>
          <w:bCs/>
        </w:rPr>
        <w:lastRenderedPageBreak/>
        <w:t xml:space="preserve">5.0 </w:t>
      </w:r>
      <w:r w:rsidR="00432BCB" w:rsidRPr="00FE7DE3">
        <w:rPr>
          <w:rFonts w:ascii="Times New Roman" w:hAnsi="Times New Roman" w:cs="Times New Roman"/>
          <w:b/>
          <w:bCs/>
        </w:rPr>
        <w:t>Conclusion</w:t>
      </w:r>
    </w:p>
    <w:p w14:paraId="533B8A1D" w14:textId="74473C15" w:rsidR="001A1E1A" w:rsidRPr="00FE7DE3" w:rsidRDefault="00432BCB" w:rsidP="00175366">
      <w:pPr>
        <w:spacing w:line="480" w:lineRule="auto"/>
        <w:jc w:val="both"/>
        <w:rPr>
          <w:rFonts w:ascii="Times New Roman" w:hAnsi="Times New Roman" w:cs="Times New Roman"/>
        </w:rPr>
      </w:pPr>
      <w:r w:rsidRPr="00FE7DE3">
        <w:rPr>
          <w:rFonts w:ascii="Times New Roman" w:hAnsi="Times New Roman" w:cs="Times New Roman"/>
        </w:rPr>
        <w:t xml:space="preserve">The </w:t>
      </w:r>
      <w:r w:rsidR="00B95A5B" w:rsidRPr="00FE7DE3">
        <w:rPr>
          <w:rFonts w:ascii="Times New Roman" w:hAnsi="Times New Roman" w:cs="Times New Roman"/>
        </w:rPr>
        <w:t xml:space="preserve">longitudinal impact to which </w:t>
      </w:r>
      <w:r w:rsidRPr="00FE7DE3">
        <w:rPr>
          <w:rFonts w:ascii="Times New Roman" w:hAnsi="Times New Roman" w:cs="Times New Roman"/>
        </w:rPr>
        <w:t xml:space="preserve">long-COVID </w:t>
      </w:r>
      <w:r w:rsidR="00B95A5B" w:rsidRPr="00FE7DE3">
        <w:rPr>
          <w:rFonts w:ascii="Times New Roman" w:hAnsi="Times New Roman" w:cs="Times New Roman"/>
        </w:rPr>
        <w:t xml:space="preserve">affects </w:t>
      </w:r>
      <w:r w:rsidR="00937753" w:rsidRPr="00FE7DE3">
        <w:rPr>
          <w:rFonts w:ascii="Times New Roman" w:hAnsi="Times New Roman" w:cs="Times New Roman"/>
        </w:rPr>
        <w:t xml:space="preserve">health and wellbeing is yet to be understood in its </w:t>
      </w:r>
      <w:r w:rsidR="00B2345E" w:rsidRPr="00FE7DE3">
        <w:rPr>
          <w:rFonts w:ascii="Times New Roman" w:hAnsi="Times New Roman" w:cs="Times New Roman"/>
        </w:rPr>
        <w:t>entirety, but</w:t>
      </w:r>
      <w:r w:rsidR="00937753" w:rsidRPr="00FE7DE3">
        <w:rPr>
          <w:rFonts w:ascii="Times New Roman" w:hAnsi="Times New Roman" w:cs="Times New Roman"/>
        </w:rPr>
        <w:t xml:space="preserve"> data</w:t>
      </w:r>
      <w:r w:rsidR="005468A4" w:rsidRPr="00FE7DE3">
        <w:rPr>
          <w:rFonts w:ascii="Times New Roman" w:hAnsi="Times New Roman" w:cs="Times New Roman"/>
        </w:rPr>
        <w:t xml:space="preserve"> </w:t>
      </w:r>
      <w:r w:rsidR="00B2345E" w:rsidRPr="00FE7DE3">
        <w:rPr>
          <w:rFonts w:ascii="Times New Roman" w:hAnsi="Times New Roman" w:cs="Times New Roman"/>
        </w:rPr>
        <w:t xml:space="preserve">here </w:t>
      </w:r>
      <w:r w:rsidR="00937753" w:rsidRPr="00FE7DE3">
        <w:rPr>
          <w:rFonts w:ascii="Times New Roman" w:hAnsi="Times New Roman" w:cs="Times New Roman"/>
        </w:rPr>
        <w:t xml:space="preserve">highlights </w:t>
      </w:r>
      <w:r w:rsidR="00DA4E42" w:rsidRPr="00FE7DE3">
        <w:rPr>
          <w:rFonts w:ascii="Times New Roman" w:hAnsi="Times New Roman" w:cs="Times New Roman"/>
        </w:rPr>
        <w:t xml:space="preserve">a broad and </w:t>
      </w:r>
      <w:r w:rsidR="00937753" w:rsidRPr="00FE7DE3">
        <w:rPr>
          <w:rFonts w:ascii="Times New Roman" w:hAnsi="Times New Roman" w:cs="Times New Roman"/>
        </w:rPr>
        <w:t xml:space="preserve">complex symptom </w:t>
      </w:r>
      <w:r w:rsidR="00DA4E42" w:rsidRPr="00FE7DE3">
        <w:rPr>
          <w:rFonts w:ascii="Times New Roman" w:hAnsi="Times New Roman" w:cs="Times New Roman"/>
        </w:rPr>
        <w:t>profile</w:t>
      </w:r>
      <w:r w:rsidR="00034F20" w:rsidRPr="00FE7DE3">
        <w:rPr>
          <w:rFonts w:ascii="Times New Roman" w:hAnsi="Times New Roman" w:cs="Times New Roman"/>
        </w:rPr>
        <w:t xml:space="preserve"> that persists</w:t>
      </w:r>
      <w:r w:rsidR="00432B24" w:rsidRPr="00FE7DE3">
        <w:rPr>
          <w:rFonts w:ascii="Times New Roman" w:hAnsi="Times New Roman" w:cs="Times New Roman"/>
        </w:rPr>
        <w:t xml:space="preserve"> </w:t>
      </w:r>
      <w:r w:rsidR="00585372" w:rsidRPr="00FE7DE3">
        <w:rPr>
          <w:rFonts w:ascii="Times New Roman" w:hAnsi="Times New Roman" w:cs="Times New Roman"/>
        </w:rPr>
        <w:t>in the post-COVID period</w:t>
      </w:r>
      <w:r w:rsidR="00034F20" w:rsidRPr="00FE7DE3">
        <w:rPr>
          <w:rFonts w:ascii="Times New Roman" w:hAnsi="Times New Roman" w:cs="Times New Roman"/>
        </w:rPr>
        <w:t xml:space="preserve"> and </w:t>
      </w:r>
      <w:r w:rsidR="004B137B" w:rsidRPr="00FE7DE3">
        <w:rPr>
          <w:rFonts w:ascii="Times New Roman" w:hAnsi="Times New Roman" w:cs="Times New Roman"/>
        </w:rPr>
        <w:t xml:space="preserve">reduces </w:t>
      </w:r>
      <w:r w:rsidR="003A5855" w:rsidRPr="00FE7DE3">
        <w:rPr>
          <w:rFonts w:ascii="Times New Roman" w:hAnsi="Times New Roman" w:cs="Times New Roman"/>
        </w:rPr>
        <w:t>QoL</w:t>
      </w:r>
      <w:r w:rsidR="00AC16B6" w:rsidRPr="00FE7DE3">
        <w:rPr>
          <w:rFonts w:ascii="Times New Roman" w:hAnsi="Times New Roman" w:cs="Times New Roman"/>
        </w:rPr>
        <w:t xml:space="preserve">. Further work to profile the intricacies of </w:t>
      </w:r>
      <w:r w:rsidR="00E338ED" w:rsidRPr="00FE7DE3">
        <w:rPr>
          <w:rFonts w:ascii="Times New Roman" w:hAnsi="Times New Roman" w:cs="Times New Roman"/>
        </w:rPr>
        <w:t>recovery</w:t>
      </w:r>
      <w:r w:rsidR="00AC16B6" w:rsidRPr="00FE7DE3">
        <w:rPr>
          <w:rFonts w:ascii="Times New Roman" w:hAnsi="Times New Roman" w:cs="Times New Roman"/>
        </w:rPr>
        <w:t xml:space="preserve"> is needed but </w:t>
      </w:r>
      <w:r w:rsidR="00E338ED" w:rsidRPr="00FE7DE3">
        <w:rPr>
          <w:rFonts w:ascii="Times New Roman" w:hAnsi="Times New Roman" w:cs="Times New Roman"/>
        </w:rPr>
        <w:t xml:space="preserve">long-standing morbidity </w:t>
      </w:r>
      <w:r w:rsidR="00DD6989" w:rsidRPr="00FE7DE3">
        <w:rPr>
          <w:rFonts w:ascii="Times New Roman" w:hAnsi="Times New Roman" w:cs="Times New Roman"/>
        </w:rPr>
        <w:t xml:space="preserve">should be addressed with </w:t>
      </w:r>
      <w:r w:rsidR="00E338ED" w:rsidRPr="00FE7DE3">
        <w:rPr>
          <w:rFonts w:ascii="Times New Roman" w:hAnsi="Times New Roman" w:cs="Times New Roman"/>
        </w:rPr>
        <w:t xml:space="preserve">novel </w:t>
      </w:r>
      <w:r w:rsidR="00DD6989" w:rsidRPr="00FE7DE3">
        <w:rPr>
          <w:rFonts w:ascii="Times New Roman" w:hAnsi="Times New Roman" w:cs="Times New Roman"/>
        </w:rPr>
        <w:t xml:space="preserve">COVID-19 specific </w:t>
      </w:r>
      <w:r w:rsidR="005468A4" w:rsidRPr="00FE7DE3">
        <w:rPr>
          <w:rFonts w:ascii="Times New Roman" w:hAnsi="Times New Roman" w:cs="Times New Roman"/>
        </w:rPr>
        <w:t xml:space="preserve">rehabilitation </w:t>
      </w:r>
      <w:r w:rsidR="00585372" w:rsidRPr="00FE7DE3">
        <w:rPr>
          <w:rFonts w:ascii="Times New Roman" w:hAnsi="Times New Roman" w:cs="Times New Roman"/>
        </w:rPr>
        <w:t>approaches</w:t>
      </w:r>
      <w:r w:rsidR="00DA4E42" w:rsidRPr="00FE7DE3">
        <w:rPr>
          <w:rFonts w:ascii="Times New Roman" w:hAnsi="Times New Roman" w:cs="Times New Roman"/>
        </w:rPr>
        <w:t xml:space="preserve"> that are</w:t>
      </w:r>
      <w:r w:rsidR="004A0C33" w:rsidRPr="00FE7DE3">
        <w:rPr>
          <w:rFonts w:ascii="Times New Roman" w:hAnsi="Times New Roman" w:cs="Times New Roman"/>
        </w:rPr>
        <w:t xml:space="preserve"> derived from</w:t>
      </w:r>
      <w:r w:rsidR="00DA4E42" w:rsidRPr="00FE7DE3">
        <w:rPr>
          <w:rFonts w:ascii="Times New Roman" w:hAnsi="Times New Roman" w:cs="Times New Roman"/>
        </w:rPr>
        <w:t xml:space="preserve"> </w:t>
      </w:r>
      <w:r w:rsidR="007132CB" w:rsidRPr="00FE7DE3">
        <w:rPr>
          <w:rFonts w:ascii="Times New Roman" w:hAnsi="Times New Roman" w:cs="Times New Roman"/>
        </w:rPr>
        <w:t xml:space="preserve">multi-disciplinary </w:t>
      </w:r>
      <w:r w:rsidR="00E338ED" w:rsidRPr="00FE7DE3">
        <w:rPr>
          <w:rFonts w:ascii="Times New Roman" w:hAnsi="Times New Roman" w:cs="Times New Roman"/>
        </w:rPr>
        <w:t xml:space="preserve">collaborations between </w:t>
      </w:r>
      <w:r w:rsidR="004A7938" w:rsidRPr="00FE7DE3">
        <w:rPr>
          <w:rFonts w:ascii="Times New Roman" w:hAnsi="Times New Roman" w:cs="Times New Roman"/>
        </w:rPr>
        <w:t xml:space="preserve">clinical and non-clinical organisations to </w:t>
      </w:r>
      <w:r w:rsidR="006333BC" w:rsidRPr="00FE7DE3">
        <w:rPr>
          <w:rFonts w:ascii="Times New Roman" w:hAnsi="Times New Roman" w:cs="Times New Roman"/>
        </w:rPr>
        <w:t xml:space="preserve">restore </w:t>
      </w:r>
      <w:r w:rsidR="003A5855" w:rsidRPr="00FE7DE3">
        <w:rPr>
          <w:rFonts w:ascii="Times New Roman" w:hAnsi="Times New Roman" w:cs="Times New Roman"/>
        </w:rPr>
        <w:t>QoL</w:t>
      </w:r>
      <w:r w:rsidR="00E338ED" w:rsidRPr="00FE7DE3">
        <w:rPr>
          <w:rFonts w:ascii="Times New Roman" w:hAnsi="Times New Roman" w:cs="Times New Roman"/>
        </w:rPr>
        <w:t xml:space="preserve"> and achieve widespread population improvements in patient outcomes</w:t>
      </w:r>
      <w:r w:rsidR="006333BC" w:rsidRPr="00FE7DE3">
        <w:rPr>
          <w:rFonts w:ascii="Times New Roman" w:hAnsi="Times New Roman" w:cs="Times New Roman"/>
        </w:rPr>
        <w:t xml:space="preserve">. </w:t>
      </w:r>
      <w:r w:rsidR="004A7938" w:rsidRPr="00FE7DE3">
        <w:rPr>
          <w:rFonts w:ascii="Times New Roman" w:hAnsi="Times New Roman" w:cs="Times New Roman"/>
        </w:rPr>
        <w:t xml:space="preserve"> </w:t>
      </w:r>
      <w:r w:rsidR="001A1E1A" w:rsidRPr="00FE7DE3">
        <w:rPr>
          <w:rFonts w:ascii="Times New Roman" w:hAnsi="Times New Roman" w:cs="Times New Roman"/>
          <w:b/>
          <w:bCs/>
        </w:rPr>
        <w:br w:type="page"/>
      </w:r>
    </w:p>
    <w:p w14:paraId="5A7BCAC4" w14:textId="1F6628D6" w:rsidR="00432BCB" w:rsidRPr="00FE7DE3" w:rsidRDefault="00997101" w:rsidP="00432BCB">
      <w:pPr>
        <w:rPr>
          <w:rFonts w:ascii="Times New Roman" w:hAnsi="Times New Roman" w:cs="Times New Roman"/>
          <w:b/>
          <w:bCs/>
        </w:rPr>
      </w:pPr>
      <w:r w:rsidRPr="00FE7DE3">
        <w:rPr>
          <w:rFonts w:ascii="Times New Roman" w:hAnsi="Times New Roman" w:cs="Times New Roman"/>
          <w:b/>
          <w:bCs/>
        </w:rPr>
        <w:lastRenderedPageBreak/>
        <w:t xml:space="preserve">6.0 </w:t>
      </w:r>
      <w:r w:rsidR="00432BCB" w:rsidRPr="00FE7DE3">
        <w:rPr>
          <w:rFonts w:ascii="Times New Roman" w:hAnsi="Times New Roman" w:cs="Times New Roman"/>
          <w:b/>
          <w:bCs/>
        </w:rPr>
        <w:t>References</w:t>
      </w:r>
    </w:p>
    <w:p w14:paraId="53B37764" w14:textId="77777777" w:rsidR="0023337D" w:rsidRPr="00FE7DE3" w:rsidRDefault="00432BCB" w:rsidP="0023337D">
      <w:pPr>
        <w:pStyle w:val="Bibliography"/>
        <w:rPr>
          <w:rFonts w:ascii="Times New Roman" w:hAnsi="Times New Roman" w:cs="Times New Roman"/>
        </w:rPr>
      </w:pPr>
      <w:r w:rsidRPr="00FE7DE3">
        <w:rPr>
          <w:b/>
          <w:bCs/>
        </w:rPr>
        <w:fldChar w:fldCharType="begin" w:fldLock="1"/>
      </w:r>
      <w:r w:rsidR="00215AC1" w:rsidRPr="00FE7DE3">
        <w:rPr>
          <w:b/>
          <w:bCs/>
        </w:rPr>
        <w:instrText xml:space="preserve"> ADDIN ZOTERO_BIBL {"uncited":[],"omitted":[],"custom":[]} CSL_BIBLIOGRAPHY </w:instrText>
      </w:r>
      <w:r w:rsidRPr="00FE7DE3">
        <w:rPr>
          <w:b/>
          <w:bCs/>
        </w:rPr>
        <w:fldChar w:fldCharType="separate"/>
      </w:r>
      <w:r w:rsidR="0023337D" w:rsidRPr="00FE7DE3">
        <w:rPr>
          <w:rFonts w:ascii="Times New Roman" w:hAnsi="Times New Roman" w:cs="Times New Roman"/>
        </w:rPr>
        <w:t xml:space="preserve">[1] </w:t>
      </w:r>
      <w:r w:rsidR="0023337D" w:rsidRPr="00FE7DE3">
        <w:rPr>
          <w:rFonts w:ascii="Times New Roman" w:hAnsi="Times New Roman" w:cs="Times New Roman"/>
        </w:rPr>
        <w:tab/>
        <w:t>Hall, VJ; Foulkes, S; Saei A et al. Effectiveness of BNT162b2 mRNA Vaccine Against Infection and COVID-19 Vaccine Coverage in Healthcare Workers in England, Multicentre Prospective Cohort Study (the SIREN Study). SSRN Prepr. 2021;</w:t>
      </w:r>
    </w:p>
    <w:p w14:paraId="26F8112B"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[2] </w:t>
      </w:r>
      <w:r w:rsidRPr="00FE7DE3">
        <w:rPr>
          <w:rFonts w:ascii="Times New Roman" w:hAnsi="Times New Roman" w:cs="Times New Roman"/>
        </w:rPr>
        <w:tab/>
        <w:t>Cook TRJ. Impact of vaccination by priority group on UK deaths, hospital admissions and intensive care admissions from COVID‐19. Anaesthesia. 2021;76:608–616.</w:t>
      </w:r>
    </w:p>
    <w:p w14:paraId="15B7704C"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[3] </w:t>
      </w:r>
      <w:r w:rsidRPr="00FE7DE3">
        <w:rPr>
          <w:rFonts w:ascii="Times New Roman" w:hAnsi="Times New Roman" w:cs="Times New Roman"/>
        </w:rPr>
        <w:tab/>
        <w:t>Roghani A. The Influence of Covid-19 Vaccine on Daily Cases, Hospitalization, and Death Rate in Tennessee: A Case Study in the United States [Internet]. Health Policy; 2021 [cited 2021 Nov 29]. Available from: http://medrxiv.org/lookup/doi/10.1101/2021.03.16.21253767.</w:t>
      </w:r>
    </w:p>
    <w:p w14:paraId="395BC6A3"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[4] </w:t>
      </w:r>
      <w:r w:rsidRPr="00FE7DE3">
        <w:rPr>
          <w:rFonts w:ascii="Times New Roman" w:hAnsi="Times New Roman" w:cs="Times New Roman"/>
        </w:rPr>
        <w:tab/>
        <w:t>Lovato A, Rossettini G, de Filippis C. Sore throat in COVID‐19: Comment on “Clinical characteristics of hospitalized patients with SARS‐CoV‐2 infection: A single arm meta‐analysis.” J Med Virol. 2020;10.1002/jmv.25815.</w:t>
      </w:r>
    </w:p>
    <w:p w14:paraId="10E02971"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[5] </w:t>
      </w:r>
      <w:r w:rsidRPr="00FE7DE3">
        <w:rPr>
          <w:rFonts w:ascii="Times New Roman" w:hAnsi="Times New Roman" w:cs="Times New Roman"/>
        </w:rPr>
        <w:tab/>
        <w:t>Sivan M, Taylor S. NICE guideline on long covid. BMJ. 2020;m4938.</w:t>
      </w:r>
    </w:p>
    <w:p w14:paraId="02A29FCF"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[6] </w:t>
      </w:r>
      <w:r w:rsidRPr="00FE7DE3">
        <w:rPr>
          <w:rFonts w:ascii="Times New Roman" w:hAnsi="Times New Roman" w:cs="Times New Roman"/>
        </w:rPr>
        <w:tab/>
        <w:t>NICE. COVID-19 rapid guideline: managing the long-term effects of COVID-19. 2020.</w:t>
      </w:r>
    </w:p>
    <w:p w14:paraId="33D96DD0"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[7] </w:t>
      </w:r>
      <w:r w:rsidRPr="00FE7DE3">
        <w:rPr>
          <w:rFonts w:ascii="Times New Roman" w:hAnsi="Times New Roman" w:cs="Times New Roman"/>
        </w:rPr>
        <w:tab/>
        <w:t>Demeco A, Marotta N, Barletta M, et al. Rehabilitation of patients post-COVID-19 infection: a literature review. J Int Med Res. 2020;48:0300060520948382.</w:t>
      </w:r>
    </w:p>
    <w:p w14:paraId="3756A573"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[8] </w:t>
      </w:r>
      <w:r w:rsidRPr="00FE7DE3">
        <w:rPr>
          <w:rFonts w:ascii="Times New Roman" w:hAnsi="Times New Roman" w:cs="Times New Roman"/>
        </w:rPr>
        <w:tab/>
        <w:t>O’Sullivan O. Long-term sequelae following previous coronavirus epidemics. Clin Med. 2021;21:e68-70.</w:t>
      </w:r>
    </w:p>
    <w:p w14:paraId="1215F1F0"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[9] </w:t>
      </w:r>
      <w:r w:rsidRPr="00FE7DE3">
        <w:rPr>
          <w:rFonts w:ascii="Times New Roman" w:hAnsi="Times New Roman" w:cs="Times New Roman"/>
        </w:rPr>
        <w:tab/>
        <w:t>Sudre CH, Murray B, Varsavsky T, et al. Attributes and predictors of long COVID. Nat Med. 2021;27:626–631.</w:t>
      </w:r>
    </w:p>
    <w:p w14:paraId="6EEF50C3"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[10] </w:t>
      </w:r>
      <w:r w:rsidRPr="00FE7DE3">
        <w:rPr>
          <w:rFonts w:ascii="Times New Roman" w:hAnsi="Times New Roman" w:cs="Times New Roman"/>
        </w:rPr>
        <w:tab/>
        <w:t>Rossettini G, Conti C, Suardelli M, et al. COVID-19 and Health Care Leaders: How Could Emotional Intelligence Be a Helpful Resource During a Pandemic? Phys Ther [Internet]. 2021 [cited 2021 Nov 29];101. Available from: https://doi.org/10.1093/ptj/pzab143.</w:t>
      </w:r>
    </w:p>
    <w:p w14:paraId="6DFA3B1A"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[11] </w:t>
      </w:r>
      <w:r w:rsidRPr="00FE7DE3">
        <w:rPr>
          <w:rFonts w:ascii="Times New Roman" w:hAnsi="Times New Roman" w:cs="Times New Roman"/>
        </w:rPr>
        <w:tab/>
        <w:t>Gorna R, MacDermott N, Rayner C, et al. Long COVID guidelines need to reflect lived experience. The Lancet. 2021;397:455–457.</w:t>
      </w:r>
    </w:p>
    <w:p w14:paraId="33BA54CC"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[12] </w:t>
      </w:r>
      <w:r w:rsidRPr="00FE7DE3">
        <w:rPr>
          <w:rFonts w:ascii="Times New Roman" w:hAnsi="Times New Roman" w:cs="Times New Roman"/>
        </w:rPr>
        <w:tab/>
        <w:t>Hayes LD, Ingram J, Sculthorpe NF. More Than 100 Persistent Symptoms of SARS-CoV-2 (Long COVID): A Scoping Review. Front Med. 2021;8:2028.</w:t>
      </w:r>
    </w:p>
    <w:p w14:paraId="0E53F5CC"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[13] </w:t>
      </w:r>
      <w:r w:rsidRPr="00FE7DE3">
        <w:rPr>
          <w:rFonts w:ascii="Times New Roman" w:hAnsi="Times New Roman" w:cs="Times New Roman"/>
        </w:rPr>
        <w:tab/>
        <w:t>Tenforde MW, Kim SS, Lindsell CJ, et al. Symptom Duration and Risk Factors for Delayed Return to Usual Health Among Outpatients with COVID-19 in a Multistate Health Care Systems Network — United States, March–June 2020. Morb Mortal Wkly Rep. 2020;69:993–998.</w:t>
      </w:r>
    </w:p>
    <w:p w14:paraId="460944DD"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[14] </w:t>
      </w:r>
      <w:r w:rsidRPr="00FE7DE3">
        <w:rPr>
          <w:rFonts w:ascii="Times New Roman" w:hAnsi="Times New Roman" w:cs="Times New Roman"/>
        </w:rPr>
        <w:tab/>
        <w:t>Eysenbach G. Improving the Quality of Web Surveys: The Checklist for Reporting Results of Internet E-Surveys (CHERRIES). J Med Internet Res. 2004;6:e132.</w:t>
      </w:r>
    </w:p>
    <w:p w14:paraId="6CA39D23" w14:textId="78D0C01E"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[15] </w:t>
      </w:r>
      <w:r w:rsidRPr="00FE7DE3">
        <w:rPr>
          <w:rFonts w:ascii="Times New Roman" w:hAnsi="Times New Roman" w:cs="Times New Roman"/>
        </w:rPr>
        <w:tab/>
        <w:t xml:space="preserve">Faghy MA, Ashton RE, Maden-Wilkinson TM, et al. Integrated </w:t>
      </w:r>
      <w:r w:rsidR="00F63882" w:rsidRPr="00FE7DE3">
        <w:rPr>
          <w:rFonts w:ascii="Times New Roman" w:hAnsi="Times New Roman" w:cs="Times New Roman"/>
        </w:rPr>
        <w:t>sports,</w:t>
      </w:r>
      <w:r w:rsidRPr="00FE7DE3">
        <w:rPr>
          <w:rFonts w:ascii="Times New Roman" w:hAnsi="Times New Roman" w:cs="Times New Roman"/>
        </w:rPr>
        <w:t xml:space="preserve"> and respiratory medicine in the aftermath of COVID-19. Lancet Respir Med. 2020;8:852.</w:t>
      </w:r>
    </w:p>
    <w:p w14:paraId="5BD03329"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[16] </w:t>
      </w:r>
      <w:r w:rsidRPr="00FE7DE3">
        <w:rPr>
          <w:rFonts w:ascii="Times New Roman" w:hAnsi="Times New Roman" w:cs="Times New Roman"/>
        </w:rPr>
        <w:tab/>
        <w:t>NHS sickness absence during the covid-19 pandemic | The BMJ [Internet]. [cited 2021 May 13]. Available from: https://www.bmj.com/content/372/bmj.n471.</w:t>
      </w:r>
    </w:p>
    <w:p w14:paraId="5D479804"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[17] </w:t>
      </w:r>
      <w:r w:rsidRPr="00FE7DE3">
        <w:rPr>
          <w:rFonts w:ascii="Times New Roman" w:hAnsi="Times New Roman" w:cs="Times New Roman"/>
        </w:rPr>
        <w:tab/>
        <w:t>Crook H, Raza S, Nowell J, et al. Long covid—mechanisms, risk factors, and management. BMJ. 2021;374:n1648.</w:t>
      </w:r>
    </w:p>
    <w:p w14:paraId="1E9FAF6A"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lastRenderedPageBreak/>
        <w:t xml:space="preserve">[18] </w:t>
      </w:r>
      <w:r w:rsidRPr="00FE7DE3">
        <w:rPr>
          <w:rFonts w:ascii="Times New Roman" w:hAnsi="Times New Roman" w:cs="Times New Roman"/>
        </w:rPr>
        <w:tab/>
        <w:t>McKibbin W, Fernando R. The economic impact of COVID-19. Econ Time COVID-19. 2020;45.</w:t>
      </w:r>
    </w:p>
    <w:p w14:paraId="6F1946CD"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[19] </w:t>
      </w:r>
      <w:r w:rsidRPr="00FE7DE3">
        <w:rPr>
          <w:rFonts w:ascii="Times New Roman" w:hAnsi="Times New Roman" w:cs="Times New Roman"/>
        </w:rPr>
        <w:tab/>
        <w:t>Arena R, Myers J, Kaminsky LA, et al. Current Activities Centered on Healthy Living and Recommendations for the Future: A Position Statement from the HL-PIVOT Network. Curr Probl Cardiol. 2021;100823.</w:t>
      </w:r>
    </w:p>
    <w:p w14:paraId="37BE29BF"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[20] </w:t>
      </w:r>
      <w:r w:rsidRPr="00FE7DE3">
        <w:rPr>
          <w:rFonts w:ascii="Times New Roman" w:hAnsi="Times New Roman" w:cs="Times New Roman"/>
        </w:rPr>
        <w:tab/>
        <w:t>Maani N, Abdalla SM, Galea S. Avoiding a legacy of unequal non-communicable disease burden after the COVID-19 pandemic. Lancet Diabetes Endocrinol. 2021;9:133–135.</w:t>
      </w:r>
    </w:p>
    <w:p w14:paraId="15546738"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[21] </w:t>
      </w:r>
      <w:r w:rsidRPr="00FE7DE3">
        <w:rPr>
          <w:rFonts w:ascii="Times New Roman" w:hAnsi="Times New Roman" w:cs="Times New Roman"/>
        </w:rPr>
        <w:tab/>
        <w:t>Faghy MA, Arena R, Stoner L, et al. The need for exercise sciences and an integrated response to COVID-19: A position statement from the international HL-PIVOT network. Prog Cardiovasc Dis. 2021;</w:t>
      </w:r>
    </w:p>
    <w:p w14:paraId="62089939"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[22] </w:t>
      </w:r>
      <w:r w:rsidRPr="00FE7DE3">
        <w:rPr>
          <w:rFonts w:ascii="Times New Roman" w:hAnsi="Times New Roman" w:cs="Times New Roman"/>
        </w:rPr>
        <w:tab/>
        <w:t>Lemhöfer C, Gutenbrunner C, Schiller J, et al. Assessment of rehabilitation needs in patients after COVID-19: Development of the COVID-19-rehabilitation needs survey. J Rehabil Med. 2021;53:jrm00183.</w:t>
      </w:r>
    </w:p>
    <w:p w14:paraId="7EEAFD4A" w14:textId="77777777" w:rsidR="0023337D" w:rsidRPr="00FE7DE3" w:rsidRDefault="0023337D" w:rsidP="0023337D">
      <w:pPr>
        <w:pStyle w:val="Bibliography"/>
        <w:rPr>
          <w:rFonts w:ascii="Times New Roman" w:hAnsi="Times New Roman" w:cs="Times New Roman"/>
        </w:rPr>
      </w:pPr>
      <w:r w:rsidRPr="00FE7DE3">
        <w:rPr>
          <w:rFonts w:ascii="Times New Roman" w:hAnsi="Times New Roman" w:cs="Times New Roman"/>
        </w:rPr>
        <w:t xml:space="preserve">[23] </w:t>
      </w:r>
      <w:r w:rsidRPr="00FE7DE3">
        <w:rPr>
          <w:rFonts w:ascii="Times New Roman" w:hAnsi="Times New Roman" w:cs="Times New Roman"/>
        </w:rPr>
        <w:tab/>
        <w:t>Reis RS, Salvo D, Ogilvie D, et al. Scaling up physical activity interventions worldwide: stepping up to larger and smarter approaches to get people moving. The lancet. 2016;388:1337–1348.</w:t>
      </w:r>
    </w:p>
    <w:p w14:paraId="040B81A0" w14:textId="6BC38654" w:rsidR="009B5A31" w:rsidRPr="00FE7DE3" w:rsidRDefault="00432BCB" w:rsidP="003E07A1">
      <w:pPr>
        <w:pStyle w:val="Bibliography"/>
        <w:rPr>
          <w:rFonts w:ascii="Times New Roman" w:hAnsi="Times New Roman" w:cs="Times New Roman"/>
          <w:b/>
          <w:bCs/>
        </w:rPr>
      </w:pPr>
      <w:r w:rsidRPr="00FE7DE3">
        <w:rPr>
          <w:rFonts w:ascii="Times New Roman" w:hAnsi="Times New Roman" w:cs="Times New Roman"/>
          <w:b/>
          <w:bCs/>
        </w:rPr>
        <w:fldChar w:fldCharType="end"/>
      </w:r>
      <w:r w:rsidR="009B5A31" w:rsidRPr="00FE7DE3">
        <w:rPr>
          <w:rFonts w:ascii="Times New Roman" w:hAnsi="Times New Roman" w:cs="Times New Roman"/>
          <w:b/>
          <w:bCs/>
        </w:rPr>
        <w:br w:type="page"/>
      </w:r>
    </w:p>
    <w:p w14:paraId="497F04C2" w14:textId="77777777" w:rsidR="009164E3" w:rsidRPr="00FE7DE3" w:rsidRDefault="009164E3" w:rsidP="00432BCB">
      <w:pPr>
        <w:widowControl w:val="0"/>
        <w:autoSpaceDE w:val="0"/>
        <w:autoSpaceDN w:val="0"/>
        <w:adjustRightInd w:val="0"/>
        <w:spacing w:line="360" w:lineRule="auto"/>
        <w:ind w:left="480" w:hanging="480"/>
        <w:rPr>
          <w:rFonts w:ascii="Times New Roman" w:hAnsi="Times New Roman" w:cs="Times New Roman"/>
          <w:b/>
          <w:bCs/>
        </w:rPr>
        <w:sectPr w:rsidR="009164E3" w:rsidRPr="00FE7DE3" w:rsidSect="001C58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lnNumType w:countBy="1"/>
          <w:cols w:space="708"/>
          <w:docGrid w:linePitch="360"/>
        </w:sectPr>
      </w:pPr>
    </w:p>
    <w:p w14:paraId="4F9C5030" w14:textId="631576E4" w:rsidR="00432BCB" w:rsidRPr="00FE7DE3" w:rsidRDefault="009B5A31" w:rsidP="00432BCB">
      <w:pPr>
        <w:widowControl w:val="0"/>
        <w:autoSpaceDE w:val="0"/>
        <w:autoSpaceDN w:val="0"/>
        <w:adjustRightInd w:val="0"/>
        <w:spacing w:line="360" w:lineRule="auto"/>
        <w:ind w:left="480" w:hanging="480"/>
        <w:rPr>
          <w:rFonts w:ascii="Times New Roman" w:hAnsi="Times New Roman" w:cs="Times New Roman"/>
          <w:b/>
          <w:bCs/>
        </w:rPr>
      </w:pPr>
      <w:r w:rsidRPr="00FE7DE3">
        <w:rPr>
          <w:rFonts w:ascii="Times New Roman" w:hAnsi="Times New Roman" w:cs="Times New Roman"/>
          <w:b/>
          <w:bCs/>
        </w:rPr>
        <w:lastRenderedPageBreak/>
        <w:t>Tables:</w:t>
      </w:r>
    </w:p>
    <w:p w14:paraId="42319D9D" w14:textId="7C4B90C9" w:rsidR="009164E3" w:rsidRPr="00FE7DE3" w:rsidRDefault="009164E3" w:rsidP="009164E3">
      <w:pPr>
        <w:widowControl w:val="0"/>
        <w:autoSpaceDE w:val="0"/>
        <w:autoSpaceDN w:val="0"/>
        <w:adjustRightInd w:val="0"/>
        <w:spacing w:after="0" w:line="360" w:lineRule="auto"/>
        <w:ind w:left="482" w:hanging="482"/>
        <w:rPr>
          <w:rFonts w:ascii="Times New Roman" w:hAnsi="Times New Roman" w:cs="Times New Roman"/>
        </w:rPr>
      </w:pPr>
      <w:r w:rsidRPr="00FE7DE3">
        <w:rPr>
          <w:rFonts w:ascii="Times New Roman" w:hAnsi="Times New Roman" w:cs="Times New Roman"/>
          <w:b/>
          <w:bCs/>
        </w:rPr>
        <w:t xml:space="preserve">Table 1: </w:t>
      </w:r>
      <w:r w:rsidR="00DE010F" w:rsidRPr="00FE7DE3">
        <w:rPr>
          <w:rFonts w:ascii="Times New Roman" w:hAnsi="Times New Roman" w:cs="Times New Roman"/>
        </w:rPr>
        <w:t xml:space="preserve">Frequency and change in </w:t>
      </w:r>
      <w:r w:rsidR="00BD00EF" w:rsidRPr="00FE7DE3">
        <w:rPr>
          <w:rFonts w:ascii="Times New Roman" w:hAnsi="Times New Roman" w:cs="Times New Roman"/>
        </w:rPr>
        <w:t xml:space="preserve">symptom profile </w:t>
      </w:r>
      <w:r w:rsidR="002140F2" w:rsidRPr="00FE7DE3">
        <w:rPr>
          <w:rFonts w:ascii="Times New Roman" w:hAnsi="Times New Roman" w:cs="Times New Roman"/>
        </w:rPr>
        <w:t xml:space="preserve">reported by patients </w:t>
      </w:r>
      <w:r w:rsidR="00F92A35" w:rsidRPr="00FE7DE3">
        <w:rPr>
          <w:rFonts w:ascii="Times New Roman" w:hAnsi="Times New Roman" w:cs="Times New Roman"/>
        </w:rPr>
        <w:t xml:space="preserve">from </w:t>
      </w:r>
      <w:r w:rsidR="002140F2" w:rsidRPr="00FE7DE3">
        <w:rPr>
          <w:rFonts w:ascii="Times New Roman" w:hAnsi="Times New Roman" w:cs="Times New Roman"/>
        </w:rPr>
        <w:t xml:space="preserve">the </w:t>
      </w:r>
      <w:r w:rsidR="00F92A35" w:rsidRPr="00FE7DE3">
        <w:rPr>
          <w:rFonts w:ascii="Times New Roman" w:hAnsi="Times New Roman" w:cs="Times New Roman"/>
        </w:rPr>
        <w:t xml:space="preserve">onset and during recovery </w:t>
      </w:r>
      <w:r w:rsidR="002140F2" w:rsidRPr="00FE7DE3">
        <w:rPr>
          <w:rFonts w:ascii="Times New Roman" w:hAnsi="Times New Roman" w:cs="Times New Roman"/>
        </w:rPr>
        <w:t xml:space="preserve">from </w:t>
      </w:r>
      <w:r w:rsidR="006A1F3B" w:rsidRPr="00FE7DE3">
        <w:rPr>
          <w:rFonts w:ascii="Times New Roman" w:hAnsi="Times New Roman" w:cs="Times New Roman"/>
        </w:rPr>
        <w:t xml:space="preserve">a COVID-19 infection. </w:t>
      </w:r>
    </w:p>
    <w:tbl>
      <w:tblPr>
        <w:tblStyle w:val="PlainTable1"/>
        <w:tblpPr w:leftFromText="180" w:rightFromText="180" w:vertAnchor="text" w:horzAnchor="margin" w:tblpY="153"/>
        <w:tblW w:w="4967" w:type="pct"/>
        <w:tblLayout w:type="fixed"/>
        <w:tblLook w:val="04A0" w:firstRow="1" w:lastRow="0" w:firstColumn="1" w:lastColumn="0" w:noHBand="0" w:noVBand="1"/>
      </w:tblPr>
      <w:tblGrid>
        <w:gridCol w:w="2255"/>
        <w:gridCol w:w="1405"/>
        <w:gridCol w:w="1272"/>
        <w:gridCol w:w="843"/>
        <w:gridCol w:w="1267"/>
        <w:gridCol w:w="987"/>
        <w:gridCol w:w="951"/>
        <w:gridCol w:w="1161"/>
        <w:gridCol w:w="704"/>
        <w:gridCol w:w="1139"/>
        <w:gridCol w:w="931"/>
        <w:gridCol w:w="945"/>
      </w:tblGrid>
      <w:tr w:rsidR="00FE7DE3" w:rsidRPr="00FE7DE3" w14:paraId="2981AFDA" w14:textId="77777777" w:rsidTr="00DE010F">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13" w:type="pct"/>
            <w:tcBorders>
              <w:top w:val="single" w:sz="18" w:space="0" w:color="auto"/>
              <w:left w:val="single" w:sz="2" w:space="0" w:color="FFFFFF" w:themeColor="background1"/>
              <w:bottom w:val="single" w:sz="18" w:space="0" w:color="auto"/>
              <w:right w:val="single" w:sz="2" w:space="0" w:color="FFFFFF" w:themeColor="background1"/>
            </w:tcBorders>
            <w:noWrap/>
            <w:hideMark/>
          </w:tcPr>
          <w:p w14:paraId="6610880D"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 </w:t>
            </w:r>
          </w:p>
        </w:tc>
        <w:tc>
          <w:tcPr>
            <w:tcW w:w="507" w:type="pct"/>
            <w:tcBorders>
              <w:top w:val="single" w:sz="18" w:space="0" w:color="auto"/>
              <w:left w:val="single" w:sz="2" w:space="0" w:color="FFFFFF" w:themeColor="background1"/>
              <w:bottom w:val="single" w:sz="18" w:space="0" w:color="auto"/>
              <w:right w:val="single" w:sz="2" w:space="0" w:color="FFFFFF" w:themeColor="background1"/>
            </w:tcBorders>
            <w:noWrap/>
            <w:hideMark/>
          </w:tcPr>
          <w:p w14:paraId="23404B44" w14:textId="77777777" w:rsidR="009164E3" w:rsidRPr="00FE7DE3" w:rsidRDefault="009164E3" w:rsidP="006A1F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 </w:t>
            </w:r>
          </w:p>
        </w:tc>
        <w:tc>
          <w:tcPr>
            <w:tcW w:w="1919" w:type="pct"/>
            <w:gridSpan w:val="5"/>
            <w:tcBorders>
              <w:top w:val="single" w:sz="18" w:space="0" w:color="auto"/>
              <w:left w:val="single" w:sz="2" w:space="0" w:color="FFFFFF" w:themeColor="background1"/>
              <w:bottom w:val="single" w:sz="18" w:space="0" w:color="auto"/>
              <w:right w:val="single" w:sz="12" w:space="0" w:color="auto"/>
            </w:tcBorders>
            <w:noWrap/>
            <w:vAlign w:val="center"/>
            <w:hideMark/>
          </w:tcPr>
          <w:p w14:paraId="749442CC" w14:textId="43457AE8" w:rsidR="009164E3" w:rsidRPr="00FE7DE3" w:rsidRDefault="009164E3" w:rsidP="006A1F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 xml:space="preserve">Initial severity at </w:t>
            </w:r>
            <w:r w:rsidR="00D50BF3" w:rsidRPr="00FE7DE3">
              <w:rPr>
                <w:rFonts w:ascii="Times New Roman" w:eastAsia="Times New Roman" w:hAnsi="Times New Roman" w:cs="Times New Roman"/>
                <w:sz w:val="20"/>
                <w:szCs w:val="20"/>
                <w:lang w:eastAsia="en-GB"/>
              </w:rPr>
              <w:t xml:space="preserve">the </w:t>
            </w:r>
            <w:r w:rsidRPr="00FE7DE3">
              <w:rPr>
                <w:rFonts w:ascii="Times New Roman" w:eastAsia="Times New Roman" w:hAnsi="Times New Roman" w:cs="Times New Roman"/>
                <w:sz w:val="20"/>
                <w:szCs w:val="20"/>
                <w:lang w:eastAsia="en-GB"/>
              </w:rPr>
              <w:t>acute onset of COVID-19</w:t>
            </w:r>
          </w:p>
        </w:tc>
        <w:tc>
          <w:tcPr>
            <w:tcW w:w="1762" w:type="pct"/>
            <w:gridSpan w:val="5"/>
            <w:tcBorders>
              <w:top w:val="single" w:sz="18" w:space="0" w:color="auto"/>
              <w:left w:val="single" w:sz="12" w:space="0" w:color="auto"/>
              <w:right w:val="single" w:sz="2" w:space="0" w:color="FFFFFF" w:themeColor="background1"/>
            </w:tcBorders>
            <w:noWrap/>
            <w:vAlign w:val="center"/>
            <w:hideMark/>
          </w:tcPr>
          <w:p w14:paraId="76D376CE" w14:textId="718BDE7C" w:rsidR="009164E3" w:rsidRPr="00FE7DE3" w:rsidRDefault="009164E3" w:rsidP="006A1F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 xml:space="preserve">Current </w:t>
            </w:r>
            <w:r w:rsidR="00423370" w:rsidRPr="00FE7DE3">
              <w:rPr>
                <w:rFonts w:ascii="Times New Roman" w:eastAsia="Times New Roman" w:hAnsi="Times New Roman" w:cs="Times New Roman"/>
                <w:sz w:val="20"/>
                <w:szCs w:val="20"/>
                <w:lang w:eastAsia="en-GB"/>
              </w:rPr>
              <w:t xml:space="preserve">symptom </w:t>
            </w:r>
            <w:r w:rsidRPr="00FE7DE3">
              <w:rPr>
                <w:rFonts w:ascii="Times New Roman" w:eastAsia="Times New Roman" w:hAnsi="Times New Roman" w:cs="Times New Roman"/>
                <w:sz w:val="20"/>
                <w:szCs w:val="20"/>
                <w:lang w:eastAsia="en-GB"/>
              </w:rPr>
              <w:t xml:space="preserve">severity </w:t>
            </w:r>
          </w:p>
        </w:tc>
      </w:tr>
      <w:tr w:rsidR="00FE7DE3" w:rsidRPr="00FE7DE3" w14:paraId="1F974F83" w14:textId="77777777" w:rsidTr="00DE010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20" w:type="pct"/>
            <w:gridSpan w:val="2"/>
            <w:tcBorders>
              <w:top w:val="single" w:sz="18" w:space="0" w:color="auto"/>
              <w:left w:val="single" w:sz="2" w:space="0" w:color="FFFFFF" w:themeColor="background1"/>
              <w:bottom w:val="single" w:sz="12" w:space="0" w:color="auto"/>
            </w:tcBorders>
            <w:shd w:val="clear" w:color="auto" w:fill="auto"/>
            <w:noWrap/>
            <w:vAlign w:val="center"/>
            <w:hideMark/>
          </w:tcPr>
          <w:p w14:paraId="6F441123"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Symptom</w:t>
            </w:r>
          </w:p>
        </w:tc>
        <w:tc>
          <w:tcPr>
            <w:tcW w:w="459" w:type="pct"/>
            <w:tcBorders>
              <w:top w:val="single" w:sz="18" w:space="0" w:color="auto"/>
              <w:bottom w:val="single" w:sz="12" w:space="0" w:color="auto"/>
            </w:tcBorders>
            <w:shd w:val="clear" w:color="auto" w:fill="auto"/>
            <w:vAlign w:val="center"/>
            <w:hideMark/>
          </w:tcPr>
          <w:p w14:paraId="21526ED7"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Not at all</w:t>
            </w:r>
          </w:p>
        </w:tc>
        <w:tc>
          <w:tcPr>
            <w:tcW w:w="304" w:type="pct"/>
            <w:tcBorders>
              <w:top w:val="single" w:sz="18" w:space="0" w:color="auto"/>
              <w:bottom w:val="single" w:sz="12" w:space="0" w:color="auto"/>
            </w:tcBorders>
            <w:shd w:val="clear" w:color="auto" w:fill="auto"/>
            <w:vAlign w:val="center"/>
            <w:hideMark/>
          </w:tcPr>
          <w:p w14:paraId="72730325"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Mild</w:t>
            </w:r>
          </w:p>
        </w:tc>
        <w:tc>
          <w:tcPr>
            <w:tcW w:w="457" w:type="pct"/>
            <w:tcBorders>
              <w:top w:val="single" w:sz="18" w:space="0" w:color="auto"/>
              <w:bottom w:val="single" w:sz="12" w:space="0" w:color="auto"/>
            </w:tcBorders>
            <w:shd w:val="clear" w:color="auto" w:fill="auto"/>
            <w:vAlign w:val="center"/>
            <w:hideMark/>
          </w:tcPr>
          <w:p w14:paraId="414CA8D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Moderate</w:t>
            </w:r>
          </w:p>
        </w:tc>
        <w:tc>
          <w:tcPr>
            <w:tcW w:w="356" w:type="pct"/>
            <w:tcBorders>
              <w:bottom w:val="single" w:sz="12" w:space="0" w:color="auto"/>
            </w:tcBorders>
            <w:shd w:val="clear" w:color="auto" w:fill="auto"/>
            <w:vAlign w:val="center"/>
            <w:hideMark/>
          </w:tcPr>
          <w:p w14:paraId="34F6FB0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Severe</w:t>
            </w:r>
          </w:p>
        </w:tc>
        <w:tc>
          <w:tcPr>
            <w:tcW w:w="343" w:type="pct"/>
            <w:tcBorders>
              <w:bottom w:val="single" w:sz="12" w:space="0" w:color="auto"/>
              <w:right w:val="single" w:sz="12" w:space="0" w:color="auto"/>
            </w:tcBorders>
            <w:shd w:val="clear" w:color="auto" w:fill="auto"/>
            <w:vAlign w:val="center"/>
            <w:hideMark/>
          </w:tcPr>
          <w:p w14:paraId="0209261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Critical</w:t>
            </w:r>
          </w:p>
        </w:tc>
        <w:tc>
          <w:tcPr>
            <w:tcW w:w="419" w:type="pct"/>
            <w:tcBorders>
              <w:top w:val="single" w:sz="18" w:space="0" w:color="auto"/>
              <w:left w:val="single" w:sz="12" w:space="0" w:color="auto"/>
              <w:bottom w:val="single" w:sz="12" w:space="0" w:color="auto"/>
              <w:right w:val="single" w:sz="2" w:space="0" w:color="FFFFFF" w:themeColor="background1"/>
            </w:tcBorders>
            <w:shd w:val="clear" w:color="auto" w:fill="auto"/>
            <w:vAlign w:val="center"/>
            <w:hideMark/>
          </w:tcPr>
          <w:p w14:paraId="3407256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Not at all</w:t>
            </w:r>
          </w:p>
        </w:tc>
        <w:tc>
          <w:tcPr>
            <w:tcW w:w="254" w:type="pct"/>
            <w:tcBorders>
              <w:top w:val="single" w:sz="18" w:space="0" w:color="auto"/>
              <w:left w:val="single" w:sz="2" w:space="0" w:color="FFFFFF" w:themeColor="background1"/>
              <w:bottom w:val="single" w:sz="12" w:space="0" w:color="auto"/>
              <w:right w:val="single" w:sz="2" w:space="0" w:color="FFFFFF" w:themeColor="background1"/>
            </w:tcBorders>
            <w:shd w:val="clear" w:color="auto" w:fill="auto"/>
            <w:vAlign w:val="center"/>
            <w:hideMark/>
          </w:tcPr>
          <w:p w14:paraId="1133EE71"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Mild</w:t>
            </w:r>
          </w:p>
        </w:tc>
        <w:tc>
          <w:tcPr>
            <w:tcW w:w="411" w:type="pct"/>
            <w:tcBorders>
              <w:top w:val="single" w:sz="18" w:space="0" w:color="auto"/>
              <w:left w:val="single" w:sz="2" w:space="0" w:color="FFFFFF" w:themeColor="background1"/>
              <w:bottom w:val="single" w:sz="12" w:space="0" w:color="auto"/>
              <w:right w:val="single" w:sz="2" w:space="0" w:color="FFFFFF" w:themeColor="background1"/>
            </w:tcBorders>
            <w:shd w:val="clear" w:color="auto" w:fill="auto"/>
            <w:vAlign w:val="center"/>
            <w:hideMark/>
          </w:tcPr>
          <w:p w14:paraId="104F2AB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Moderate</w:t>
            </w:r>
          </w:p>
        </w:tc>
        <w:tc>
          <w:tcPr>
            <w:tcW w:w="336" w:type="pct"/>
            <w:tcBorders>
              <w:top w:val="single" w:sz="18" w:space="0" w:color="auto"/>
              <w:left w:val="single" w:sz="2" w:space="0" w:color="FFFFFF" w:themeColor="background1"/>
              <w:bottom w:val="single" w:sz="12" w:space="0" w:color="auto"/>
              <w:right w:val="single" w:sz="2" w:space="0" w:color="FFFFFF" w:themeColor="background1"/>
            </w:tcBorders>
            <w:shd w:val="clear" w:color="auto" w:fill="auto"/>
            <w:vAlign w:val="center"/>
            <w:hideMark/>
          </w:tcPr>
          <w:p w14:paraId="4827454A"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Severe</w:t>
            </w:r>
          </w:p>
        </w:tc>
        <w:tc>
          <w:tcPr>
            <w:tcW w:w="341" w:type="pct"/>
            <w:tcBorders>
              <w:top w:val="single" w:sz="18" w:space="0" w:color="auto"/>
              <w:left w:val="single" w:sz="2" w:space="0" w:color="FFFFFF" w:themeColor="background1"/>
              <w:bottom w:val="single" w:sz="12" w:space="0" w:color="auto"/>
              <w:right w:val="single" w:sz="2" w:space="0" w:color="FFFFFF" w:themeColor="background1"/>
            </w:tcBorders>
            <w:shd w:val="clear" w:color="auto" w:fill="auto"/>
            <w:vAlign w:val="center"/>
            <w:hideMark/>
          </w:tcPr>
          <w:p w14:paraId="2599FD4E"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Critical</w:t>
            </w:r>
          </w:p>
        </w:tc>
      </w:tr>
      <w:tr w:rsidR="00FE7DE3" w:rsidRPr="00FE7DE3" w14:paraId="38888394"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top w:val="single" w:sz="12" w:space="0" w:color="auto"/>
              <w:left w:val="single" w:sz="2" w:space="0" w:color="FFFFFF" w:themeColor="background1"/>
            </w:tcBorders>
            <w:shd w:val="clear" w:color="auto" w:fill="auto"/>
            <w:noWrap/>
            <w:vAlign w:val="center"/>
            <w:hideMark/>
          </w:tcPr>
          <w:p w14:paraId="0AD21495"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Shortness of breath</w:t>
            </w:r>
          </w:p>
        </w:tc>
        <w:tc>
          <w:tcPr>
            <w:tcW w:w="507" w:type="pct"/>
            <w:tcBorders>
              <w:top w:val="single" w:sz="12" w:space="0" w:color="auto"/>
            </w:tcBorders>
            <w:shd w:val="clear" w:color="auto" w:fill="auto"/>
            <w:noWrap/>
            <w:hideMark/>
          </w:tcPr>
          <w:p w14:paraId="386C5040"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377</w:t>
            </w:r>
          </w:p>
        </w:tc>
        <w:tc>
          <w:tcPr>
            <w:tcW w:w="459" w:type="pct"/>
            <w:tcBorders>
              <w:top w:val="single" w:sz="12" w:space="0" w:color="auto"/>
            </w:tcBorders>
            <w:shd w:val="clear" w:color="auto" w:fill="auto"/>
            <w:noWrap/>
            <w:hideMark/>
          </w:tcPr>
          <w:p w14:paraId="2E4F82F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50</w:t>
            </w:r>
          </w:p>
        </w:tc>
        <w:tc>
          <w:tcPr>
            <w:tcW w:w="304" w:type="pct"/>
            <w:tcBorders>
              <w:top w:val="single" w:sz="12" w:space="0" w:color="auto"/>
            </w:tcBorders>
            <w:shd w:val="clear" w:color="auto" w:fill="auto"/>
            <w:noWrap/>
            <w:hideMark/>
          </w:tcPr>
          <w:p w14:paraId="3B5FFDCB"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84</w:t>
            </w:r>
          </w:p>
        </w:tc>
        <w:tc>
          <w:tcPr>
            <w:tcW w:w="457" w:type="pct"/>
            <w:tcBorders>
              <w:top w:val="single" w:sz="12" w:space="0" w:color="auto"/>
            </w:tcBorders>
            <w:shd w:val="clear" w:color="auto" w:fill="auto"/>
            <w:noWrap/>
            <w:hideMark/>
          </w:tcPr>
          <w:p w14:paraId="6C983A32"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108</w:t>
            </w:r>
          </w:p>
        </w:tc>
        <w:tc>
          <w:tcPr>
            <w:tcW w:w="356" w:type="pct"/>
            <w:tcBorders>
              <w:top w:val="single" w:sz="12" w:space="0" w:color="auto"/>
            </w:tcBorders>
            <w:shd w:val="clear" w:color="auto" w:fill="auto"/>
            <w:noWrap/>
            <w:hideMark/>
          </w:tcPr>
          <w:p w14:paraId="26FD8E1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124</w:t>
            </w:r>
          </w:p>
        </w:tc>
        <w:tc>
          <w:tcPr>
            <w:tcW w:w="343" w:type="pct"/>
            <w:tcBorders>
              <w:top w:val="single" w:sz="12" w:space="0" w:color="auto"/>
              <w:right w:val="single" w:sz="12" w:space="0" w:color="auto"/>
            </w:tcBorders>
            <w:shd w:val="clear" w:color="auto" w:fill="auto"/>
            <w:noWrap/>
            <w:hideMark/>
          </w:tcPr>
          <w:p w14:paraId="6841FBC6"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w:t>
            </w:r>
          </w:p>
        </w:tc>
        <w:tc>
          <w:tcPr>
            <w:tcW w:w="419" w:type="pct"/>
            <w:tcBorders>
              <w:top w:val="single" w:sz="12" w:space="0" w:color="auto"/>
              <w:left w:val="single" w:sz="12" w:space="0" w:color="auto"/>
              <w:right w:val="single" w:sz="2" w:space="0" w:color="FFFFFF" w:themeColor="background1"/>
            </w:tcBorders>
            <w:shd w:val="clear" w:color="auto" w:fill="auto"/>
            <w:noWrap/>
            <w:hideMark/>
          </w:tcPr>
          <w:p w14:paraId="4664C3D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88</w:t>
            </w:r>
          </w:p>
        </w:tc>
        <w:tc>
          <w:tcPr>
            <w:tcW w:w="254" w:type="pct"/>
            <w:tcBorders>
              <w:top w:val="single" w:sz="12" w:space="0" w:color="auto"/>
              <w:left w:val="single" w:sz="2" w:space="0" w:color="FFFFFF" w:themeColor="background1"/>
              <w:right w:val="single" w:sz="2" w:space="0" w:color="FFFFFF" w:themeColor="background1"/>
            </w:tcBorders>
            <w:shd w:val="clear" w:color="auto" w:fill="auto"/>
            <w:noWrap/>
            <w:hideMark/>
          </w:tcPr>
          <w:p w14:paraId="22B9813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126</w:t>
            </w:r>
          </w:p>
        </w:tc>
        <w:tc>
          <w:tcPr>
            <w:tcW w:w="411" w:type="pct"/>
            <w:tcBorders>
              <w:top w:val="single" w:sz="12" w:space="0" w:color="auto"/>
              <w:left w:val="single" w:sz="2" w:space="0" w:color="FFFFFF" w:themeColor="background1"/>
              <w:right w:val="single" w:sz="2" w:space="0" w:color="FFFFFF" w:themeColor="background1"/>
            </w:tcBorders>
            <w:shd w:val="clear" w:color="auto" w:fill="auto"/>
            <w:noWrap/>
            <w:hideMark/>
          </w:tcPr>
          <w:p w14:paraId="41A01093"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126</w:t>
            </w:r>
          </w:p>
        </w:tc>
        <w:tc>
          <w:tcPr>
            <w:tcW w:w="336" w:type="pct"/>
            <w:tcBorders>
              <w:top w:val="single" w:sz="12" w:space="0" w:color="auto"/>
              <w:left w:val="single" w:sz="2" w:space="0" w:color="FFFFFF" w:themeColor="background1"/>
              <w:right w:val="single" w:sz="2" w:space="0" w:color="FFFFFF" w:themeColor="background1"/>
            </w:tcBorders>
            <w:shd w:val="clear" w:color="auto" w:fill="auto"/>
            <w:noWrap/>
            <w:hideMark/>
          </w:tcPr>
          <w:p w14:paraId="34A8A43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34</w:t>
            </w:r>
          </w:p>
        </w:tc>
        <w:tc>
          <w:tcPr>
            <w:tcW w:w="341" w:type="pct"/>
            <w:tcBorders>
              <w:top w:val="single" w:sz="12" w:space="0" w:color="auto"/>
              <w:left w:val="single" w:sz="2" w:space="0" w:color="FFFFFF" w:themeColor="background1"/>
              <w:right w:val="single" w:sz="2" w:space="0" w:color="FFFFFF" w:themeColor="background1"/>
            </w:tcBorders>
            <w:shd w:val="clear" w:color="auto" w:fill="auto"/>
            <w:noWrap/>
            <w:hideMark/>
          </w:tcPr>
          <w:p w14:paraId="44B03FB3"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r>
      <w:tr w:rsidR="00FE7DE3" w:rsidRPr="00FE7DE3" w14:paraId="5362E59A"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682C9E87"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12CA921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005419B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13</w:t>
            </w:r>
          </w:p>
        </w:tc>
        <w:tc>
          <w:tcPr>
            <w:tcW w:w="304" w:type="pct"/>
            <w:shd w:val="clear" w:color="auto" w:fill="auto"/>
            <w:noWrap/>
            <w:hideMark/>
          </w:tcPr>
          <w:p w14:paraId="356A1C6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22</w:t>
            </w:r>
          </w:p>
        </w:tc>
        <w:tc>
          <w:tcPr>
            <w:tcW w:w="457" w:type="pct"/>
            <w:shd w:val="clear" w:color="auto" w:fill="auto"/>
            <w:noWrap/>
            <w:hideMark/>
          </w:tcPr>
          <w:p w14:paraId="42D150E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28</w:t>
            </w:r>
          </w:p>
        </w:tc>
        <w:tc>
          <w:tcPr>
            <w:tcW w:w="356" w:type="pct"/>
            <w:shd w:val="clear" w:color="auto" w:fill="auto"/>
            <w:noWrap/>
            <w:hideMark/>
          </w:tcPr>
          <w:p w14:paraId="731869FA"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32</w:t>
            </w:r>
          </w:p>
        </w:tc>
        <w:tc>
          <w:tcPr>
            <w:tcW w:w="343" w:type="pct"/>
            <w:tcBorders>
              <w:right w:val="single" w:sz="12" w:space="0" w:color="auto"/>
            </w:tcBorders>
            <w:shd w:val="clear" w:color="auto" w:fill="auto"/>
            <w:noWrap/>
            <w:hideMark/>
          </w:tcPr>
          <w:p w14:paraId="0AA69C67"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419" w:type="pct"/>
            <w:tcBorders>
              <w:left w:val="single" w:sz="12" w:space="0" w:color="auto"/>
              <w:right w:val="single" w:sz="2" w:space="0" w:color="FFFFFF" w:themeColor="background1"/>
            </w:tcBorders>
            <w:shd w:val="clear" w:color="auto" w:fill="auto"/>
            <w:noWrap/>
            <w:hideMark/>
          </w:tcPr>
          <w:p w14:paraId="34CAC335"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23</w:t>
            </w:r>
          </w:p>
        </w:tc>
        <w:tc>
          <w:tcPr>
            <w:tcW w:w="254" w:type="pct"/>
            <w:tcBorders>
              <w:left w:val="single" w:sz="2" w:space="0" w:color="FFFFFF" w:themeColor="background1"/>
              <w:right w:val="single" w:sz="2" w:space="0" w:color="FFFFFF" w:themeColor="background1"/>
            </w:tcBorders>
            <w:shd w:val="clear" w:color="auto" w:fill="auto"/>
            <w:noWrap/>
            <w:hideMark/>
          </w:tcPr>
          <w:p w14:paraId="61AF8D0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33</w:t>
            </w:r>
          </w:p>
        </w:tc>
        <w:tc>
          <w:tcPr>
            <w:tcW w:w="411" w:type="pct"/>
            <w:tcBorders>
              <w:left w:val="single" w:sz="2" w:space="0" w:color="FFFFFF" w:themeColor="background1"/>
              <w:right w:val="single" w:sz="2" w:space="0" w:color="FFFFFF" w:themeColor="background1"/>
            </w:tcBorders>
            <w:shd w:val="clear" w:color="auto" w:fill="auto"/>
            <w:noWrap/>
            <w:hideMark/>
          </w:tcPr>
          <w:p w14:paraId="26C288B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33</w:t>
            </w:r>
          </w:p>
        </w:tc>
        <w:tc>
          <w:tcPr>
            <w:tcW w:w="336" w:type="pct"/>
            <w:tcBorders>
              <w:left w:val="single" w:sz="2" w:space="0" w:color="FFFFFF" w:themeColor="background1"/>
              <w:right w:val="single" w:sz="2" w:space="0" w:color="FFFFFF" w:themeColor="background1"/>
            </w:tcBorders>
            <w:shd w:val="clear" w:color="auto" w:fill="auto"/>
            <w:noWrap/>
            <w:hideMark/>
          </w:tcPr>
          <w:p w14:paraId="10044E72"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w:t>
            </w:r>
          </w:p>
        </w:tc>
        <w:tc>
          <w:tcPr>
            <w:tcW w:w="341" w:type="pct"/>
            <w:tcBorders>
              <w:left w:val="single" w:sz="2" w:space="0" w:color="FFFFFF" w:themeColor="background1"/>
              <w:right w:val="single" w:sz="2" w:space="0" w:color="FFFFFF" w:themeColor="background1"/>
            </w:tcBorders>
            <w:shd w:val="clear" w:color="auto" w:fill="auto"/>
            <w:noWrap/>
            <w:hideMark/>
          </w:tcPr>
          <w:p w14:paraId="10421D1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30A30895"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140F3484"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Bodily pain</w:t>
            </w:r>
          </w:p>
        </w:tc>
        <w:tc>
          <w:tcPr>
            <w:tcW w:w="507" w:type="pct"/>
            <w:shd w:val="clear" w:color="auto" w:fill="auto"/>
            <w:noWrap/>
            <w:hideMark/>
          </w:tcPr>
          <w:p w14:paraId="265E7130"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374</w:t>
            </w:r>
          </w:p>
        </w:tc>
        <w:tc>
          <w:tcPr>
            <w:tcW w:w="459" w:type="pct"/>
            <w:shd w:val="clear" w:color="auto" w:fill="auto"/>
            <w:noWrap/>
            <w:hideMark/>
          </w:tcPr>
          <w:p w14:paraId="102911FC"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31</w:t>
            </w:r>
          </w:p>
        </w:tc>
        <w:tc>
          <w:tcPr>
            <w:tcW w:w="304" w:type="pct"/>
            <w:shd w:val="clear" w:color="auto" w:fill="auto"/>
            <w:noWrap/>
            <w:hideMark/>
          </w:tcPr>
          <w:p w14:paraId="12A3B855"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75</w:t>
            </w:r>
          </w:p>
        </w:tc>
        <w:tc>
          <w:tcPr>
            <w:tcW w:w="457" w:type="pct"/>
            <w:shd w:val="clear" w:color="auto" w:fill="auto"/>
            <w:noWrap/>
            <w:hideMark/>
          </w:tcPr>
          <w:p w14:paraId="2DE348CE"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158</w:t>
            </w:r>
          </w:p>
        </w:tc>
        <w:tc>
          <w:tcPr>
            <w:tcW w:w="356" w:type="pct"/>
            <w:shd w:val="clear" w:color="auto" w:fill="auto"/>
            <w:noWrap/>
            <w:hideMark/>
          </w:tcPr>
          <w:p w14:paraId="036CDBF5"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107</w:t>
            </w:r>
          </w:p>
        </w:tc>
        <w:tc>
          <w:tcPr>
            <w:tcW w:w="343" w:type="pct"/>
            <w:tcBorders>
              <w:right w:val="single" w:sz="12" w:space="0" w:color="auto"/>
            </w:tcBorders>
            <w:shd w:val="clear" w:color="auto" w:fill="auto"/>
            <w:noWrap/>
            <w:hideMark/>
          </w:tcPr>
          <w:p w14:paraId="023F06AC"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w:t>
            </w:r>
          </w:p>
        </w:tc>
        <w:tc>
          <w:tcPr>
            <w:tcW w:w="419" w:type="pct"/>
            <w:tcBorders>
              <w:left w:val="single" w:sz="12" w:space="0" w:color="auto"/>
              <w:right w:val="single" w:sz="2" w:space="0" w:color="FFFFFF" w:themeColor="background1"/>
            </w:tcBorders>
            <w:shd w:val="clear" w:color="auto" w:fill="auto"/>
            <w:noWrap/>
            <w:hideMark/>
          </w:tcPr>
          <w:p w14:paraId="46EF9E98"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106</w:t>
            </w:r>
          </w:p>
        </w:tc>
        <w:tc>
          <w:tcPr>
            <w:tcW w:w="254" w:type="pct"/>
            <w:tcBorders>
              <w:left w:val="single" w:sz="2" w:space="0" w:color="FFFFFF" w:themeColor="background1"/>
              <w:right w:val="single" w:sz="2" w:space="0" w:color="FFFFFF" w:themeColor="background1"/>
            </w:tcBorders>
            <w:shd w:val="clear" w:color="auto" w:fill="auto"/>
            <w:noWrap/>
            <w:hideMark/>
          </w:tcPr>
          <w:p w14:paraId="71A40A3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112</w:t>
            </w:r>
          </w:p>
        </w:tc>
        <w:tc>
          <w:tcPr>
            <w:tcW w:w="411" w:type="pct"/>
            <w:tcBorders>
              <w:left w:val="single" w:sz="2" w:space="0" w:color="FFFFFF" w:themeColor="background1"/>
              <w:right w:val="single" w:sz="2" w:space="0" w:color="FFFFFF" w:themeColor="background1"/>
            </w:tcBorders>
            <w:shd w:val="clear" w:color="auto" w:fill="auto"/>
            <w:noWrap/>
            <w:hideMark/>
          </w:tcPr>
          <w:p w14:paraId="3D286DB1"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115</w:t>
            </w:r>
          </w:p>
        </w:tc>
        <w:tc>
          <w:tcPr>
            <w:tcW w:w="336" w:type="pct"/>
            <w:tcBorders>
              <w:left w:val="single" w:sz="2" w:space="0" w:color="FFFFFF" w:themeColor="background1"/>
              <w:right w:val="single" w:sz="2" w:space="0" w:color="FFFFFF" w:themeColor="background1"/>
            </w:tcBorders>
            <w:shd w:val="clear" w:color="auto" w:fill="auto"/>
            <w:noWrap/>
            <w:hideMark/>
          </w:tcPr>
          <w:p w14:paraId="5305026E"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37</w:t>
            </w:r>
          </w:p>
        </w:tc>
        <w:tc>
          <w:tcPr>
            <w:tcW w:w="341" w:type="pct"/>
            <w:tcBorders>
              <w:left w:val="single" w:sz="2" w:space="0" w:color="FFFFFF" w:themeColor="background1"/>
              <w:right w:val="single" w:sz="2" w:space="0" w:color="FFFFFF" w:themeColor="background1"/>
            </w:tcBorders>
            <w:shd w:val="clear" w:color="auto" w:fill="auto"/>
            <w:noWrap/>
            <w:hideMark/>
          </w:tcPr>
          <w:p w14:paraId="023B1BB8"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2561D7A5"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798D1272"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340999D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6F5FEC2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w:t>
            </w:r>
          </w:p>
        </w:tc>
        <w:tc>
          <w:tcPr>
            <w:tcW w:w="304" w:type="pct"/>
            <w:shd w:val="clear" w:color="auto" w:fill="auto"/>
            <w:noWrap/>
            <w:hideMark/>
          </w:tcPr>
          <w:p w14:paraId="4DF46C17"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20</w:t>
            </w:r>
          </w:p>
        </w:tc>
        <w:tc>
          <w:tcPr>
            <w:tcW w:w="457" w:type="pct"/>
            <w:shd w:val="clear" w:color="auto" w:fill="auto"/>
            <w:noWrap/>
            <w:hideMark/>
          </w:tcPr>
          <w:p w14:paraId="34E37E01"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41</w:t>
            </w:r>
          </w:p>
        </w:tc>
        <w:tc>
          <w:tcPr>
            <w:tcW w:w="356" w:type="pct"/>
            <w:shd w:val="clear" w:color="auto" w:fill="auto"/>
            <w:noWrap/>
            <w:hideMark/>
          </w:tcPr>
          <w:p w14:paraId="1665C96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28</w:t>
            </w:r>
          </w:p>
        </w:tc>
        <w:tc>
          <w:tcPr>
            <w:tcW w:w="343" w:type="pct"/>
            <w:tcBorders>
              <w:right w:val="single" w:sz="12" w:space="0" w:color="auto"/>
            </w:tcBorders>
            <w:shd w:val="clear" w:color="auto" w:fill="auto"/>
            <w:noWrap/>
            <w:hideMark/>
          </w:tcPr>
          <w:p w14:paraId="59ED250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419" w:type="pct"/>
            <w:tcBorders>
              <w:left w:val="single" w:sz="12" w:space="0" w:color="auto"/>
              <w:right w:val="single" w:sz="2" w:space="0" w:color="FFFFFF" w:themeColor="background1"/>
            </w:tcBorders>
            <w:shd w:val="clear" w:color="auto" w:fill="auto"/>
            <w:noWrap/>
            <w:hideMark/>
          </w:tcPr>
          <w:p w14:paraId="79B158F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28</w:t>
            </w:r>
          </w:p>
        </w:tc>
        <w:tc>
          <w:tcPr>
            <w:tcW w:w="254" w:type="pct"/>
            <w:tcBorders>
              <w:left w:val="single" w:sz="2" w:space="0" w:color="FFFFFF" w:themeColor="background1"/>
              <w:right w:val="single" w:sz="2" w:space="0" w:color="FFFFFF" w:themeColor="background1"/>
            </w:tcBorders>
            <w:shd w:val="clear" w:color="auto" w:fill="auto"/>
            <w:noWrap/>
            <w:hideMark/>
          </w:tcPr>
          <w:p w14:paraId="23B03356"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29</w:t>
            </w:r>
          </w:p>
        </w:tc>
        <w:tc>
          <w:tcPr>
            <w:tcW w:w="411" w:type="pct"/>
            <w:tcBorders>
              <w:left w:val="single" w:sz="2" w:space="0" w:color="FFFFFF" w:themeColor="background1"/>
              <w:right w:val="single" w:sz="2" w:space="0" w:color="FFFFFF" w:themeColor="background1"/>
            </w:tcBorders>
            <w:shd w:val="clear" w:color="auto" w:fill="auto"/>
            <w:noWrap/>
            <w:hideMark/>
          </w:tcPr>
          <w:p w14:paraId="39AE381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30</w:t>
            </w:r>
          </w:p>
        </w:tc>
        <w:tc>
          <w:tcPr>
            <w:tcW w:w="336" w:type="pct"/>
            <w:tcBorders>
              <w:left w:val="single" w:sz="2" w:space="0" w:color="FFFFFF" w:themeColor="background1"/>
              <w:right w:val="single" w:sz="2" w:space="0" w:color="FFFFFF" w:themeColor="background1"/>
            </w:tcBorders>
            <w:shd w:val="clear" w:color="auto" w:fill="auto"/>
            <w:noWrap/>
            <w:hideMark/>
          </w:tcPr>
          <w:p w14:paraId="6BAABFFE"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w:t>
            </w:r>
          </w:p>
        </w:tc>
        <w:tc>
          <w:tcPr>
            <w:tcW w:w="341" w:type="pct"/>
            <w:tcBorders>
              <w:left w:val="single" w:sz="2" w:space="0" w:color="FFFFFF" w:themeColor="background1"/>
              <w:right w:val="single" w:sz="2" w:space="0" w:color="FFFFFF" w:themeColor="background1"/>
            </w:tcBorders>
            <w:shd w:val="clear" w:color="auto" w:fill="auto"/>
            <w:noWrap/>
            <w:hideMark/>
          </w:tcPr>
          <w:p w14:paraId="109453D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52406345"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359A9BAD"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Fatigue or lethargy</w:t>
            </w:r>
          </w:p>
        </w:tc>
        <w:tc>
          <w:tcPr>
            <w:tcW w:w="507" w:type="pct"/>
            <w:shd w:val="clear" w:color="auto" w:fill="auto"/>
            <w:noWrap/>
            <w:hideMark/>
          </w:tcPr>
          <w:p w14:paraId="0753014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378</w:t>
            </w:r>
          </w:p>
        </w:tc>
        <w:tc>
          <w:tcPr>
            <w:tcW w:w="459" w:type="pct"/>
            <w:shd w:val="clear" w:color="auto" w:fill="auto"/>
            <w:noWrap/>
            <w:hideMark/>
          </w:tcPr>
          <w:p w14:paraId="1665F5C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w:t>
            </w:r>
          </w:p>
        </w:tc>
        <w:tc>
          <w:tcPr>
            <w:tcW w:w="304" w:type="pct"/>
            <w:shd w:val="clear" w:color="auto" w:fill="auto"/>
            <w:noWrap/>
            <w:hideMark/>
          </w:tcPr>
          <w:p w14:paraId="609301CD"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29</w:t>
            </w:r>
          </w:p>
        </w:tc>
        <w:tc>
          <w:tcPr>
            <w:tcW w:w="457" w:type="pct"/>
            <w:shd w:val="clear" w:color="auto" w:fill="auto"/>
            <w:noWrap/>
            <w:hideMark/>
          </w:tcPr>
          <w:p w14:paraId="02B8F0E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101</w:t>
            </w:r>
          </w:p>
        </w:tc>
        <w:tc>
          <w:tcPr>
            <w:tcW w:w="356" w:type="pct"/>
            <w:shd w:val="clear" w:color="auto" w:fill="auto"/>
            <w:noWrap/>
            <w:hideMark/>
          </w:tcPr>
          <w:p w14:paraId="0BFDFF06"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227</w:t>
            </w:r>
          </w:p>
        </w:tc>
        <w:tc>
          <w:tcPr>
            <w:tcW w:w="343" w:type="pct"/>
            <w:tcBorders>
              <w:right w:val="single" w:sz="12" w:space="0" w:color="auto"/>
            </w:tcBorders>
            <w:shd w:val="clear" w:color="auto" w:fill="auto"/>
            <w:noWrap/>
            <w:hideMark/>
          </w:tcPr>
          <w:p w14:paraId="2A2D3265"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15</w:t>
            </w:r>
          </w:p>
        </w:tc>
        <w:tc>
          <w:tcPr>
            <w:tcW w:w="419" w:type="pct"/>
            <w:tcBorders>
              <w:left w:val="single" w:sz="12" w:space="0" w:color="auto"/>
              <w:right w:val="single" w:sz="2" w:space="0" w:color="FFFFFF" w:themeColor="background1"/>
            </w:tcBorders>
            <w:shd w:val="clear" w:color="auto" w:fill="auto"/>
            <w:noWrap/>
            <w:hideMark/>
          </w:tcPr>
          <w:p w14:paraId="22F3136B"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43</w:t>
            </w:r>
          </w:p>
        </w:tc>
        <w:tc>
          <w:tcPr>
            <w:tcW w:w="254" w:type="pct"/>
            <w:tcBorders>
              <w:left w:val="single" w:sz="2" w:space="0" w:color="FFFFFF" w:themeColor="background1"/>
              <w:right w:val="single" w:sz="2" w:space="0" w:color="FFFFFF" w:themeColor="background1"/>
            </w:tcBorders>
            <w:shd w:val="clear" w:color="auto" w:fill="auto"/>
            <w:noWrap/>
            <w:hideMark/>
          </w:tcPr>
          <w:p w14:paraId="623CA61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79</w:t>
            </w:r>
          </w:p>
        </w:tc>
        <w:tc>
          <w:tcPr>
            <w:tcW w:w="411" w:type="pct"/>
            <w:tcBorders>
              <w:left w:val="single" w:sz="2" w:space="0" w:color="FFFFFF" w:themeColor="background1"/>
              <w:right w:val="single" w:sz="2" w:space="0" w:color="FFFFFF" w:themeColor="background1"/>
            </w:tcBorders>
            <w:shd w:val="clear" w:color="auto" w:fill="auto"/>
            <w:noWrap/>
            <w:hideMark/>
          </w:tcPr>
          <w:p w14:paraId="4BBC4A48"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144</w:t>
            </w:r>
          </w:p>
        </w:tc>
        <w:tc>
          <w:tcPr>
            <w:tcW w:w="336" w:type="pct"/>
            <w:tcBorders>
              <w:left w:val="single" w:sz="2" w:space="0" w:color="FFFFFF" w:themeColor="background1"/>
              <w:right w:val="single" w:sz="2" w:space="0" w:color="FFFFFF" w:themeColor="background1"/>
            </w:tcBorders>
            <w:shd w:val="clear" w:color="auto" w:fill="auto"/>
            <w:noWrap/>
            <w:hideMark/>
          </w:tcPr>
          <w:p w14:paraId="117A9BCD"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105</w:t>
            </w:r>
          </w:p>
        </w:tc>
        <w:tc>
          <w:tcPr>
            <w:tcW w:w="341" w:type="pct"/>
            <w:tcBorders>
              <w:left w:val="single" w:sz="2" w:space="0" w:color="FFFFFF" w:themeColor="background1"/>
              <w:right w:val="single" w:sz="2" w:space="0" w:color="FFFFFF" w:themeColor="background1"/>
            </w:tcBorders>
            <w:shd w:val="clear" w:color="auto" w:fill="auto"/>
            <w:noWrap/>
            <w:hideMark/>
          </w:tcPr>
          <w:p w14:paraId="27B7D3AD"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w:t>
            </w:r>
          </w:p>
        </w:tc>
      </w:tr>
      <w:tr w:rsidR="00FE7DE3" w:rsidRPr="00FE7DE3" w14:paraId="46867B89"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0B2D3C97"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617A1D42"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24C153DB"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304" w:type="pct"/>
            <w:shd w:val="clear" w:color="auto" w:fill="auto"/>
            <w:noWrap/>
            <w:hideMark/>
          </w:tcPr>
          <w:p w14:paraId="27BABB1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w:t>
            </w:r>
          </w:p>
        </w:tc>
        <w:tc>
          <w:tcPr>
            <w:tcW w:w="457" w:type="pct"/>
            <w:shd w:val="clear" w:color="auto" w:fill="auto"/>
            <w:noWrap/>
            <w:hideMark/>
          </w:tcPr>
          <w:p w14:paraId="41A86CF2"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27</w:t>
            </w:r>
          </w:p>
        </w:tc>
        <w:tc>
          <w:tcPr>
            <w:tcW w:w="356" w:type="pct"/>
            <w:shd w:val="clear" w:color="auto" w:fill="auto"/>
            <w:noWrap/>
            <w:hideMark/>
          </w:tcPr>
          <w:p w14:paraId="756868F6"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60</w:t>
            </w:r>
          </w:p>
        </w:tc>
        <w:tc>
          <w:tcPr>
            <w:tcW w:w="343" w:type="pct"/>
            <w:tcBorders>
              <w:right w:val="single" w:sz="12" w:space="0" w:color="auto"/>
            </w:tcBorders>
            <w:shd w:val="clear" w:color="auto" w:fill="auto"/>
            <w:noWrap/>
            <w:hideMark/>
          </w:tcPr>
          <w:p w14:paraId="418F988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w:t>
            </w:r>
          </w:p>
        </w:tc>
        <w:tc>
          <w:tcPr>
            <w:tcW w:w="419" w:type="pct"/>
            <w:tcBorders>
              <w:left w:val="single" w:sz="12" w:space="0" w:color="auto"/>
              <w:right w:val="single" w:sz="2" w:space="0" w:color="FFFFFF" w:themeColor="background1"/>
            </w:tcBorders>
            <w:shd w:val="clear" w:color="auto" w:fill="auto"/>
            <w:noWrap/>
            <w:hideMark/>
          </w:tcPr>
          <w:p w14:paraId="3CDB7A4A"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w:t>
            </w:r>
          </w:p>
        </w:tc>
        <w:tc>
          <w:tcPr>
            <w:tcW w:w="254" w:type="pct"/>
            <w:tcBorders>
              <w:left w:val="single" w:sz="2" w:space="0" w:color="FFFFFF" w:themeColor="background1"/>
              <w:right w:val="single" w:sz="2" w:space="0" w:color="FFFFFF" w:themeColor="background1"/>
            </w:tcBorders>
            <w:shd w:val="clear" w:color="auto" w:fill="auto"/>
            <w:noWrap/>
            <w:hideMark/>
          </w:tcPr>
          <w:p w14:paraId="4AEF3D67"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21</w:t>
            </w:r>
          </w:p>
        </w:tc>
        <w:tc>
          <w:tcPr>
            <w:tcW w:w="411" w:type="pct"/>
            <w:tcBorders>
              <w:left w:val="single" w:sz="2" w:space="0" w:color="FFFFFF" w:themeColor="background1"/>
              <w:right w:val="single" w:sz="2" w:space="0" w:color="FFFFFF" w:themeColor="background1"/>
            </w:tcBorders>
            <w:shd w:val="clear" w:color="auto" w:fill="auto"/>
            <w:noWrap/>
            <w:hideMark/>
          </w:tcPr>
          <w:p w14:paraId="57136E0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38</w:t>
            </w:r>
          </w:p>
        </w:tc>
        <w:tc>
          <w:tcPr>
            <w:tcW w:w="336" w:type="pct"/>
            <w:tcBorders>
              <w:left w:val="single" w:sz="2" w:space="0" w:color="FFFFFF" w:themeColor="background1"/>
              <w:right w:val="single" w:sz="2" w:space="0" w:color="FFFFFF" w:themeColor="background1"/>
            </w:tcBorders>
            <w:shd w:val="clear" w:color="auto" w:fill="auto"/>
            <w:noWrap/>
            <w:hideMark/>
          </w:tcPr>
          <w:p w14:paraId="1F7226E5"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28</w:t>
            </w:r>
          </w:p>
        </w:tc>
        <w:tc>
          <w:tcPr>
            <w:tcW w:w="341" w:type="pct"/>
            <w:tcBorders>
              <w:left w:val="single" w:sz="2" w:space="0" w:color="FFFFFF" w:themeColor="background1"/>
              <w:right w:val="single" w:sz="2" w:space="0" w:color="FFFFFF" w:themeColor="background1"/>
            </w:tcBorders>
            <w:shd w:val="clear" w:color="auto" w:fill="auto"/>
            <w:noWrap/>
            <w:hideMark/>
          </w:tcPr>
          <w:p w14:paraId="794AD2D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r>
      <w:tr w:rsidR="00FE7DE3" w:rsidRPr="00FE7DE3" w14:paraId="3E318247"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303E07EB"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Muscle weakness</w:t>
            </w:r>
          </w:p>
        </w:tc>
        <w:tc>
          <w:tcPr>
            <w:tcW w:w="507" w:type="pct"/>
            <w:shd w:val="clear" w:color="auto" w:fill="auto"/>
            <w:noWrap/>
            <w:hideMark/>
          </w:tcPr>
          <w:p w14:paraId="56C29158"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374</w:t>
            </w:r>
          </w:p>
        </w:tc>
        <w:tc>
          <w:tcPr>
            <w:tcW w:w="459" w:type="pct"/>
            <w:shd w:val="clear" w:color="auto" w:fill="auto"/>
            <w:noWrap/>
            <w:hideMark/>
          </w:tcPr>
          <w:p w14:paraId="014EC80C"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39</w:t>
            </w:r>
          </w:p>
        </w:tc>
        <w:tc>
          <w:tcPr>
            <w:tcW w:w="304" w:type="pct"/>
            <w:shd w:val="clear" w:color="auto" w:fill="auto"/>
            <w:noWrap/>
            <w:hideMark/>
          </w:tcPr>
          <w:p w14:paraId="465D1720"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78</w:t>
            </w:r>
          </w:p>
        </w:tc>
        <w:tc>
          <w:tcPr>
            <w:tcW w:w="457" w:type="pct"/>
            <w:shd w:val="clear" w:color="auto" w:fill="auto"/>
            <w:noWrap/>
            <w:hideMark/>
          </w:tcPr>
          <w:p w14:paraId="7C4D0B40"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157</w:t>
            </w:r>
          </w:p>
        </w:tc>
        <w:tc>
          <w:tcPr>
            <w:tcW w:w="356" w:type="pct"/>
            <w:shd w:val="clear" w:color="auto" w:fill="auto"/>
            <w:noWrap/>
            <w:hideMark/>
          </w:tcPr>
          <w:p w14:paraId="32B59FB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93</w:t>
            </w:r>
          </w:p>
        </w:tc>
        <w:tc>
          <w:tcPr>
            <w:tcW w:w="343" w:type="pct"/>
            <w:tcBorders>
              <w:right w:val="single" w:sz="12" w:space="0" w:color="auto"/>
            </w:tcBorders>
            <w:shd w:val="clear" w:color="auto" w:fill="auto"/>
            <w:noWrap/>
            <w:hideMark/>
          </w:tcPr>
          <w:p w14:paraId="7CBE21D9"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w:t>
            </w:r>
          </w:p>
        </w:tc>
        <w:tc>
          <w:tcPr>
            <w:tcW w:w="419" w:type="pct"/>
            <w:tcBorders>
              <w:left w:val="single" w:sz="12" w:space="0" w:color="auto"/>
              <w:right w:val="single" w:sz="2" w:space="0" w:color="FFFFFF" w:themeColor="background1"/>
            </w:tcBorders>
            <w:shd w:val="clear" w:color="auto" w:fill="auto"/>
            <w:noWrap/>
            <w:hideMark/>
          </w:tcPr>
          <w:p w14:paraId="25257C4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96</w:t>
            </w:r>
          </w:p>
        </w:tc>
        <w:tc>
          <w:tcPr>
            <w:tcW w:w="254" w:type="pct"/>
            <w:tcBorders>
              <w:left w:val="single" w:sz="2" w:space="0" w:color="FFFFFF" w:themeColor="background1"/>
              <w:right w:val="single" w:sz="2" w:space="0" w:color="FFFFFF" w:themeColor="background1"/>
            </w:tcBorders>
            <w:shd w:val="clear" w:color="auto" w:fill="auto"/>
            <w:noWrap/>
            <w:hideMark/>
          </w:tcPr>
          <w:p w14:paraId="2A1D0F0D"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120</w:t>
            </w:r>
          </w:p>
        </w:tc>
        <w:tc>
          <w:tcPr>
            <w:tcW w:w="411" w:type="pct"/>
            <w:tcBorders>
              <w:left w:val="single" w:sz="2" w:space="0" w:color="FFFFFF" w:themeColor="background1"/>
              <w:right w:val="single" w:sz="2" w:space="0" w:color="FFFFFF" w:themeColor="background1"/>
            </w:tcBorders>
            <w:shd w:val="clear" w:color="auto" w:fill="auto"/>
            <w:noWrap/>
            <w:hideMark/>
          </w:tcPr>
          <w:p w14:paraId="37D7311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114</w:t>
            </w:r>
          </w:p>
        </w:tc>
        <w:tc>
          <w:tcPr>
            <w:tcW w:w="336" w:type="pct"/>
            <w:tcBorders>
              <w:left w:val="single" w:sz="2" w:space="0" w:color="FFFFFF" w:themeColor="background1"/>
              <w:right w:val="single" w:sz="2" w:space="0" w:color="FFFFFF" w:themeColor="background1"/>
            </w:tcBorders>
            <w:shd w:val="clear" w:color="auto" w:fill="auto"/>
            <w:noWrap/>
            <w:hideMark/>
          </w:tcPr>
          <w:p w14:paraId="558381F1"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38</w:t>
            </w:r>
          </w:p>
        </w:tc>
        <w:tc>
          <w:tcPr>
            <w:tcW w:w="341" w:type="pct"/>
            <w:tcBorders>
              <w:left w:val="single" w:sz="2" w:space="0" w:color="FFFFFF" w:themeColor="background1"/>
              <w:right w:val="single" w:sz="2" w:space="0" w:color="FFFFFF" w:themeColor="background1"/>
            </w:tcBorders>
            <w:shd w:val="clear" w:color="auto" w:fill="auto"/>
            <w:noWrap/>
            <w:hideMark/>
          </w:tcPr>
          <w:p w14:paraId="311CF00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4801E8B8"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0C5FC50C"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51171C6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7EA85F7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w:t>
            </w:r>
          </w:p>
        </w:tc>
        <w:tc>
          <w:tcPr>
            <w:tcW w:w="304" w:type="pct"/>
            <w:shd w:val="clear" w:color="auto" w:fill="auto"/>
            <w:noWrap/>
            <w:hideMark/>
          </w:tcPr>
          <w:p w14:paraId="1C64761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21</w:t>
            </w:r>
          </w:p>
        </w:tc>
        <w:tc>
          <w:tcPr>
            <w:tcW w:w="457" w:type="pct"/>
            <w:shd w:val="clear" w:color="auto" w:fill="auto"/>
            <w:noWrap/>
            <w:hideMark/>
          </w:tcPr>
          <w:p w14:paraId="5511FF14"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41</w:t>
            </w:r>
          </w:p>
        </w:tc>
        <w:tc>
          <w:tcPr>
            <w:tcW w:w="356" w:type="pct"/>
            <w:shd w:val="clear" w:color="auto" w:fill="auto"/>
            <w:noWrap/>
            <w:hideMark/>
          </w:tcPr>
          <w:p w14:paraId="2E73961B"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24</w:t>
            </w:r>
          </w:p>
        </w:tc>
        <w:tc>
          <w:tcPr>
            <w:tcW w:w="343" w:type="pct"/>
            <w:tcBorders>
              <w:right w:val="single" w:sz="12" w:space="0" w:color="auto"/>
            </w:tcBorders>
            <w:shd w:val="clear" w:color="auto" w:fill="auto"/>
            <w:noWrap/>
            <w:hideMark/>
          </w:tcPr>
          <w:p w14:paraId="23525C9B"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419" w:type="pct"/>
            <w:tcBorders>
              <w:left w:val="single" w:sz="12" w:space="0" w:color="auto"/>
              <w:right w:val="single" w:sz="2" w:space="0" w:color="FFFFFF" w:themeColor="background1"/>
            </w:tcBorders>
            <w:shd w:val="clear" w:color="auto" w:fill="auto"/>
            <w:noWrap/>
            <w:hideMark/>
          </w:tcPr>
          <w:p w14:paraId="29B77523"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25</w:t>
            </w:r>
          </w:p>
        </w:tc>
        <w:tc>
          <w:tcPr>
            <w:tcW w:w="254" w:type="pct"/>
            <w:tcBorders>
              <w:left w:val="single" w:sz="2" w:space="0" w:color="FFFFFF" w:themeColor="background1"/>
              <w:right w:val="single" w:sz="2" w:space="0" w:color="FFFFFF" w:themeColor="background1"/>
            </w:tcBorders>
            <w:shd w:val="clear" w:color="auto" w:fill="auto"/>
            <w:noWrap/>
            <w:hideMark/>
          </w:tcPr>
          <w:p w14:paraId="7E15767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32</w:t>
            </w:r>
          </w:p>
        </w:tc>
        <w:tc>
          <w:tcPr>
            <w:tcW w:w="411" w:type="pct"/>
            <w:tcBorders>
              <w:left w:val="single" w:sz="2" w:space="0" w:color="FFFFFF" w:themeColor="background1"/>
              <w:right w:val="single" w:sz="2" w:space="0" w:color="FFFFFF" w:themeColor="background1"/>
            </w:tcBorders>
            <w:shd w:val="clear" w:color="auto" w:fill="auto"/>
            <w:noWrap/>
            <w:hideMark/>
          </w:tcPr>
          <w:p w14:paraId="186F6AC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30</w:t>
            </w:r>
          </w:p>
        </w:tc>
        <w:tc>
          <w:tcPr>
            <w:tcW w:w="336" w:type="pct"/>
            <w:tcBorders>
              <w:left w:val="single" w:sz="2" w:space="0" w:color="FFFFFF" w:themeColor="background1"/>
              <w:right w:val="single" w:sz="2" w:space="0" w:color="FFFFFF" w:themeColor="background1"/>
            </w:tcBorders>
            <w:shd w:val="clear" w:color="auto" w:fill="auto"/>
            <w:noWrap/>
            <w:hideMark/>
          </w:tcPr>
          <w:p w14:paraId="05605EB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w:t>
            </w:r>
          </w:p>
        </w:tc>
        <w:tc>
          <w:tcPr>
            <w:tcW w:w="341" w:type="pct"/>
            <w:tcBorders>
              <w:left w:val="single" w:sz="2" w:space="0" w:color="FFFFFF" w:themeColor="background1"/>
              <w:right w:val="single" w:sz="2" w:space="0" w:color="FFFFFF" w:themeColor="background1"/>
            </w:tcBorders>
            <w:shd w:val="clear" w:color="auto" w:fill="auto"/>
            <w:noWrap/>
            <w:hideMark/>
          </w:tcPr>
          <w:p w14:paraId="5D1D4C3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298278B5"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0C49B5A9"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Chest pain</w:t>
            </w:r>
          </w:p>
        </w:tc>
        <w:tc>
          <w:tcPr>
            <w:tcW w:w="507" w:type="pct"/>
            <w:shd w:val="clear" w:color="auto" w:fill="auto"/>
            <w:noWrap/>
            <w:hideMark/>
          </w:tcPr>
          <w:p w14:paraId="02CACD92"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 xml:space="preserve">n = 374 </w:t>
            </w:r>
          </w:p>
        </w:tc>
        <w:tc>
          <w:tcPr>
            <w:tcW w:w="459" w:type="pct"/>
            <w:shd w:val="clear" w:color="auto" w:fill="auto"/>
            <w:noWrap/>
            <w:hideMark/>
          </w:tcPr>
          <w:p w14:paraId="393CFDDB"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78</w:t>
            </w:r>
          </w:p>
        </w:tc>
        <w:tc>
          <w:tcPr>
            <w:tcW w:w="304" w:type="pct"/>
            <w:shd w:val="clear" w:color="auto" w:fill="auto"/>
            <w:noWrap/>
            <w:hideMark/>
          </w:tcPr>
          <w:p w14:paraId="73E38DA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85</w:t>
            </w:r>
          </w:p>
        </w:tc>
        <w:tc>
          <w:tcPr>
            <w:tcW w:w="457" w:type="pct"/>
            <w:shd w:val="clear" w:color="auto" w:fill="auto"/>
            <w:noWrap/>
            <w:hideMark/>
          </w:tcPr>
          <w:p w14:paraId="7BBE415E"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120</w:t>
            </w:r>
          </w:p>
        </w:tc>
        <w:tc>
          <w:tcPr>
            <w:tcW w:w="356" w:type="pct"/>
            <w:shd w:val="clear" w:color="auto" w:fill="auto"/>
            <w:noWrap/>
            <w:hideMark/>
          </w:tcPr>
          <w:p w14:paraId="4CDE9D2C"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84</w:t>
            </w:r>
          </w:p>
        </w:tc>
        <w:tc>
          <w:tcPr>
            <w:tcW w:w="343" w:type="pct"/>
            <w:tcBorders>
              <w:right w:val="single" w:sz="12" w:space="0" w:color="auto"/>
            </w:tcBorders>
            <w:shd w:val="clear" w:color="auto" w:fill="auto"/>
            <w:noWrap/>
            <w:hideMark/>
          </w:tcPr>
          <w:p w14:paraId="13407BB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w:t>
            </w:r>
          </w:p>
        </w:tc>
        <w:tc>
          <w:tcPr>
            <w:tcW w:w="419" w:type="pct"/>
            <w:tcBorders>
              <w:left w:val="single" w:sz="12" w:space="0" w:color="auto"/>
              <w:right w:val="single" w:sz="2" w:space="0" w:color="FFFFFF" w:themeColor="background1"/>
            </w:tcBorders>
            <w:shd w:val="clear" w:color="auto" w:fill="auto"/>
            <w:noWrap/>
            <w:hideMark/>
          </w:tcPr>
          <w:p w14:paraId="2BD740C6"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146</w:t>
            </w:r>
          </w:p>
        </w:tc>
        <w:tc>
          <w:tcPr>
            <w:tcW w:w="254" w:type="pct"/>
            <w:tcBorders>
              <w:left w:val="single" w:sz="2" w:space="0" w:color="FFFFFF" w:themeColor="background1"/>
              <w:right w:val="single" w:sz="2" w:space="0" w:color="FFFFFF" w:themeColor="background1"/>
            </w:tcBorders>
            <w:shd w:val="clear" w:color="auto" w:fill="auto"/>
            <w:noWrap/>
            <w:hideMark/>
          </w:tcPr>
          <w:p w14:paraId="7BDCBA3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116</w:t>
            </w:r>
          </w:p>
        </w:tc>
        <w:tc>
          <w:tcPr>
            <w:tcW w:w="411" w:type="pct"/>
            <w:tcBorders>
              <w:left w:val="single" w:sz="2" w:space="0" w:color="FFFFFF" w:themeColor="background1"/>
              <w:right w:val="single" w:sz="2" w:space="0" w:color="FFFFFF" w:themeColor="background1"/>
            </w:tcBorders>
            <w:shd w:val="clear" w:color="auto" w:fill="auto"/>
            <w:noWrap/>
            <w:hideMark/>
          </w:tcPr>
          <w:p w14:paraId="5DE13C2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89</w:t>
            </w:r>
          </w:p>
        </w:tc>
        <w:tc>
          <w:tcPr>
            <w:tcW w:w="336" w:type="pct"/>
            <w:tcBorders>
              <w:left w:val="single" w:sz="2" w:space="0" w:color="FFFFFF" w:themeColor="background1"/>
              <w:right w:val="single" w:sz="2" w:space="0" w:color="FFFFFF" w:themeColor="background1"/>
            </w:tcBorders>
            <w:shd w:val="clear" w:color="auto" w:fill="auto"/>
            <w:noWrap/>
            <w:hideMark/>
          </w:tcPr>
          <w:p w14:paraId="24CD926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20</w:t>
            </w:r>
          </w:p>
        </w:tc>
        <w:tc>
          <w:tcPr>
            <w:tcW w:w="341" w:type="pct"/>
            <w:tcBorders>
              <w:left w:val="single" w:sz="2" w:space="0" w:color="FFFFFF" w:themeColor="background1"/>
              <w:right w:val="single" w:sz="2" w:space="0" w:color="FFFFFF" w:themeColor="background1"/>
            </w:tcBorders>
            <w:shd w:val="clear" w:color="auto" w:fill="auto"/>
            <w:noWrap/>
            <w:hideMark/>
          </w:tcPr>
          <w:p w14:paraId="7D75C138"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r>
      <w:tr w:rsidR="00FE7DE3" w:rsidRPr="00FE7DE3" w14:paraId="4C3CD25A"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0D5D78DF"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55F2B091"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5A6C954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21</w:t>
            </w:r>
          </w:p>
        </w:tc>
        <w:tc>
          <w:tcPr>
            <w:tcW w:w="304" w:type="pct"/>
            <w:shd w:val="clear" w:color="auto" w:fill="auto"/>
            <w:noWrap/>
            <w:hideMark/>
          </w:tcPr>
          <w:p w14:paraId="12A870A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22</w:t>
            </w:r>
          </w:p>
        </w:tc>
        <w:tc>
          <w:tcPr>
            <w:tcW w:w="457" w:type="pct"/>
            <w:shd w:val="clear" w:color="auto" w:fill="auto"/>
            <w:noWrap/>
            <w:hideMark/>
          </w:tcPr>
          <w:p w14:paraId="62F6B405"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32</w:t>
            </w:r>
          </w:p>
        </w:tc>
        <w:tc>
          <w:tcPr>
            <w:tcW w:w="356" w:type="pct"/>
            <w:shd w:val="clear" w:color="auto" w:fill="auto"/>
            <w:noWrap/>
            <w:hideMark/>
          </w:tcPr>
          <w:p w14:paraId="2D651F9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22</w:t>
            </w:r>
          </w:p>
        </w:tc>
        <w:tc>
          <w:tcPr>
            <w:tcW w:w="343" w:type="pct"/>
            <w:tcBorders>
              <w:right w:val="single" w:sz="12" w:space="0" w:color="auto"/>
            </w:tcBorders>
            <w:shd w:val="clear" w:color="auto" w:fill="auto"/>
            <w:noWrap/>
            <w:hideMark/>
          </w:tcPr>
          <w:p w14:paraId="1B7A0D1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419" w:type="pct"/>
            <w:tcBorders>
              <w:left w:val="single" w:sz="12" w:space="0" w:color="auto"/>
              <w:right w:val="single" w:sz="2" w:space="0" w:color="FFFFFF" w:themeColor="background1"/>
            </w:tcBorders>
            <w:shd w:val="clear" w:color="auto" w:fill="auto"/>
            <w:noWrap/>
            <w:hideMark/>
          </w:tcPr>
          <w:p w14:paraId="34561E4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38</w:t>
            </w:r>
          </w:p>
        </w:tc>
        <w:tc>
          <w:tcPr>
            <w:tcW w:w="254" w:type="pct"/>
            <w:tcBorders>
              <w:left w:val="single" w:sz="2" w:space="0" w:color="FFFFFF" w:themeColor="background1"/>
              <w:right w:val="single" w:sz="2" w:space="0" w:color="FFFFFF" w:themeColor="background1"/>
            </w:tcBorders>
            <w:shd w:val="clear" w:color="auto" w:fill="auto"/>
            <w:noWrap/>
            <w:hideMark/>
          </w:tcPr>
          <w:p w14:paraId="66D35BB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30</w:t>
            </w:r>
          </w:p>
        </w:tc>
        <w:tc>
          <w:tcPr>
            <w:tcW w:w="411" w:type="pct"/>
            <w:tcBorders>
              <w:left w:val="single" w:sz="2" w:space="0" w:color="FFFFFF" w:themeColor="background1"/>
              <w:right w:val="single" w:sz="2" w:space="0" w:color="FFFFFF" w:themeColor="background1"/>
            </w:tcBorders>
            <w:shd w:val="clear" w:color="auto" w:fill="auto"/>
            <w:noWrap/>
            <w:hideMark/>
          </w:tcPr>
          <w:p w14:paraId="55731702"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23</w:t>
            </w:r>
          </w:p>
        </w:tc>
        <w:tc>
          <w:tcPr>
            <w:tcW w:w="336" w:type="pct"/>
            <w:tcBorders>
              <w:left w:val="single" w:sz="2" w:space="0" w:color="FFFFFF" w:themeColor="background1"/>
              <w:right w:val="single" w:sz="2" w:space="0" w:color="FFFFFF" w:themeColor="background1"/>
            </w:tcBorders>
            <w:shd w:val="clear" w:color="auto" w:fill="auto"/>
            <w:noWrap/>
            <w:hideMark/>
          </w:tcPr>
          <w:p w14:paraId="3B468E27"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5</w:t>
            </w:r>
          </w:p>
        </w:tc>
        <w:tc>
          <w:tcPr>
            <w:tcW w:w="341" w:type="pct"/>
            <w:tcBorders>
              <w:left w:val="single" w:sz="2" w:space="0" w:color="FFFFFF" w:themeColor="background1"/>
              <w:right w:val="single" w:sz="2" w:space="0" w:color="FFFFFF" w:themeColor="background1"/>
            </w:tcBorders>
            <w:shd w:val="clear" w:color="auto" w:fill="auto"/>
            <w:noWrap/>
            <w:hideMark/>
          </w:tcPr>
          <w:p w14:paraId="1CC853A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554E15BF"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545EAD7F"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Headaches</w:t>
            </w:r>
          </w:p>
        </w:tc>
        <w:tc>
          <w:tcPr>
            <w:tcW w:w="507" w:type="pct"/>
            <w:shd w:val="clear" w:color="auto" w:fill="auto"/>
            <w:noWrap/>
            <w:hideMark/>
          </w:tcPr>
          <w:p w14:paraId="4F32C311"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373</w:t>
            </w:r>
          </w:p>
        </w:tc>
        <w:tc>
          <w:tcPr>
            <w:tcW w:w="459" w:type="pct"/>
            <w:shd w:val="clear" w:color="auto" w:fill="auto"/>
            <w:noWrap/>
            <w:hideMark/>
          </w:tcPr>
          <w:p w14:paraId="69724C86"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36</w:t>
            </w:r>
          </w:p>
        </w:tc>
        <w:tc>
          <w:tcPr>
            <w:tcW w:w="304" w:type="pct"/>
            <w:shd w:val="clear" w:color="auto" w:fill="auto"/>
            <w:noWrap/>
            <w:hideMark/>
          </w:tcPr>
          <w:p w14:paraId="60EE995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81</w:t>
            </w:r>
          </w:p>
        </w:tc>
        <w:tc>
          <w:tcPr>
            <w:tcW w:w="457" w:type="pct"/>
            <w:shd w:val="clear" w:color="auto" w:fill="auto"/>
            <w:noWrap/>
            <w:hideMark/>
          </w:tcPr>
          <w:p w14:paraId="3C7E0862"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116</w:t>
            </w:r>
          </w:p>
        </w:tc>
        <w:tc>
          <w:tcPr>
            <w:tcW w:w="356" w:type="pct"/>
            <w:shd w:val="clear" w:color="auto" w:fill="auto"/>
            <w:noWrap/>
            <w:hideMark/>
          </w:tcPr>
          <w:p w14:paraId="4A1466A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133</w:t>
            </w:r>
          </w:p>
        </w:tc>
        <w:tc>
          <w:tcPr>
            <w:tcW w:w="343" w:type="pct"/>
            <w:tcBorders>
              <w:right w:val="single" w:sz="12" w:space="0" w:color="auto"/>
            </w:tcBorders>
            <w:shd w:val="clear" w:color="auto" w:fill="auto"/>
            <w:noWrap/>
            <w:hideMark/>
          </w:tcPr>
          <w:p w14:paraId="0BB2E059"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w:t>
            </w:r>
          </w:p>
        </w:tc>
        <w:tc>
          <w:tcPr>
            <w:tcW w:w="419" w:type="pct"/>
            <w:tcBorders>
              <w:left w:val="single" w:sz="12" w:space="0" w:color="auto"/>
              <w:right w:val="single" w:sz="2" w:space="0" w:color="FFFFFF" w:themeColor="background1"/>
            </w:tcBorders>
            <w:shd w:val="clear" w:color="auto" w:fill="auto"/>
            <w:noWrap/>
            <w:hideMark/>
          </w:tcPr>
          <w:p w14:paraId="68557B5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109</w:t>
            </w:r>
          </w:p>
        </w:tc>
        <w:tc>
          <w:tcPr>
            <w:tcW w:w="254" w:type="pct"/>
            <w:tcBorders>
              <w:left w:val="single" w:sz="2" w:space="0" w:color="FFFFFF" w:themeColor="background1"/>
              <w:right w:val="single" w:sz="2" w:space="0" w:color="FFFFFF" w:themeColor="background1"/>
            </w:tcBorders>
            <w:shd w:val="clear" w:color="auto" w:fill="auto"/>
            <w:noWrap/>
            <w:hideMark/>
          </w:tcPr>
          <w:p w14:paraId="32699D9C"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131</w:t>
            </w:r>
          </w:p>
        </w:tc>
        <w:tc>
          <w:tcPr>
            <w:tcW w:w="411" w:type="pct"/>
            <w:tcBorders>
              <w:left w:val="single" w:sz="2" w:space="0" w:color="FFFFFF" w:themeColor="background1"/>
              <w:right w:val="single" w:sz="2" w:space="0" w:color="FFFFFF" w:themeColor="background1"/>
            </w:tcBorders>
            <w:shd w:val="clear" w:color="auto" w:fill="auto"/>
            <w:noWrap/>
            <w:hideMark/>
          </w:tcPr>
          <w:p w14:paraId="18D03DD2"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87</w:t>
            </w:r>
          </w:p>
        </w:tc>
        <w:tc>
          <w:tcPr>
            <w:tcW w:w="336" w:type="pct"/>
            <w:tcBorders>
              <w:left w:val="single" w:sz="2" w:space="0" w:color="FFFFFF" w:themeColor="background1"/>
              <w:right w:val="single" w:sz="2" w:space="0" w:color="FFFFFF" w:themeColor="background1"/>
            </w:tcBorders>
            <w:shd w:val="clear" w:color="auto" w:fill="auto"/>
            <w:noWrap/>
            <w:hideMark/>
          </w:tcPr>
          <w:p w14:paraId="07E05418"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42</w:t>
            </w:r>
          </w:p>
        </w:tc>
        <w:tc>
          <w:tcPr>
            <w:tcW w:w="341" w:type="pct"/>
            <w:tcBorders>
              <w:left w:val="single" w:sz="2" w:space="0" w:color="FFFFFF" w:themeColor="background1"/>
              <w:right w:val="single" w:sz="2" w:space="0" w:color="FFFFFF" w:themeColor="background1"/>
            </w:tcBorders>
            <w:shd w:val="clear" w:color="auto" w:fill="auto"/>
            <w:noWrap/>
            <w:hideMark/>
          </w:tcPr>
          <w:p w14:paraId="4406D60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4A30E53F"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2FA5319B"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6F6CCC64"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3BEA044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w:t>
            </w:r>
          </w:p>
        </w:tc>
        <w:tc>
          <w:tcPr>
            <w:tcW w:w="304" w:type="pct"/>
            <w:shd w:val="clear" w:color="auto" w:fill="auto"/>
            <w:noWrap/>
            <w:hideMark/>
          </w:tcPr>
          <w:p w14:paraId="1BB3CE13"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21</w:t>
            </w:r>
          </w:p>
        </w:tc>
        <w:tc>
          <w:tcPr>
            <w:tcW w:w="457" w:type="pct"/>
            <w:shd w:val="clear" w:color="auto" w:fill="auto"/>
            <w:noWrap/>
            <w:hideMark/>
          </w:tcPr>
          <w:p w14:paraId="5BF5690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30</w:t>
            </w:r>
          </w:p>
        </w:tc>
        <w:tc>
          <w:tcPr>
            <w:tcW w:w="356" w:type="pct"/>
            <w:shd w:val="clear" w:color="auto" w:fill="auto"/>
            <w:noWrap/>
            <w:hideMark/>
          </w:tcPr>
          <w:p w14:paraId="70CBC966"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35</w:t>
            </w:r>
          </w:p>
        </w:tc>
        <w:tc>
          <w:tcPr>
            <w:tcW w:w="343" w:type="pct"/>
            <w:tcBorders>
              <w:right w:val="single" w:sz="12" w:space="0" w:color="auto"/>
            </w:tcBorders>
            <w:shd w:val="clear" w:color="auto" w:fill="auto"/>
            <w:noWrap/>
            <w:hideMark/>
          </w:tcPr>
          <w:p w14:paraId="54FA384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419" w:type="pct"/>
            <w:tcBorders>
              <w:left w:val="single" w:sz="12" w:space="0" w:color="auto"/>
              <w:right w:val="single" w:sz="2" w:space="0" w:color="FFFFFF" w:themeColor="background1"/>
            </w:tcBorders>
            <w:shd w:val="clear" w:color="auto" w:fill="auto"/>
            <w:noWrap/>
            <w:hideMark/>
          </w:tcPr>
          <w:p w14:paraId="1E4ED1B1"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29</w:t>
            </w:r>
          </w:p>
        </w:tc>
        <w:tc>
          <w:tcPr>
            <w:tcW w:w="254" w:type="pct"/>
            <w:tcBorders>
              <w:left w:val="single" w:sz="2" w:space="0" w:color="FFFFFF" w:themeColor="background1"/>
              <w:right w:val="single" w:sz="2" w:space="0" w:color="FFFFFF" w:themeColor="background1"/>
            </w:tcBorders>
            <w:shd w:val="clear" w:color="auto" w:fill="auto"/>
            <w:noWrap/>
            <w:hideMark/>
          </w:tcPr>
          <w:p w14:paraId="50CF467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34</w:t>
            </w:r>
          </w:p>
        </w:tc>
        <w:tc>
          <w:tcPr>
            <w:tcW w:w="411" w:type="pct"/>
            <w:tcBorders>
              <w:left w:val="single" w:sz="2" w:space="0" w:color="FFFFFF" w:themeColor="background1"/>
              <w:right w:val="single" w:sz="2" w:space="0" w:color="FFFFFF" w:themeColor="background1"/>
            </w:tcBorders>
            <w:shd w:val="clear" w:color="auto" w:fill="auto"/>
            <w:noWrap/>
            <w:hideMark/>
          </w:tcPr>
          <w:p w14:paraId="3ACF5B43"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23</w:t>
            </w:r>
          </w:p>
        </w:tc>
        <w:tc>
          <w:tcPr>
            <w:tcW w:w="336" w:type="pct"/>
            <w:tcBorders>
              <w:left w:val="single" w:sz="2" w:space="0" w:color="FFFFFF" w:themeColor="background1"/>
              <w:right w:val="single" w:sz="2" w:space="0" w:color="FFFFFF" w:themeColor="background1"/>
            </w:tcBorders>
            <w:shd w:val="clear" w:color="auto" w:fill="auto"/>
            <w:noWrap/>
            <w:hideMark/>
          </w:tcPr>
          <w:p w14:paraId="3FECE1D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w:t>
            </w:r>
          </w:p>
        </w:tc>
        <w:tc>
          <w:tcPr>
            <w:tcW w:w="341" w:type="pct"/>
            <w:tcBorders>
              <w:left w:val="single" w:sz="2" w:space="0" w:color="FFFFFF" w:themeColor="background1"/>
              <w:right w:val="single" w:sz="2" w:space="0" w:color="FFFFFF" w:themeColor="background1"/>
            </w:tcBorders>
            <w:shd w:val="clear" w:color="auto" w:fill="auto"/>
            <w:noWrap/>
            <w:hideMark/>
          </w:tcPr>
          <w:p w14:paraId="7DA1FB41"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5BDE893F"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50D78CCF"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Sore throat</w:t>
            </w:r>
          </w:p>
        </w:tc>
        <w:tc>
          <w:tcPr>
            <w:tcW w:w="507" w:type="pct"/>
            <w:shd w:val="clear" w:color="auto" w:fill="auto"/>
            <w:noWrap/>
            <w:hideMark/>
          </w:tcPr>
          <w:p w14:paraId="7841C2C1"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371</w:t>
            </w:r>
          </w:p>
        </w:tc>
        <w:tc>
          <w:tcPr>
            <w:tcW w:w="459" w:type="pct"/>
            <w:shd w:val="clear" w:color="auto" w:fill="auto"/>
            <w:noWrap/>
            <w:hideMark/>
          </w:tcPr>
          <w:p w14:paraId="0DD952FD"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100</w:t>
            </w:r>
          </w:p>
        </w:tc>
        <w:tc>
          <w:tcPr>
            <w:tcW w:w="304" w:type="pct"/>
            <w:shd w:val="clear" w:color="auto" w:fill="auto"/>
            <w:noWrap/>
            <w:hideMark/>
          </w:tcPr>
          <w:p w14:paraId="65516489"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125</w:t>
            </w:r>
          </w:p>
        </w:tc>
        <w:tc>
          <w:tcPr>
            <w:tcW w:w="457" w:type="pct"/>
            <w:shd w:val="clear" w:color="auto" w:fill="auto"/>
            <w:noWrap/>
            <w:hideMark/>
          </w:tcPr>
          <w:p w14:paraId="7E8AD78C"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91</w:t>
            </w:r>
          </w:p>
        </w:tc>
        <w:tc>
          <w:tcPr>
            <w:tcW w:w="356" w:type="pct"/>
            <w:shd w:val="clear" w:color="auto" w:fill="auto"/>
            <w:noWrap/>
            <w:hideMark/>
          </w:tcPr>
          <w:p w14:paraId="2F7C18C3"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51</w:t>
            </w:r>
          </w:p>
        </w:tc>
        <w:tc>
          <w:tcPr>
            <w:tcW w:w="343" w:type="pct"/>
            <w:tcBorders>
              <w:right w:val="single" w:sz="12" w:space="0" w:color="auto"/>
            </w:tcBorders>
            <w:shd w:val="clear" w:color="auto" w:fill="auto"/>
            <w:noWrap/>
            <w:hideMark/>
          </w:tcPr>
          <w:p w14:paraId="46CEB0E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w:t>
            </w:r>
          </w:p>
        </w:tc>
        <w:tc>
          <w:tcPr>
            <w:tcW w:w="419" w:type="pct"/>
            <w:tcBorders>
              <w:left w:val="single" w:sz="12" w:space="0" w:color="auto"/>
              <w:right w:val="single" w:sz="2" w:space="0" w:color="FFFFFF" w:themeColor="background1"/>
            </w:tcBorders>
            <w:shd w:val="clear" w:color="auto" w:fill="auto"/>
            <w:noWrap/>
            <w:hideMark/>
          </w:tcPr>
          <w:p w14:paraId="02657360"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238</w:t>
            </w:r>
          </w:p>
        </w:tc>
        <w:tc>
          <w:tcPr>
            <w:tcW w:w="254" w:type="pct"/>
            <w:tcBorders>
              <w:left w:val="single" w:sz="2" w:space="0" w:color="FFFFFF" w:themeColor="background1"/>
              <w:right w:val="single" w:sz="2" w:space="0" w:color="FFFFFF" w:themeColor="background1"/>
            </w:tcBorders>
            <w:shd w:val="clear" w:color="auto" w:fill="auto"/>
            <w:noWrap/>
            <w:hideMark/>
          </w:tcPr>
          <w:p w14:paraId="0907DB1B"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88</w:t>
            </w:r>
          </w:p>
        </w:tc>
        <w:tc>
          <w:tcPr>
            <w:tcW w:w="411" w:type="pct"/>
            <w:tcBorders>
              <w:left w:val="single" w:sz="2" w:space="0" w:color="FFFFFF" w:themeColor="background1"/>
              <w:right w:val="single" w:sz="2" w:space="0" w:color="FFFFFF" w:themeColor="background1"/>
            </w:tcBorders>
            <w:shd w:val="clear" w:color="auto" w:fill="auto"/>
            <w:noWrap/>
            <w:hideMark/>
          </w:tcPr>
          <w:p w14:paraId="0D6D5B41"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35</w:t>
            </w:r>
          </w:p>
        </w:tc>
        <w:tc>
          <w:tcPr>
            <w:tcW w:w="336" w:type="pct"/>
            <w:tcBorders>
              <w:left w:val="single" w:sz="2" w:space="0" w:color="FFFFFF" w:themeColor="background1"/>
              <w:right w:val="single" w:sz="2" w:space="0" w:color="FFFFFF" w:themeColor="background1"/>
            </w:tcBorders>
            <w:shd w:val="clear" w:color="auto" w:fill="auto"/>
            <w:noWrap/>
            <w:hideMark/>
          </w:tcPr>
          <w:p w14:paraId="375278D0"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5</w:t>
            </w:r>
          </w:p>
        </w:tc>
        <w:tc>
          <w:tcPr>
            <w:tcW w:w="341" w:type="pct"/>
            <w:tcBorders>
              <w:left w:val="single" w:sz="2" w:space="0" w:color="FFFFFF" w:themeColor="background1"/>
              <w:right w:val="single" w:sz="2" w:space="0" w:color="FFFFFF" w:themeColor="background1"/>
            </w:tcBorders>
            <w:shd w:val="clear" w:color="auto" w:fill="auto"/>
            <w:noWrap/>
            <w:hideMark/>
          </w:tcPr>
          <w:p w14:paraId="71F19498"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r>
      <w:tr w:rsidR="00FE7DE3" w:rsidRPr="00FE7DE3" w14:paraId="474AA4CD"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034423D0"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681E8195"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755E129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26</w:t>
            </w:r>
          </w:p>
        </w:tc>
        <w:tc>
          <w:tcPr>
            <w:tcW w:w="304" w:type="pct"/>
            <w:shd w:val="clear" w:color="auto" w:fill="auto"/>
            <w:noWrap/>
            <w:hideMark/>
          </w:tcPr>
          <w:p w14:paraId="34FCE794"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33</w:t>
            </w:r>
          </w:p>
        </w:tc>
        <w:tc>
          <w:tcPr>
            <w:tcW w:w="457" w:type="pct"/>
            <w:shd w:val="clear" w:color="auto" w:fill="auto"/>
            <w:noWrap/>
            <w:hideMark/>
          </w:tcPr>
          <w:p w14:paraId="654CEAC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24</w:t>
            </w:r>
          </w:p>
        </w:tc>
        <w:tc>
          <w:tcPr>
            <w:tcW w:w="356" w:type="pct"/>
            <w:shd w:val="clear" w:color="auto" w:fill="auto"/>
            <w:noWrap/>
            <w:hideMark/>
          </w:tcPr>
          <w:p w14:paraId="52D9036E"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13</w:t>
            </w:r>
          </w:p>
        </w:tc>
        <w:tc>
          <w:tcPr>
            <w:tcW w:w="343" w:type="pct"/>
            <w:tcBorders>
              <w:right w:val="single" w:sz="12" w:space="0" w:color="auto"/>
            </w:tcBorders>
            <w:shd w:val="clear" w:color="auto" w:fill="auto"/>
            <w:noWrap/>
            <w:hideMark/>
          </w:tcPr>
          <w:p w14:paraId="6A6572F1"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419" w:type="pct"/>
            <w:tcBorders>
              <w:left w:val="single" w:sz="12" w:space="0" w:color="auto"/>
              <w:right w:val="single" w:sz="2" w:space="0" w:color="FFFFFF" w:themeColor="background1"/>
            </w:tcBorders>
            <w:shd w:val="clear" w:color="auto" w:fill="auto"/>
            <w:noWrap/>
            <w:hideMark/>
          </w:tcPr>
          <w:p w14:paraId="50F77B8A"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63</w:t>
            </w:r>
          </w:p>
        </w:tc>
        <w:tc>
          <w:tcPr>
            <w:tcW w:w="254" w:type="pct"/>
            <w:tcBorders>
              <w:left w:val="single" w:sz="2" w:space="0" w:color="FFFFFF" w:themeColor="background1"/>
              <w:right w:val="single" w:sz="2" w:space="0" w:color="FFFFFF" w:themeColor="background1"/>
            </w:tcBorders>
            <w:shd w:val="clear" w:color="auto" w:fill="auto"/>
            <w:noWrap/>
            <w:hideMark/>
          </w:tcPr>
          <w:p w14:paraId="414B3DDE"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23</w:t>
            </w:r>
          </w:p>
        </w:tc>
        <w:tc>
          <w:tcPr>
            <w:tcW w:w="411" w:type="pct"/>
            <w:tcBorders>
              <w:left w:val="single" w:sz="2" w:space="0" w:color="FFFFFF" w:themeColor="background1"/>
              <w:right w:val="single" w:sz="2" w:space="0" w:color="FFFFFF" w:themeColor="background1"/>
            </w:tcBorders>
            <w:shd w:val="clear" w:color="auto" w:fill="auto"/>
            <w:noWrap/>
            <w:hideMark/>
          </w:tcPr>
          <w:p w14:paraId="7E91343A"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w:t>
            </w:r>
          </w:p>
        </w:tc>
        <w:tc>
          <w:tcPr>
            <w:tcW w:w="336" w:type="pct"/>
            <w:tcBorders>
              <w:left w:val="single" w:sz="2" w:space="0" w:color="FFFFFF" w:themeColor="background1"/>
              <w:right w:val="single" w:sz="2" w:space="0" w:color="FFFFFF" w:themeColor="background1"/>
            </w:tcBorders>
            <w:shd w:val="clear" w:color="auto" w:fill="auto"/>
            <w:noWrap/>
            <w:hideMark/>
          </w:tcPr>
          <w:p w14:paraId="238D9952"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341" w:type="pct"/>
            <w:tcBorders>
              <w:left w:val="single" w:sz="2" w:space="0" w:color="FFFFFF" w:themeColor="background1"/>
              <w:right w:val="single" w:sz="2" w:space="0" w:color="FFFFFF" w:themeColor="background1"/>
            </w:tcBorders>
            <w:shd w:val="clear" w:color="auto" w:fill="auto"/>
            <w:noWrap/>
            <w:hideMark/>
          </w:tcPr>
          <w:p w14:paraId="0A3FA932"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r>
      <w:tr w:rsidR="00FE7DE3" w:rsidRPr="00FE7DE3" w14:paraId="36C253B7"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15A12ACF"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Diarrhoea</w:t>
            </w:r>
          </w:p>
        </w:tc>
        <w:tc>
          <w:tcPr>
            <w:tcW w:w="507" w:type="pct"/>
            <w:shd w:val="clear" w:color="auto" w:fill="auto"/>
            <w:noWrap/>
            <w:hideMark/>
          </w:tcPr>
          <w:p w14:paraId="62F414F9"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373</w:t>
            </w:r>
          </w:p>
        </w:tc>
        <w:tc>
          <w:tcPr>
            <w:tcW w:w="459" w:type="pct"/>
            <w:shd w:val="clear" w:color="auto" w:fill="auto"/>
            <w:noWrap/>
            <w:hideMark/>
          </w:tcPr>
          <w:p w14:paraId="48D58320"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178</w:t>
            </w:r>
          </w:p>
        </w:tc>
        <w:tc>
          <w:tcPr>
            <w:tcW w:w="304" w:type="pct"/>
            <w:shd w:val="clear" w:color="auto" w:fill="auto"/>
            <w:noWrap/>
            <w:hideMark/>
          </w:tcPr>
          <w:p w14:paraId="4214475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98</w:t>
            </w:r>
          </w:p>
        </w:tc>
        <w:tc>
          <w:tcPr>
            <w:tcW w:w="457" w:type="pct"/>
            <w:shd w:val="clear" w:color="auto" w:fill="auto"/>
            <w:noWrap/>
            <w:hideMark/>
          </w:tcPr>
          <w:p w14:paraId="1F01402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62</w:t>
            </w:r>
          </w:p>
        </w:tc>
        <w:tc>
          <w:tcPr>
            <w:tcW w:w="356" w:type="pct"/>
            <w:shd w:val="clear" w:color="auto" w:fill="auto"/>
            <w:noWrap/>
            <w:hideMark/>
          </w:tcPr>
          <w:p w14:paraId="0E06DB75"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29</w:t>
            </w:r>
          </w:p>
        </w:tc>
        <w:tc>
          <w:tcPr>
            <w:tcW w:w="343" w:type="pct"/>
            <w:tcBorders>
              <w:right w:val="single" w:sz="12" w:space="0" w:color="auto"/>
            </w:tcBorders>
            <w:shd w:val="clear" w:color="auto" w:fill="auto"/>
            <w:noWrap/>
            <w:hideMark/>
          </w:tcPr>
          <w:p w14:paraId="381DCF5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w:t>
            </w:r>
          </w:p>
        </w:tc>
        <w:tc>
          <w:tcPr>
            <w:tcW w:w="419" w:type="pct"/>
            <w:tcBorders>
              <w:left w:val="single" w:sz="12" w:space="0" w:color="auto"/>
              <w:right w:val="single" w:sz="2" w:space="0" w:color="FFFFFF" w:themeColor="background1"/>
            </w:tcBorders>
            <w:shd w:val="clear" w:color="auto" w:fill="auto"/>
            <w:noWrap/>
            <w:hideMark/>
          </w:tcPr>
          <w:p w14:paraId="6AA7895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271</w:t>
            </w:r>
          </w:p>
        </w:tc>
        <w:tc>
          <w:tcPr>
            <w:tcW w:w="254" w:type="pct"/>
            <w:tcBorders>
              <w:left w:val="single" w:sz="2" w:space="0" w:color="FFFFFF" w:themeColor="background1"/>
              <w:right w:val="single" w:sz="2" w:space="0" w:color="FFFFFF" w:themeColor="background1"/>
            </w:tcBorders>
            <w:shd w:val="clear" w:color="auto" w:fill="auto"/>
            <w:noWrap/>
            <w:hideMark/>
          </w:tcPr>
          <w:p w14:paraId="384D389B"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63</w:t>
            </w:r>
          </w:p>
        </w:tc>
        <w:tc>
          <w:tcPr>
            <w:tcW w:w="411" w:type="pct"/>
            <w:tcBorders>
              <w:left w:val="single" w:sz="2" w:space="0" w:color="FFFFFF" w:themeColor="background1"/>
              <w:right w:val="single" w:sz="2" w:space="0" w:color="FFFFFF" w:themeColor="background1"/>
            </w:tcBorders>
            <w:shd w:val="clear" w:color="auto" w:fill="auto"/>
            <w:noWrap/>
            <w:hideMark/>
          </w:tcPr>
          <w:p w14:paraId="0581764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25</w:t>
            </w:r>
          </w:p>
        </w:tc>
        <w:tc>
          <w:tcPr>
            <w:tcW w:w="336" w:type="pct"/>
            <w:tcBorders>
              <w:left w:val="single" w:sz="2" w:space="0" w:color="FFFFFF" w:themeColor="background1"/>
              <w:right w:val="single" w:sz="2" w:space="0" w:color="FFFFFF" w:themeColor="background1"/>
            </w:tcBorders>
            <w:shd w:val="clear" w:color="auto" w:fill="auto"/>
            <w:noWrap/>
            <w:hideMark/>
          </w:tcPr>
          <w:p w14:paraId="52A2CE0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5</w:t>
            </w:r>
          </w:p>
        </w:tc>
        <w:tc>
          <w:tcPr>
            <w:tcW w:w="341" w:type="pct"/>
            <w:tcBorders>
              <w:left w:val="single" w:sz="2" w:space="0" w:color="FFFFFF" w:themeColor="background1"/>
              <w:right w:val="single" w:sz="2" w:space="0" w:color="FFFFFF" w:themeColor="background1"/>
            </w:tcBorders>
            <w:shd w:val="clear" w:color="auto" w:fill="auto"/>
            <w:noWrap/>
            <w:hideMark/>
          </w:tcPr>
          <w:p w14:paraId="4AC65BF3"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17FBA9B0"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58127689"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575A448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3D04CCC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47</w:t>
            </w:r>
          </w:p>
        </w:tc>
        <w:tc>
          <w:tcPr>
            <w:tcW w:w="304" w:type="pct"/>
            <w:shd w:val="clear" w:color="auto" w:fill="auto"/>
            <w:noWrap/>
            <w:hideMark/>
          </w:tcPr>
          <w:p w14:paraId="7C31F723"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26</w:t>
            </w:r>
          </w:p>
        </w:tc>
        <w:tc>
          <w:tcPr>
            <w:tcW w:w="457" w:type="pct"/>
            <w:shd w:val="clear" w:color="auto" w:fill="auto"/>
            <w:noWrap/>
            <w:hideMark/>
          </w:tcPr>
          <w:p w14:paraId="23E3070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16</w:t>
            </w:r>
          </w:p>
        </w:tc>
        <w:tc>
          <w:tcPr>
            <w:tcW w:w="356" w:type="pct"/>
            <w:shd w:val="clear" w:color="auto" w:fill="auto"/>
            <w:noWrap/>
            <w:hideMark/>
          </w:tcPr>
          <w:p w14:paraId="5791878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w:t>
            </w:r>
          </w:p>
        </w:tc>
        <w:tc>
          <w:tcPr>
            <w:tcW w:w="343" w:type="pct"/>
            <w:tcBorders>
              <w:right w:val="single" w:sz="12" w:space="0" w:color="auto"/>
            </w:tcBorders>
            <w:shd w:val="clear" w:color="auto" w:fill="auto"/>
            <w:noWrap/>
            <w:hideMark/>
          </w:tcPr>
          <w:p w14:paraId="050A67F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419" w:type="pct"/>
            <w:tcBorders>
              <w:left w:val="single" w:sz="12" w:space="0" w:color="auto"/>
              <w:right w:val="single" w:sz="2" w:space="0" w:color="FFFFFF" w:themeColor="background1"/>
            </w:tcBorders>
            <w:shd w:val="clear" w:color="auto" w:fill="auto"/>
            <w:noWrap/>
            <w:hideMark/>
          </w:tcPr>
          <w:p w14:paraId="7B445C74"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71</w:t>
            </w:r>
          </w:p>
        </w:tc>
        <w:tc>
          <w:tcPr>
            <w:tcW w:w="254" w:type="pct"/>
            <w:tcBorders>
              <w:left w:val="single" w:sz="2" w:space="0" w:color="FFFFFF" w:themeColor="background1"/>
              <w:right w:val="single" w:sz="2" w:space="0" w:color="FFFFFF" w:themeColor="background1"/>
            </w:tcBorders>
            <w:shd w:val="clear" w:color="auto" w:fill="auto"/>
            <w:noWrap/>
            <w:hideMark/>
          </w:tcPr>
          <w:p w14:paraId="089BBE8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411" w:type="pct"/>
            <w:tcBorders>
              <w:left w:val="single" w:sz="2" w:space="0" w:color="FFFFFF" w:themeColor="background1"/>
              <w:right w:val="single" w:sz="2" w:space="0" w:color="FFFFFF" w:themeColor="background1"/>
            </w:tcBorders>
            <w:shd w:val="clear" w:color="auto" w:fill="auto"/>
            <w:noWrap/>
            <w:hideMark/>
          </w:tcPr>
          <w:p w14:paraId="59E952E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w:t>
            </w:r>
          </w:p>
        </w:tc>
        <w:tc>
          <w:tcPr>
            <w:tcW w:w="336" w:type="pct"/>
            <w:tcBorders>
              <w:left w:val="single" w:sz="2" w:space="0" w:color="FFFFFF" w:themeColor="background1"/>
              <w:right w:val="single" w:sz="2" w:space="0" w:color="FFFFFF" w:themeColor="background1"/>
            </w:tcBorders>
            <w:shd w:val="clear" w:color="auto" w:fill="auto"/>
            <w:noWrap/>
            <w:hideMark/>
          </w:tcPr>
          <w:p w14:paraId="671F410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341" w:type="pct"/>
            <w:tcBorders>
              <w:left w:val="single" w:sz="2" w:space="0" w:color="FFFFFF" w:themeColor="background1"/>
              <w:right w:val="single" w:sz="2" w:space="0" w:color="FFFFFF" w:themeColor="background1"/>
            </w:tcBorders>
            <w:shd w:val="clear" w:color="auto" w:fill="auto"/>
            <w:noWrap/>
            <w:hideMark/>
          </w:tcPr>
          <w:p w14:paraId="350EE88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r>
      <w:tr w:rsidR="00FE7DE3" w:rsidRPr="00FE7DE3" w14:paraId="1847B797"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2CA97737"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Memory loss</w:t>
            </w:r>
          </w:p>
        </w:tc>
        <w:tc>
          <w:tcPr>
            <w:tcW w:w="507" w:type="pct"/>
            <w:shd w:val="clear" w:color="auto" w:fill="auto"/>
            <w:noWrap/>
            <w:hideMark/>
          </w:tcPr>
          <w:p w14:paraId="7C4F4E3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373</w:t>
            </w:r>
          </w:p>
        </w:tc>
        <w:tc>
          <w:tcPr>
            <w:tcW w:w="459" w:type="pct"/>
            <w:shd w:val="clear" w:color="auto" w:fill="auto"/>
            <w:noWrap/>
            <w:hideMark/>
          </w:tcPr>
          <w:p w14:paraId="0979BBD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118</w:t>
            </w:r>
          </w:p>
        </w:tc>
        <w:tc>
          <w:tcPr>
            <w:tcW w:w="304" w:type="pct"/>
            <w:shd w:val="clear" w:color="auto" w:fill="auto"/>
            <w:noWrap/>
            <w:hideMark/>
          </w:tcPr>
          <w:p w14:paraId="1E286281"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96</w:t>
            </w:r>
          </w:p>
        </w:tc>
        <w:tc>
          <w:tcPr>
            <w:tcW w:w="457" w:type="pct"/>
            <w:shd w:val="clear" w:color="auto" w:fill="auto"/>
            <w:noWrap/>
            <w:hideMark/>
          </w:tcPr>
          <w:p w14:paraId="0E57AD35"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111</w:t>
            </w:r>
          </w:p>
        </w:tc>
        <w:tc>
          <w:tcPr>
            <w:tcW w:w="356" w:type="pct"/>
            <w:shd w:val="clear" w:color="auto" w:fill="auto"/>
            <w:noWrap/>
            <w:hideMark/>
          </w:tcPr>
          <w:p w14:paraId="549C8286"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46</w:t>
            </w:r>
          </w:p>
        </w:tc>
        <w:tc>
          <w:tcPr>
            <w:tcW w:w="343" w:type="pct"/>
            <w:tcBorders>
              <w:right w:val="single" w:sz="12" w:space="0" w:color="auto"/>
            </w:tcBorders>
            <w:shd w:val="clear" w:color="auto" w:fill="auto"/>
            <w:noWrap/>
            <w:hideMark/>
          </w:tcPr>
          <w:p w14:paraId="13483855"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419" w:type="pct"/>
            <w:tcBorders>
              <w:left w:val="single" w:sz="12" w:space="0" w:color="auto"/>
              <w:right w:val="single" w:sz="2" w:space="0" w:color="FFFFFF" w:themeColor="background1"/>
            </w:tcBorders>
            <w:shd w:val="clear" w:color="auto" w:fill="auto"/>
            <w:noWrap/>
            <w:hideMark/>
          </w:tcPr>
          <w:p w14:paraId="54A5CCB3"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146</w:t>
            </w:r>
          </w:p>
        </w:tc>
        <w:tc>
          <w:tcPr>
            <w:tcW w:w="254" w:type="pct"/>
            <w:tcBorders>
              <w:left w:val="single" w:sz="2" w:space="0" w:color="FFFFFF" w:themeColor="background1"/>
              <w:right w:val="single" w:sz="2" w:space="0" w:color="FFFFFF" w:themeColor="background1"/>
            </w:tcBorders>
            <w:shd w:val="clear" w:color="auto" w:fill="auto"/>
            <w:noWrap/>
            <w:hideMark/>
          </w:tcPr>
          <w:p w14:paraId="77AAD53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135</w:t>
            </w:r>
          </w:p>
        </w:tc>
        <w:tc>
          <w:tcPr>
            <w:tcW w:w="411" w:type="pct"/>
            <w:tcBorders>
              <w:left w:val="single" w:sz="2" w:space="0" w:color="FFFFFF" w:themeColor="background1"/>
              <w:right w:val="single" w:sz="2" w:space="0" w:color="FFFFFF" w:themeColor="background1"/>
            </w:tcBorders>
            <w:shd w:val="clear" w:color="auto" w:fill="auto"/>
            <w:noWrap/>
            <w:hideMark/>
          </w:tcPr>
          <w:p w14:paraId="6FC308FB"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75</w:t>
            </w:r>
          </w:p>
        </w:tc>
        <w:tc>
          <w:tcPr>
            <w:tcW w:w="336" w:type="pct"/>
            <w:tcBorders>
              <w:left w:val="single" w:sz="2" w:space="0" w:color="FFFFFF" w:themeColor="background1"/>
              <w:right w:val="single" w:sz="2" w:space="0" w:color="FFFFFF" w:themeColor="background1"/>
            </w:tcBorders>
            <w:shd w:val="clear" w:color="auto" w:fill="auto"/>
            <w:noWrap/>
            <w:hideMark/>
          </w:tcPr>
          <w:p w14:paraId="283C693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14</w:t>
            </w:r>
          </w:p>
        </w:tc>
        <w:tc>
          <w:tcPr>
            <w:tcW w:w="341" w:type="pct"/>
            <w:tcBorders>
              <w:left w:val="single" w:sz="2" w:space="0" w:color="FFFFFF" w:themeColor="background1"/>
              <w:right w:val="single" w:sz="2" w:space="0" w:color="FFFFFF" w:themeColor="background1"/>
            </w:tcBorders>
            <w:shd w:val="clear" w:color="auto" w:fill="auto"/>
            <w:noWrap/>
            <w:hideMark/>
          </w:tcPr>
          <w:p w14:paraId="309D295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r>
      <w:tr w:rsidR="00FE7DE3" w:rsidRPr="00FE7DE3" w14:paraId="353D1D99"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125ACC30"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405806F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0C10B835"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31</w:t>
            </w:r>
          </w:p>
        </w:tc>
        <w:tc>
          <w:tcPr>
            <w:tcW w:w="304" w:type="pct"/>
            <w:shd w:val="clear" w:color="auto" w:fill="auto"/>
            <w:noWrap/>
            <w:hideMark/>
          </w:tcPr>
          <w:p w14:paraId="787787BE"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25</w:t>
            </w:r>
          </w:p>
        </w:tc>
        <w:tc>
          <w:tcPr>
            <w:tcW w:w="457" w:type="pct"/>
            <w:shd w:val="clear" w:color="auto" w:fill="auto"/>
            <w:noWrap/>
            <w:hideMark/>
          </w:tcPr>
          <w:p w14:paraId="1C9F709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29</w:t>
            </w:r>
          </w:p>
        </w:tc>
        <w:tc>
          <w:tcPr>
            <w:tcW w:w="356" w:type="pct"/>
            <w:shd w:val="clear" w:color="auto" w:fill="auto"/>
            <w:noWrap/>
            <w:hideMark/>
          </w:tcPr>
          <w:p w14:paraId="2BAF58B4"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12</w:t>
            </w:r>
          </w:p>
        </w:tc>
        <w:tc>
          <w:tcPr>
            <w:tcW w:w="343" w:type="pct"/>
            <w:tcBorders>
              <w:right w:val="single" w:sz="12" w:space="0" w:color="auto"/>
            </w:tcBorders>
            <w:shd w:val="clear" w:color="auto" w:fill="auto"/>
            <w:noWrap/>
            <w:hideMark/>
          </w:tcPr>
          <w:p w14:paraId="00EAB0E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419" w:type="pct"/>
            <w:tcBorders>
              <w:left w:val="single" w:sz="12" w:space="0" w:color="auto"/>
              <w:right w:val="single" w:sz="2" w:space="0" w:color="FFFFFF" w:themeColor="background1"/>
            </w:tcBorders>
            <w:shd w:val="clear" w:color="auto" w:fill="auto"/>
            <w:noWrap/>
            <w:hideMark/>
          </w:tcPr>
          <w:p w14:paraId="46927580"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38</w:t>
            </w:r>
          </w:p>
        </w:tc>
        <w:tc>
          <w:tcPr>
            <w:tcW w:w="254" w:type="pct"/>
            <w:tcBorders>
              <w:left w:val="single" w:sz="2" w:space="0" w:color="FFFFFF" w:themeColor="background1"/>
              <w:right w:val="single" w:sz="2" w:space="0" w:color="FFFFFF" w:themeColor="background1"/>
            </w:tcBorders>
            <w:shd w:val="clear" w:color="auto" w:fill="auto"/>
            <w:noWrap/>
            <w:hideMark/>
          </w:tcPr>
          <w:p w14:paraId="7BB27D93"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35</w:t>
            </w:r>
          </w:p>
        </w:tc>
        <w:tc>
          <w:tcPr>
            <w:tcW w:w="411" w:type="pct"/>
            <w:tcBorders>
              <w:left w:val="single" w:sz="2" w:space="0" w:color="FFFFFF" w:themeColor="background1"/>
              <w:right w:val="single" w:sz="2" w:space="0" w:color="FFFFFF" w:themeColor="background1"/>
            </w:tcBorders>
            <w:shd w:val="clear" w:color="auto" w:fill="auto"/>
            <w:noWrap/>
            <w:hideMark/>
          </w:tcPr>
          <w:p w14:paraId="0988600D"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20</w:t>
            </w:r>
          </w:p>
        </w:tc>
        <w:tc>
          <w:tcPr>
            <w:tcW w:w="336" w:type="pct"/>
            <w:tcBorders>
              <w:left w:val="single" w:sz="2" w:space="0" w:color="FFFFFF" w:themeColor="background1"/>
              <w:right w:val="single" w:sz="2" w:space="0" w:color="FFFFFF" w:themeColor="background1"/>
            </w:tcBorders>
            <w:shd w:val="clear" w:color="auto" w:fill="auto"/>
            <w:noWrap/>
            <w:hideMark/>
          </w:tcPr>
          <w:p w14:paraId="4FD978B6"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w:t>
            </w:r>
          </w:p>
        </w:tc>
        <w:tc>
          <w:tcPr>
            <w:tcW w:w="341" w:type="pct"/>
            <w:tcBorders>
              <w:left w:val="single" w:sz="2" w:space="0" w:color="FFFFFF" w:themeColor="background1"/>
              <w:right w:val="single" w:sz="2" w:space="0" w:color="FFFFFF" w:themeColor="background1"/>
            </w:tcBorders>
            <w:shd w:val="clear" w:color="auto" w:fill="auto"/>
            <w:noWrap/>
            <w:hideMark/>
          </w:tcPr>
          <w:p w14:paraId="64F8BB7A"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r>
      <w:tr w:rsidR="00FE7DE3" w:rsidRPr="00FE7DE3" w14:paraId="6E9AF2BB"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04A54E1A"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Confusion</w:t>
            </w:r>
          </w:p>
        </w:tc>
        <w:tc>
          <w:tcPr>
            <w:tcW w:w="507" w:type="pct"/>
            <w:shd w:val="clear" w:color="auto" w:fill="auto"/>
            <w:noWrap/>
            <w:hideMark/>
          </w:tcPr>
          <w:p w14:paraId="54B1F4EA"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367</w:t>
            </w:r>
          </w:p>
        </w:tc>
        <w:tc>
          <w:tcPr>
            <w:tcW w:w="459" w:type="pct"/>
            <w:shd w:val="clear" w:color="auto" w:fill="auto"/>
            <w:noWrap/>
            <w:hideMark/>
          </w:tcPr>
          <w:p w14:paraId="4A0D9B0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138</w:t>
            </w:r>
          </w:p>
        </w:tc>
        <w:tc>
          <w:tcPr>
            <w:tcW w:w="304" w:type="pct"/>
            <w:shd w:val="clear" w:color="auto" w:fill="auto"/>
            <w:noWrap/>
            <w:hideMark/>
          </w:tcPr>
          <w:p w14:paraId="0702776D"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94</w:t>
            </w:r>
          </w:p>
        </w:tc>
        <w:tc>
          <w:tcPr>
            <w:tcW w:w="457" w:type="pct"/>
            <w:shd w:val="clear" w:color="auto" w:fill="auto"/>
            <w:noWrap/>
            <w:hideMark/>
          </w:tcPr>
          <w:p w14:paraId="04AC566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104</w:t>
            </w:r>
          </w:p>
        </w:tc>
        <w:tc>
          <w:tcPr>
            <w:tcW w:w="356" w:type="pct"/>
            <w:shd w:val="clear" w:color="auto" w:fill="auto"/>
            <w:noWrap/>
            <w:hideMark/>
          </w:tcPr>
          <w:p w14:paraId="627C9EE3"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30</w:t>
            </w:r>
          </w:p>
        </w:tc>
        <w:tc>
          <w:tcPr>
            <w:tcW w:w="343" w:type="pct"/>
            <w:tcBorders>
              <w:right w:val="single" w:sz="12" w:space="0" w:color="auto"/>
            </w:tcBorders>
            <w:shd w:val="clear" w:color="auto" w:fill="auto"/>
            <w:noWrap/>
            <w:hideMark/>
          </w:tcPr>
          <w:p w14:paraId="61E85E01"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419" w:type="pct"/>
            <w:tcBorders>
              <w:left w:val="single" w:sz="12" w:space="0" w:color="auto"/>
              <w:right w:val="single" w:sz="2" w:space="0" w:color="FFFFFF" w:themeColor="background1"/>
            </w:tcBorders>
            <w:shd w:val="clear" w:color="auto" w:fill="auto"/>
            <w:noWrap/>
            <w:hideMark/>
          </w:tcPr>
          <w:p w14:paraId="2A6B29A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197</w:t>
            </w:r>
          </w:p>
        </w:tc>
        <w:tc>
          <w:tcPr>
            <w:tcW w:w="254" w:type="pct"/>
            <w:tcBorders>
              <w:left w:val="single" w:sz="2" w:space="0" w:color="FFFFFF" w:themeColor="background1"/>
              <w:right w:val="single" w:sz="2" w:space="0" w:color="FFFFFF" w:themeColor="background1"/>
            </w:tcBorders>
            <w:shd w:val="clear" w:color="auto" w:fill="auto"/>
            <w:noWrap/>
            <w:hideMark/>
          </w:tcPr>
          <w:p w14:paraId="6C29A49C"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103</w:t>
            </w:r>
          </w:p>
        </w:tc>
        <w:tc>
          <w:tcPr>
            <w:tcW w:w="411" w:type="pct"/>
            <w:tcBorders>
              <w:left w:val="single" w:sz="2" w:space="0" w:color="FFFFFF" w:themeColor="background1"/>
              <w:right w:val="single" w:sz="2" w:space="0" w:color="FFFFFF" w:themeColor="background1"/>
            </w:tcBorders>
            <w:shd w:val="clear" w:color="auto" w:fill="auto"/>
            <w:noWrap/>
            <w:hideMark/>
          </w:tcPr>
          <w:p w14:paraId="149CF6AD"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64</w:t>
            </w:r>
          </w:p>
        </w:tc>
        <w:tc>
          <w:tcPr>
            <w:tcW w:w="336" w:type="pct"/>
            <w:tcBorders>
              <w:left w:val="single" w:sz="2" w:space="0" w:color="FFFFFF" w:themeColor="background1"/>
              <w:right w:val="single" w:sz="2" w:space="0" w:color="FFFFFF" w:themeColor="background1"/>
            </w:tcBorders>
            <w:shd w:val="clear" w:color="auto" w:fill="auto"/>
            <w:noWrap/>
            <w:hideMark/>
          </w:tcPr>
          <w:p w14:paraId="64B0040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w:t>
            </w:r>
          </w:p>
        </w:tc>
        <w:tc>
          <w:tcPr>
            <w:tcW w:w="341" w:type="pct"/>
            <w:tcBorders>
              <w:left w:val="single" w:sz="2" w:space="0" w:color="FFFFFF" w:themeColor="background1"/>
              <w:right w:val="single" w:sz="2" w:space="0" w:color="FFFFFF" w:themeColor="background1"/>
            </w:tcBorders>
            <w:shd w:val="clear" w:color="auto" w:fill="auto"/>
            <w:noWrap/>
            <w:hideMark/>
          </w:tcPr>
          <w:p w14:paraId="4F96FDF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r>
      <w:tr w:rsidR="00FE7DE3" w:rsidRPr="00FE7DE3" w14:paraId="319777E8"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tcBorders>
            <w:shd w:val="clear" w:color="auto" w:fill="auto"/>
            <w:vAlign w:val="center"/>
            <w:hideMark/>
          </w:tcPr>
          <w:p w14:paraId="495EDAA2" w14:textId="77777777" w:rsidR="009164E3" w:rsidRPr="00FE7DE3" w:rsidRDefault="009164E3" w:rsidP="006A1F3B">
            <w:pPr>
              <w:jc w:val="center"/>
              <w:rPr>
                <w:rFonts w:ascii="Times New Roman" w:eastAsia="Times New Roman" w:hAnsi="Times New Roman" w:cs="Times New Roman"/>
                <w:sz w:val="20"/>
                <w:szCs w:val="20"/>
                <w:lang w:eastAsia="en-GB"/>
              </w:rPr>
            </w:pPr>
          </w:p>
        </w:tc>
        <w:tc>
          <w:tcPr>
            <w:tcW w:w="507" w:type="pct"/>
            <w:shd w:val="clear" w:color="auto" w:fill="auto"/>
            <w:noWrap/>
            <w:hideMark/>
          </w:tcPr>
          <w:p w14:paraId="56F64581"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shd w:val="clear" w:color="auto" w:fill="auto"/>
            <w:noWrap/>
            <w:hideMark/>
          </w:tcPr>
          <w:p w14:paraId="40D538B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36</w:t>
            </w:r>
          </w:p>
        </w:tc>
        <w:tc>
          <w:tcPr>
            <w:tcW w:w="304" w:type="pct"/>
            <w:shd w:val="clear" w:color="auto" w:fill="auto"/>
            <w:noWrap/>
            <w:hideMark/>
          </w:tcPr>
          <w:p w14:paraId="4EEE5A17"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25</w:t>
            </w:r>
          </w:p>
        </w:tc>
        <w:tc>
          <w:tcPr>
            <w:tcW w:w="457" w:type="pct"/>
            <w:shd w:val="clear" w:color="auto" w:fill="auto"/>
            <w:noWrap/>
            <w:hideMark/>
          </w:tcPr>
          <w:p w14:paraId="2902FD5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27</w:t>
            </w:r>
          </w:p>
        </w:tc>
        <w:tc>
          <w:tcPr>
            <w:tcW w:w="356" w:type="pct"/>
            <w:shd w:val="clear" w:color="auto" w:fill="auto"/>
            <w:noWrap/>
            <w:hideMark/>
          </w:tcPr>
          <w:p w14:paraId="72BEF741"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8</w:t>
            </w:r>
          </w:p>
        </w:tc>
        <w:tc>
          <w:tcPr>
            <w:tcW w:w="343" w:type="pct"/>
            <w:tcBorders>
              <w:right w:val="single" w:sz="12" w:space="0" w:color="auto"/>
            </w:tcBorders>
            <w:shd w:val="clear" w:color="auto" w:fill="auto"/>
            <w:noWrap/>
            <w:hideMark/>
          </w:tcPr>
          <w:p w14:paraId="23207F56"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419" w:type="pct"/>
            <w:tcBorders>
              <w:left w:val="single" w:sz="12" w:space="0" w:color="auto"/>
              <w:right w:val="single" w:sz="2" w:space="0" w:color="FFFFFF" w:themeColor="background1"/>
            </w:tcBorders>
            <w:shd w:val="clear" w:color="auto" w:fill="auto"/>
            <w:noWrap/>
            <w:hideMark/>
          </w:tcPr>
          <w:p w14:paraId="30C1D07F"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52</w:t>
            </w:r>
          </w:p>
        </w:tc>
        <w:tc>
          <w:tcPr>
            <w:tcW w:w="254" w:type="pct"/>
            <w:tcBorders>
              <w:left w:val="single" w:sz="2" w:space="0" w:color="FFFFFF" w:themeColor="background1"/>
              <w:right w:val="single" w:sz="2" w:space="0" w:color="FFFFFF" w:themeColor="background1"/>
            </w:tcBorders>
            <w:shd w:val="clear" w:color="auto" w:fill="auto"/>
            <w:noWrap/>
            <w:hideMark/>
          </w:tcPr>
          <w:p w14:paraId="16687234"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27</w:t>
            </w:r>
          </w:p>
        </w:tc>
        <w:tc>
          <w:tcPr>
            <w:tcW w:w="411" w:type="pct"/>
            <w:tcBorders>
              <w:left w:val="single" w:sz="2" w:space="0" w:color="FFFFFF" w:themeColor="background1"/>
              <w:right w:val="single" w:sz="2" w:space="0" w:color="FFFFFF" w:themeColor="background1"/>
            </w:tcBorders>
            <w:shd w:val="clear" w:color="auto" w:fill="auto"/>
            <w:noWrap/>
            <w:hideMark/>
          </w:tcPr>
          <w:p w14:paraId="3FF1F51B"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17</w:t>
            </w:r>
          </w:p>
        </w:tc>
        <w:tc>
          <w:tcPr>
            <w:tcW w:w="336" w:type="pct"/>
            <w:tcBorders>
              <w:left w:val="single" w:sz="2" w:space="0" w:color="FFFFFF" w:themeColor="background1"/>
              <w:right w:val="single" w:sz="2" w:space="0" w:color="FFFFFF" w:themeColor="background1"/>
            </w:tcBorders>
            <w:shd w:val="clear" w:color="auto" w:fill="auto"/>
            <w:noWrap/>
            <w:hideMark/>
          </w:tcPr>
          <w:p w14:paraId="4054D9D6"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341" w:type="pct"/>
            <w:tcBorders>
              <w:left w:val="single" w:sz="2" w:space="0" w:color="FFFFFF" w:themeColor="background1"/>
              <w:right w:val="single" w:sz="2" w:space="0" w:color="FFFFFF" w:themeColor="background1"/>
            </w:tcBorders>
            <w:shd w:val="clear" w:color="auto" w:fill="auto"/>
            <w:noWrap/>
            <w:hideMark/>
          </w:tcPr>
          <w:p w14:paraId="1235B61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r>
      <w:tr w:rsidR="00FE7DE3" w:rsidRPr="00FE7DE3" w14:paraId="663B4606" w14:textId="77777777" w:rsidTr="00DE010F">
        <w:trPr>
          <w:trHeight w:val="280"/>
        </w:trPr>
        <w:tc>
          <w:tcPr>
            <w:cnfStyle w:val="001000000000" w:firstRow="0" w:lastRow="0" w:firstColumn="1" w:lastColumn="0" w:oddVBand="0" w:evenVBand="0" w:oddHBand="0" w:evenHBand="0" w:firstRowFirstColumn="0" w:firstRowLastColumn="0" w:lastRowFirstColumn="0" w:lastRowLastColumn="0"/>
            <w:tcW w:w="813" w:type="pct"/>
            <w:vMerge w:val="restart"/>
            <w:tcBorders>
              <w:left w:val="single" w:sz="2" w:space="0" w:color="FFFFFF" w:themeColor="background1"/>
            </w:tcBorders>
            <w:shd w:val="clear" w:color="auto" w:fill="auto"/>
            <w:noWrap/>
            <w:vAlign w:val="center"/>
            <w:hideMark/>
          </w:tcPr>
          <w:p w14:paraId="1ADFDA2C" w14:textId="77777777" w:rsidR="009164E3" w:rsidRPr="00FE7DE3" w:rsidRDefault="009164E3" w:rsidP="006A1F3B">
            <w:pPr>
              <w:jc w:val="center"/>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Eye Redness</w:t>
            </w:r>
          </w:p>
        </w:tc>
        <w:tc>
          <w:tcPr>
            <w:tcW w:w="507" w:type="pct"/>
            <w:shd w:val="clear" w:color="auto" w:fill="auto"/>
            <w:noWrap/>
            <w:hideMark/>
          </w:tcPr>
          <w:p w14:paraId="18C18A20"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eastAsia="en-GB"/>
              </w:rPr>
            </w:pPr>
            <w:r w:rsidRPr="00FE7DE3">
              <w:rPr>
                <w:rFonts w:ascii="Times New Roman" w:eastAsia="Times New Roman" w:hAnsi="Times New Roman" w:cs="Times New Roman"/>
                <w:i/>
                <w:iCs/>
                <w:sz w:val="20"/>
                <w:szCs w:val="20"/>
                <w:lang w:eastAsia="en-GB"/>
              </w:rPr>
              <w:t>n = 373</w:t>
            </w:r>
          </w:p>
        </w:tc>
        <w:tc>
          <w:tcPr>
            <w:tcW w:w="459" w:type="pct"/>
            <w:shd w:val="clear" w:color="auto" w:fill="auto"/>
            <w:noWrap/>
            <w:hideMark/>
          </w:tcPr>
          <w:p w14:paraId="53DCB3A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215</w:t>
            </w:r>
          </w:p>
        </w:tc>
        <w:tc>
          <w:tcPr>
            <w:tcW w:w="304" w:type="pct"/>
            <w:shd w:val="clear" w:color="auto" w:fill="auto"/>
            <w:noWrap/>
            <w:hideMark/>
          </w:tcPr>
          <w:p w14:paraId="54E6140B"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95</w:t>
            </w:r>
          </w:p>
        </w:tc>
        <w:tc>
          <w:tcPr>
            <w:tcW w:w="457" w:type="pct"/>
            <w:shd w:val="clear" w:color="auto" w:fill="auto"/>
            <w:noWrap/>
            <w:hideMark/>
          </w:tcPr>
          <w:p w14:paraId="199BD12D"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47</w:t>
            </w:r>
          </w:p>
        </w:tc>
        <w:tc>
          <w:tcPr>
            <w:tcW w:w="356" w:type="pct"/>
            <w:shd w:val="clear" w:color="auto" w:fill="auto"/>
            <w:noWrap/>
            <w:hideMark/>
          </w:tcPr>
          <w:p w14:paraId="09B46366"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15</w:t>
            </w:r>
          </w:p>
        </w:tc>
        <w:tc>
          <w:tcPr>
            <w:tcW w:w="343" w:type="pct"/>
            <w:tcBorders>
              <w:right w:val="single" w:sz="12" w:space="0" w:color="auto"/>
            </w:tcBorders>
            <w:shd w:val="clear" w:color="auto" w:fill="auto"/>
            <w:noWrap/>
            <w:hideMark/>
          </w:tcPr>
          <w:p w14:paraId="6855EE6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419" w:type="pct"/>
            <w:tcBorders>
              <w:left w:val="single" w:sz="12" w:space="0" w:color="auto"/>
              <w:right w:val="single" w:sz="2" w:space="0" w:color="FFFFFF" w:themeColor="background1"/>
            </w:tcBorders>
            <w:shd w:val="clear" w:color="auto" w:fill="auto"/>
            <w:noWrap/>
            <w:hideMark/>
          </w:tcPr>
          <w:p w14:paraId="43A902DF"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278</w:t>
            </w:r>
          </w:p>
        </w:tc>
        <w:tc>
          <w:tcPr>
            <w:tcW w:w="254" w:type="pct"/>
            <w:tcBorders>
              <w:left w:val="single" w:sz="2" w:space="0" w:color="FFFFFF" w:themeColor="background1"/>
              <w:right w:val="single" w:sz="2" w:space="0" w:color="FFFFFF" w:themeColor="background1"/>
            </w:tcBorders>
            <w:shd w:val="clear" w:color="auto" w:fill="auto"/>
            <w:noWrap/>
            <w:hideMark/>
          </w:tcPr>
          <w:p w14:paraId="45E00A17"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66</w:t>
            </w:r>
          </w:p>
        </w:tc>
        <w:tc>
          <w:tcPr>
            <w:tcW w:w="411" w:type="pct"/>
            <w:tcBorders>
              <w:left w:val="single" w:sz="2" w:space="0" w:color="FFFFFF" w:themeColor="background1"/>
              <w:right w:val="single" w:sz="2" w:space="0" w:color="FFFFFF" w:themeColor="background1"/>
            </w:tcBorders>
            <w:shd w:val="clear" w:color="auto" w:fill="auto"/>
            <w:noWrap/>
            <w:hideMark/>
          </w:tcPr>
          <w:p w14:paraId="3EEFEF78"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21</w:t>
            </w:r>
          </w:p>
        </w:tc>
        <w:tc>
          <w:tcPr>
            <w:tcW w:w="336" w:type="pct"/>
            <w:tcBorders>
              <w:left w:val="single" w:sz="2" w:space="0" w:color="FFFFFF" w:themeColor="background1"/>
              <w:right w:val="single" w:sz="2" w:space="0" w:color="FFFFFF" w:themeColor="background1"/>
            </w:tcBorders>
            <w:shd w:val="clear" w:color="auto" w:fill="auto"/>
            <w:noWrap/>
            <w:hideMark/>
          </w:tcPr>
          <w:p w14:paraId="15C2A3A4"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w:t>
            </w:r>
          </w:p>
        </w:tc>
        <w:tc>
          <w:tcPr>
            <w:tcW w:w="341" w:type="pct"/>
            <w:tcBorders>
              <w:left w:val="single" w:sz="2" w:space="0" w:color="FFFFFF" w:themeColor="background1"/>
              <w:right w:val="single" w:sz="2" w:space="0" w:color="FFFFFF" w:themeColor="background1"/>
            </w:tcBorders>
            <w:shd w:val="clear" w:color="auto" w:fill="auto"/>
            <w:noWrap/>
            <w:hideMark/>
          </w:tcPr>
          <w:p w14:paraId="670C8445" w14:textId="77777777" w:rsidR="009164E3" w:rsidRPr="00FE7DE3" w:rsidRDefault="009164E3" w:rsidP="006A1F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r>
      <w:tr w:rsidR="00FE7DE3" w:rsidRPr="00FE7DE3" w14:paraId="30A18862" w14:textId="77777777" w:rsidTr="00DE01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13" w:type="pct"/>
            <w:vMerge/>
            <w:tcBorders>
              <w:left w:val="single" w:sz="2" w:space="0" w:color="FFFFFF" w:themeColor="background1"/>
              <w:bottom w:val="single" w:sz="18" w:space="0" w:color="auto"/>
            </w:tcBorders>
            <w:shd w:val="clear" w:color="auto" w:fill="auto"/>
            <w:hideMark/>
          </w:tcPr>
          <w:p w14:paraId="0AFA30CB" w14:textId="77777777" w:rsidR="009164E3" w:rsidRPr="00FE7DE3" w:rsidRDefault="009164E3" w:rsidP="006A1F3B">
            <w:pPr>
              <w:rPr>
                <w:rFonts w:ascii="Times New Roman" w:eastAsia="Times New Roman" w:hAnsi="Times New Roman" w:cs="Times New Roman"/>
                <w:sz w:val="20"/>
                <w:szCs w:val="20"/>
                <w:lang w:eastAsia="en-GB"/>
              </w:rPr>
            </w:pPr>
          </w:p>
        </w:tc>
        <w:tc>
          <w:tcPr>
            <w:tcW w:w="507" w:type="pct"/>
            <w:tcBorders>
              <w:bottom w:val="single" w:sz="18" w:space="0" w:color="auto"/>
            </w:tcBorders>
            <w:shd w:val="clear" w:color="auto" w:fill="auto"/>
            <w:noWrap/>
            <w:hideMark/>
          </w:tcPr>
          <w:p w14:paraId="3B2EA2B4"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c>
          <w:tcPr>
            <w:tcW w:w="459" w:type="pct"/>
            <w:tcBorders>
              <w:bottom w:val="single" w:sz="18" w:space="0" w:color="auto"/>
            </w:tcBorders>
            <w:shd w:val="clear" w:color="auto" w:fill="auto"/>
            <w:noWrap/>
            <w:hideMark/>
          </w:tcPr>
          <w:p w14:paraId="0724ADC2"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56</w:t>
            </w:r>
          </w:p>
        </w:tc>
        <w:tc>
          <w:tcPr>
            <w:tcW w:w="304" w:type="pct"/>
            <w:tcBorders>
              <w:bottom w:val="single" w:sz="18" w:space="0" w:color="auto"/>
            </w:tcBorders>
            <w:shd w:val="clear" w:color="auto" w:fill="auto"/>
            <w:noWrap/>
            <w:hideMark/>
          </w:tcPr>
          <w:p w14:paraId="252AA134"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25</w:t>
            </w:r>
          </w:p>
        </w:tc>
        <w:tc>
          <w:tcPr>
            <w:tcW w:w="457" w:type="pct"/>
            <w:tcBorders>
              <w:bottom w:val="single" w:sz="18" w:space="0" w:color="auto"/>
            </w:tcBorders>
            <w:shd w:val="clear" w:color="auto" w:fill="auto"/>
            <w:noWrap/>
            <w:hideMark/>
          </w:tcPr>
          <w:p w14:paraId="6F77046E"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12</w:t>
            </w:r>
          </w:p>
        </w:tc>
        <w:tc>
          <w:tcPr>
            <w:tcW w:w="356" w:type="pct"/>
            <w:tcBorders>
              <w:bottom w:val="single" w:sz="18" w:space="0" w:color="auto"/>
            </w:tcBorders>
            <w:shd w:val="clear" w:color="auto" w:fill="auto"/>
            <w:noWrap/>
            <w:hideMark/>
          </w:tcPr>
          <w:p w14:paraId="43F1E72C"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4</w:t>
            </w:r>
          </w:p>
        </w:tc>
        <w:tc>
          <w:tcPr>
            <w:tcW w:w="343" w:type="pct"/>
            <w:tcBorders>
              <w:bottom w:val="single" w:sz="18" w:space="0" w:color="auto"/>
              <w:right w:val="single" w:sz="12" w:space="0" w:color="auto"/>
            </w:tcBorders>
            <w:shd w:val="clear" w:color="auto" w:fill="auto"/>
            <w:noWrap/>
            <w:hideMark/>
          </w:tcPr>
          <w:p w14:paraId="323E5C86"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419" w:type="pct"/>
            <w:tcBorders>
              <w:left w:val="single" w:sz="12" w:space="0" w:color="auto"/>
              <w:bottom w:val="single" w:sz="18" w:space="0" w:color="auto"/>
              <w:right w:val="single" w:sz="2" w:space="0" w:color="FFFFFF" w:themeColor="background1"/>
            </w:tcBorders>
            <w:shd w:val="clear" w:color="auto" w:fill="auto"/>
            <w:noWrap/>
            <w:hideMark/>
          </w:tcPr>
          <w:p w14:paraId="1D705CD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73</w:t>
            </w:r>
          </w:p>
        </w:tc>
        <w:tc>
          <w:tcPr>
            <w:tcW w:w="254" w:type="pct"/>
            <w:tcBorders>
              <w:left w:val="single" w:sz="2" w:space="0" w:color="FFFFFF" w:themeColor="background1"/>
              <w:bottom w:val="single" w:sz="18" w:space="0" w:color="auto"/>
              <w:right w:val="single" w:sz="2" w:space="0" w:color="FFFFFF" w:themeColor="background1"/>
            </w:tcBorders>
            <w:shd w:val="clear" w:color="auto" w:fill="auto"/>
            <w:noWrap/>
            <w:hideMark/>
          </w:tcPr>
          <w:p w14:paraId="7AA68DFA"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17</w:t>
            </w:r>
          </w:p>
        </w:tc>
        <w:tc>
          <w:tcPr>
            <w:tcW w:w="411" w:type="pct"/>
            <w:tcBorders>
              <w:left w:val="single" w:sz="2" w:space="0" w:color="FFFFFF" w:themeColor="background1"/>
              <w:bottom w:val="single" w:sz="18" w:space="0" w:color="auto"/>
              <w:right w:val="single" w:sz="2" w:space="0" w:color="FFFFFF" w:themeColor="background1"/>
            </w:tcBorders>
            <w:shd w:val="clear" w:color="auto" w:fill="auto"/>
            <w:noWrap/>
            <w:hideMark/>
          </w:tcPr>
          <w:p w14:paraId="62A1A2E9"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6</w:t>
            </w:r>
          </w:p>
        </w:tc>
        <w:tc>
          <w:tcPr>
            <w:tcW w:w="336" w:type="pct"/>
            <w:tcBorders>
              <w:left w:val="single" w:sz="2" w:space="0" w:color="FFFFFF" w:themeColor="background1"/>
              <w:bottom w:val="single" w:sz="18" w:space="0" w:color="auto"/>
              <w:right w:val="single" w:sz="2" w:space="0" w:color="FFFFFF" w:themeColor="background1"/>
            </w:tcBorders>
            <w:shd w:val="clear" w:color="auto" w:fill="auto"/>
            <w:noWrap/>
            <w:hideMark/>
          </w:tcPr>
          <w:p w14:paraId="6DF39E7B"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1</w:t>
            </w:r>
          </w:p>
        </w:tc>
        <w:tc>
          <w:tcPr>
            <w:tcW w:w="341" w:type="pct"/>
            <w:tcBorders>
              <w:left w:val="single" w:sz="2" w:space="0" w:color="FFFFFF" w:themeColor="background1"/>
              <w:bottom w:val="single" w:sz="18" w:space="0" w:color="auto"/>
              <w:right w:val="single" w:sz="2" w:space="0" w:color="FFFFFF" w:themeColor="background1"/>
            </w:tcBorders>
            <w:shd w:val="clear" w:color="auto" w:fill="auto"/>
            <w:noWrap/>
            <w:hideMark/>
          </w:tcPr>
          <w:p w14:paraId="3613CCB8" w14:textId="77777777" w:rsidR="009164E3" w:rsidRPr="00FE7DE3" w:rsidRDefault="009164E3" w:rsidP="006A1F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FE7DE3">
              <w:rPr>
                <w:rFonts w:ascii="Times New Roman" w:eastAsia="Times New Roman" w:hAnsi="Times New Roman" w:cs="Times New Roman"/>
                <w:sz w:val="20"/>
                <w:szCs w:val="20"/>
                <w:lang w:eastAsia="en-GB"/>
              </w:rPr>
              <w:t>-</w:t>
            </w:r>
          </w:p>
        </w:tc>
      </w:tr>
    </w:tbl>
    <w:p w14:paraId="6F75870A" w14:textId="15503C9A" w:rsidR="009164E3" w:rsidRPr="00FE7DE3" w:rsidRDefault="009164E3" w:rsidP="00432BCB">
      <w:pPr>
        <w:widowControl w:val="0"/>
        <w:autoSpaceDE w:val="0"/>
        <w:autoSpaceDN w:val="0"/>
        <w:adjustRightInd w:val="0"/>
        <w:spacing w:line="360" w:lineRule="auto"/>
        <w:ind w:left="480" w:hanging="480"/>
        <w:rPr>
          <w:rFonts w:ascii="Times New Roman" w:hAnsi="Times New Roman" w:cs="Times New Roman"/>
          <w:b/>
          <w:bCs/>
        </w:rPr>
        <w:sectPr w:rsidR="009164E3" w:rsidRPr="00FE7DE3" w:rsidSect="009164E3">
          <w:pgSz w:w="16838" w:h="11906" w:orient="landscape"/>
          <w:pgMar w:top="1440" w:right="1440" w:bottom="1440" w:left="1440" w:header="709" w:footer="709" w:gutter="0"/>
          <w:lnNumType w:countBy="1"/>
          <w:cols w:space="708"/>
          <w:docGrid w:linePitch="360"/>
        </w:sectPr>
      </w:pPr>
    </w:p>
    <w:p w14:paraId="6FCA9B7B" w14:textId="50337DD0" w:rsidR="003D663B" w:rsidRPr="00FE7DE3" w:rsidRDefault="003D663B" w:rsidP="003D663B">
      <w:pPr>
        <w:rPr>
          <w:rFonts w:ascii="Times New Roman" w:hAnsi="Times New Roman" w:cs="Times New Roman"/>
          <w:b/>
          <w:bCs/>
        </w:rPr>
      </w:pPr>
      <w:r w:rsidRPr="00FE7DE3">
        <w:rPr>
          <w:rFonts w:ascii="Times New Roman" w:hAnsi="Times New Roman" w:cs="Times New Roman"/>
          <w:b/>
          <w:bCs/>
        </w:rPr>
        <w:lastRenderedPageBreak/>
        <w:t xml:space="preserve">Figure Captions: </w:t>
      </w:r>
    </w:p>
    <w:p w14:paraId="4ABBAE4D" w14:textId="6C17D91E" w:rsidR="003D663B" w:rsidRPr="00FE7DE3" w:rsidRDefault="003D663B" w:rsidP="003D663B">
      <w:pPr>
        <w:spacing w:before="120" w:after="240" w:line="360" w:lineRule="auto"/>
        <w:rPr>
          <w:rFonts w:ascii="Times New Roman" w:hAnsi="Times New Roman" w:cs="Times New Roman"/>
          <w:bCs/>
        </w:rPr>
      </w:pPr>
      <w:r w:rsidRPr="00FE7DE3">
        <w:rPr>
          <w:rFonts w:ascii="Times New Roman" w:hAnsi="Times New Roman" w:cs="Times New Roman"/>
          <w:b/>
          <w:bCs/>
        </w:rPr>
        <w:t xml:space="preserve">Figure 1. </w:t>
      </w:r>
      <w:r w:rsidRPr="00FE7DE3">
        <w:rPr>
          <w:rFonts w:ascii="Times New Roman" w:hAnsi="Times New Roman" w:cs="Times New Roman"/>
          <w:bCs/>
        </w:rPr>
        <w:t xml:space="preserve">The prevalence of symptoms and severity of COVID-19 (A) and long-COVID (B). Note: * indicates </w:t>
      </w:r>
      <w:r w:rsidRPr="00FE7DE3">
        <w:rPr>
          <w:rFonts w:ascii="Times New Roman" w:hAnsi="Times New Roman" w:cs="Times New Roman"/>
          <w:bCs/>
          <w:i/>
          <w:iCs/>
        </w:rPr>
        <w:t>P</w:t>
      </w:r>
      <w:r w:rsidRPr="00FE7DE3">
        <w:rPr>
          <w:rFonts w:ascii="Times New Roman" w:hAnsi="Times New Roman" w:cs="Times New Roman"/>
          <w:bCs/>
        </w:rPr>
        <w:t xml:space="preserve">&lt;0.001, </w:t>
      </w:r>
      <w:r w:rsidRPr="00FE7DE3">
        <w:rPr>
          <w:rFonts w:ascii="Cambria Math" w:hAnsi="Cambria Math" w:cs="Cambria Math"/>
          <w:bCs/>
        </w:rPr>
        <w:t>⇩</w:t>
      </w:r>
      <w:r w:rsidRPr="00FE7DE3">
        <w:rPr>
          <w:rFonts w:ascii="Times New Roman" w:hAnsi="Times New Roman" w:cs="Times New Roman"/>
          <w:bCs/>
        </w:rPr>
        <w:t xml:space="preserve"> indicat</w:t>
      </w:r>
      <w:r w:rsidR="00A2050D" w:rsidRPr="00FE7DE3">
        <w:rPr>
          <w:rFonts w:ascii="Times New Roman" w:hAnsi="Times New Roman" w:cs="Times New Roman"/>
          <w:bCs/>
        </w:rPr>
        <w:t>ing</w:t>
      </w:r>
      <w:r w:rsidRPr="00FE7DE3">
        <w:rPr>
          <w:rFonts w:ascii="Times New Roman" w:hAnsi="Times New Roman" w:cs="Times New Roman"/>
          <w:bCs/>
        </w:rPr>
        <w:t xml:space="preserve"> a reduction in median (IQR)</w:t>
      </w:r>
      <w:r w:rsidR="00506025" w:rsidRPr="00FE7DE3">
        <w:rPr>
          <w:rFonts w:ascii="Times New Roman" w:hAnsi="Times New Roman" w:cs="Times New Roman"/>
          <w:bCs/>
        </w:rPr>
        <w:t>.</w:t>
      </w:r>
      <w:r w:rsidRPr="00FE7DE3">
        <w:rPr>
          <w:rFonts w:ascii="Times New Roman" w:hAnsi="Times New Roman" w:cs="Times New Roman"/>
          <w:bCs/>
        </w:rPr>
        <w:t xml:space="preserve"> </w:t>
      </w:r>
    </w:p>
    <w:p w14:paraId="535B8A62" w14:textId="7E02A037" w:rsidR="001A77E3" w:rsidRPr="00FE7DE3" w:rsidRDefault="003D663B" w:rsidP="00506025">
      <w:pPr>
        <w:spacing w:before="120" w:after="240" w:line="360" w:lineRule="auto"/>
      </w:pPr>
      <w:r w:rsidRPr="00FE7DE3">
        <w:rPr>
          <w:rFonts w:ascii="Times New Roman" w:hAnsi="Times New Roman" w:cs="Times New Roman"/>
          <w:b/>
          <w:bCs/>
        </w:rPr>
        <w:t>Figure 2.</w:t>
      </w:r>
      <w:r w:rsidRPr="00FE7DE3">
        <w:rPr>
          <w:rFonts w:ascii="Times New Roman" w:hAnsi="Times New Roman" w:cs="Times New Roman"/>
        </w:rPr>
        <w:t xml:space="preserve"> The effect of COVID-19 symptoms on completion of daily activities, sleep quality and moderate-vigorous work requirements</w:t>
      </w:r>
      <w:r w:rsidR="00506025" w:rsidRPr="00FE7DE3">
        <w:rPr>
          <w:rFonts w:ascii="Times New Roman" w:hAnsi="Times New Roman" w:cs="Times New Roman"/>
        </w:rPr>
        <w:t>.</w:t>
      </w:r>
    </w:p>
    <w:sectPr w:rsidR="001A77E3" w:rsidRPr="00FE7DE3" w:rsidSect="00506025">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EBDC" w14:textId="77777777" w:rsidR="008F5E8E" w:rsidRDefault="008F5E8E" w:rsidP="00432BCB">
      <w:pPr>
        <w:spacing w:after="0" w:line="240" w:lineRule="auto"/>
      </w:pPr>
      <w:r>
        <w:separator/>
      </w:r>
    </w:p>
  </w:endnote>
  <w:endnote w:type="continuationSeparator" w:id="0">
    <w:p w14:paraId="0357F2A5" w14:textId="77777777" w:rsidR="008F5E8E" w:rsidRDefault="008F5E8E" w:rsidP="0043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D7D0" w14:textId="77777777" w:rsidR="0045062C" w:rsidRDefault="0045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676884"/>
      <w:docPartObj>
        <w:docPartGallery w:val="Page Numbers (Bottom of Page)"/>
        <w:docPartUnique/>
      </w:docPartObj>
    </w:sdtPr>
    <w:sdtEndPr>
      <w:rPr>
        <w:noProof/>
      </w:rPr>
    </w:sdtEndPr>
    <w:sdtContent>
      <w:p w14:paraId="5CFEAA0B" w14:textId="78388CF0" w:rsidR="007B3B3A" w:rsidRDefault="007B3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7DF34" w14:textId="5AED4F0E" w:rsidR="00642D58" w:rsidRDefault="00FE7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2F83" w14:textId="77777777" w:rsidR="0045062C" w:rsidRDefault="0045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F0DD" w14:textId="77777777" w:rsidR="008F5E8E" w:rsidRDefault="008F5E8E" w:rsidP="00432BCB">
      <w:pPr>
        <w:spacing w:after="0" w:line="240" w:lineRule="auto"/>
      </w:pPr>
      <w:r>
        <w:separator/>
      </w:r>
    </w:p>
  </w:footnote>
  <w:footnote w:type="continuationSeparator" w:id="0">
    <w:p w14:paraId="1BDD0941" w14:textId="77777777" w:rsidR="008F5E8E" w:rsidRDefault="008F5E8E" w:rsidP="0043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E99A" w14:textId="77777777" w:rsidR="0045062C" w:rsidRDefault="0045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6AF" w14:textId="77777777" w:rsidR="0045062C" w:rsidRDefault="0045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8F2F" w14:textId="77777777" w:rsidR="0045062C" w:rsidRDefault="0045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D0"/>
    <w:multiLevelType w:val="multilevel"/>
    <w:tmpl w:val="EE4C60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17F1595"/>
    <w:multiLevelType w:val="multilevel"/>
    <w:tmpl w:val="937A31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MjIwNDIxtjQztDBQ0lEKTi0uzszPAykwNKwFAOb9fGEtAAAA"/>
  </w:docVars>
  <w:rsids>
    <w:rsidRoot w:val="00432BCB"/>
    <w:rsid w:val="00000F63"/>
    <w:rsid w:val="000057D6"/>
    <w:rsid w:val="00006137"/>
    <w:rsid w:val="00010A07"/>
    <w:rsid w:val="00013A74"/>
    <w:rsid w:val="00015561"/>
    <w:rsid w:val="0001731A"/>
    <w:rsid w:val="000221D8"/>
    <w:rsid w:val="00031829"/>
    <w:rsid w:val="0003274E"/>
    <w:rsid w:val="00034F20"/>
    <w:rsid w:val="000406BD"/>
    <w:rsid w:val="0004567A"/>
    <w:rsid w:val="000469BF"/>
    <w:rsid w:val="00050A3B"/>
    <w:rsid w:val="000637E0"/>
    <w:rsid w:val="00063AB2"/>
    <w:rsid w:val="00063B07"/>
    <w:rsid w:val="000647DA"/>
    <w:rsid w:val="000750A3"/>
    <w:rsid w:val="0007533C"/>
    <w:rsid w:val="0007796C"/>
    <w:rsid w:val="000801C7"/>
    <w:rsid w:val="000818BF"/>
    <w:rsid w:val="000848C9"/>
    <w:rsid w:val="00084BFC"/>
    <w:rsid w:val="00084F8D"/>
    <w:rsid w:val="00087A92"/>
    <w:rsid w:val="000A2935"/>
    <w:rsid w:val="000A76BB"/>
    <w:rsid w:val="000B55E9"/>
    <w:rsid w:val="000C36B5"/>
    <w:rsid w:val="000D0282"/>
    <w:rsid w:val="000E4117"/>
    <w:rsid w:val="000E4687"/>
    <w:rsid w:val="000E4772"/>
    <w:rsid w:val="000E7599"/>
    <w:rsid w:val="000E7EF1"/>
    <w:rsid w:val="000F2498"/>
    <w:rsid w:val="000F31ED"/>
    <w:rsid w:val="000F39BC"/>
    <w:rsid w:val="001015B3"/>
    <w:rsid w:val="001040CA"/>
    <w:rsid w:val="00107F18"/>
    <w:rsid w:val="00111D40"/>
    <w:rsid w:val="00115B0C"/>
    <w:rsid w:val="00117224"/>
    <w:rsid w:val="00117F0C"/>
    <w:rsid w:val="00120526"/>
    <w:rsid w:val="0012167E"/>
    <w:rsid w:val="00121D37"/>
    <w:rsid w:val="00130BFC"/>
    <w:rsid w:val="00137773"/>
    <w:rsid w:val="0014007E"/>
    <w:rsid w:val="00141E18"/>
    <w:rsid w:val="0014328C"/>
    <w:rsid w:val="00145002"/>
    <w:rsid w:val="00155D8D"/>
    <w:rsid w:val="00156CB3"/>
    <w:rsid w:val="00161CF6"/>
    <w:rsid w:val="0016588B"/>
    <w:rsid w:val="00175366"/>
    <w:rsid w:val="001848F4"/>
    <w:rsid w:val="001866F6"/>
    <w:rsid w:val="00187548"/>
    <w:rsid w:val="001913E2"/>
    <w:rsid w:val="00197E13"/>
    <w:rsid w:val="001A1E1A"/>
    <w:rsid w:val="001A77E3"/>
    <w:rsid w:val="001A7BE8"/>
    <w:rsid w:val="001B197A"/>
    <w:rsid w:val="001C5876"/>
    <w:rsid w:val="001D2D75"/>
    <w:rsid w:val="001D31A7"/>
    <w:rsid w:val="001F3CB6"/>
    <w:rsid w:val="001F528A"/>
    <w:rsid w:val="001F5A09"/>
    <w:rsid w:val="0020171A"/>
    <w:rsid w:val="002048C3"/>
    <w:rsid w:val="002054E5"/>
    <w:rsid w:val="002140F2"/>
    <w:rsid w:val="0021583E"/>
    <w:rsid w:val="00215AC1"/>
    <w:rsid w:val="002212B6"/>
    <w:rsid w:val="00221DFA"/>
    <w:rsid w:val="00226AF4"/>
    <w:rsid w:val="00226B49"/>
    <w:rsid w:val="0023017D"/>
    <w:rsid w:val="00231D23"/>
    <w:rsid w:val="0023337D"/>
    <w:rsid w:val="0023752C"/>
    <w:rsid w:val="00237AEC"/>
    <w:rsid w:val="002564CF"/>
    <w:rsid w:val="002574D0"/>
    <w:rsid w:val="002627E1"/>
    <w:rsid w:val="0026626E"/>
    <w:rsid w:val="00276699"/>
    <w:rsid w:val="0028068A"/>
    <w:rsid w:val="00286931"/>
    <w:rsid w:val="002A118D"/>
    <w:rsid w:val="002B0488"/>
    <w:rsid w:val="002B0F3E"/>
    <w:rsid w:val="002B1180"/>
    <w:rsid w:val="002B1D0C"/>
    <w:rsid w:val="002B21A2"/>
    <w:rsid w:val="002B37DB"/>
    <w:rsid w:val="002C012D"/>
    <w:rsid w:val="002C0A30"/>
    <w:rsid w:val="002C179D"/>
    <w:rsid w:val="002C36C1"/>
    <w:rsid w:val="002C4CA9"/>
    <w:rsid w:val="002C5C39"/>
    <w:rsid w:val="002D5048"/>
    <w:rsid w:val="002E1554"/>
    <w:rsid w:val="002E4207"/>
    <w:rsid w:val="002E468D"/>
    <w:rsid w:val="002E6B94"/>
    <w:rsid w:val="002F0E58"/>
    <w:rsid w:val="002F1264"/>
    <w:rsid w:val="002F18FB"/>
    <w:rsid w:val="002F476E"/>
    <w:rsid w:val="003025FC"/>
    <w:rsid w:val="00304418"/>
    <w:rsid w:val="00314F17"/>
    <w:rsid w:val="00315CEF"/>
    <w:rsid w:val="00331630"/>
    <w:rsid w:val="00333059"/>
    <w:rsid w:val="0035077D"/>
    <w:rsid w:val="00364BFF"/>
    <w:rsid w:val="00382A13"/>
    <w:rsid w:val="00386B62"/>
    <w:rsid w:val="00391D2E"/>
    <w:rsid w:val="0039317A"/>
    <w:rsid w:val="00393D32"/>
    <w:rsid w:val="003A5855"/>
    <w:rsid w:val="003A5A9E"/>
    <w:rsid w:val="003A73A2"/>
    <w:rsid w:val="003A7CE4"/>
    <w:rsid w:val="003B3717"/>
    <w:rsid w:val="003C1F41"/>
    <w:rsid w:val="003C5811"/>
    <w:rsid w:val="003D1482"/>
    <w:rsid w:val="003D663B"/>
    <w:rsid w:val="003E07A1"/>
    <w:rsid w:val="003E1308"/>
    <w:rsid w:val="003E4F49"/>
    <w:rsid w:val="003F43FD"/>
    <w:rsid w:val="00411960"/>
    <w:rsid w:val="00411B04"/>
    <w:rsid w:val="00417AD1"/>
    <w:rsid w:val="00421801"/>
    <w:rsid w:val="00423370"/>
    <w:rsid w:val="00423F8C"/>
    <w:rsid w:val="00425418"/>
    <w:rsid w:val="004269B7"/>
    <w:rsid w:val="00432B24"/>
    <w:rsid w:val="00432BCB"/>
    <w:rsid w:val="0043450D"/>
    <w:rsid w:val="00440C7A"/>
    <w:rsid w:val="00440E43"/>
    <w:rsid w:val="0044149C"/>
    <w:rsid w:val="0045062C"/>
    <w:rsid w:val="004514B4"/>
    <w:rsid w:val="004573D0"/>
    <w:rsid w:val="004612A3"/>
    <w:rsid w:val="00462945"/>
    <w:rsid w:val="004646C7"/>
    <w:rsid w:val="00471D66"/>
    <w:rsid w:val="004724E9"/>
    <w:rsid w:val="0049419E"/>
    <w:rsid w:val="00496152"/>
    <w:rsid w:val="004A06D6"/>
    <w:rsid w:val="004A0C33"/>
    <w:rsid w:val="004A0F32"/>
    <w:rsid w:val="004A1D44"/>
    <w:rsid w:val="004A2450"/>
    <w:rsid w:val="004A7938"/>
    <w:rsid w:val="004B137B"/>
    <w:rsid w:val="004B261B"/>
    <w:rsid w:val="004C658F"/>
    <w:rsid w:val="004D5935"/>
    <w:rsid w:val="004D67FA"/>
    <w:rsid w:val="004E5335"/>
    <w:rsid w:val="004F07AF"/>
    <w:rsid w:val="004F4724"/>
    <w:rsid w:val="00500AA0"/>
    <w:rsid w:val="00500E04"/>
    <w:rsid w:val="00501298"/>
    <w:rsid w:val="00506025"/>
    <w:rsid w:val="00506F97"/>
    <w:rsid w:val="005105A0"/>
    <w:rsid w:val="00513FA1"/>
    <w:rsid w:val="00521909"/>
    <w:rsid w:val="0052406F"/>
    <w:rsid w:val="00525591"/>
    <w:rsid w:val="0052604B"/>
    <w:rsid w:val="00526B2F"/>
    <w:rsid w:val="00527628"/>
    <w:rsid w:val="005315F0"/>
    <w:rsid w:val="00536CA7"/>
    <w:rsid w:val="005468A4"/>
    <w:rsid w:val="00554A3C"/>
    <w:rsid w:val="00561762"/>
    <w:rsid w:val="00563D20"/>
    <w:rsid w:val="00564B3E"/>
    <w:rsid w:val="005715BA"/>
    <w:rsid w:val="00573085"/>
    <w:rsid w:val="00573E7E"/>
    <w:rsid w:val="005766FF"/>
    <w:rsid w:val="00577BA1"/>
    <w:rsid w:val="00585372"/>
    <w:rsid w:val="00585CCA"/>
    <w:rsid w:val="00587139"/>
    <w:rsid w:val="00592D64"/>
    <w:rsid w:val="00595681"/>
    <w:rsid w:val="00597FD6"/>
    <w:rsid w:val="005A0616"/>
    <w:rsid w:val="005A777C"/>
    <w:rsid w:val="005B2FA2"/>
    <w:rsid w:val="005B3DF1"/>
    <w:rsid w:val="005E088B"/>
    <w:rsid w:val="005E7181"/>
    <w:rsid w:val="00601EB1"/>
    <w:rsid w:val="00603323"/>
    <w:rsid w:val="00614D6A"/>
    <w:rsid w:val="0061679B"/>
    <w:rsid w:val="00626D77"/>
    <w:rsid w:val="006333BC"/>
    <w:rsid w:val="00640235"/>
    <w:rsid w:val="00644B9F"/>
    <w:rsid w:val="00655E89"/>
    <w:rsid w:val="0065621D"/>
    <w:rsid w:val="00661DD7"/>
    <w:rsid w:val="006645AB"/>
    <w:rsid w:val="006758EA"/>
    <w:rsid w:val="00682784"/>
    <w:rsid w:val="00686E21"/>
    <w:rsid w:val="00687E05"/>
    <w:rsid w:val="00690B70"/>
    <w:rsid w:val="006941FD"/>
    <w:rsid w:val="00695619"/>
    <w:rsid w:val="006A0A41"/>
    <w:rsid w:val="006A1F3B"/>
    <w:rsid w:val="006A42CA"/>
    <w:rsid w:val="006A49EA"/>
    <w:rsid w:val="006B0A56"/>
    <w:rsid w:val="006C2E73"/>
    <w:rsid w:val="006C7AF9"/>
    <w:rsid w:val="006D20AD"/>
    <w:rsid w:val="006D551B"/>
    <w:rsid w:val="006F05EB"/>
    <w:rsid w:val="00703396"/>
    <w:rsid w:val="00706A1F"/>
    <w:rsid w:val="007132CB"/>
    <w:rsid w:val="0071444F"/>
    <w:rsid w:val="00720026"/>
    <w:rsid w:val="00720AB5"/>
    <w:rsid w:val="00725044"/>
    <w:rsid w:val="00746515"/>
    <w:rsid w:val="00754E4F"/>
    <w:rsid w:val="00756E51"/>
    <w:rsid w:val="007577BA"/>
    <w:rsid w:val="0076182E"/>
    <w:rsid w:val="007623CC"/>
    <w:rsid w:val="00765B2E"/>
    <w:rsid w:val="00777233"/>
    <w:rsid w:val="0077760A"/>
    <w:rsid w:val="0078282C"/>
    <w:rsid w:val="0079409D"/>
    <w:rsid w:val="0079458C"/>
    <w:rsid w:val="007967B9"/>
    <w:rsid w:val="007A004C"/>
    <w:rsid w:val="007A1C72"/>
    <w:rsid w:val="007B3831"/>
    <w:rsid w:val="007B3B3A"/>
    <w:rsid w:val="007B65C7"/>
    <w:rsid w:val="007B6CC6"/>
    <w:rsid w:val="007C02A5"/>
    <w:rsid w:val="007C6268"/>
    <w:rsid w:val="007D18AE"/>
    <w:rsid w:val="007D22BB"/>
    <w:rsid w:val="007D2BBC"/>
    <w:rsid w:val="007D608E"/>
    <w:rsid w:val="007E142A"/>
    <w:rsid w:val="007E572D"/>
    <w:rsid w:val="007F0359"/>
    <w:rsid w:val="007F06E0"/>
    <w:rsid w:val="007F11A7"/>
    <w:rsid w:val="008005D5"/>
    <w:rsid w:val="0080106D"/>
    <w:rsid w:val="00804F41"/>
    <w:rsid w:val="00823B5C"/>
    <w:rsid w:val="008332D1"/>
    <w:rsid w:val="00835C6A"/>
    <w:rsid w:val="008413AE"/>
    <w:rsid w:val="00841C43"/>
    <w:rsid w:val="008438CB"/>
    <w:rsid w:val="008454CD"/>
    <w:rsid w:val="00846C5C"/>
    <w:rsid w:val="00851240"/>
    <w:rsid w:val="008636AD"/>
    <w:rsid w:val="00867FD1"/>
    <w:rsid w:val="00870D3E"/>
    <w:rsid w:val="00872C56"/>
    <w:rsid w:val="008738A3"/>
    <w:rsid w:val="00877019"/>
    <w:rsid w:val="0088431A"/>
    <w:rsid w:val="0088767A"/>
    <w:rsid w:val="00892EAF"/>
    <w:rsid w:val="008945EA"/>
    <w:rsid w:val="008967E1"/>
    <w:rsid w:val="008A4C47"/>
    <w:rsid w:val="008A525E"/>
    <w:rsid w:val="008A5829"/>
    <w:rsid w:val="008A7D17"/>
    <w:rsid w:val="008B0058"/>
    <w:rsid w:val="008B0944"/>
    <w:rsid w:val="008B21F8"/>
    <w:rsid w:val="008B2DB1"/>
    <w:rsid w:val="008C08F9"/>
    <w:rsid w:val="008C3367"/>
    <w:rsid w:val="008D0B85"/>
    <w:rsid w:val="008D44A2"/>
    <w:rsid w:val="008D472D"/>
    <w:rsid w:val="008E4482"/>
    <w:rsid w:val="008E4A72"/>
    <w:rsid w:val="008E672E"/>
    <w:rsid w:val="008E7C58"/>
    <w:rsid w:val="008F3EBC"/>
    <w:rsid w:val="008F5E8E"/>
    <w:rsid w:val="00900545"/>
    <w:rsid w:val="00903105"/>
    <w:rsid w:val="00905E1C"/>
    <w:rsid w:val="00915F3A"/>
    <w:rsid w:val="009164E3"/>
    <w:rsid w:val="00917CE8"/>
    <w:rsid w:val="00931166"/>
    <w:rsid w:val="0093220C"/>
    <w:rsid w:val="00934103"/>
    <w:rsid w:val="00937753"/>
    <w:rsid w:val="0093788F"/>
    <w:rsid w:val="009430A9"/>
    <w:rsid w:val="00952A62"/>
    <w:rsid w:val="00970EE8"/>
    <w:rsid w:val="00971247"/>
    <w:rsid w:val="00972B34"/>
    <w:rsid w:val="0097705A"/>
    <w:rsid w:val="00980076"/>
    <w:rsid w:val="0098158B"/>
    <w:rsid w:val="009833C0"/>
    <w:rsid w:val="00983AED"/>
    <w:rsid w:val="00991858"/>
    <w:rsid w:val="00997101"/>
    <w:rsid w:val="009A68D3"/>
    <w:rsid w:val="009B1936"/>
    <w:rsid w:val="009B5A31"/>
    <w:rsid w:val="009B75F7"/>
    <w:rsid w:val="009C2473"/>
    <w:rsid w:val="009C2CA2"/>
    <w:rsid w:val="009F1A01"/>
    <w:rsid w:val="009F3359"/>
    <w:rsid w:val="009F55C5"/>
    <w:rsid w:val="009F5A5B"/>
    <w:rsid w:val="00A01253"/>
    <w:rsid w:val="00A04604"/>
    <w:rsid w:val="00A04A00"/>
    <w:rsid w:val="00A066A0"/>
    <w:rsid w:val="00A07FB9"/>
    <w:rsid w:val="00A11D9A"/>
    <w:rsid w:val="00A174B7"/>
    <w:rsid w:val="00A2050D"/>
    <w:rsid w:val="00A23FA4"/>
    <w:rsid w:val="00A37F24"/>
    <w:rsid w:val="00A439CF"/>
    <w:rsid w:val="00A50CEE"/>
    <w:rsid w:val="00A514A7"/>
    <w:rsid w:val="00A5792D"/>
    <w:rsid w:val="00A668F4"/>
    <w:rsid w:val="00A676D2"/>
    <w:rsid w:val="00A679E4"/>
    <w:rsid w:val="00A70A4D"/>
    <w:rsid w:val="00A73506"/>
    <w:rsid w:val="00A73B15"/>
    <w:rsid w:val="00A74DB5"/>
    <w:rsid w:val="00A8046A"/>
    <w:rsid w:val="00A8084D"/>
    <w:rsid w:val="00A810FF"/>
    <w:rsid w:val="00A85C02"/>
    <w:rsid w:val="00A86866"/>
    <w:rsid w:val="00A90F9F"/>
    <w:rsid w:val="00A967AE"/>
    <w:rsid w:val="00A96C88"/>
    <w:rsid w:val="00A96DED"/>
    <w:rsid w:val="00AA42CC"/>
    <w:rsid w:val="00AA5CC7"/>
    <w:rsid w:val="00AA7FB2"/>
    <w:rsid w:val="00AB5EB6"/>
    <w:rsid w:val="00AC16B6"/>
    <w:rsid w:val="00AC37C1"/>
    <w:rsid w:val="00AE2F4A"/>
    <w:rsid w:val="00AE5FBE"/>
    <w:rsid w:val="00AF003B"/>
    <w:rsid w:val="00AF669F"/>
    <w:rsid w:val="00B16DFA"/>
    <w:rsid w:val="00B21A43"/>
    <w:rsid w:val="00B221D3"/>
    <w:rsid w:val="00B2345E"/>
    <w:rsid w:val="00B27FB5"/>
    <w:rsid w:val="00B471D3"/>
    <w:rsid w:val="00B52864"/>
    <w:rsid w:val="00B5666C"/>
    <w:rsid w:val="00B60436"/>
    <w:rsid w:val="00B64D15"/>
    <w:rsid w:val="00B73956"/>
    <w:rsid w:val="00B77310"/>
    <w:rsid w:val="00B841DA"/>
    <w:rsid w:val="00B84647"/>
    <w:rsid w:val="00B85470"/>
    <w:rsid w:val="00B87F40"/>
    <w:rsid w:val="00B934C6"/>
    <w:rsid w:val="00B95A5B"/>
    <w:rsid w:val="00BA2965"/>
    <w:rsid w:val="00BB22DC"/>
    <w:rsid w:val="00BB5BAA"/>
    <w:rsid w:val="00BB667F"/>
    <w:rsid w:val="00BC537F"/>
    <w:rsid w:val="00BD00EF"/>
    <w:rsid w:val="00BD1A58"/>
    <w:rsid w:val="00BE0CD8"/>
    <w:rsid w:val="00BE1817"/>
    <w:rsid w:val="00BE7AB4"/>
    <w:rsid w:val="00BF10FB"/>
    <w:rsid w:val="00BF31F2"/>
    <w:rsid w:val="00C13069"/>
    <w:rsid w:val="00C143C0"/>
    <w:rsid w:val="00C16B7E"/>
    <w:rsid w:val="00C33860"/>
    <w:rsid w:val="00C50027"/>
    <w:rsid w:val="00C50368"/>
    <w:rsid w:val="00C63C61"/>
    <w:rsid w:val="00C64A21"/>
    <w:rsid w:val="00C6596D"/>
    <w:rsid w:val="00C72586"/>
    <w:rsid w:val="00C74ADB"/>
    <w:rsid w:val="00C779B4"/>
    <w:rsid w:val="00C808EC"/>
    <w:rsid w:val="00C90292"/>
    <w:rsid w:val="00C91777"/>
    <w:rsid w:val="00C92596"/>
    <w:rsid w:val="00C9591B"/>
    <w:rsid w:val="00CA0AF6"/>
    <w:rsid w:val="00CB4F7B"/>
    <w:rsid w:val="00CB727D"/>
    <w:rsid w:val="00CC79D3"/>
    <w:rsid w:val="00CE0DD8"/>
    <w:rsid w:val="00CE1BEF"/>
    <w:rsid w:val="00CE64FA"/>
    <w:rsid w:val="00CF0338"/>
    <w:rsid w:val="00CF185D"/>
    <w:rsid w:val="00CF1D76"/>
    <w:rsid w:val="00CF7705"/>
    <w:rsid w:val="00D051F9"/>
    <w:rsid w:val="00D13525"/>
    <w:rsid w:val="00D232FC"/>
    <w:rsid w:val="00D260C5"/>
    <w:rsid w:val="00D37950"/>
    <w:rsid w:val="00D442CD"/>
    <w:rsid w:val="00D50BF3"/>
    <w:rsid w:val="00D522DE"/>
    <w:rsid w:val="00D57A7F"/>
    <w:rsid w:val="00D6626E"/>
    <w:rsid w:val="00D67E45"/>
    <w:rsid w:val="00D82D2F"/>
    <w:rsid w:val="00D85A5A"/>
    <w:rsid w:val="00D86B26"/>
    <w:rsid w:val="00D907D3"/>
    <w:rsid w:val="00D90C25"/>
    <w:rsid w:val="00D978E9"/>
    <w:rsid w:val="00DA4E42"/>
    <w:rsid w:val="00DB1AC4"/>
    <w:rsid w:val="00DD6989"/>
    <w:rsid w:val="00DD7FDA"/>
    <w:rsid w:val="00DE010F"/>
    <w:rsid w:val="00DE16F3"/>
    <w:rsid w:val="00DE32DF"/>
    <w:rsid w:val="00DE69D9"/>
    <w:rsid w:val="00DF29F1"/>
    <w:rsid w:val="00DF4DDF"/>
    <w:rsid w:val="00DF4F94"/>
    <w:rsid w:val="00DF5105"/>
    <w:rsid w:val="00E0180E"/>
    <w:rsid w:val="00E16470"/>
    <w:rsid w:val="00E210C5"/>
    <w:rsid w:val="00E24318"/>
    <w:rsid w:val="00E252BA"/>
    <w:rsid w:val="00E254F6"/>
    <w:rsid w:val="00E25819"/>
    <w:rsid w:val="00E338ED"/>
    <w:rsid w:val="00E343F5"/>
    <w:rsid w:val="00E456A5"/>
    <w:rsid w:val="00E45FE5"/>
    <w:rsid w:val="00E46B6E"/>
    <w:rsid w:val="00E57BFD"/>
    <w:rsid w:val="00E64417"/>
    <w:rsid w:val="00E753C0"/>
    <w:rsid w:val="00E80C00"/>
    <w:rsid w:val="00E86DA9"/>
    <w:rsid w:val="00E8744F"/>
    <w:rsid w:val="00E90164"/>
    <w:rsid w:val="00E906BB"/>
    <w:rsid w:val="00E926EF"/>
    <w:rsid w:val="00E97C18"/>
    <w:rsid w:val="00EA10BF"/>
    <w:rsid w:val="00EA2F6A"/>
    <w:rsid w:val="00EA7A85"/>
    <w:rsid w:val="00EA7B76"/>
    <w:rsid w:val="00EB0080"/>
    <w:rsid w:val="00EB6C98"/>
    <w:rsid w:val="00EC6050"/>
    <w:rsid w:val="00ED0FA5"/>
    <w:rsid w:val="00EE33F9"/>
    <w:rsid w:val="00EF2320"/>
    <w:rsid w:val="00EF5D5A"/>
    <w:rsid w:val="00EF675C"/>
    <w:rsid w:val="00EF698A"/>
    <w:rsid w:val="00F10A37"/>
    <w:rsid w:val="00F20738"/>
    <w:rsid w:val="00F225B0"/>
    <w:rsid w:val="00F26DB8"/>
    <w:rsid w:val="00F3176C"/>
    <w:rsid w:val="00F448DB"/>
    <w:rsid w:val="00F501FA"/>
    <w:rsid w:val="00F533C1"/>
    <w:rsid w:val="00F544EE"/>
    <w:rsid w:val="00F63882"/>
    <w:rsid w:val="00F67B70"/>
    <w:rsid w:val="00F72E82"/>
    <w:rsid w:val="00F81CBB"/>
    <w:rsid w:val="00F8593A"/>
    <w:rsid w:val="00F86D9A"/>
    <w:rsid w:val="00F92A35"/>
    <w:rsid w:val="00F9377C"/>
    <w:rsid w:val="00FA1004"/>
    <w:rsid w:val="00FC4698"/>
    <w:rsid w:val="00FC6DA6"/>
    <w:rsid w:val="00FD0A49"/>
    <w:rsid w:val="00FD0F4C"/>
    <w:rsid w:val="00FD6FE4"/>
    <w:rsid w:val="00FE7DE3"/>
    <w:rsid w:val="00FF350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2C9F1"/>
  <w15:docId w15:val="{F1FF127D-20C5-419B-AE68-D4B55781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27D"/>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32BCB"/>
    <w:pPr>
      <w:tabs>
        <w:tab w:val="left" w:pos="504"/>
      </w:tabs>
      <w:spacing w:after="240" w:line="240" w:lineRule="auto"/>
      <w:ind w:left="504" w:hanging="504"/>
    </w:pPr>
  </w:style>
  <w:style w:type="character" w:styleId="Hyperlink">
    <w:name w:val="Hyperlink"/>
    <w:basedOn w:val="DefaultParagraphFont"/>
    <w:uiPriority w:val="99"/>
    <w:unhideWhenUsed/>
    <w:rsid w:val="00432BCB"/>
    <w:rPr>
      <w:color w:val="0563C1" w:themeColor="hyperlink"/>
      <w:u w:val="single"/>
    </w:rPr>
  </w:style>
  <w:style w:type="paragraph" w:styleId="Header">
    <w:name w:val="header"/>
    <w:basedOn w:val="Normal"/>
    <w:link w:val="HeaderChar"/>
    <w:uiPriority w:val="99"/>
    <w:unhideWhenUsed/>
    <w:rsid w:val="00432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BCB"/>
    <w:rPr>
      <w:rFonts w:eastAsiaTheme="minorHAnsi"/>
      <w:lang w:val="en-GB"/>
    </w:rPr>
  </w:style>
  <w:style w:type="paragraph" w:styleId="Footer">
    <w:name w:val="footer"/>
    <w:basedOn w:val="Normal"/>
    <w:link w:val="FooterChar"/>
    <w:uiPriority w:val="99"/>
    <w:unhideWhenUsed/>
    <w:rsid w:val="00432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BCB"/>
    <w:rPr>
      <w:rFonts w:eastAsiaTheme="minorHAnsi"/>
      <w:lang w:val="en-GB"/>
    </w:rPr>
  </w:style>
  <w:style w:type="character" w:styleId="Emphasis">
    <w:name w:val="Emphasis"/>
    <w:basedOn w:val="DefaultParagraphFont"/>
    <w:uiPriority w:val="20"/>
    <w:qFormat/>
    <w:rsid w:val="00432BCB"/>
    <w:rPr>
      <w:i/>
      <w:iCs/>
    </w:rPr>
  </w:style>
  <w:style w:type="paragraph" w:customStyle="1" w:styleId="heading">
    <w:name w:val="heading"/>
    <w:basedOn w:val="Normal"/>
    <w:rsid w:val="00432B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5D5A"/>
    <w:pPr>
      <w:ind w:left="720"/>
      <w:contextualSpacing/>
    </w:pPr>
  </w:style>
  <w:style w:type="character" w:styleId="LineNumber">
    <w:name w:val="line number"/>
    <w:basedOn w:val="DefaultParagraphFont"/>
    <w:uiPriority w:val="99"/>
    <w:semiHidden/>
    <w:unhideWhenUsed/>
    <w:rsid w:val="001C5876"/>
  </w:style>
  <w:style w:type="character" w:styleId="CommentReference">
    <w:name w:val="annotation reference"/>
    <w:basedOn w:val="DefaultParagraphFont"/>
    <w:uiPriority w:val="99"/>
    <w:semiHidden/>
    <w:unhideWhenUsed/>
    <w:rsid w:val="0088767A"/>
    <w:rPr>
      <w:sz w:val="16"/>
      <w:szCs w:val="16"/>
    </w:rPr>
  </w:style>
  <w:style w:type="paragraph" w:styleId="CommentText">
    <w:name w:val="annotation text"/>
    <w:basedOn w:val="Normal"/>
    <w:link w:val="CommentTextChar"/>
    <w:uiPriority w:val="99"/>
    <w:semiHidden/>
    <w:unhideWhenUsed/>
    <w:rsid w:val="0088767A"/>
    <w:pPr>
      <w:spacing w:line="240" w:lineRule="auto"/>
    </w:pPr>
    <w:rPr>
      <w:sz w:val="20"/>
      <w:szCs w:val="20"/>
    </w:rPr>
  </w:style>
  <w:style w:type="character" w:customStyle="1" w:styleId="CommentTextChar">
    <w:name w:val="Comment Text Char"/>
    <w:basedOn w:val="DefaultParagraphFont"/>
    <w:link w:val="CommentText"/>
    <w:uiPriority w:val="99"/>
    <w:semiHidden/>
    <w:rsid w:val="0088767A"/>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88767A"/>
    <w:rPr>
      <w:b/>
      <w:bCs/>
    </w:rPr>
  </w:style>
  <w:style w:type="character" w:customStyle="1" w:styleId="CommentSubjectChar">
    <w:name w:val="Comment Subject Char"/>
    <w:basedOn w:val="CommentTextChar"/>
    <w:link w:val="CommentSubject"/>
    <w:uiPriority w:val="99"/>
    <w:semiHidden/>
    <w:rsid w:val="0088767A"/>
    <w:rPr>
      <w:rFonts w:eastAsiaTheme="minorHAnsi"/>
      <w:b/>
      <w:bCs/>
      <w:sz w:val="20"/>
      <w:szCs w:val="20"/>
      <w:lang w:val="en-GB"/>
    </w:rPr>
  </w:style>
  <w:style w:type="paragraph" w:styleId="Revision">
    <w:name w:val="Revision"/>
    <w:hidden/>
    <w:uiPriority w:val="99"/>
    <w:semiHidden/>
    <w:rsid w:val="001F3CB6"/>
    <w:pPr>
      <w:spacing w:after="0" w:line="240" w:lineRule="auto"/>
    </w:pPr>
    <w:rPr>
      <w:rFonts w:eastAsiaTheme="minorHAnsi"/>
      <w:lang w:val="en-GB"/>
    </w:rPr>
  </w:style>
  <w:style w:type="table" w:styleId="PlainTable1">
    <w:name w:val="Plain Table 1"/>
    <w:basedOn w:val="TableNormal"/>
    <w:uiPriority w:val="41"/>
    <w:rsid w:val="009164E3"/>
    <w:pPr>
      <w:spacing w:after="0" w:line="240" w:lineRule="auto"/>
    </w:pPr>
    <w:rPr>
      <w:rFonts w:eastAsiaTheme="minorHAns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2098\Downloads\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xml.rels><?xml version="1.0" encoding="UTF-8" standalone="yes"?>
<Relationships xmlns="http://schemas.openxmlformats.org/package/2006/relationships"><Relationship Id="setZoteroDocPrefs" Type="http://schemas.openxmlformats.org/officeDocument/2006/relationships/image" Target="images/setZoteroDocPrefs.png"/><Relationship Id="addEditZoteroBibliography" Type="http://schemas.openxmlformats.org/officeDocument/2006/relationships/image" Target="images/addEditZoteroBibliography.png"/><Relationship Id="addEditZoteroCitation-small" Type="http://schemas.openxmlformats.org/officeDocument/2006/relationships/image" Target="images/addEditZoteroCitation-small.png"/><Relationship Id="addEditZoteroBibliography-small" Type="http://schemas.openxmlformats.org/officeDocument/2006/relationships/image" Target="images/addEditZoteroBibliography-small.png"/><Relationship Id="setZoteroDocPrefs-small" Type="http://schemas.openxmlformats.org/officeDocument/2006/relationships/image" Target="images/setZoteroDocPrefs-small.png"/><Relationship Id="zotero-z-16" Type="http://schemas.openxmlformats.org/officeDocument/2006/relationships/image" Target="images/zotero-z-16.png"/><Relationship Id="addEditZoteroCitation" Type="http://schemas.openxmlformats.org/officeDocument/2006/relationships/image" Target="images/addEditZoteroCitation0.png"/></Relationships>
</file>

<file path=customUI/customUI.xml><?xml version="1.0" encoding="utf-8"?>
<customUI xmlns="http://schemas.microsoft.com/office/2006/01/customui">
  <ribbon>
    <tabs>
      <tab id="ZoteroTab" getLabel="ZoteroRibbon.ZoteroTabLabel" insertBeforeMso="TabAddIns">
        <group id="ZoteroGroup" image="zotero-z-16" label="Zotero">
          <button id="InsertZoteroCitationButton" label="Add/Edit Citation" size="large" image="addEditZoteroCitation" onAction="ZoteroRibbon.ZoteroRibbonAddEditCitation" supertip="Insert a new citation, or edit the citation at the current cursor position"/>
          <button id="InsertZoteroBibliographyButton" label="Add/Edit Bibliography" size="large" image="addEditZoteroBibliography" onAction="ZoteroRibbon.ZoteroRibbonAddEditBibliography" supertip="Insert a new bibliography, or edit the existing bibliography, at the current cursor position"/>
          <button id="ZoteroSetDocPrefs" label="Document Preferences" image="setZoteroDocPrefs-small" onAction="ZoteroRibbon.ZoteroRibbonSetDocPrefs" supertip="Change the citation style or locale"/>
          <button id="RefreshZotero" label="Refresh" imageMso="RecordsRefreshRecords" onAction="ZoteroRibbon.ZoteroRibbonRefresh" supertip="Update all citations to reflect changes"/>
          <button id="ZoteroRemoveCodes" label="Unlink Citations" imageMso="TableUnlinkExternalData" onAction="ZoteroRibbon.ZoteroRibbonRemoveCodes" supertip="Remove all Zotero field codes and unlink from Zotero library"/>
          <!-- <button id="InsertZoteroCitationButtonSmall" visible="false" label="Add/Edit Citation" image="addEditZoteroCitation-small" onAction="ZoteroRibbon.ZoteroRibbonAddEditCitation" supertip="Insert a new citation, or edit the citation at the current cursor position"/>
	    <button id="InsertZoteroBibliographyButtonSmall" visible="false" label="Add/Edit Bibliography" size="large" image="addEditZoteroBibliography-small" onAction="ZoteroRibbon.ZoteroRibbonAddEditBibliography" supertip="Insert a new bibliography, or edit the existing bibliography, at the current cursor position"/>
          <button id="ZoteroSetDocPrefsLarge" visible="false" label="Document Preferences" size="large" image="setZoteroDocPrefs" onAction="ZoteroRibbon.ZoteroRibbonSetDocPrefs" supertip="Change the citation style or locale"/> -->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E307-6F25-41FD-B86E-FE92CBCE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1</TotalTime>
  <Pages>15</Pages>
  <Words>10798</Words>
  <Characters>61549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Faghy</dc:creator>
  <cp:lastModifiedBy>Mark Faghy</cp:lastModifiedBy>
  <cp:revision>2</cp:revision>
  <dcterms:created xsi:type="dcterms:W3CDTF">2021-12-07T18:27:00Z</dcterms:created>
  <dcterms:modified xsi:type="dcterms:W3CDTF">2021-12-07T18:27:00Z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id="1ibuZtGN"/&gt;&lt;style id="http://www.zotero.org/styles/taylor-and-francis-national-library-of-medicine"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y fmtid="{D5CDD505-2E9C-101B-9397-08002B2CF9AE}" pid="4" name="MSIP_Label_b47d098f-2640-4837-b575-e0be04df0525_Enabled">
    <vt:lpwstr>True</vt:lpwstr>
  </property>
  <property fmtid="{D5CDD505-2E9C-101B-9397-08002B2CF9AE}" pid="5" name="MSIP_Label_b47d098f-2640-4837-b575-e0be04df0525_SiteId">
    <vt:lpwstr>98f1bb3a-5efa-4782-88ba-bd897db60e62</vt:lpwstr>
  </property>
  <property fmtid="{D5CDD505-2E9C-101B-9397-08002B2CF9AE}" pid="6" name="MSIP_Label_b47d098f-2640-4837-b575-e0be04df0525_Owner">
    <vt:lpwstr>782098@derby.ac.uk</vt:lpwstr>
  </property>
  <property fmtid="{D5CDD505-2E9C-101B-9397-08002B2CF9AE}" pid="7" name="MSIP_Label_b47d098f-2640-4837-b575-e0be04df0525_SetDate">
    <vt:lpwstr>2021-08-13T09:55:20.9897087Z</vt:lpwstr>
  </property>
  <property fmtid="{D5CDD505-2E9C-101B-9397-08002B2CF9AE}" pid="8" name="MSIP_Label_b47d098f-2640-4837-b575-e0be04df0525_Name">
    <vt:lpwstr>Internal</vt:lpwstr>
  </property>
  <property fmtid="{D5CDD505-2E9C-101B-9397-08002B2CF9AE}" pid="9" name="MSIP_Label_b47d098f-2640-4837-b575-e0be04df0525_Application">
    <vt:lpwstr>Microsoft Azure Information Protection</vt:lpwstr>
  </property>
  <property fmtid="{D5CDD505-2E9C-101B-9397-08002B2CF9AE}" pid="10" name="MSIP_Label_b47d098f-2640-4837-b575-e0be04df0525_Extended_MSFT_Method">
    <vt:lpwstr>Automatic</vt:lpwstr>
  </property>
  <property fmtid="{D5CDD505-2E9C-101B-9397-08002B2CF9AE}" pid="11" name="MSIP_Label_501a0944-9d81-4c75-b857-2ec7863455b7_Enabled">
    <vt:lpwstr>True</vt:lpwstr>
  </property>
  <property fmtid="{D5CDD505-2E9C-101B-9397-08002B2CF9AE}" pid="12" name="MSIP_Label_501a0944-9d81-4c75-b857-2ec7863455b7_SiteId">
    <vt:lpwstr>98f1bb3a-5efa-4782-88ba-bd897db60e62</vt:lpwstr>
  </property>
  <property fmtid="{D5CDD505-2E9C-101B-9397-08002B2CF9AE}" pid="13" name="MSIP_Label_501a0944-9d81-4c75-b857-2ec7863455b7_Owner">
    <vt:lpwstr>782098@derby.ac.uk</vt:lpwstr>
  </property>
  <property fmtid="{D5CDD505-2E9C-101B-9397-08002B2CF9AE}" pid="14" name="MSIP_Label_501a0944-9d81-4c75-b857-2ec7863455b7_SetDate">
    <vt:lpwstr>2021-08-13T09:55:20.9897087Z</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