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60B9" w14:textId="3866A957" w:rsidR="00D54BEC" w:rsidRPr="00101864" w:rsidRDefault="007074CD" w:rsidP="00101864">
      <w:pPr>
        <w:jc w:val="center"/>
        <w:rPr>
          <w:b/>
          <w:bCs/>
          <w:sz w:val="32"/>
          <w:szCs w:val="32"/>
        </w:rPr>
      </w:pPr>
      <w:r w:rsidRPr="00101864">
        <w:rPr>
          <w:b/>
          <w:bCs/>
          <w:sz w:val="32"/>
          <w:szCs w:val="32"/>
        </w:rPr>
        <w:t xml:space="preserve">Guest </w:t>
      </w:r>
      <w:r w:rsidR="00C961EA" w:rsidRPr="00101864">
        <w:rPr>
          <w:b/>
          <w:bCs/>
          <w:sz w:val="32"/>
          <w:szCs w:val="32"/>
        </w:rPr>
        <w:t>Editorial</w:t>
      </w:r>
    </w:p>
    <w:p w14:paraId="4877D101" w14:textId="557B38B5" w:rsidR="00723659" w:rsidRPr="00101864" w:rsidRDefault="00723659" w:rsidP="00C0747D">
      <w:pPr>
        <w:jc w:val="center"/>
        <w:rPr>
          <w:vertAlign w:val="superscript"/>
        </w:rPr>
      </w:pPr>
      <w:r w:rsidRPr="00101864">
        <w:t>Hilary </w:t>
      </w:r>
      <w:proofErr w:type="spellStart"/>
      <w:r w:rsidRPr="00101864">
        <w:t>Bungay</w:t>
      </w:r>
      <w:r w:rsidRPr="00101864">
        <w:rPr>
          <w:vertAlign w:val="superscript"/>
        </w:rPr>
        <w:t>a</w:t>
      </w:r>
      <w:proofErr w:type="spellEnd"/>
      <w:r w:rsidRPr="00101864">
        <w:t>, Helen </w:t>
      </w:r>
      <w:proofErr w:type="spellStart"/>
      <w:r w:rsidRPr="00101864">
        <w:t>Chatterjee</w:t>
      </w:r>
      <w:r w:rsidRPr="00101864">
        <w:rPr>
          <w:vertAlign w:val="superscript"/>
        </w:rPr>
        <w:t>b</w:t>
      </w:r>
      <w:proofErr w:type="spellEnd"/>
      <w:r w:rsidRPr="00101864">
        <w:t>, Susan </w:t>
      </w:r>
      <w:proofErr w:type="spellStart"/>
      <w:r w:rsidRPr="00101864">
        <w:t>Hogan</w:t>
      </w:r>
      <w:r w:rsidRPr="00101864">
        <w:rPr>
          <w:vertAlign w:val="superscript"/>
        </w:rPr>
        <w:t>c</w:t>
      </w:r>
      <w:proofErr w:type="spellEnd"/>
    </w:p>
    <w:p w14:paraId="733B6A3E" w14:textId="77777777" w:rsidR="00C0747D" w:rsidRPr="00101864" w:rsidRDefault="00C0747D" w:rsidP="00101864">
      <w:pPr>
        <w:jc w:val="center"/>
      </w:pPr>
    </w:p>
    <w:p w14:paraId="41456CAD" w14:textId="33E01671" w:rsidR="00723659" w:rsidRPr="00101864" w:rsidRDefault="00723659" w:rsidP="00101864">
      <w:proofErr w:type="gramStart"/>
      <w:r w:rsidRPr="00101864">
        <w:t>a</w:t>
      </w:r>
      <w:proofErr w:type="gramEnd"/>
      <w:r w:rsidRPr="00101864">
        <w:t xml:space="preserve"> Anglia Ruskin University, Cambridge, UK</w:t>
      </w:r>
    </w:p>
    <w:p w14:paraId="29F1416C" w14:textId="038168AA" w:rsidR="00723659" w:rsidRPr="00101864" w:rsidRDefault="00723659" w:rsidP="00101864">
      <w:r w:rsidRPr="00101864">
        <w:t xml:space="preserve">b University College London, </w:t>
      </w:r>
      <w:r w:rsidR="00C0747D" w:rsidRPr="00101864">
        <w:t xml:space="preserve">London, </w:t>
      </w:r>
      <w:r w:rsidRPr="00101864">
        <w:t>UK</w:t>
      </w:r>
    </w:p>
    <w:p w14:paraId="7D3740CC" w14:textId="7BDF1647" w:rsidR="00723659" w:rsidRPr="00101864" w:rsidRDefault="00723659" w:rsidP="00101864">
      <w:r w:rsidRPr="00101864">
        <w:t xml:space="preserve">c </w:t>
      </w:r>
      <w:r w:rsidR="00C0747D" w:rsidRPr="00101864">
        <w:t>University of Derby, Derby, UK</w:t>
      </w:r>
    </w:p>
    <w:p w14:paraId="72374A02" w14:textId="77777777" w:rsidR="00723659" w:rsidRPr="00101864" w:rsidRDefault="00723659"/>
    <w:p w14:paraId="224704ED" w14:textId="2C725A84" w:rsidR="004656A6" w:rsidRPr="00101864" w:rsidRDefault="008806C7" w:rsidP="00E0606F">
      <w:pPr>
        <w:rPr>
          <w:rFonts w:cstheme="minorHAnsi"/>
        </w:rPr>
      </w:pPr>
      <w:r w:rsidRPr="00101864">
        <w:rPr>
          <w:rFonts w:eastAsia="Dotum" w:cstheme="minorHAnsi"/>
        </w:rPr>
        <w:t>This special issue of Public Health gives a ‘</w:t>
      </w:r>
      <w:r w:rsidR="000467A6" w:rsidRPr="00101864">
        <w:rPr>
          <w:rFonts w:eastAsia="Dotum" w:cstheme="minorHAnsi"/>
        </w:rPr>
        <w:t>snapshot</w:t>
      </w:r>
      <w:r w:rsidRPr="00101864">
        <w:rPr>
          <w:rFonts w:eastAsia="Dotum" w:cstheme="minorHAnsi"/>
        </w:rPr>
        <w:t>’ of the diverse field of culture</w:t>
      </w:r>
      <w:r w:rsidR="00FA6603" w:rsidRPr="00101864">
        <w:rPr>
          <w:rFonts w:eastAsia="Dotum" w:cstheme="minorHAnsi"/>
        </w:rPr>
        <w:t>,</w:t>
      </w:r>
      <w:r w:rsidRPr="00101864">
        <w:rPr>
          <w:rFonts w:eastAsia="Dotum" w:cstheme="minorHAnsi"/>
        </w:rPr>
        <w:t xml:space="preserve"> arts</w:t>
      </w:r>
      <w:r w:rsidR="00FA6603" w:rsidRPr="00101864">
        <w:rPr>
          <w:rFonts w:eastAsia="Dotum" w:cstheme="minorHAnsi"/>
        </w:rPr>
        <w:t>, health and wellbeing</w:t>
      </w:r>
      <w:r w:rsidRPr="00101864">
        <w:rPr>
          <w:rFonts w:eastAsia="Dotum" w:cstheme="minorHAnsi"/>
        </w:rPr>
        <w:t xml:space="preserve">. </w:t>
      </w:r>
      <w:r w:rsidR="00B338B1" w:rsidRPr="00101864">
        <w:rPr>
          <w:rFonts w:cstheme="minorHAnsi"/>
        </w:rPr>
        <w:t>Arts and Health includes arts-based health promotion; community and participatory arts program</w:t>
      </w:r>
      <w:r w:rsidR="007074CD" w:rsidRPr="00101864">
        <w:rPr>
          <w:rFonts w:cstheme="minorHAnsi"/>
        </w:rPr>
        <w:t>me</w:t>
      </w:r>
      <w:r w:rsidR="00B338B1" w:rsidRPr="00101864">
        <w:rPr>
          <w:rFonts w:cstheme="minorHAnsi"/>
        </w:rPr>
        <w:t xml:space="preserve">s; therapeutic arts encompassing art therapy, drama therapy, music therapy and dance-movement therapy; arts in medical training; arts in hospitals; </w:t>
      </w:r>
      <w:r w:rsidR="007074CD" w:rsidRPr="00101864">
        <w:rPr>
          <w:rFonts w:cstheme="minorHAnsi"/>
        </w:rPr>
        <w:t xml:space="preserve">and </w:t>
      </w:r>
      <w:r w:rsidR="00B338B1" w:rsidRPr="00101864">
        <w:rPr>
          <w:rFonts w:cstheme="minorHAnsi"/>
        </w:rPr>
        <w:t>arts on prescription. However, the use of the word ‘creativity’ in our title is quite deliberate, as we wished to include creative approaches to health beyond the arts, which may also stimulate some of the same positive benefits as the arts, such as gardening, nature connectedness walks, caring for wildlife or object-handling in museums</w:t>
      </w:r>
      <w:r w:rsidR="003B7178" w:rsidRPr="003B7178">
        <w:rPr>
          <w:rFonts w:cstheme="minorHAnsi"/>
        </w:rPr>
        <w:t>[1]</w:t>
      </w:r>
      <w:r w:rsidR="00B338B1" w:rsidRPr="00101864">
        <w:rPr>
          <w:rFonts w:cstheme="minorHAnsi"/>
        </w:rPr>
        <w:t xml:space="preserve"> </w:t>
      </w:r>
      <w:r w:rsidR="0052735B" w:rsidRPr="00101864">
        <w:rPr>
          <w:rFonts w:cstheme="minorHAnsi"/>
        </w:rPr>
        <w:t xml:space="preserve">The </w:t>
      </w:r>
      <w:r w:rsidR="007074CD" w:rsidRPr="00101864">
        <w:rPr>
          <w:rFonts w:cstheme="minorHAnsi"/>
        </w:rPr>
        <w:t xml:space="preserve">special </w:t>
      </w:r>
      <w:r w:rsidR="0052735B" w:rsidRPr="00101864">
        <w:rPr>
          <w:rFonts w:cstheme="minorHAnsi"/>
        </w:rPr>
        <w:t>issue</w:t>
      </w:r>
      <w:r w:rsidRPr="00101864">
        <w:rPr>
          <w:rFonts w:cstheme="minorHAnsi"/>
        </w:rPr>
        <w:t xml:space="preserve"> includes contributions from across the spectrum of </w:t>
      </w:r>
      <w:r w:rsidR="00F9366F" w:rsidRPr="00101864">
        <w:rPr>
          <w:rFonts w:cstheme="minorHAnsi"/>
        </w:rPr>
        <w:t xml:space="preserve">community and </w:t>
      </w:r>
      <w:r w:rsidR="00683D5A" w:rsidRPr="00101864">
        <w:rPr>
          <w:rFonts w:cstheme="minorHAnsi"/>
        </w:rPr>
        <w:t>participatory arts</w:t>
      </w:r>
      <w:r w:rsidR="009D5C38" w:rsidRPr="00101864">
        <w:rPr>
          <w:rFonts w:cstheme="minorHAnsi"/>
        </w:rPr>
        <w:t xml:space="preserve">, </w:t>
      </w:r>
      <w:r w:rsidR="00F9366F" w:rsidRPr="00101864">
        <w:rPr>
          <w:rFonts w:cstheme="minorHAnsi"/>
        </w:rPr>
        <w:t>and the therapeutic arts</w:t>
      </w:r>
      <w:r w:rsidR="00915796" w:rsidRPr="00101864">
        <w:rPr>
          <w:rFonts w:cstheme="minorHAnsi"/>
        </w:rPr>
        <w:t>,</w:t>
      </w:r>
      <w:r w:rsidR="00CA4EBB" w:rsidRPr="00101864">
        <w:rPr>
          <w:rFonts w:cstheme="minorHAnsi"/>
        </w:rPr>
        <w:t xml:space="preserve"> featuring a </w:t>
      </w:r>
      <w:r w:rsidR="006B1215" w:rsidRPr="00101864">
        <w:rPr>
          <w:rFonts w:cstheme="minorHAnsi"/>
        </w:rPr>
        <w:t>wide</w:t>
      </w:r>
      <w:r w:rsidR="00B70897" w:rsidRPr="00101864">
        <w:rPr>
          <w:rFonts w:cstheme="minorHAnsi"/>
        </w:rPr>
        <w:t xml:space="preserve"> </w:t>
      </w:r>
      <w:r w:rsidR="00CA4EBB" w:rsidRPr="00101864">
        <w:rPr>
          <w:rFonts w:cstheme="minorHAnsi"/>
        </w:rPr>
        <w:t>range of arts/cultural activities</w:t>
      </w:r>
      <w:r w:rsidR="00625F54" w:rsidRPr="00101864">
        <w:rPr>
          <w:rFonts w:cstheme="minorHAnsi"/>
        </w:rPr>
        <w:t>.</w:t>
      </w:r>
      <w:r w:rsidRPr="00101864">
        <w:rPr>
          <w:rFonts w:cstheme="minorHAnsi"/>
        </w:rPr>
        <w:t xml:space="preserve"> It contains original research and reviews across a diversity of topics</w:t>
      </w:r>
      <w:r w:rsidR="007074CD" w:rsidRPr="00101864">
        <w:rPr>
          <w:rFonts w:cstheme="minorHAnsi"/>
        </w:rPr>
        <w:t xml:space="preserve">, including </w:t>
      </w:r>
      <w:r w:rsidRPr="00101864">
        <w:rPr>
          <w:rFonts w:cstheme="minorHAnsi"/>
        </w:rPr>
        <w:t xml:space="preserve">health, arts, </w:t>
      </w:r>
      <w:r w:rsidR="00E23504" w:rsidRPr="00101864">
        <w:rPr>
          <w:rFonts w:cstheme="minorHAnsi"/>
        </w:rPr>
        <w:t>humanities</w:t>
      </w:r>
      <w:r w:rsidRPr="00101864">
        <w:rPr>
          <w:rFonts w:cstheme="minorHAnsi"/>
        </w:rPr>
        <w:t xml:space="preserve"> and </w:t>
      </w:r>
      <w:r w:rsidR="00E23504" w:rsidRPr="00101864">
        <w:rPr>
          <w:rFonts w:cstheme="minorHAnsi"/>
        </w:rPr>
        <w:t xml:space="preserve">the </w:t>
      </w:r>
      <w:r w:rsidRPr="00101864">
        <w:rPr>
          <w:rFonts w:cstheme="minorHAnsi"/>
        </w:rPr>
        <w:t>social sciences</w:t>
      </w:r>
      <w:r w:rsidR="007074CD" w:rsidRPr="00101864">
        <w:rPr>
          <w:rFonts w:cstheme="minorHAnsi"/>
        </w:rPr>
        <w:t>,</w:t>
      </w:r>
      <w:r w:rsidRPr="00101864">
        <w:rPr>
          <w:rFonts w:cstheme="minorHAnsi"/>
        </w:rPr>
        <w:t xml:space="preserve"> </w:t>
      </w:r>
      <w:r w:rsidR="007074CD" w:rsidRPr="00101864">
        <w:rPr>
          <w:rFonts w:cstheme="minorHAnsi"/>
        </w:rPr>
        <w:t xml:space="preserve">which </w:t>
      </w:r>
      <w:r w:rsidRPr="00101864">
        <w:rPr>
          <w:rFonts w:cstheme="minorHAnsi"/>
        </w:rPr>
        <w:t>will appeal to an international audience of public health practitioners and researchers, those who manage and deliver public health services and systems, educators, policy makers</w:t>
      </w:r>
      <w:r w:rsidR="007074CD" w:rsidRPr="00101864">
        <w:rPr>
          <w:rFonts w:cstheme="minorHAnsi"/>
        </w:rPr>
        <w:t>,</w:t>
      </w:r>
      <w:r w:rsidRPr="00101864">
        <w:rPr>
          <w:rFonts w:cstheme="minorHAnsi"/>
        </w:rPr>
        <w:t xml:space="preserve"> and those developing, </w:t>
      </w:r>
      <w:r w:rsidR="00EB25E9" w:rsidRPr="00101864">
        <w:rPr>
          <w:rFonts w:cstheme="minorHAnsi"/>
        </w:rPr>
        <w:t>delivering</w:t>
      </w:r>
      <w:r w:rsidRPr="00101864">
        <w:rPr>
          <w:rFonts w:cstheme="minorHAnsi"/>
        </w:rPr>
        <w:t xml:space="preserve"> and researching arts, cultural, heritage and natural environment interventions, including social prescribing. </w:t>
      </w:r>
    </w:p>
    <w:p w14:paraId="1B4E4F1E" w14:textId="43CFE550" w:rsidR="00F074C2" w:rsidRPr="00101864" w:rsidRDefault="00586136">
      <w:pPr>
        <w:rPr>
          <w:rFonts w:cstheme="minorHAnsi"/>
        </w:rPr>
      </w:pPr>
      <w:r w:rsidRPr="00101864">
        <w:rPr>
          <w:rFonts w:cstheme="minorHAnsi"/>
        </w:rPr>
        <w:t>The international appeal of the potential of arts for health activities is evident with s</w:t>
      </w:r>
      <w:r w:rsidR="00E0606F" w:rsidRPr="00101864">
        <w:rPr>
          <w:rFonts w:cstheme="minorHAnsi"/>
        </w:rPr>
        <w:t xml:space="preserve">ubmissions received from </w:t>
      </w:r>
      <w:r w:rsidR="00941E57" w:rsidRPr="00101864">
        <w:rPr>
          <w:rFonts w:cstheme="minorHAnsi"/>
        </w:rPr>
        <w:t xml:space="preserve">across the globe </w:t>
      </w:r>
      <w:r w:rsidR="00F00A18" w:rsidRPr="00101864">
        <w:rPr>
          <w:rFonts w:cstheme="minorHAnsi"/>
        </w:rPr>
        <w:t xml:space="preserve">(UK, USA, Australia, India, Argentina, Nepal, Sweden and Singapore) </w:t>
      </w:r>
      <w:r w:rsidR="00E0606F" w:rsidRPr="00101864">
        <w:rPr>
          <w:rFonts w:cstheme="minorHAnsi"/>
          <w:color w:val="000000" w:themeColor="text1"/>
        </w:rPr>
        <w:t xml:space="preserve">Although no submissions were received from African countries, we know of extensive on-going work </w:t>
      </w:r>
      <w:r w:rsidR="007074CD" w:rsidRPr="00101864">
        <w:rPr>
          <w:rFonts w:cstheme="minorHAnsi"/>
          <w:color w:val="000000" w:themeColor="text1"/>
        </w:rPr>
        <w:t xml:space="preserve">in this region, </w:t>
      </w:r>
      <w:r w:rsidR="00E0606F" w:rsidRPr="00101864">
        <w:rPr>
          <w:rFonts w:cstheme="minorHAnsi"/>
          <w:color w:val="000000" w:themeColor="text1"/>
        </w:rPr>
        <w:t>including Art</w:t>
      </w:r>
      <w:r w:rsidR="00E80B49" w:rsidRPr="00101864">
        <w:rPr>
          <w:rFonts w:cstheme="minorHAnsi"/>
          <w:color w:val="000000" w:themeColor="text1"/>
        </w:rPr>
        <w:t>s</w:t>
      </w:r>
      <w:r w:rsidR="00E0606F" w:rsidRPr="00101864">
        <w:rPr>
          <w:rFonts w:cstheme="minorHAnsi"/>
          <w:color w:val="000000" w:themeColor="text1"/>
        </w:rPr>
        <w:t xml:space="preserve"> in Medicine in Nigeria</w:t>
      </w:r>
      <w:r w:rsidR="007074CD" w:rsidRPr="00101864">
        <w:rPr>
          <w:rFonts w:cstheme="minorHAnsi"/>
          <w:color w:val="000000" w:themeColor="text1"/>
        </w:rPr>
        <w:t>,</w:t>
      </w:r>
      <w:r w:rsidR="00E0606F" w:rsidRPr="00101864">
        <w:rPr>
          <w:rFonts w:cstheme="minorHAnsi"/>
          <w:color w:val="000000" w:themeColor="text1"/>
        </w:rPr>
        <w:t xml:space="preserve"> </w:t>
      </w:r>
      <w:r w:rsidR="00E80B49" w:rsidRPr="00101864">
        <w:rPr>
          <w:rFonts w:cstheme="minorHAnsi"/>
          <w:color w:val="000000" w:themeColor="text1"/>
        </w:rPr>
        <w:t xml:space="preserve">which </w:t>
      </w:r>
      <w:r w:rsidR="005D4906" w:rsidRPr="00101864">
        <w:rPr>
          <w:rFonts w:cstheme="minorHAnsi"/>
          <w:color w:val="000000" w:themeColor="text1"/>
        </w:rPr>
        <w:t xml:space="preserve">was </w:t>
      </w:r>
      <w:r w:rsidR="00E80B49" w:rsidRPr="00101864">
        <w:rPr>
          <w:rFonts w:cstheme="minorHAnsi"/>
          <w:color w:val="000000" w:themeColor="text1"/>
        </w:rPr>
        <w:t>feature</w:t>
      </w:r>
      <w:r w:rsidR="005D4906" w:rsidRPr="00101864">
        <w:rPr>
          <w:rFonts w:cstheme="minorHAnsi"/>
          <w:color w:val="000000" w:themeColor="text1"/>
        </w:rPr>
        <w:t>d at the recent International Culture Health and Wellbeing Conference.</w:t>
      </w:r>
      <w:r w:rsidR="006A444A" w:rsidRPr="00101864">
        <w:rPr>
          <w:rFonts w:cstheme="minorHAnsi"/>
          <w:color w:val="000000" w:themeColor="text1"/>
        </w:rPr>
        <w:t xml:space="preserve"> </w:t>
      </w:r>
      <w:r w:rsidR="00413E77" w:rsidRPr="00101864">
        <w:rPr>
          <w:rFonts w:cstheme="minorHAnsi"/>
        </w:rPr>
        <w:t xml:space="preserve">In-line with the </w:t>
      </w:r>
      <w:r w:rsidR="00413E77" w:rsidRPr="003B7178">
        <w:rPr>
          <w:rFonts w:cstheme="minorHAnsi"/>
        </w:rPr>
        <w:t>Creative Health</w:t>
      </w:r>
      <w:r w:rsidR="005D2992" w:rsidRPr="003B7178">
        <w:rPr>
          <w:rFonts w:cstheme="minorHAnsi"/>
        </w:rPr>
        <w:t xml:space="preserve"> </w:t>
      </w:r>
      <w:r w:rsidR="00AF0C25" w:rsidRPr="003B7178">
        <w:rPr>
          <w:rFonts w:cstheme="minorHAnsi"/>
        </w:rPr>
        <w:t>Report</w:t>
      </w:r>
      <w:r w:rsidR="003B7178">
        <w:rPr>
          <w:rFonts w:cstheme="minorHAnsi"/>
        </w:rPr>
        <w:t xml:space="preserve"> [2]</w:t>
      </w:r>
      <w:r w:rsidR="00AF0C25" w:rsidRPr="003B7178">
        <w:rPr>
          <w:rFonts w:cstheme="minorHAnsi"/>
        </w:rPr>
        <w:t xml:space="preserve"> </w:t>
      </w:r>
      <w:r w:rsidR="005D2992" w:rsidRPr="00101864">
        <w:rPr>
          <w:rFonts w:cstheme="minorHAnsi"/>
        </w:rPr>
        <w:t xml:space="preserve">the </w:t>
      </w:r>
      <w:r w:rsidR="0030317C" w:rsidRPr="00101864">
        <w:rPr>
          <w:rFonts w:cstheme="minorHAnsi"/>
        </w:rPr>
        <w:t xml:space="preserve">submissions </w:t>
      </w:r>
      <w:r w:rsidR="00BA2C55" w:rsidRPr="00101864">
        <w:rPr>
          <w:rFonts w:cstheme="minorHAnsi"/>
        </w:rPr>
        <w:t>encompassed</w:t>
      </w:r>
      <w:r w:rsidR="00AF0C25" w:rsidRPr="00101864">
        <w:rPr>
          <w:rFonts w:cstheme="minorHAnsi"/>
        </w:rPr>
        <w:t xml:space="preserve"> </w:t>
      </w:r>
      <w:r w:rsidR="00C27EBC" w:rsidRPr="00101864">
        <w:rPr>
          <w:rFonts w:cstheme="minorHAnsi"/>
        </w:rPr>
        <w:t>the life-</w:t>
      </w:r>
      <w:r w:rsidR="008D4095" w:rsidRPr="00101864">
        <w:rPr>
          <w:rFonts w:cstheme="minorHAnsi"/>
        </w:rPr>
        <w:t>course,</w:t>
      </w:r>
      <w:r w:rsidR="00C27EBC" w:rsidRPr="00101864">
        <w:rPr>
          <w:rFonts w:cstheme="minorHAnsi"/>
        </w:rPr>
        <w:t xml:space="preserve"> </w:t>
      </w:r>
      <w:r w:rsidR="00113CF1" w:rsidRPr="00101864">
        <w:rPr>
          <w:rFonts w:cstheme="minorHAnsi"/>
        </w:rPr>
        <w:t>p</w:t>
      </w:r>
      <w:r w:rsidR="00C27EBC" w:rsidRPr="00101864">
        <w:rPr>
          <w:rFonts w:cstheme="minorHAnsi"/>
        </w:rPr>
        <w:t>re-school children to older adults, carers, healthcare professionals and veterans</w:t>
      </w:r>
      <w:r w:rsidR="00187CDC" w:rsidRPr="00101864">
        <w:rPr>
          <w:rFonts w:cstheme="minorHAnsi"/>
        </w:rPr>
        <w:t xml:space="preserve">. The interventions </w:t>
      </w:r>
      <w:r w:rsidR="002D3F04" w:rsidRPr="00101864">
        <w:rPr>
          <w:rFonts w:cstheme="minorHAnsi"/>
        </w:rPr>
        <w:t>took</w:t>
      </w:r>
      <w:r w:rsidR="009E2BD3" w:rsidRPr="00101864">
        <w:rPr>
          <w:rFonts w:cstheme="minorHAnsi"/>
        </w:rPr>
        <w:t xml:space="preserve"> place in </w:t>
      </w:r>
      <w:r w:rsidR="00D340EE" w:rsidRPr="00101864">
        <w:rPr>
          <w:rFonts w:cstheme="minorHAnsi"/>
        </w:rPr>
        <w:t>schools, hospitals, residential care homes</w:t>
      </w:r>
      <w:r w:rsidR="007074CD" w:rsidRPr="00101864">
        <w:rPr>
          <w:rFonts w:cstheme="minorHAnsi"/>
        </w:rPr>
        <w:t xml:space="preserve"> and</w:t>
      </w:r>
      <w:r w:rsidR="00D340EE" w:rsidRPr="00101864">
        <w:rPr>
          <w:rFonts w:cstheme="minorHAnsi"/>
        </w:rPr>
        <w:t xml:space="preserve"> community </w:t>
      </w:r>
      <w:r w:rsidR="001C75FA" w:rsidRPr="00101864">
        <w:rPr>
          <w:rFonts w:cstheme="minorHAnsi"/>
        </w:rPr>
        <w:t>venues (</w:t>
      </w:r>
      <w:r w:rsidR="00517A31" w:rsidRPr="00101864">
        <w:rPr>
          <w:rFonts w:cstheme="minorHAnsi"/>
        </w:rPr>
        <w:t xml:space="preserve">museums, </w:t>
      </w:r>
      <w:r w:rsidR="0017532D" w:rsidRPr="00101864">
        <w:rPr>
          <w:rFonts w:cstheme="minorHAnsi"/>
        </w:rPr>
        <w:t xml:space="preserve">the home and </w:t>
      </w:r>
      <w:r w:rsidR="00517A31" w:rsidRPr="00101864">
        <w:rPr>
          <w:rFonts w:cstheme="minorHAnsi"/>
        </w:rPr>
        <w:t xml:space="preserve">also </w:t>
      </w:r>
      <w:r w:rsidR="007074CD" w:rsidRPr="00101864">
        <w:rPr>
          <w:rFonts w:cstheme="minorHAnsi"/>
        </w:rPr>
        <w:t xml:space="preserve">at </w:t>
      </w:r>
      <w:r w:rsidR="00517A31" w:rsidRPr="00101864">
        <w:rPr>
          <w:rFonts w:cstheme="minorHAnsi"/>
        </w:rPr>
        <w:t>public events</w:t>
      </w:r>
      <w:r w:rsidR="001C75FA" w:rsidRPr="00101864">
        <w:rPr>
          <w:rFonts w:cstheme="minorHAnsi"/>
        </w:rPr>
        <w:t>)</w:t>
      </w:r>
      <w:r w:rsidR="0017532D" w:rsidRPr="00101864">
        <w:rPr>
          <w:rFonts w:cstheme="minorHAnsi"/>
        </w:rPr>
        <w:t xml:space="preserve">. </w:t>
      </w:r>
      <w:r w:rsidR="002D3F04" w:rsidRPr="00101864">
        <w:rPr>
          <w:rFonts w:cstheme="minorHAnsi"/>
        </w:rPr>
        <w:t xml:space="preserve">In </w:t>
      </w:r>
      <w:r w:rsidR="00672D20" w:rsidRPr="00101864">
        <w:rPr>
          <w:rFonts w:cstheme="minorHAnsi"/>
        </w:rPr>
        <w:t>addition,</w:t>
      </w:r>
      <w:r w:rsidR="002D3F04" w:rsidRPr="00101864">
        <w:rPr>
          <w:rFonts w:cstheme="minorHAnsi"/>
        </w:rPr>
        <w:t xml:space="preserve"> examples of t</w:t>
      </w:r>
      <w:r w:rsidR="00113CF1" w:rsidRPr="00101864">
        <w:rPr>
          <w:rFonts w:cstheme="minorHAnsi"/>
        </w:rPr>
        <w:t>he use of p</w:t>
      </w:r>
      <w:r w:rsidR="0017532D" w:rsidRPr="00101864">
        <w:rPr>
          <w:rFonts w:cstheme="minorHAnsi"/>
        </w:rPr>
        <w:t xml:space="preserve">ublic </w:t>
      </w:r>
      <w:r w:rsidR="005B3A02" w:rsidRPr="00101864">
        <w:rPr>
          <w:rFonts w:cstheme="minorHAnsi"/>
        </w:rPr>
        <w:t>and partic</w:t>
      </w:r>
      <w:r w:rsidR="00CB014D" w:rsidRPr="00101864">
        <w:rPr>
          <w:rFonts w:cstheme="minorHAnsi"/>
        </w:rPr>
        <w:t xml:space="preserve">ipatory </w:t>
      </w:r>
      <w:r w:rsidR="008E7888" w:rsidRPr="00101864">
        <w:rPr>
          <w:rFonts w:cstheme="minorHAnsi"/>
        </w:rPr>
        <w:t xml:space="preserve">art </w:t>
      </w:r>
      <w:r w:rsidR="0017532D" w:rsidRPr="00101864">
        <w:rPr>
          <w:rFonts w:cstheme="minorHAnsi"/>
        </w:rPr>
        <w:t xml:space="preserve">used </w:t>
      </w:r>
      <w:r w:rsidR="008E7888" w:rsidRPr="00101864">
        <w:rPr>
          <w:rFonts w:cstheme="minorHAnsi"/>
        </w:rPr>
        <w:t xml:space="preserve">to raise awareness </w:t>
      </w:r>
      <w:r w:rsidR="0017532D" w:rsidRPr="00101864">
        <w:rPr>
          <w:rFonts w:cstheme="minorHAnsi"/>
        </w:rPr>
        <w:t xml:space="preserve">of health issues </w:t>
      </w:r>
      <w:r w:rsidR="00890EB8" w:rsidRPr="00101864">
        <w:rPr>
          <w:rFonts w:cstheme="minorHAnsi"/>
        </w:rPr>
        <w:t>and for health promoting activities</w:t>
      </w:r>
      <w:r w:rsidR="00113CF1" w:rsidRPr="00101864">
        <w:rPr>
          <w:rFonts w:cstheme="minorHAnsi"/>
        </w:rPr>
        <w:t xml:space="preserve"> </w:t>
      </w:r>
      <w:r w:rsidRPr="00101864">
        <w:rPr>
          <w:rFonts w:cstheme="minorHAnsi"/>
        </w:rPr>
        <w:t>are</w:t>
      </w:r>
      <w:r w:rsidR="00113CF1" w:rsidRPr="00101864">
        <w:rPr>
          <w:rFonts w:cstheme="minorHAnsi"/>
        </w:rPr>
        <w:t xml:space="preserve"> reported</w:t>
      </w:r>
      <w:r w:rsidR="00890EB8" w:rsidRPr="00101864">
        <w:rPr>
          <w:rFonts w:cstheme="minorHAnsi"/>
        </w:rPr>
        <w:t xml:space="preserve">. </w:t>
      </w:r>
      <w:r w:rsidR="00F20B88" w:rsidRPr="00101864">
        <w:rPr>
          <w:rFonts w:cstheme="minorHAnsi"/>
        </w:rPr>
        <w:t>For example,</w:t>
      </w:r>
      <w:r w:rsidR="004B14AC" w:rsidRPr="00101864">
        <w:rPr>
          <w:rFonts w:cstheme="minorHAnsi"/>
        </w:rPr>
        <w:t xml:space="preserve"> </w:t>
      </w:r>
      <w:proofErr w:type="spellStart"/>
      <w:r w:rsidR="004B14AC" w:rsidRPr="00101864">
        <w:rPr>
          <w:rFonts w:cstheme="minorHAnsi"/>
        </w:rPr>
        <w:t>Pufahl</w:t>
      </w:r>
      <w:proofErr w:type="spellEnd"/>
      <w:r w:rsidR="004B14AC" w:rsidRPr="00101864">
        <w:rPr>
          <w:rFonts w:cstheme="minorHAnsi"/>
        </w:rPr>
        <w:t xml:space="preserve"> </w:t>
      </w:r>
      <w:proofErr w:type="gramStart"/>
      <w:r w:rsidR="004B14AC" w:rsidRPr="00101864">
        <w:rPr>
          <w:rFonts w:cstheme="minorHAnsi"/>
        </w:rPr>
        <w:t>et al</w:t>
      </w:r>
      <w:r w:rsidR="007074CD" w:rsidRPr="00101864">
        <w:rPr>
          <w:rFonts w:cstheme="minorHAnsi"/>
        </w:rPr>
        <w:t>.</w:t>
      </w:r>
      <w:r w:rsidR="004B14AC" w:rsidRPr="00101864">
        <w:rPr>
          <w:rFonts w:cstheme="minorHAnsi"/>
        </w:rPr>
        <w:t>,</w:t>
      </w:r>
      <w:r w:rsidR="007074CD" w:rsidRPr="00101864">
        <w:rPr>
          <w:rFonts w:cstheme="minorHAnsi"/>
          <w:highlight w:val="yellow"/>
        </w:rPr>
        <w:t>[</w:t>
      </w:r>
      <w:proofErr w:type="gramEnd"/>
      <w:r w:rsidR="007074CD" w:rsidRPr="00101864">
        <w:rPr>
          <w:rFonts w:cstheme="minorHAnsi"/>
          <w:highlight w:val="yellow"/>
        </w:rPr>
        <w:t>inset ref]</w:t>
      </w:r>
      <w:r w:rsidR="004B14AC" w:rsidRPr="00101864">
        <w:rPr>
          <w:rFonts w:cstheme="minorHAnsi"/>
        </w:rPr>
        <w:t xml:space="preserve"> </w:t>
      </w:r>
      <w:r w:rsidR="00121D4C" w:rsidRPr="00101864">
        <w:rPr>
          <w:rFonts w:cstheme="minorHAnsi"/>
        </w:rPr>
        <w:t xml:space="preserve">report on the uses of a community-based theatre intervention to improve attitudes </w:t>
      </w:r>
      <w:r w:rsidR="005A7C38" w:rsidRPr="00101864">
        <w:rPr>
          <w:rFonts w:cstheme="minorHAnsi"/>
        </w:rPr>
        <w:t>towards and increase knowledge about</w:t>
      </w:r>
      <w:r w:rsidR="00F20B88" w:rsidRPr="00101864">
        <w:rPr>
          <w:rFonts w:cstheme="minorHAnsi"/>
        </w:rPr>
        <w:t xml:space="preserve"> </w:t>
      </w:r>
      <w:r w:rsidR="005A7C38" w:rsidRPr="00101864">
        <w:rPr>
          <w:rFonts w:cstheme="minorHAnsi"/>
        </w:rPr>
        <w:t>LGBQT+ in India</w:t>
      </w:r>
      <w:r w:rsidR="0037557D" w:rsidRPr="00101864">
        <w:rPr>
          <w:rFonts w:cstheme="minorHAnsi"/>
        </w:rPr>
        <w:t xml:space="preserve">, and </w:t>
      </w:r>
      <w:r w:rsidR="00F20B88" w:rsidRPr="00101864">
        <w:rPr>
          <w:rFonts w:cstheme="minorHAnsi"/>
        </w:rPr>
        <w:t>i</w:t>
      </w:r>
      <w:r w:rsidR="00D4770C" w:rsidRPr="00101864">
        <w:rPr>
          <w:rFonts w:cstheme="minorHAnsi"/>
        </w:rPr>
        <w:t xml:space="preserve">n Nepal, Morrison and </w:t>
      </w:r>
      <w:proofErr w:type="spellStart"/>
      <w:r w:rsidR="00D4770C" w:rsidRPr="00101864">
        <w:rPr>
          <w:rFonts w:cstheme="minorHAnsi"/>
        </w:rPr>
        <w:t>Arj</w:t>
      </w:r>
      <w:r w:rsidR="00A87EC0" w:rsidRPr="00101864">
        <w:rPr>
          <w:rFonts w:cstheme="minorHAnsi"/>
        </w:rPr>
        <w:t>yal</w:t>
      </w:r>
      <w:proofErr w:type="spellEnd"/>
      <w:r w:rsidR="00A87EC0" w:rsidRPr="00101864">
        <w:rPr>
          <w:rFonts w:cstheme="minorHAnsi"/>
        </w:rPr>
        <w:t xml:space="preserve"> </w:t>
      </w:r>
      <w:r w:rsidR="007074CD" w:rsidRPr="00101864">
        <w:rPr>
          <w:rFonts w:cstheme="minorHAnsi"/>
          <w:highlight w:val="yellow"/>
        </w:rPr>
        <w:t>[inset ref]</w:t>
      </w:r>
      <w:r w:rsidR="007074CD" w:rsidRPr="00101864">
        <w:rPr>
          <w:rFonts w:cstheme="minorHAnsi"/>
        </w:rPr>
        <w:t xml:space="preserve"> </w:t>
      </w:r>
      <w:r w:rsidR="00EC3A8F" w:rsidRPr="00101864">
        <w:rPr>
          <w:rFonts w:cstheme="minorHAnsi"/>
        </w:rPr>
        <w:t>designed</w:t>
      </w:r>
      <w:r w:rsidR="00A87EC0" w:rsidRPr="00101864">
        <w:rPr>
          <w:rFonts w:cstheme="minorHAnsi"/>
        </w:rPr>
        <w:t xml:space="preserve"> drama</w:t>
      </w:r>
      <w:r w:rsidR="00DC59A8" w:rsidRPr="00101864">
        <w:rPr>
          <w:rFonts w:cstheme="minorHAnsi"/>
        </w:rPr>
        <w:t xml:space="preserve"> </w:t>
      </w:r>
      <w:r w:rsidR="00EC3A8F" w:rsidRPr="00101864">
        <w:rPr>
          <w:rFonts w:cstheme="minorHAnsi"/>
        </w:rPr>
        <w:t>and games</w:t>
      </w:r>
      <w:r w:rsidR="00DC59A8" w:rsidRPr="00101864">
        <w:rPr>
          <w:rFonts w:cstheme="minorHAnsi"/>
        </w:rPr>
        <w:t xml:space="preserve"> to promote active learning and stimulate </w:t>
      </w:r>
      <w:r w:rsidR="00F20B88" w:rsidRPr="00101864">
        <w:rPr>
          <w:rFonts w:cstheme="minorHAnsi"/>
        </w:rPr>
        <w:t>conversations about diabetes</w:t>
      </w:r>
      <w:r w:rsidR="006228EF" w:rsidRPr="00101864">
        <w:rPr>
          <w:rFonts w:cstheme="minorHAnsi"/>
        </w:rPr>
        <w:t xml:space="preserve"> in local villages and markets</w:t>
      </w:r>
      <w:r w:rsidR="00F20B88" w:rsidRPr="00101864">
        <w:rPr>
          <w:rFonts w:cstheme="minorHAnsi"/>
        </w:rPr>
        <w:t xml:space="preserve">. </w:t>
      </w:r>
      <w:r w:rsidR="00672D20" w:rsidRPr="00101864">
        <w:rPr>
          <w:rFonts w:cstheme="minorHAnsi"/>
        </w:rPr>
        <w:t>A broad range of research methods were used in the different studies</w:t>
      </w:r>
      <w:r w:rsidR="007074CD" w:rsidRPr="00101864">
        <w:rPr>
          <w:rFonts w:cstheme="minorHAnsi"/>
        </w:rPr>
        <w:t>,</w:t>
      </w:r>
      <w:r w:rsidR="00672D20" w:rsidRPr="00101864">
        <w:rPr>
          <w:rFonts w:cstheme="minorHAnsi"/>
        </w:rPr>
        <w:t xml:space="preserve"> including arts-based methods, </w:t>
      </w:r>
      <w:r w:rsidR="00F20B88" w:rsidRPr="00101864">
        <w:rPr>
          <w:rFonts w:cstheme="minorHAnsi"/>
        </w:rPr>
        <w:t>for instance</w:t>
      </w:r>
      <w:r w:rsidR="00672D20" w:rsidRPr="00101864">
        <w:rPr>
          <w:rFonts w:cstheme="minorHAnsi"/>
        </w:rPr>
        <w:t xml:space="preserve"> </w:t>
      </w:r>
      <w:r w:rsidR="007074CD" w:rsidRPr="00101864">
        <w:rPr>
          <w:rFonts w:cstheme="minorHAnsi"/>
        </w:rPr>
        <w:t xml:space="preserve">in </w:t>
      </w:r>
      <w:r w:rsidR="00672D20" w:rsidRPr="00101864">
        <w:rPr>
          <w:rFonts w:cstheme="minorHAnsi"/>
        </w:rPr>
        <w:t>Sadh and Murthy</w:t>
      </w:r>
      <w:r w:rsidR="007074CD" w:rsidRPr="00101864">
        <w:rPr>
          <w:rFonts w:cstheme="minorHAnsi"/>
        </w:rPr>
        <w:t>’s</w:t>
      </w:r>
      <w:r w:rsidR="00672D20" w:rsidRPr="00101864">
        <w:rPr>
          <w:rFonts w:cstheme="minorHAnsi"/>
        </w:rPr>
        <w:t xml:space="preserve"> short communication </w:t>
      </w:r>
      <w:r w:rsidR="007074CD" w:rsidRPr="00101864">
        <w:rPr>
          <w:rFonts w:cstheme="minorHAnsi"/>
        </w:rPr>
        <w:t xml:space="preserve">reporting </w:t>
      </w:r>
      <w:r w:rsidR="00672D20" w:rsidRPr="00101864">
        <w:rPr>
          <w:rFonts w:cstheme="minorHAnsi"/>
        </w:rPr>
        <w:t xml:space="preserve">on the use of children’s paintings and drawings to understand children’s perceptions of </w:t>
      </w:r>
      <w:r w:rsidR="007074CD" w:rsidRPr="00101864">
        <w:rPr>
          <w:rFonts w:cstheme="minorHAnsi"/>
        </w:rPr>
        <w:t>COVID</w:t>
      </w:r>
      <w:r w:rsidR="00672D20" w:rsidRPr="00101864">
        <w:rPr>
          <w:rFonts w:cstheme="minorHAnsi"/>
        </w:rPr>
        <w:t>-19 and lockdown in India.</w:t>
      </w:r>
    </w:p>
    <w:p w14:paraId="6EDEDE55" w14:textId="17702DAE" w:rsidR="008C6073" w:rsidRPr="00101864" w:rsidRDefault="00DB28E7">
      <w:pPr>
        <w:rPr>
          <w:rFonts w:cstheme="minorHAnsi"/>
        </w:rPr>
      </w:pPr>
      <w:r w:rsidRPr="00101864">
        <w:rPr>
          <w:rFonts w:cstheme="minorHAnsi"/>
        </w:rPr>
        <w:t>Much of the literature reporting the impact o</w:t>
      </w:r>
      <w:r w:rsidR="006B2301" w:rsidRPr="00101864">
        <w:rPr>
          <w:rFonts w:cstheme="minorHAnsi"/>
        </w:rPr>
        <w:t>f arts and health interventions focusses on mental-ill health and</w:t>
      </w:r>
      <w:r w:rsidR="007074CD" w:rsidRPr="00101864">
        <w:rPr>
          <w:rFonts w:cstheme="minorHAnsi"/>
        </w:rPr>
        <w:t>,</w:t>
      </w:r>
      <w:r w:rsidR="006B2301" w:rsidRPr="00101864">
        <w:rPr>
          <w:rFonts w:cstheme="minorHAnsi"/>
        </w:rPr>
        <w:t xml:space="preserve"> whilst this issue </w:t>
      </w:r>
      <w:r w:rsidR="00AA1CC0" w:rsidRPr="00101864">
        <w:rPr>
          <w:rFonts w:cstheme="minorHAnsi"/>
        </w:rPr>
        <w:t xml:space="preserve">also includes </w:t>
      </w:r>
      <w:r w:rsidR="009148C6" w:rsidRPr="00101864">
        <w:rPr>
          <w:rFonts w:cstheme="minorHAnsi"/>
        </w:rPr>
        <w:t>articles about interventions targeting mental ill-health</w:t>
      </w:r>
      <w:r w:rsidR="00C115D2" w:rsidRPr="00101864">
        <w:rPr>
          <w:rFonts w:cstheme="minorHAnsi"/>
        </w:rPr>
        <w:t xml:space="preserve"> (</w:t>
      </w:r>
      <w:proofErr w:type="spellStart"/>
      <w:r w:rsidR="00C115D2" w:rsidRPr="00101864">
        <w:rPr>
          <w:rFonts w:cstheme="minorHAnsi"/>
        </w:rPr>
        <w:t>e.g</w:t>
      </w:r>
      <w:proofErr w:type="spellEnd"/>
      <w:r w:rsidR="00C115D2" w:rsidRPr="00101864">
        <w:rPr>
          <w:rFonts w:cstheme="minorHAnsi"/>
        </w:rPr>
        <w:t xml:space="preserve"> Sumner et al</w:t>
      </w:r>
      <w:r w:rsidR="007541A7" w:rsidRPr="00101864">
        <w:rPr>
          <w:rFonts w:cstheme="minorHAnsi"/>
        </w:rPr>
        <w:t>.</w:t>
      </w:r>
      <w:r w:rsidR="007074CD" w:rsidRPr="00101864">
        <w:rPr>
          <w:rFonts w:cstheme="minorHAnsi"/>
        </w:rPr>
        <w:t xml:space="preserve"> </w:t>
      </w:r>
      <w:r w:rsidR="007074CD" w:rsidRPr="00101864">
        <w:rPr>
          <w:rFonts w:cstheme="minorHAnsi"/>
          <w:highlight w:val="yellow"/>
        </w:rPr>
        <w:t>[inset ref]</w:t>
      </w:r>
      <w:r w:rsidR="00C115D2" w:rsidRPr="00101864">
        <w:rPr>
          <w:rFonts w:cstheme="minorHAnsi"/>
        </w:rPr>
        <w:t>)</w:t>
      </w:r>
      <w:r w:rsidR="004D3E99" w:rsidRPr="00101864">
        <w:rPr>
          <w:rFonts w:cstheme="minorHAnsi"/>
        </w:rPr>
        <w:t xml:space="preserve">, other </w:t>
      </w:r>
      <w:r w:rsidR="00951D67" w:rsidRPr="00101864">
        <w:rPr>
          <w:rFonts w:cstheme="minorHAnsi"/>
        </w:rPr>
        <w:t>health</w:t>
      </w:r>
      <w:r w:rsidR="004D3E99" w:rsidRPr="00101864">
        <w:rPr>
          <w:rFonts w:cstheme="minorHAnsi"/>
        </w:rPr>
        <w:t xml:space="preserve"> conditions also </w:t>
      </w:r>
      <w:r w:rsidR="00586136" w:rsidRPr="00101864">
        <w:rPr>
          <w:rFonts w:cstheme="minorHAnsi"/>
        </w:rPr>
        <w:t>feature</w:t>
      </w:r>
      <w:r w:rsidR="007074CD" w:rsidRPr="00101864">
        <w:rPr>
          <w:rFonts w:cstheme="minorHAnsi"/>
        </w:rPr>
        <w:t>,</w:t>
      </w:r>
      <w:r w:rsidR="004D3E99" w:rsidRPr="00101864">
        <w:rPr>
          <w:rFonts w:cstheme="minorHAnsi"/>
        </w:rPr>
        <w:t xml:space="preserve"> </w:t>
      </w:r>
      <w:r w:rsidR="00951D67" w:rsidRPr="00101864">
        <w:rPr>
          <w:rFonts w:cstheme="minorHAnsi"/>
        </w:rPr>
        <w:t xml:space="preserve">such as </w:t>
      </w:r>
      <w:r w:rsidR="00722628" w:rsidRPr="00101864">
        <w:rPr>
          <w:rFonts w:cstheme="minorHAnsi"/>
        </w:rPr>
        <w:t xml:space="preserve">cancer, </w:t>
      </w:r>
      <w:r w:rsidR="00321E6E" w:rsidRPr="00101864">
        <w:rPr>
          <w:rFonts w:cstheme="minorHAnsi"/>
        </w:rPr>
        <w:t>dementia, visual impair</w:t>
      </w:r>
      <w:r w:rsidR="00951D67" w:rsidRPr="00101864">
        <w:rPr>
          <w:rFonts w:cstheme="minorHAnsi"/>
        </w:rPr>
        <w:t>ment</w:t>
      </w:r>
      <w:r w:rsidR="00321E6E" w:rsidRPr="00101864">
        <w:rPr>
          <w:rFonts w:cstheme="minorHAnsi"/>
        </w:rPr>
        <w:t xml:space="preserve"> </w:t>
      </w:r>
      <w:r w:rsidR="006C71D6" w:rsidRPr="00101864">
        <w:rPr>
          <w:rFonts w:cstheme="minorHAnsi"/>
        </w:rPr>
        <w:t xml:space="preserve">and </w:t>
      </w:r>
      <w:r w:rsidR="00B33FDC" w:rsidRPr="00101864">
        <w:rPr>
          <w:rFonts w:cstheme="minorHAnsi"/>
        </w:rPr>
        <w:t>chronic pain</w:t>
      </w:r>
      <w:r w:rsidR="006C71D6" w:rsidRPr="00101864">
        <w:rPr>
          <w:rFonts w:cstheme="minorHAnsi"/>
        </w:rPr>
        <w:t>. Furthermore</w:t>
      </w:r>
      <w:r w:rsidR="00B33FDC" w:rsidRPr="00101864">
        <w:rPr>
          <w:rFonts w:cstheme="minorHAnsi"/>
        </w:rPr>
        <w:t xml:space="preserve">, </w:t>
      </w:r>
      <w:r w:rsidR="008669CA" w:rsidRPr="00101864">
        <w:rPr>
          <w:rFonts w:cstheme="minorHAnsi"/>
        </w:rPr>
        <w:t xml:space="preserve">there are studies </w:t>
      </w:r>
      <w:r w:rsidR="00C36C01" w:rsidRPr="00101864">
        <w:rPr>
          <w:rFonts w:cstheme="minorHAnsi"/>
        </w:rPr>
        <w:t xml:space="preserve">reporting interventions for </w:t>
      </w:r>
      <w:r w:rsidR="009374B5" w:rsidRPr="00101864">
        <w:rPr>
          <w:rFonts w:cstheme="minorHAnsi"/>
        </w:rPr>
        <w:t>workplace</w:t>
      </w:r>
      <w:r w:rsidR="00060BFE" w:rsidRPr="00101864">
        <w:rPr>
          <w:rFonts w:cstheme="minorHAnsi"/>
        </w:rPr>
        <w:t xml:space="preserve"> health, </w:t>
      </w:r>
      <w:r w:rsidR="0085285F" w:rsidRPr="00101864">
        <w:rPr>
          <w:rFonts w:cstheme="minorHAnsi"/>
        </w:rPr>
        <w:t xml:space="preserve">and </w:t>
      </w:r>
      <w:r w:rsidR="00C36C01" w:rsidRPr="00101864">
        <w:rPr>
          <w:rFonts w:cstheme="minorHAnsi"/>
        </w:rPr>
        <w:t xml:space="preserve">the </w:t>
      </w:r>
      <w:r w:rsidR="00060BFE" w:rsidRPr="00101864">
        <w:rPr>
          <w:rFonts w:cstheme="minorHAnsi"/>
        </w:rPr>
        <w:t xml:space="preserve">wellbeing of clinicians and </w:t>
      </w:r>
      <w:r w:rsidR="008669CA" w:rsidRPr="00101864">
        <w:rPr>
          <w:rFonts w:cstheme="minorHAnsi"/>
        </w:rPr>
        <w:t xml:space="preserve">medical </w:t>
      </w:r>
      <w:r w:rsidR="00060BFE" w:rsidRPr="00101864">
        <w:rPr>
          <w:rFonts w:cstheme="minorHAnsi"/>
        </w:rPr>
        <w:t>students</w:t>
      </w:r>
      <w:r w:rsidR="001C1419" w:rsidRPr="00101864">
        <w:rPr>
          <w:rFonts w:cstheme="minorHAnsi"/>
        </w:rPr>
        <w:t xml:space="preserve">. </w:t>
      </w:r>
      <w:r w:rsidR="00FF4792" w:rsidRPr="00101864">
        <w:rPr>
          <w:rFonts w:cstheme="minorHAnsi"/>
        </w:rPr>
        <w:t>Unsurprisingly</w:t>
      </w:r>
      <w:r w:rsidR="007074CD" w:rsidRPr="00101864">
        <w:rPr>
          <w:rFonts w:cstheme="minorHAnsi"/>
        </w:rPr>
        <w:t>,</w:t>
      </w:r>
      <w:r w:rsidR="00FF4792" w:rsidRPr="00101864">
        <w:rPr>
          <w:rFonts w:cstheme="minorHAnsi"/>
        </w:rPr>
        <w:t xml:space="preserve"> </w:t>
      </w:r>
      <w:r w:rsidR="003F2900" w:rsidRPr="00101864">
        <w:rPr>
          <w:rFonts w:cstheme="minorHAnsi"/>
        </w:rPr>
        <w:t xml:space="preserve">the impact of </w:t>
      </w:r>
      <w:r w:rsidR="007074CD" w:rsidRPr="00101864">
        <w:rPr>
          <w:rFonts w:cstheme="minorHAnsi"/>
        </w:rPr>
        <w:t>COVID</w:t>
      </w:r>
      <w:r w:rsidR="001C1419" w:rsidRPr="00101864">
        <w:rPr>
          <w:rFonts w:cstheme="minorHAnsi"/>
        </w:rPr>
        <w:t xml:space="preserve">-19 </w:t>
      </w:r>
      <w:r w:rsidR="003F2900" w:rsidRPr="00101864">
        <w:rPr>
          <w:rFonts w:cstheme="minorHAnsi"/>
        </w:rPr>
        <w:lastRenderedPageBreak/>
        <w:t xml:space="preserve">was also considered, with </w:t>
      </w:r>
      <w:r w:rsidR="00212E02" w:rsidRPr="00101864">
        <w:rPr>
          <w:rFonts w:cstheme="minorHAnsi"/>
        </w:rPr>
        <w:t xml:space="preserve">reports on the </w:t>
      </w:r>
      <w:r w:rsidR="00F77973" w:rsidRPr="00101864">
        <w:rPr>
          <w:rFonts w:cstheme="minorHAnsi"/>
        </w:rPr>
        <w:t>impact on arts</w:t>
      </w:r>
      <w:r w:rsidR="007541A7" w:rsidRPr="00101864">
        <w:rPr>
          <w:rFonts w:cstheme="minorHAnsi"/>
        </w:rPr>
        <w:t xml:space="preserve"> and </w:t>
      </w:r>
      <w:r w:rsidR="00F77973" w:rsidRPr="00101864">
        <w:rPr>
          <w:rFonts w:cstheme="minorHAnsi"/>
        </w:rPr>
        <w:t xml:space="preserve">cultural organisations </w:t>
      </w:r>
      <w:r w:rsidR="003E0B6C" w:rsidRPr="00101864">
        <w:rPr>
          <w:rFonts w:cstheme="minorHAnsi"/>
        </w:rPr>
        <w:t xml:space="preserve">providing arts and health programmes </w:t>
      </w:r>
      <w:r w:rsidR="00F77973" w:rsidRPr="00101864">
        <w:rPr>
          <w:rFonts w:cstheme="minorHAnsi"/>
        </w:rPr>
        <w:t>and their response</w:t>
      </w:r>
      <w:r w:rsidR="003E0B6C" w:rsidRPr="00101864">
        <w:rPr>
          <w:rFonts w:cstheme="minorHAnsi"/>
        </w:rPr>
        <w:t xml:space="preserve"> to the pandemic</w:t>
      </w:r>
      <w:r w:rsidR="007541A7" w:rsidRPr="00101864">
        <w:rPr>
          <w:rFonts w:cstheme="minorHAnsi"/>
        </w:rPr>
        <w:t>;</w:t>
      </w:r>
      <w:r w:rsidR="003E0B6C" w:rsidRPr="00101864">
        <w:rPr>
          <w:rFonts w:cstheme="minorHAnsi"/>
        </w:rPr>
        <w:t xml:space="preserve"> </w:t>
      </w:r>
      <w:r w:rsidR="00F357B6" w:rsidRPr="00101864">
        <w:rPr>
          <w:rFonts w:cstheme="minorHAnsi"/>
        </w:rPr>
        <w:t xml:space="preserve">Armstrong and Ross </w:t>
      </w:r>
      <w:r w:rsidR="007074CD" w:rsidRPr="00101864">
        <w:rPr>
          <w:rFonts w:cstheme="minorHAnsi"/>
          <w:highlight w:val="yellow"/>
        </w:rPr>
        <w:t>[inset ref]</w:t>
      </w:r>
      <w:r w:rsidR="007074CD" w:rsidRPr="00101864">
        <w:rPr>
          <w:rFonts w:cstheme="minorHAnsi"/>
        </w:rPr>
        <w:t xml:space="preserve"> </w:t>
      </w:r>
      <w:r w:rsidR="00160A78" w:rsidRPr="00101864">
        <w:rPr>
          <w:rFonts w:cstheme="minorHAnsi"/>
        </w:rPr>
        <w:t xml:space="preserve">present preliminary findings </w:t>
      </w:r>
      <w:r w:rsidR="007074CD" w:rsidRPr="00101864">
        <w:rPr>
          <w:rFonts w:cstheme="minorHAnsi"/>
        </w:rPr>
        <w:t>about</w:t>
      </w:r>
      <w:r w:rsidR="00F357B6" w:rsidRPr="00101864">
        <w:rPr>
          <w:rFonts w:cstheme="minorHAnsi"/>
        </w:rPr>
        <w:t xml:space="preserve"> </w:t>
      </w:r>
      <w:r w:rsidR="007074CD" w:rsidRPr="00101864">
        <w:rPr>
          <w:rFonts w:cstheme="minorHAnsi"/>
        </w:rPr>
        <w:t xml:space="preserve">how </w:t>
      </w:r>
      <w:r w:rsidR="00160A78" w:rsidRPr="00101864">
        <w:rPr>
          <w:rFonts w:cstheme="minorHAnsi"/>
        </w:rPr>
        <w:t xml:space="preserve">a programme of arts activity for parents and young children changed in response to </w:t>
      </w:r>
      <w:r w:rsidR="00CE2450" w:rsidRPr="00101864">
        <w:rPr>
          <w:rFonts w:cstheme="minorHAnsi"/>
        </w:rPr>
        <w:t>l</w:t>
      </w:r>
      <w:r w:rsidR="00160A78" w:rsidRPr="00101864">
        <w:rPr>
          <w:rFonts w:cstheme="minorHAnsi"/>
        </w:rPr>
        <w:t>ockdown</w:t>
      </w:r>
      <w:r w:rsidR="00CE2450" w:rsidRPr="00101864">
        <w:rPr>
          <w:rFonts w:cstheme="minorHAnsi"/>
        </w:rPr>
        <w:t xml:space="preserve">. </w:t>
      </w:r>
    </w:p>
    <w:p w14:paraId="60758209" w14:textId="03CB8FFF" w:rsidR="00D27B47" w:rsidRPr="00101864" w:rsidRDefault="00B55010" w:rsidP="00D27B47">
      <w:pPr>
        <w:rPr>
          <w:rFonts w:cstheme="minorHAnsi"/>
        </w:rPr>
      </w:pPr>
      <w:r w:rsidRPr="00101864">
        <w:rPr>
          <w:rFonts w:cstheme="minorHAnsi"/>
        </w:rPr>
        <w:t xml:space="preserve">Despite the number of submissions </w:t>
      </w:r>
      <w:r w:rsidR="007E5991" w:rsidRPr="00101864">
        <w:rPr>
          <w:rFonts w:cstheme="minorHAnsi"/>
        </w:rPr>
        <w:t xml:space="preserve">for this </w:t>
      </w:r>
      <w:r w:rsidR="007074CD" w:rsidRPr="00101864">
        <w:rPr>
          <w:rFonts w:cstheme="minorHAnsi"/>
        </w:rPr>
        <w:t xml:space="preserve">special </w:t>
      </w:r>
      <w:r w:rsidR="007E5991" w:rsidRPr="00101864">
        <w:rPr>
          <w:rFonts w:cstheme="minorHAnsi"/>
        </w:rPr>
        <w:t>issue, there remains large gaps in the research literature</w:t>
      </w:r>
      <w:r w:rsidR="00F52D68" w:rsidRPr="00101864">
        <w:rPr>
          <w:rFonts w:cstheme="minorHAnsi"/>
        </w:rPr>
        <w:t xml:space="preserve">, specifically, few published studies consider the cost effectiveness </w:t>
      </w:r>
      <w:r w:rsidR="009626AB" w:rsidRPr="00101864">
        <w:rPr>
          <w:rFonts w:cstheme="minorHAnsi"/>
        </w:rPr>
        <w:t xml:space="preserve">or the long-term outcomes </w:t>
      </w:r>
      <w:r w:rsidR="00F52D68" w:rsidRPr="00101864">
        <w:rPr>
          <w:rFonts w:cstheme="minorHAnsi"/>
        </w:rPr>
        <w:t>of different interventions</w:t>
      </w:r>
      <w:r w:rsidR="00905F63" w:rsidRPr="00101864">
        <w:rPr>
          <w:rFonts w:cstheme="minorHAnsi"/>
        </w:rPr>
        <w:t>. Whilst highlightin</w:t>
      </w:r>
      <w:r w:rsidR="00EE67C9" w:rsidRPr="00101864">
        <w:rPr>
          <w:rFonts w:cstheme="minorHAnsi"/>
        </w:rPr>
        <w:t>g</w:t>
      </w:r>
      <w:r w:rsidR="00905F63" w:rsidRPr="00101864">
        <w:rPr>
          <w:rFonts w:cstheme="minorHAnsi"/>
        </w:rPr>
        <w:t xml:space="preserve"> </w:t>
      </w:r>
      <w:r w:rsidR="00EE67C9" w:rsidRPr="00101864">
        <w:rPr>
          <w:rFonts w:cstheme="minorHAnsi"/>
        </w:rPr>
        <w:t xml:space="preserve">the lack of consideration of </w:t>
      </w:r>
      <w:r w:rsidR="002140D1" w:rsidRPr="00101864">
        <w:rPr>
          <w:rFonts w:cstheme="minorHAnsi"/>
        </w:rPr>
        <w:t>long-term</w:t>
      </w:r>
      <w:r w:rsidR="00EE67C9" w:rsidRPr="00101864">
        <w:rPr>
          <w:rFonts w:cstheme="minorHAnsi"/>
        </w:rPr>
        <w:t xml:space="preserve"> outcomes, </w:t>
      </w:r>
      <w:r w:rsidR="00917C0A" w:rsidRPr="00101864">
        <w:rPr>
          <w:rFonts w:cstheme="minorHAnsi"/>
        </w:rPr>
        <w:t xml:space="preserve">we also acknowledge that </w:t>
      </w:r>
      <w:r w:rsidR="00EE67C9" w:rsidRPr="00101864">
        <w:rPr>
          <w:rFonts w:cstheme="minorHAnsi"/>
        </w:rPr>
        <w:t xml:space="preserve">there is a </w:t>
      </w:r>
      <w:r w:rsidR="00B26EBE" w:rsidRPr="00101864">
        <w:rPr>
          <w:rFonts w:cstheme="minorHAnsi"/>
        </w:rPr>
        <w:t xml:space="preserve">shortfall in the </w:t>
      </w:r>
      <w:r w:rsidR="00917C0A" w:rsidRPr="00101864">
        <w:rPr>
          <w:rFonts w:cstheme="minorHAnsi"/>
        </w:rPr>
        <w:t xml:space="preserve">detail </w:t>
      </w:r>
      <w:r w:rsidR="00B26EBE" w:rsidRPr="00101864">
        <w:rPr>
          <w:rFonts w:cstheme="minorHAnsi"/>
        </w:rPr>
        <w:t xml:space="preserve">provided </w:t>
      </w:r>
      <w:r w:rsidR="007074CD" w:rsidRPr="00101864">
        <w:rPr>
          <w:rFonts w:cstheme="minorHAnsi"/>
        </w:rPr>
        <w:t>in terms of</w:t>
      </w:r>
      <w:r w:rsidR="00B26EBE" w:rsidRPr="00101864">
        <w:rPr>
          <w:rFonts w:cstheme="minorHAnsi"/>
        </w:rPr>
        <w:t xml:space="preserve"> what the </w:t>
      </w:r>
      <w:r w:rsidR="00A456FA" w:rsidRPr="00101864">
        <w:rPr>
          <w:rFonts w:cstheme="minorHAnsi"/>
        </w:rPr>
        <w:t>‘</w:t>
      </w:r>
      <w:r w:rsidR="007B61C5" w:rsidRPr="00101864">
        <w:rPr>
          <w:rFonts w:cstheme="minorHAnsi"/>
        </w:rPr>
        <w:t>interventions</w:t>
      </w:r>
      <w:r w:rsidR="007541A7" w:rsidRPr="00101864">
        <w:rPr>
          <w:rFonts w:cstheme="minorHAnsi"/>
        </w:rPr>
        <w:t>’</w:t>
      </w:r>
      <w:r w:rsidR="007B61C5" w:rsidRPr="00101864">
        <w:rPr>
          <w:rFonts w:cstheme="minorHAnsi"/>
        </w:rPr>
        <w:t xml:space="preserve"> </w:t>
      </w:r>
      <w:r w:rsidR="007541A7" w:rsidRPr="00101864">
        <w:rPr>
          <w:rFonts w:cstheme="minorHAnsi"/>
        </w:rPr>
        <w:t xml:space="preserve">actually </w:t>
      </w:r>
      <w:r w:rsidR="00B26EBE" w:rsidRPr="00101864">
        <w:rPr>
          <w:rFonts w:cstheme="minorHAnsi"/>
        </w:rPr>
        <w:t>are</w:t>
      </w:r>
      <w:r w:rsidR="00586136" w:rsidRPr="00101864">
        <w:rPr>
          <w:rFonts w:cstheme="minorHAnsi"/>
        </w:rPr>
        <w:t>. T</w:t>
      </w:r>
      <w:r w:rsidR="006A444A" w:rsidRPr="00101864">
        <w:rPr>
          <w:rFonts w:cstheme="minorHAnsi"/>
        </w:rPr>
        <w:t xml:space="preserve">hat </w:t>
      </w:r>
      <w:r w:rsidR="008B6364" w:rsidRPr="00101864">
        <w:rPr>
          <w:rFonts w:cstheme="minorHAnsi"/>
        </w:rPr>
        <w:t>is</w:t>
      </w:r>
      <w:r w:rsidR="003A2588" w:rsidRPr="00101864">
        <w:rPr>
          <w:rFonts w:cstheme="minorHAnsi"/>
        </w:rPr>
        <w:t>,</w:t>
      </w:r>
      <w:r w:rsidR="008B6364" w:rsidRPr="00101864">
        <w:rPr>
          <w:rFonts w:cstheme="minorHAnsi"/>
        </w:rPr>
        <w:t xml:space="preserve"> </w:t>
      </w:r>
      <w:r w:rsidR="00A456FA" w:rsidRPr="00101864">
        <w:rPr>
          <w:rFonts w:cstheme="minorHAnsi"/>
        </w:rPr>
        <w:t xml:space="preserve">information about </w:t>
      </w:r>
      <w:r w:rsidR="008B6364" w:rsidRPr="00101864">
        <w:rPr>
          <w:rFonts w:cstheme="minorHAnsi"/>
        </w:rPr>
        <w:t>the quality and aesthe</w:t>
      </w:r>
      <w:r w:rsidR="007B61C5" w:rsidRPr="00101864">
        <w:rPr>
          <w:rFonts w:cstheme="minorHAnsi"/>
        </w:rPr>
        <w:t>tics of the</w:t>
      </w:r>
      <w:r w:rsidR="00917C0A" w:rsidRPr="00101864">
        <w:rPr>
          <w:rFonts w:cstheme="minorHAnsi"/>
        </w:rPr>
        <w:t xml:space="preserve"> </w:t>
      </w:r>
      <w:r w:rsidR="007B61C5" w:rsidRPr="00101864">
        <w:rPr>
          <w:rFonts w:cstheme="minorHAnsi"/>
        </w:rPr>
        <w:t>creative activities</w:t>
      </w:r>
      <w:r w:rsidR="00144C36" w:rsidRPr="00101864">
        <w:rPr>
          <w:rFonts w:cstheme="minorHAnsi"/>
        </w:rPr>
        <w:t xml:space="preserve"> is often absent</w:t>
      </w:r>
      <w:r w:rsidR="002128DE" w:rsidRPr="00101864">
        <w:rPr>
          <w:rFonts w:cstheme="minorHAnsi"/>
        </w:rPr>
        <w:t xml:space="preserve">. </w:t>
      </w:r>
      <w:r w:rsidR="00620E7E" w:rsidRPr="00101864">
        <w:rPr>
          <w:rFonts w:cstheme="minorHAnsi"/>
        </w:rPr>
        <w:t>A</w:t>
      </w:r>
      <w:r w:rsidR="002128DE" w:rsidRPr="00101864">
        <w:rPr>
          <w:rFonts w:cstheme="minorHAnsi"/>
        </w:rPr>
        <w:t xml:space="preserve">rts and health </w:t>
      </w:r>
      <w:r w:rsidR="007116A1" w:rsidRPr="00101864">
        <w:rPr>
          <w:rFonts w:cstheme="minorHAnsi"/>
        </w:rPr>
        <w:t>ha</w:t>
      </w:r>
      <w:r w:rsidR="00F86B1C" w:rsidRPr="00101864">
        <w:rPr>
          <w:rFonts w:cstheme="minorHAnsi"/>
        </w:rPr>
        <w:t>ve</w:t>
      </w:r>
      <w:r w:rsidR="007116A1" w:rsidRPr="00101864">
        <w:rPr>
          <w:rFonts w:cstheme="minorHAnsi"/>
        </w:rPr>
        <w:t xml:space="preserve"> a long history</w:t>
      </w:r>
      <w:r w:rsidR="008E5861" w:rsidRPr="00101864">
        <w:rPr>
          <w:rFonts w:cstheme="minorHAnsi"/>
        </w:rPr>
        <w:t xml:space="preserve">, indeed </w:t>
      </w:r>
      <w:r w:rsidR="0088226C" w:rsidRPr="00101864">
        <w:rPr>
          <w:rFonts w:cstheme="minorHAnsi"/>
        </w:rPr>
        <w:t>Art was explicitly prescribed ‘as medicine’ in the 19</w:t>
      </w:r>
      <w:r w:rsidR="0088226C" w:rsidRPr="00101864">
        <w:rPr>
          <w:rFonts w:cstheme="minorHAnsi"/>
          <w:vertAlign w:val="superscript"/>
        </w:rPr>
        <w:t>th</w:t>
      </w:r>
      <w:r w:rsidR="0088226C" w:rsidRPr="00101864">
        <w:rPr>
          <w:rFonts w:cstheme="minorHAnsi"/>
        </w:rPr>
        <w:t xml:space="preserve"> Century.</w:t>
      </w:r>
      <w:r w:rsidR="007074CD" w:rsidRPr="00101864">
        <w:rPr>
          <w:rFonts w:cstheme="minorHAnsi"/>
        </w:rPr>
        <w:t>[</w:t>
      </w:r>
      <w:r w:rsidR="003B7178">
        <w:rPr>
          <w:rFonts w:cstheme="minorHAnsi"/>
        </w:rPr>
        <w:t>3</w:t>
      </w:r>
      <w:r w:rsidR="007074CD" w:rsidRPr="00101864">
        <w:rPr>
          <w:rFonts w:cstheme="minorHAnsi"/>
        </w:rPr>
        <w:t>]</w:t>
      </w:r>
      <w:r w:rsidR="0088226C" w:rsidRPr="00101864">
        <w:rPr>
          <w:rFonts w:cstheme="minorHAnsi"/>
        </w:rPr>
        <w:t xml:space="preserve"> </w:t>
      </w:r>
      <w:r w:rsidR="00186BFC" w:rsidRPr="00101864">
        <w:rPr>
          <w:rFonts w:cstheme="minorHAnsi"/>
        </w:rPr>
        <w:t xml:space="preserve">However, the </w:t>
      </w:r>
      <w:r w:rsidR="00CD7E22" w:rsidRPr="00101864">
        <w:rPr>
          <w:rFonts w:cstheme="minorHAnsi"/>
        </w:rPr>
        <w:t xml:space="preserve">published </w:t>
      </w:r>
      <w:r w:rsidR="00620E7E" w:rsidRPr="00101864">
        <w:rPr>
          <w:rFonts w:cstheme="minorHAnsi"/>
        </w:rPr>
        <w:t>research and evaluation</w:t>
      </w:r>
      <w:r w:rsidR="0019342F" w:rsidRPr="00101864">
        <w:rPr>
          <w:rFonts w:cstheme="minorHAnsi"/>
        </w:rPr>
        <w:t xml:space="preserve"> </w:t>
      </w:r>
      <w:r w:rsidR="006A444A" w:rsidRPr="00101864">
        <w:rPr>
          <w:rFonts w:cstheme="minorHAnsi"/>
        </w:rPr>
        <w:t>to date</w:t>
      </w:r>
      <w:r w:rsidR="00620E7E" w:rsidRPr="00101864">
        <w:rPr>
          <w:rFonts w:cstheme="minorHAnsi"/>
        </w:rPr>
        <w:t xml:space="preserve"> </w:t>
      </w:r>
      <w:r w:rsidR="00186BFC" w:rsidRPr="00101864">
        <w:rPr>
          <w:rFonts w:cstheme="minorHAnsi"/>
        </w:rPr>
        <w:t xml:space="preserve">is the </w:t>
      </w:r>
      <w:r w:rsidR="00620E7E" w:rsidRPr="00101864">
        <w:rPr>
          <w:rFonts w:cstheme="minorHAnsi"/>
        </w:rPr>
        <w:t>start</w:t>
      </w:r>
      <w:r w:rsidR="00186BFC" w:rsidRPr="00101864">
        <w:rPr>
          <w:rFonts w:cstheme="minorHAnsi"/>
        </w:rPr>
        <w:t xml:space="preserve"> of the </w:t>
      </w:r>
      <w:r w:rsidR="007541A7" w:rsidRPr="00101864">
        <w:rPr>
          <w:rFonts w:cstheme="minorHAnsi"/>
        </w:rPr>
        <w:t xml:space="preserve">latest </w:t>
      </w:r>
      <w:r w:rsidR="00186BFC" w:rsidRPr="00101864">
        <w:rPr>
          <w:rFonts w:cstheme="minorHAnsi"/>
        </w:rPr>
        <w:t>conversation rather than</w:t>
      </w:r>
      <w:r w:rsidR="00F27012" w:rsidRPr="00101864">
        <w:rPr>
          <w:rFonts w:cstheme="minorHAnsi"/>
        </w:rPr>
        <w:t xml:space="preserve"> providing</w:t>
      </w:r>
      <w:r w:rsidR="00186BFC" w:rsidRPr="00101864">
        <w:rPr>
          <w:rFonts w:cstheme="minorHAnsi"/>
        </w:rPr>
        <w:t xml:space="preserve"> </w:t>
      </w:r>
      <w:r w:rsidR="00CD7E22" w:rsidRPr="00101864">
        <w:rPr>
          <w:rFonts w:cstheme="minorHAnsi"/>
        </w:rPr>
        <w:t>the</w:t>
      </w:r>
      <w:r w:rsidR="00186BFC" w:rsidRPr="00101864">
        <w:rPr>
          <w:rFonts w:cstheme="minorHAnsi"/>
        </w:rPr>
        <w:t xml:space="preserve"> definitive </w:t>
      </w:r>
      <w:r w:rsidR="00CD7E22" w:rsidRPr="00101864">
        <w:rPr>
          <w:rFonts w:cstheme="minorHAnsi"/>
        </w:rPr>
        <w:t>answer</w:t>
      </w:r>
      <w:r w:rsidR="00186BFC" w:rsidRPr="00101864">
        <w:rPr>
          <w:rFonts w:cstheme="minorHAnsi"/>
        </w:rPr>
        <w:t xml:space="preserve">. </w:t>
      </w:r>
    </w:p>
    <w:p w14:paraId="6BF11BCC" w14:textId="0A0019A9" w:rsidR="00C824BE" w:rsidRPr="00101864" w:rsidRDefault="00586136">
      <w:pPr>
        <w:rPr>
          <w:rFonts w:cstheme="minorHAnsi"/>
        </w:rPr>
      </w:pPr>
      <w:r w:rsidRPr="00101864">
        <w:rPr>
          <w:rFonts w:cstheme="minorHAnsi"/>
        </w:rPr>
        <w:t>It is still the case that m</w:t>
      </w:r>
      <w:r w:rsidR="00873E38" w:rsidRPr="00101864">
        <w:rPr>
          <w:rFonts w:cstheme="minorHAnsi"/>
        </w:rPr>
        <w:t xml:space="preserve">uch of the </w:t>
      </w:r>
      <w:r w:rsidR="00672D20" w:rsidRPr="00101864">
        <w:rPr>
          <w:rFonts w:cstheme="minorHAnsi"/>
        </w:rPr>
        <w:t xml:space="preserve">existing </w:t>
      </w:r>
      <w:r w:rsidR="00E96B84" w:rsidRPr="00101864">
        <w:rPr>
          <w:rFonts w:cstheme="minorHAnsi"/>
        </w:rPr>
        <w:t xml:space="preserve">published </w:t>
      </w:r>
      <w:r w:rsidR="00873E38" w:rsidRPr="00101864">
        <w:rPr>
          <w:rFonts w:cstheme="minorHAnsi"/>
        </w:rPr>
        <w:t xml:space="preserve">research </w:t>
      </w:r>
      <w:r w:rsidR="00E96B84" w:rsidRPr="00101864">
        <w:rPr>
          <w:rFonts w:cstheme="minorHAnsi"/>
        </w:rPr>
        <w:t xml:space="preserve">uses relatively small sample sizes and </w:t>
      </w:r>
      <w:r w:rsidR="00396DB1" w:rsidRPr="00101864">
        <w:rPr>
          <w:rFonts w:cstheme="minorHAnsi"/>
        </w:rPr>
        <w:t>the studies are observational</w:t>
      </w:r>
      <w:r w:rsidR="00E20F40" w:rsidRPr="00101864">
        <w:rPr>
          <w:rFonts w:cstheme="minorHAnsi"/>
        </w:rPr>
        <w:t xml:space="preserve">, raising the question as to whether </w:t>
      </w:r>
      <w:r w:rsidR="005A76D3" w:rsidRPr="00101864">
        <w:rPr>
          <w:rFonts w:cstheme="minorHAnsi"/>
        </w:rPr>
        <w:t xml:space="preserve">it is the arts or cultural activity itself that has an impact or </w:t>
      </w:r>
      <w:r w:rsidR="008068B8" w:rsidRPr="00101864">
        <w:rPr>
          <w:rFonts w:cstheme="minorHAnsi"/>
        </w:rPr>
        <w:t>whether</w:t>
      </w:r>
      <w:r w:rsidR="00E84DB2" w:rsidRPr="00101864">
        <w:rPr>
          <w:rFonts w:cstheme="minorHAnsi"/>
        </w:rPr>
        <w:t xml:space="preserve"> other factors or mechanisms </w:t>
      </w:r>
      <w:r w:rsidR="008068B8" w:rsidRPr="00101864">
        <w:rPr>
          <w:rFonts w:cstheme="minorHAnsi"/>
        </w:rPr>
        <w:t xml:space="preserve">are </w:t>
      </w:r>
      <w:r w:rsidR="009725ED" w:rsidRPr="00101864">
        <w:rPr>
          <w:rFonts w:cstheme="minorHAnsi"/>
        </w:rPr>
        <w:t>equally relevant. Wh</w:t>
      </w:r>
      <w:r w:rsidR="006229C5" w:rsidRPr="00101864">
        <w:rPr>
          <w:rFonts w:cstheme="minorHAnsi"/>
        </w:rPr>
        <w:t>ilst</w:t>
      </w:r>
      <w:r w:rsidR="009725ED" w:rsidRPr="00101864">
        <w:rPr>
          <w:rFonts w:cstheme="minorHAnsi"/>
        </w:rPr>
        <w:t xml:space="preserve"> large scale </w:t>
      </w:r>
      <w:r w:rsidR="00DC5179" w:rsidRPr="00101864">
        <w:rPr>
          <w:rFonts w:cstheme="minorHAnsi"/>
        </w:rPr>
        <w:t xml:space="preserve">retrospective </w:t>
      </w:r>
      <w:r w:rsidR="009725ED" w:rsidRPr="00101864">
        <w:rPr>
          <w:rFonts w:cstheme="minorHAnsi"/>
        </w:rPr>
        <w:t xml:space="preserve">epidemiological studies have been conducted, in themselves these </w:t>
      </w:r>
      <w:r w:rsidR="00345C4C" w:rsidRPr="00101864">
        <w:rPr>
          <w:rFonts w:cstheme="minorHAnsi"/>
        </w:rPr>
        <w:t>do not</w:t>
      </w:r>
      <w:r w:rsidR="009725ED" w:rsidRPr="00101864">
        <w:rPr>
          <w:rFonts w:cstheme="minorHAnsi"/>
        </w:rPr>
        <w:t xml:space="preserve"> ‘prov</w:t>
      </w:r>
      <w:r w:rsidR="00FA0C48" w:rsidRPr="00101864">
        <w:rPr>
          <w:rFonts w:cstheme="minorHAnsi"/>
        </w:rPr>
        <w:t xml:space="preserve">e’ that arts have an impact on health and </w:t>
      </w:r>
      <w:r w:rsidR="00F86B1C" w:rsidRPr="00101864">
        <w:rPr>
          <w:rFonts w:cstheme="minorHAnsi"/>
        </w:rPr>
        <w:t>wellbeing but</w:t>
      </w:r>
      <w:r w:rsidR="00FA0C48" w:rsidRPr="00101864">
        <w:rPr>
          <w:rFonts w:cstheme="minorHAnsi"/>
        </w:rPr>
        <w:t xml:space="preserve"> may be indicative of associations </w:t>
      </w:r>
      <w:r w:rsidR="006229C5" w:rsidRPr="00101864">
        <w:rPr>
          <w:rFonts w:cstheme="minorHAnsi"/>
        </w:rPr>
        <w:t>to</w:t>
      </w:r>
      <w:r w:rsidR="00FA0C48" w:rsidRPr="00101864">
        <w:rPr>
          <w:rFonts w:cstheme="minorHAnsi"/>
        </w:rPr>
        <w:t xml:space="preserve"> be tested</w:t>
      </w:r>
      <w:r w:rsidR="00DC5179" w:rsidRPr="00101864">
        <w:rPr>
          <w:rFonts w:cstheme="minorHAnsi"/>
        </w:rPr>
        <w:t xml:space="preserve"> in the future</w:t>
      </w:r>
      <w:r w:rsidR="00FA0C48" w:rsidRPr="00101864">
        <w:rPr>
          <w:rFonts w:cstheme="minorHAnsi"/>
        </w:rPr>
        <w:t xml:space="preserve">. </w:t>
      </w:r>
      <w:r w:rsidR="00FF63AE" w:rsidRPr="00101864">
        <w:rPr>
          <w:rFonts w:cstheme="minorHAnsi"/>
        </w:rPr>
        <w:t>Hence</w:t>
      </w:r>
      <w:r w:rsidR="007074CD" w:rsidRPr="00101864">
        <w:rPr>
          <w:rFonts w:cstheme="minorHAnsi"/>
        </w:rPr>
        <w:t>,</w:t>
      </w:r>
      <w:r w:rsidR="00FF63AE" w:rsidRPr="00101864">
        <w:rPr>
          <w:rFonts w:cstheme="minorHAnsi"/>
        </w:rPr>
        <w:t xml:space="preserve"> there is a need for robust longitudinal studies.</w:t>
      </w:r>
    </w:p>
    <w:p w14:paraId="5FC9D4F7" w14:textId="1780FA72" w:rsidR="00E56B1D" w:rsidRPr="00101864" w:rsidRDefault="00E56B1D">
      <w:pPr>
        <w:rPr>
          <w:rFonts w:cstheme="minorHAnsi"/>
        </w:rPr>
      </w:pPr>
      <w:r w:rsidRPr="00101864">
        <w:rPr>
          <w:rFonts w:cstheme="minorHAnsi"/>
        </w:rPr>
        <w:t xml:space="preserve">There </w:t>
      </w:r>
      <w:r w:rsidR="008E6AA6" w:rsidRPr="00101864">
        <w:rPr>
          <w:rFonts w:cstheme="minorHAnsi"/>
        </w:rPr>
        <w:t>remains</w:t>
      </w:r>
      <w:r w:rsidRPr="00101864">
        <w:rPr>
          <w:rFonts w:cstheme="minorHAnsi"/>
        </w:rPr>
        <w:t xml:space="preserve"> a need for critical academic debate</w:t>
      </w:r>
      <w:r w:rsidR="00DC78E9" w:rsidRPr="00101864">
        <w:rPr>
          <w:rFonts w:cstheme="minorHAnsi"/>
        </w:rPr>
        <w:t xml:space="preserve"> to support the increasing use of culture and the arts </w:t>
      </w:r>
      <w:r w:rsidR="00DE17C7" w:rsidRPr="00101864">
        <w:rPr>
          <w:rFonts w:cstheme="minorHAnsi"/>
        </w:rPr>
        <w:t xml:space="preserve">in healthcare and the public health field. </w:t>
      </w:r>
      <w:r w:rsidR="002A1653" w:rsidRPr="00101864">
        <w:rPr>
          <w:rFonts w:cstheme="minorHAnsi"/>
        </w:rPr>
        <w:t>H</w:t>
      </w:r>
      <w:r w:rsidR="006229C5" w:rsidRPr="00101864">
        <w:rPr>
          <w:rFonts w:cstheme="minorHAnsi"/>
        </w:rPr>
        <w:t>igh</w:t>
      </w:r>
      <w:r w:rsidR="00EC682A" w:rsidRPr="00101864">
        <w:rPr>
          <w:rFonts w:cstheme="minorHAnsi"/>
        </w:rPr>
        <w:t xml:space="preserve"> </w:t>
      </w:r>
      <w:r w:rsidR="006229C5" w:rsidRPr="00101864">
        <w:rPr>
          <w:rFonts w:cstheme="minorHAnsi"/>
        </w:rPr>
        <w:t>quality systematic reviews</w:t>
      </w:r>
      <w:r w:rsidR="002A1653" w:rsidRPr="00101864">
        <w:rPr>
          <w:rFonts w:cstheme="minorHAnsi"/>
        </w:rPr>
        <w:t xml:space="preserve"> and meta-analyses are required, </w:t>
      </w:r>
      <w:r w:rsidR="00940CE8" w:rsidRPr="00101864">
        <w:rPr>
          <w:rFonts w:cstheme="minorHAnsi"/>
        </w:rPr>
        <w:t xml:space="preserve">but </w:t>
      </w:r>
      <w:r w:rsidR="002A1653" w:rsidRPr="00101864">
        <w:rPr>
          <w:rFonts w:cstheme="minorHAnsi"/>
        </w:rPr>
        <w:t xml:space="preserve">for these to be </w:t>
      </w:r>
      <w:r w:rsidR="00D427E2" w:rsidRPr="00101864">
        <w:rPr>
          <w:rFonts w:cstheme="minorHAnsi"/>
        </w:rPr>
        <w:t xml:space="preserve">meaningful </w:t>
      </w:r>
      <w:r w:rsidR="00E0286E" w:rsidRPr="00101864">
        <w:rPr>
          <w:rFonts w:cstheme="minorHAnsi"/>
        </w:rPr>
        <w:t xml:space="preserve">the evidence base needs to be coherent with </w:t>
      </w:r>
      <w:r w:rsidR="00B366B3" w:rsidRPr="00101864">
        <w:rPr>
          <w:rFonts w:cstheme="minorHAnsi"/>
        </w:rPr>
        <w:t>an understanding of what the arts and cultural activities are, who the</w:t>
      </w:r>
      <w:r w:rsidR="008B2F6B" w:rsidRPr="00101864">
        <w:rPr>
          <w:rFonts w:cstheme="minorHAnsi"/>
        </w:rPr>
        <w:t>y are</w:t>
      </w:r>
      <w:r w:rsidR="00B366B3" w:rsidRPr="00101864">
        <w:rPr>
          <w:rFonts w:cstheme="minorHAnsi"/>
        </w:rPr>
        <w:t xml:space="preserve"> </w:t>
      </w:r>
      <w:r w:rsidR="008B2F6B" w:rsidRPr="00101864">
        <w:rPr>
          <w:rFonts w:cstheme="minorHAnsi"/>
        </w:rPr>
        <w:t>targeting</w:t>
      </w:r>
      <w:r w:rsidR="00EC682A" w:rsidRPr="00101864">
        <w:rPr>
          <w:rFonts w:cstheme="minorHAnsi"/>
        </w:rPr>
        <w:t>,</w:t>
      </w:r>
      <w:r w:rsidR="008B2F6B" w:rsidRPr="00101864">
        <w:rPr>
          <w:rFonts w:cstheme="minorHAnsi"/>
        </w:rPr>
        <w:t xml:space="preserve"> and </w:t>
      </w:r>
      <w:r w:rsidR="002F7BCA" w:rsidRPr="00101864">
        <w:rPr>
          <w:rFonts w:cstheme="minorHAnsi"/>
        </w:rPr>
        <w:t xml:space="preserve">the cultural and social context </w:t>
      </w:r>
      <w:r w:rsidR="003914A5" w:rsidRPr="00101864">
        <w:rPr>
          <w:rFonts w:cstheme="minorHAnsi"/>
        </w:rPr>
        <w:t xml:space="preserve">of </w:t>
      </w:r>
      <w:r w:rsidR="008B2F6B" w:rsidRPr="00101864">
        <w:rPr>
          <w:rFonts w:cstheme="minorHAnsi"/>
        </w:rPr>
        <w:t>where the activities take place.</w:t>
      </w:r>
      <w:r w:rsidR="003914A5" w:rsidRPr="00101864">
        <w:rPr>
          <w:rFonts w:cstheme="minorHAnsi"/>
        </w:rPr>
        <w:t xml:space="preserve"> </w:t>
      </w:r>
      <w:r w:rsidR="00D427E2" w:rsidRPr="00101864">
        <w:rPr>
          <w:rFonts w:cstheme="minorHAnsi"/>
        </w:rPr>
        <w:t>Finally,</w:t>
      </w:r>
      <w:r w:rsidR="003914A5" w:rsidRPr="00101864">
        <w:rPr>
          <w:rFonts w:cstheme="minorHAnsi"/>
        </w:rPr>
        <w:t xml:space="preserve"> the </w:t>
      </w:r>
      <w:r w:rsidR="00476254" w:rsidRPr="00101864">
        <w:rPr>
          <w:rFonts w:cstheme="minorHAnsi"/>
        </w:rPr>
        <w:t xml:space="preserve">aesthetic </w:t>
      </w:r>
      <w:r w:rsidR="003914A5" w:rsidRPr="00101864">
        <w:rPr>
          <w:rFonts w:cstheme="minorHAnsi"/>
        </w:rPr>
        <w:t>quality of the arts</w:t>
      </w:r>
      <w:r w:rsidR="00476254" w:rsidRPr="00101864">
        <w:rPr>
          <w:rFonts w:cstheme="minorHAnsi"/>
        </w:rPr>
        <w:t xml:space="preserve"> </w:t>
      </w:r>
      <w:r w:rsidR="006505F0" w:rsidRPr="00101864">
        <w:rPr>
          <w:rFonts w:cstheme="minorHAnsi"/>
        </w:rPr>
        <w:t xml:space="preserve">is of central importance </w:t>
      </w:r>
      <w:r w:rsidR="0020406D" w:rsidRPr="00101864">
        <w:rPr>
          <w:rFonts w:cstheme="minorHAnsi"/>
        </w:rPr>
        <w:t xml:space="preserve">and should not be forgotten </w:t>
      </w:r>
      <w:r w:rsidR="00FB7B4C" w:rsidRPr="00101864">
        <w:rPr>
          <w:rFonts w:cstheme="minorHAnsi"/>
        </w:rPr>
        <w:t xml:space="preserve">when </w:t>
      </w:r>
      <w:r w:rsidR="00F10FBD" w:rsidRPr="00101864">
        <w:rPr>
          <w:rFonts w:cstheme="minorHAnsi"/>
        </w:rPr>
        <w:t xml:space="preserve">research and evaluation of arts </w:t>
      </w:r>
      <w:r w:rsidR="00C71F94" w:rsidRPr="00101864">
        <w:rPr>
          <w:rFonts w:cstheme="minorHAnsi"/>
        </w:rPr>
        <w:t xml:space="preserve">and culture </w:t>
      </w:r>
      <w:r w:rsidR="00F10FBD" w:rsidRPr="00101864">
        <w:rPr>
          <w:rFonts w:cstheme="minorHAnsi"/>
        </w:rPr>
        <w:t xml:space="preserve">for health </w:t>
      </w:r>
      <w:r w:rsidR="00C71F94" w:rsidRPr="00101864">
        <w:rPr>
          <w:rFonts w:cstheme="minorHAnsi"/>
        </w:rPr>
        <w:t xml:space="preserve">and wellbeing </w:t>
      </w:r>
      <w:r w:rsidR="00DA172E" w:rsidRPr="00101864">
        <w:rPr>
          <w:rFonts w:cstheme="minorHAnsi"/>
        </w:rPr>
        <w:t>are</w:t>
      </w:r>
      <w:r w:rsidR="00C71F94" w:rsidRPr="00101864">
        <w:rPr>
          <w:rFonts w:cstheme="minorHAnsi"/>
        </w:rPr>
        <w:t xml:space="preserve"> planned. </w:t>
      </w:r>
    </w:p>
    <w:p w14:paraId="769BCF31" w14:textId="59414C03" w:rsidR="00FF63AE" w:rsidRPr="00101864" w:rsidRDefault="00FF63AE">
      <w:pPr>
        <w:rPr>
          <w:rFonts w:cstheme="minorHAnsi"/>
          <w:i/>
          <w:iCs/>
        </w:rPr>
      </w:pPr>
      <w:r w:rsidRPr="00101864">
        <w:rPr>
          <w:rFonts w:cstheme="minorHAnsi"/>
          <w:i/>
          <w:iCs/>
        </w:rPr>
        <w:t>Concluding remarks</w:t>
      </w:r>
    </w:p>
    <w:p w14:paraId="0ACC30EA" w14:textId="5778EFDA" w:rsidR="003045DF" w:rsidRPr="00101864" w:rsidRDefault="00EF26B3" w:rsidP="00EF26B3">
      <w:pPr>
        <w:rPr>
          <w:rFonts w:cstheme="minorHAnsi"/>
        </w:rPr>
      </w:pPr>
      <w:r w:rsidRPr="00101864">
        <w:rPr>
          <w:rFonts w:cstheme="minorHAnsi"/>
        </w:rPr>
        <w:t>This</w:t>
      </w:r>
      <w:r w:rsidR="00FF63AE" w:rsidRPr="00101864">
        <w:rPr>
          <w:rFonts w:cstheme="minorHAnsi"/>
        </w:rPr>
        <w:t xml:space="preserve"> special issue was inspired by a number of recent policy drivers in the UK</w:t>
      </w:r>
      <w:r w:rsidR="00705C39" w:rsidRPr="00101864">
        <w:rPr>
          <w:rFonts w:cstheme="minorHAnsi"/>
        </w:rPr>
        <w:t xml:space="preserve"> and internationally</w:t>
      </w:r>
      <w:r w:rsidR="00FF63AE" w:rsidRPr="00101864">
        <w:rPr>
          <w:rFonts w:cstheme="minorHAnsi"/>
        </w:rPr>
        <w:t xml:space="preserve">. The inclusion of social prescribing in the NHS Long Term Plan provides new opportunities for arts, creativity and community engagement to play a greater role in public health.  </w:t>
      </w:r>
      <w:r w:rsidRPr="00101864">
        <w:rPr>
          <w:rFonts w:cstheme="minorHAnsi"/>
        </w:rPr>
        <w:t xml:space="preserve">Social Prescribing can be described as </w:t>
      </w:r>
      <w:r w:rsidR="003045DF" w:rsidRPr="00101864">
        <w:rPr>
          <w:rFonts w:cstheme="minorHAnsi"/>
        </w:rPr>
        <w:t xml:space="preserve">the </w:t>
      </w:r>
      <w:r w:rsidRPr="00101864">
        <w:rPr>
          <w:rFonts w:cstheme="minorHAnsi"/>
        </w:rPr>
        <w:t>process of enabling healthcare professionals to refer patients to a link worker, to co-design a non-clinical social prescription to improve their health and wellbeing</w:t>
      </w:r>
      <w:r w:rsidR="00EC682A" w:rsidRPr="00101864">
        <w:rPr>
          <w:rFonts w:cstheme="minorHAnsi"/>
        </w:rPr>
        <w:t>.[</w:t>
      </w:r>
      <w:r w:rsidR="003B7178">
        <w:rPr>
          <w:rFonts w:cstheme="minorHAnsi"/>
        </w:rPr>
        <w:t>4</w:t>
      </w:r>
      <w:r w:rsidR="00EC682A" w:rsidRPr="00101864">
        <w:rPr>
          <w:rFonts w:cstheme="minorHAnsi"/>
        </w:rPr>
        <w:t>]</w:t>
      </w:r>
      <w:r w:rsidRPr="00101864">
        <w:rPr>
          <w:rFonts w:cstheme="minorHAnsi"/>
        </w:rPr>
        <w:t xml:space="preserve"> The recruitment of thousands of link workers across the NHS provides both an opportunity and a challenge for arts and community </w:t>
      </w:r>
      <w:r w:rsidR="00EC682A" w:rsidRPr="00101864">
        <w:rPr>
          <w:rFonts w:cstheme="minorHAnsi"/>
        </w:rPr>
        <w:t xml:space="preserve">organisations </w:t>
      </w:r>
      <w:r w:rsidRPr="00101864">
        <w:rPr>
          <w:rFonts w:cstheme="minorHAnsi"/>
        </w:rPr>
        <w:t xml:space="preserve">as they form closer links with </w:t>
      </w:r>
      <w:r w:rsidR="003045DF" w:rsidRPr="00101864">
        <w:rPr>
          <w:rFonts w:cstheme="minorHAnsi"/>
        </w:rPr>
        <w:t>referrers</w:t>
      </w:r>
      <w:r w:rsidRPr="00101864">
        <w:rPr>
          <w:rFonts w:cstheme="minorHAnsi"/>
        </w:rPr>
        <w:t xml:space="preserve"> across the health system. There is </w:t>
      </w:r>
      <w:r w:rsidR="003045DF" w:rsidRPr="00101864">
        <w:rPr>
          <w:rFonts w:cstheme="minorHAnsi"/>
        </w:rPr>
        <w:t xml:space="preserve">a </w:t>
      </w:r>
      <w:r w:rsidRPr="00101864">
        <w:rPr>
          <w:rFonts w:cstheme="minorHAnsi"/>
        </w:rPr>
        <w:t>significant need to develop a shared understanding of what works, how and why; hence</w:t>
      </w:r>
      <w:r w:rsidR="00EC682A" w:rsidRPr="00101864">
        <w:rPr>
          <w:rFonts w:cstheme="minorHAnsi"/>
        </w:rPr>
        <w:t>,</w:t>
      </w:r>
      <w:r w:rsidRPr="00101864">
        <w:rPr>
          <w:rFonts w:cstheme="minorHAnsi"/>
        </w:rPr>
        <w:t xml:space="preserve"> this is another area of research which warrants attention.</w:t>
      </w:r>
      <w:r w:rsidR="003045DF" w:rsidRPr="00101864">
        <w:rPr>
          <w:rFonts w:cstheme="minorHAnsi"/>
        </w:rPr>
        <w:t xml:space="preserve"> </w:t>
      </w:r>
    </w:p>
    <w:p w14:paraId="390DF598" w14:textId="76325CBB" w:rsidR="00FF63AE" w:rsidRPr="00101864" w:rsidRDefault="003045DF" w:rsidP="00EF26B3">
      <w:pPr>
        <w:rPr>
          <w:rFonts w:cstheme="minorHAnsi"/>
        </w:rPr>
      </w:pPr>
      <w:r w:rsidRPr="00101864">
        <w:rPr>
          <w:rFonts w:cstheme="minorHAnsi"/>
        </w:rPr>
        <w:t xml:space="preserve">One of the key recommendations from the </w:t>
      </w:r>
      <w:r w:rsidRPr="003B7178">
        <w:rPr>
          <w:rFonts w:cstheme="minorHAnsi"/>
        </w:rPr>
        <w:t xml:space="preserve">Creative Health Report </w:t>
      </w:r>
      <w:r w:rsidR="003B7178">
        <w:rPr>
          <w:rFonts w:cstheme="minorHAnsi"/>
        </w:rPr>
        <w:t>[2]</w:t>
      </w:r>
      <w:r w:rsidRPr="00101864">
        <w:rPr>
          <w:rFonts w:cstheme="minorHAnsi"/>
        </w:rPr>
        <w:t xml:space="preserve"> was the formation of a national strategy centre to advance good practice and research, inform policy, promote collaboration, and to foster the conditions for creative health to be integral to he</w:t>
      </w:r>
      <w:r w:rsidR="00055EC4" w:rsidRPr="00101864">
        <w:rPr>
          <w:rFonts w:cstheme="minorHAnsi"/>
        </w:rPr>
        <w:t xml:space="preserve">alth, </w:t>
      </w:r>
      <w:r w:rsidRPr="00101864">
        <w:rPr>
          <w:rFonts w:cstheme="minorHAnsi"/>
        </w:rPr>
        <w:t xml:space="preserve">social </w:t>
      </w:r>
      <w:proofErr w:type="gramStart"/>
      <w:r w:rsidRPr="00101864">
        <w:rPr>
          <w:rFonts w:cstheme="minorHAnsi"/>
        </w:rPr>
        <w:t>care</w:t>
      </w:r>
      <w:proofErr w:type="gramEnd"/>
      <w:r w:rsidRPr="00101864">
        <w:rPr>
          <w:rFonts w:cstheme="minorHAnsi"/>
        </w:rPr>
        <w:t xml:space="preserve"> and wider systems; the UK’s National Centre for Creative Health was launched in 2020, with similar initiatives appearing across the globe.</w:t>
      </w:r>
    </w:p>
    <w:p w14:paraId="05F094F5" w14:textId="04405CFF" w:rsidR="003045DF" w:rsidRPr="00101864" w:rsidRDefault="00055EC4" w:rsidP="00EF26B3">
      <w:pPr>
        <w:rPr>
          <w:rFonts w:cstheme="minorHAnsi"/>
        </w:rPr>
      </w:pPr>
      <w:r w:rsidRPr="00101864">
        <w:rPr>
          <w:rFonts w:cstheme="minorHAnsi"/>
        </w:rPr>
        <w:t>In 2019</w:t>
      </w:r>
      <w:r w:rsidR="00EC682A" w:rsidRPr="00101864">
        <w:rPr>
          <w:rFonts w:cstheme="minorHAnsi"/>
        </w:rPr>
        <w:t>,</w:t>
      </w:r>
      <w:r w:rsidRPr="00101864">
        <w:rPr>
          <w:rFonts w:cstheme="minorHAnsi"/>
        </w:rPr>
        <w:t xml:space="preserve"> t</w:t>
      </w:r>
      <w:r w:rsidR="003045DF" w:rsidRPr="00101864">
        <w:rPr>
          <w:rFonts w:cstheme="minorHAnsi"/>
        </w:rPr>
        <w:t xml:space="preserve">he World Health </w:t>
      </w:r>
      <w:r w:rsidRPr="00101864">
        <w:rPr>
          <w:rFonts w:cstheme="minorHAnsi"/>
        </w:rPr>
        <w:t>Organization</w:t>
      </w:r>
      <w:r w:rsidR="003045DF" w:rsidRPr="00101864">
        <w:rPr>
          <w:rFonts w:cstheme="minorHAnsi"/>
        </w:rPr>
        <w:t xml:space="preserve"> published </w:t>
      </w:r>
      <w:r w:rsidR="00EC682A" w:rsidRPr="00101864">
        <w:rPr>
          <w:rFonts w:cstheme="minorHAnsi"/>
        </w:rPr>
        <w:t>‘</w:t>
      </w:r>
      <w:r w:rsidR="003045DF" w:rsidRPr="00101864">
        <w:rPr>
          <w:rFonts w:cstheme="minorHAnsi"/>
        </w:rPr>
        <w:t>What is the evidence on the role of the arts in improving health and well-being? A scoping review</w:t>
      </w:r>
      <w:proofErr w:type="gramStart"/>
      <w:r w:rsidR="00EC682A" w:rsidRPr="00101864">
        <w:rPr>
          <w:rFonts w:cstheme="minorHAnsi"/>
        </w:rPr>
        <w:t>’[</w:t>
      </w:r>
      <w:proofErr w:type="gramEnd"/>
      <w:r w:rsidR="003B7178">
        <w:rPr>
          <w:rFonts w:cstheme="minorHAnsi"/>
        </w:rPr>
        <w:t>5</w:t>
      </w:r>
      <w:r w:rsidR="00EC682A" w:rsidRPr="00101864">
        <w:rPr>
          <w:rFonts w:cstheme="minorHAnsi"/>
        </w:rPr>
        <w:t>]</w:t>
      </w:r>
      <w:r w:rsidR="003045DF" w:rsidRPr="00101864">
        <w:rPr>
          <w:rFonts w:cstheme="minorHAnsi"/>
        </w:rPr>
        <w:t xml:space="preserve"> signal</w:t>
      </w:r>
      <w:r w:rsidR="00EC682A" w:rsidRPr="00101864">
        <w:rPr>
          <w:rFonts w:cstheme="minorHAnsi"/>
        </w:rPr>
        <w:t>l</w:t>
      </w:r>
      <w:r w:rsidR="003045DF" w:rsidRPr="00101864">
        <w:rPr>
          <w:rFonts w:cstheme="minorHAnsi"/>
        </w:rPr>
        <w:t>ing a commitment to embed arts and health across its global health programmes and activities.</w:t>
      </w:r>
    </w:p>
    <w:p w14:paraId="52CB6461" w14:textId="5840B0AE" w:rsidR="003045DF" w:rsidRPr="00101864" w:rsidRDefault="00055EC4" w:rsidP="00EF26B3">
      <w:pPr>
        <w:rPr>
          <w:rFonts w:cstheme="minorHAnsi"/>
        </w:rPr>
      </w:pPr>
      <w:r w:rsidRPr="00101864">
        <w:rPr>
          <w:rFonts w:cstheme="minorHAnsi"/>
        </w:rPr>
        <w:lastRenderedPageBreak/>
        <w:t>Finally, t</w:t>
      </w:r>
      <w:r w:rsidR="003045DF" w:rsidRPr="00101864">
        <w:rPr>
          <w:rFonts w:cstheme="minorHAnsi"/>
        </w:rPr>
        <w:t xml:space="preserve">he Royal Society for Public Health </w:t>
      </w:r>
      <w:r w:rsidR="00EC682A" w:rsidRPr="00101864">
        <w:rPr>
          <w:rFonts w:cstheme="minorHAnsi"/>
        </w:rPr>
        <w:t xml:space="preserve">(RSPH) </w:t>
      </w:r>
      <w:r w:rsidR="003045DF" w:rsidRPr="00101864">
        <w:rPr>
          <w:rFonts w:cstheme="minorHAnsi"/>
        </w:rPr>
        <w:t xml:space="preserve">was an early adopter of </w:t>
      </w:r>
      <w:r w:rsidR="00B32CEA" w:rsidRPr="00101864">
        <w:rPr>
          <w:rFonts w:cstheme="minorHAnsi"/>
        </w:rPr>
        <w:t xml:space="preserve">the understanding of </w:t>
      </w:r>
      <w:r w:rsidR="003045DF" w:rsidRPr="00101864">
        <w:rPr>
          <w:rFonts w:cstheme="minorHAnsi"/>
        </w:rPr>
        <w:t xml:space="preserve">the need to make better links between </w:t>
      </w:r>
      <w:r w:rsidR="00E847D8" w:rsidRPr="00101864">
        <w:rPr>
          <w:rFonts w:cstheme="minorHAnsi"/>
        </w:rPr>
        <w:t xml:space="preserve">arts and health </w:t>
      </w:r>
      <w:r w:rsidR="003045DF" w:rsidRPr="00101864">
        <w:rPr>
          <w:rFonts w:cstheme="minorHAnsi"/>
        </w:rPr>
        <w:t xml:space="preserve">research, </w:t>
      </w:r>
      <w:r w:rsidR="006A444A" w:rsidRPr="00101864">
        <w:rPr>
          <w:rFonts w:cstheme="minorHAnsi"/>
        </w:rPr>
        <w:t>policy</w:t>
      </w:r>
      <w:r w:rsidR="003045DF" w:rsidRPr="00101864">
        <w:rPr>
          <w:rFonts w:cstheme="minorHAnsi"/>
        </w:rPr>
        <w:t xml:space="preserve"> and practice, supporting the formation of a </w:t>
      </w:r>
      <w:r w:rsidRPr="00101864">
        <w:rPr>
          <w:rFonts w:cstheme="minorHAnsi"/>
        </w:rPr>
        <w:t>Special Interest Group</w:t>
      </w:r>
      <w:r w:rsidR="00EC682A" w:rsidRPr="00101864">
        <w:rPr>
          <w:rFonts w:cstheme="minorHAnsi"/>
        </w:rPr>
        <w:t xml:space="preserve"> (SIG)</w:t>
      </w:r>
      <w:r w:rsidRPr="00101864">
        <w:rPr>
          <w:rFonts w:cstheme="minorHAnsi"/>
        </w:rPr>
        <w:t xml:space="preserve"> in Arts, Health and Wellbeing </w:t>
      </w:r>
      <w:r w:rsidR="003045DF" w:rsidRPr="00101864">
        <w:rPr>
          <w:rFonts w:cstheme="minorHAnsi"/>
        </w:rPr>
        <w:t>in 20</w:t>
      </w:r>
      <w:r w:rsidR="00B32CEA" w:rsidRPr="00101864">
        <w:rPr>
          <w:rFonts w:cstheme="minorHAnsi"/>
        </w:rPr>
        <w:t>15</w:t>
      </w:r>
      <w:r w:rsidR="003045DF" w:rsidRPr="00101864">
        <w:rPr>
          <w:rFonts w:cstheme="minorHAnsi"/>
        </w:rPr>
        <w:t xml:space="preserve">. The RSPH Arts and Health SIG advocates advances in high quality research that </w:t>
      </w:r>
      <w:proofErr w:type="gramStart"/>
      <w:r w:rsidR="003045DF" w:rsidRPr="00101864">
        <w:rPr>
          <w:rFonts w:cstheme="minorHAnsi"/>
        </w:rPr>
        <w:t>lead</w:t>
      </w:r>
      <w:proofErr w:type="gramEnd"/>
      <w:r w:rsidR="003045DF" w:rsidRPr="00101864">
        <w:rPr>
          <w:rFonts w:cstheme="minorHAnsi"/>
        </w:rPr>
        <w:t xml:space="preserve"> to innovative policy and practice, and serves to guide the strategic development of research within the field of arts and health.</w:t>
      </w:r>
      <w:r w:rsidRPr="00101864">
        <w:rPr>
          <w:rFonts w:cstheme="minorHAnsi"/>
        </w:rPr>
        <w:t xml:space="preserve"> </w:t>
      </w:r>
    </w:p>
    <w:p w14:paraId="3D4AE8DA" w14:textId="0693EF46" w:rsidR="00705C39" w:rsidRPr="00101864" w:rsidRDefault="00586136">
      <w:pPr>
        <w:rPr>
          <w:rFonts w:cstheme="minorHAnsi"/>
          <w:b/>
          <w:bCs/>
        </w:rPr>
      </w:pPr>
      <w:r w:rsidRPr="00101864">
        <w:rPr>
          <w:rFonts w:cstheme="minorHAnsi"/>
          <w:b/>
          <w:bCs/>
        </w:rPr>
        <w:t>References</w:t>
      </w:r>
    </w:p>
    <w:p w14:paraId="3E7FD1EF" w14:textId="051C6E3E" w:rsidR="003B7178" w:rsidRPr="00484D44" w:rsidRDefault="003B7178" w:rsidP="003B7178">
      <w:pPr>
        <w:pStyle w:val="PlainText"/>
        <w:numPr>
          <w:ilvl w:val="0"/>
          <w:numId w:val="1"/>
        </w:numPr>
        <w:rPr>
          <w:rFonts w:asciiTheme="minorHAnsi" w:hAnsiTheme="minorHAnsi" w:cstheme="minorHAnsi"/>
        </w:rPr>
      </w:pPr>
      <w:r w:rsidRPr="00484D44">
        <w:rPr>
          <w:rFonts w:asciiTheme="minorHAnsi" w:hAnsiTheme="minorHAnsi" w:cstheme="minorHAnsi"/>
        </w:rPr>
        <w:t xml:space="preserve">Thomson, L.J., Morse, N., Elsden, E. &amp; Chatterjee, H.J. (2020). Art, </w:t>
      </w:r>
      <w:proofErr w:type="gramStart"/>
      <w:r w:rsidRPr="00484D44">
        <w:rPr>
          <w:rFonts w:asciiTheme="minorHAnsi" w:hAnsiTheme="minorHAnsi" w:cstheme="minorHAnsi"/>
        </w:rPr>
        <w:t>nature</w:t>
      </w:r>
      <w:proofErr w:type="gramEnd"/>
      <w:r w:rsidRPr="00484D44">
        <w:rPr>
          <w:rFonts w:asciiTheme="minorHAnsi" w:hAnsiTheme="minorHAnsi" w:cstheme="minorHAnsi"/>
        </w:rPr>
        <w:t xml:space="preserve"> and mental health: Assessing the biopsychosocial effects of a 'creative green prescription' museum programme involving horticulture, artmaking and collections. Perspectives in Public Health, 10(11), 1-9. </w:t>
      </w:r>
      <w:hyperlink r:id="rId5" w:history="1">
        <w:r w:rsidRPr="00484D44">
          <w:rPr>
            <w:rStyle w:val="Hyperlink"/>
            <w:rFonts w:asciiTheme="minorHAnsi" w:hAnsiTheme="minorHAnsi" w:cstheme="minorHAnsi"/>
          </w:rPr>
          <w:t>https://doi.org/10.1177/1757913920910443</w:t>
        </w:r>
      </w:hyperlink>
    </w:p>
    <w:p w14:paraId="48537073" w14:textId="77777777" w:rsidR="00484D44" w:rsidRDefault="00484D44" w:rsidP="007074CD">
      <w:pPr>
        <w:pStyle w:val="ListParagraph"/>
        <w:numPr>
          <w:ilvl w:val="0"/>
          <w:numId w:val="1"/>
        </w:numPr>
        <w:rPr>
          <w:rFonts w:cstheme="minorHAnsi"/>
        </w:rPr>
      </w:pPr>
      <w:r w:rsidRPr="00484D44">
        <w:rPr>
          <w:rFonts w:cstheme="minorHAnsi"/>
        </w:rPr>
        <w:t xml:space="preserve">All Party Parliamentary Group (APPG) (2017). </w:t>
      </w:r>
      <w:r w:rsidRPr="00484D44">
        <w:rPr>
          <w:rFonts w:cstheme="minorHAnsi"/>
          <w:i/>
        </w:rPr>
        <w:t xml:space="preserve">Creative health: The arts for health and wellbeing. </w:t>
      </w:r>
      <w:r w:rsidRPr="00484D44">
        <w:rPr>
          <w:rFonts w:cstheme="minorHAnsi"/>
        </w:rPr>
        <w:t>London: APPG</w:t>
      </w:r>
      <w:r w:rsidRPr="00101864">
        <w:rPr>
          <w:rFonts w:cstheme="minorHAnsi"/>
        </w:rPr>
        <w:t xml:space="preserve"> </w:t>
      </w:r>
    </w:p>
    <w:p w14:paraId="5C0A4BEE" w14:textId="5D214A10" w:rsidR="006D7C9D" w:rsidRDefault="00B32CEA" w:rsidP="007074CD">
      <w:pPr>
        <w:pStyle w:val="ListParagraph"/>
        <w:numPr>
          <w:ilvl w:val="0"/>
          <w:numId w:val="1"/>
        </w:numPr>
        <w:rPr>
          <w:rFonts w:cstheme="minorHAnsi"/>
        </w:rPr>
      </w:pPr>
      <w:r w:rsidRPr="00101864">
        <w:rPr>
          <w:rFonts w:cstheme="minorHAnsi"/>
        </w:rPr>
        <w:t xml:space="preserve">Hogan, S. </w:t>
      </w:r>
      <w:r w:rsidR="00484D44">
        <w:rPr>
          <w:rFonts w:cstheme="minorHAnsi"/>
        </w:rPr>
        <w:t>(</w:t>
      </w:r>
      <w:r w:rsidRPr="00101864">
        <w:rPr>
          <w:rFonts w:cstheme="minorHAnsi"/>
        </w:rPr>
        <w:t>2001</w:t>
      </w:r>
      <w:r w:rsidR="00484D44">
        <w:rPr>
          <w:rFonts w:cstheme="minorHAnsi"/>
        </w:rPr>
        <w:t>)</w:t>
      </w:r>
      <w:r w:rsidRPr="00101864">
        <w:rPr>
          <w:rFonts w:cstheme="minorHAnsi"/>
        </w:rPr>
        <w:t>. Healing Arts. London: JKP</w:t>
      </w:r>
      <w:r w:rsidR="006A444A" w:rsidRPr="00101864">
        <w:rPr>
          <w:rFonts w:cstheme="minorHAnsi"/>
        </w:rPr>
        <w:t xml:space="preserve">. </w:t>
      </w:r>
    </w:p>
    <w:p w14:paraId="1F9B0F8F" w14:textId="77777777" w:rsidR="003B7178" w:rsidRPr="003B7178" w:rsidRDefault="003B7178" w:rsidP="003B7178">
      <w:pPr>
        <w:pStyle w:val="ListParagraph"/>
        <w:numPr>
          <w:ilvl w:val="0"/>
          <w:numId w:val="1"/>
        </w:numPr>
        <w:rPr>
          <w:rFonts w:cstheme="minorHAnsi"/>
        </w:rPr>
      </w:pPr>
      <w:r w:rsidRPr="003B7178">
        <w:rPr>
          <w:rFonts w:cstheme="minorHAnsi"/>
        </w:rPr>
        <w:t xml:space="preserve">Chatterjee, H.J., </w:t>
      </w:r>
      <w:proofErr w:type="spellStart"/>
      <w:r w:rsidRPr="003B7178">
        <w:rPr>
          <w:rFonts w:cstheme="minorHAnsi"/>
        </w:rPr>
        <w:t>Polley</w:t>
      </w:r>
      <w:proofErr w:type="spellEnd"/>
      <w:r w:rsidRPr="003B7178">
        <w:rPr>
          <w:rFonts w:cstheme="minorHAnsi"/>
        </w:rPr>
        <w:t xml:space="preserve">, M. &amp; Clayton, G. (2017). Social Prescribing: Community-based referrals in public health: Perspectives in Public Health. 138(1), 18–19.  </w:t>
      </w:r>
      <w:hyperlink r:id="rId6" w:history="1">
        <w:r w:rsidRPr="003B7178">
          <w:rPr>
            <w:rStyle w:val="Hyperlink"/>
            <w:rFonts w:cstheme="minorHAnsi"/>
          </w:rPr>
          <w:t>https://doi.org/10.1177/1757913917736661</w:t>
        </w:r>
      </w:hyperlink>
    </w:p>
    <w:p w14:paraId="2E9C8108" w14:textId="77777777" w:rsidR="00EC682A" w:rsidRPr="00101864" w:rsidRDefault="00EC682A" w:rsidP="00EC682A">
      <w:pPr>
        <w:pStyle w:val="ListParagraph"/>
        <w:numPr>
          <w:ilvl w:val="0"/>
          <w:numId w:val="1"/>
        </w:numPr>
        <w:rPr>
          <w:rFonts w:cstheme="minorHAnsi"/>
        </w:rPr>
      </w:pPr>
      <w:r w:rsidRPr="00101864">
        <w:rPr>
          <w:rFonts w:cstheme="minorHAnsi"/>
        </w:rPr>
        <w:t xml:space="preserve">Fancourt, D &amp; Finn, S. (2019) What is the evidence on the role of the arts in improving health and well-being? A scoping review. WHO Health Evidence Network synthesis report 67. Available at: </w:t>
      </w:r>
      <w:hyperlink r:id="rId7" w:history="1">
        <w:r w:rsidRPr="00101864">
          <w:rPr>
            <w:rStyle w:val="Hyperlink"/>
            <w:rFonts w:cstheme="minorHAnsi"/>
          </w:rPr>
          <w:t>https://www.euro.who.int/en/publications/abstracts/what-is-the-evidence-on-the-role-of-the-arts-in-improving-health-and-well-being-a-scoping-review-2019</w:t>
        </w:r>
      </w:hyperlink>
    </w:p>
    <w:p w14:paraId="46D2EE84" w14:textId="77777777" w:rsidR="00EC682A" w:rsidRPr="00101864" w:rsidRDefault="00EC682A" w:rsidP="00101864">
      <w:pPr>
        <w:pStyle w:val="ListParagraph"/>
        <w:rPr>
          <w:rFonts w:cstheme="minorHAnsi"/>
        </w:rPr>
      </w:pPr>
    </w:p>
    <w:p w14:paraId="3198F9E6" w14:textId="77777777" w:rsidR="006D7C9D" w:rsidRPr="00101864" w:rsidRDefault="006D7C9D">
      <w:pPr>
        <w:rPr>
          <w:rFonts w:cstheme="minorHAnsi"/>
        </w:rPr>
      </w:pPr>
    </w:p>
    <w:sectPr w:rsidR="006D7C9D" w:rsidRPr="00101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926C5"/>
    <w:multiLevelType w:val="hybridMultilevel"/>
    <w:tmpl w:val="0746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EA"/>
    <w:rsid w:val="00000967"/>
    <w:rsid w:val="000212E8"/>
    <w:rsid w:val="00022526"/>
    <w:rsid w:val="0004519C"/>
    <w:rsid w:val="000467A6"/>
    <w:rsid w:val="00055EC4"/>
    <w:rsid w:val="00060BFE"/>
    <w:rsid w:val="000A6A6A"/>
    <w:rsid w:val="000A76F2"/>
    <w:rsid w:val="00101864"/>
    <w:rsid w:val="00113CF1"/>
    <w:rsid w:val="00121D4C"/>
    <w:rsid w:val="00144C36"/>
    <w:rsid w:val="0014639D"/>
    <w:rsid w:val="00160A78"/>
    <w:rsid w:val="0017532D"/>
    <w:rsid w:val="00186BFC"/>
    <w:rsid w:val="00187CDC"/>
    <w:rsid w:val="0019342F"/>
    <w:rsid w:val="001C1419"/>
    <w:rsid w:val="001C75FA"/>
    <w:rsid w:val="001C7E8B"/>
    <w:rsid w:val="001D3E06"/>
    <w:rsid w:val="0020406D"/>
    <w:rsid w:val="002128DE"/>
    <w:rsid w:val="00212E02"/>
    <w:rsid w:val="002140D1"/>
    <w:rsid w:val="002A1653"/>
    <w:rsid w:val="002C081E"/>
    <w:rsid w:val="002D3F04"/>
    <w:rsid w:val="002F7BCA"/>
    <w:rsid w:val="0030317C"/>
    <w:rsid w:val="003045DF"/>
    <w:rsid w:val="00315243"/>
    <w:rsid w:val="00321E6E"/>
    <w:rsid w:val="003270E4"/>
    <w:rsid w:val="00345C4C"/>
    <w:rsid w:val="0037557D"/>
    <w:rsid w:val="00380D1E"/>
    <w:rsid w:val="003914A5"/>
    <w:rsid w:val="00396DB1"/>
    <w:rsid w:val="003A2588"/>
    <w:rsid w:val="003B7178"/>
    <w:rsid w:val="003E0B6C"/>
    <w:rsid w:val="003F2900"/>
    <w:rsid w:val="00401944"/>
    <w:rsid w:val="00413E77"/>
    <w:rsid w:val="004656A6"/>
    <w:rsid w:val="00476254"/>
    <w:rsid w:val="00484D44"/>
    <w:rsid w:val="004B14AC"/>
    <w:rsid w:val="004D3E99"/>
    <w:rsid w:val="00517A31"/>
    <w:rsid w:val="0052735B"/>
    <w:rsid w:val="0053297C"/>
    <w:rsid w:val="00567D38"/>
    <w:rsid w:val="00586136"/>
    <w:rsid w:val="005A76D3"/>
    <w:rsid w:val="005A7C38"/>
    <w:rsid w:val="005B3A02"/>
    <w:rsid w:val="005C0121"/>
    <w:rsid w:val="005D2992"/>
    <w:rsid w:val="005D4906"/>
    <w:rsid w:val="006045DB"/>
    <w:rsid w:val="006171DE"/>
    <w:rsid w:val="006172FB"/>
    <w:rsid w:val="00620E7E"/>
    <w:rsid w:val="006228EF"/>
    <w:rsid w:val="006229C5"/>
    <w:rsid w:val="00625F54"/>
    <w:rsid w:val="006505F0"/>
    <w:rsid w:val="00657C4B"/>
    <w:rsid w:val="00672D20"/>
    <w:rsid w:val="00683D5A"/>
    <w:rsid w:val="00695F78"/>
    <w:rsid w:val="006A444A"/>
    <w:rsid w:val="006B1215"/>
    <w:rsid w:val="006B2301"/>
    <w:rsid w:val="006C71D6"/>
    <w:rsid w:val="006D7C9D"/>
    <w:rsid w:val="006E3047"/>
    <w:rsid w:val="00705C39"/>
    <w:rsid w:val="007074CD"/>
    <w:rsid w:val="007116A1"/>
    <w:rsid w:val="00722628"/>
    <w:rsid w:val="00723659"/>
    <w:rsid w:val="007541A7"/>
    <w:rsid w:val="00786AAF"/>
    <w:rsid w:val="00793564"/>
    <w:rsid w:val="007B61C5"/>
    <w:rsid w:val="007D3843"/>
    <w:rsid w:val="007D5DFA"/>
    <w:rsid w:val="007E5991"/>
    <w:rsid w:val="007E7DA1"/>
    <w:rsid w:val="008068B8"/>
    <w:rsid w:val="00815B1B"/>
    <w:rsid w:val="00816DCF"/>
    <w:rsid w:val="0082799C"/>
    <w:rsid w:val="0085285F"/>
    <w:rsid w:val="008669CA"/>
    <w:rsid w:val="00873E38"/>
    <w:rsid w:val="008806C7"/>
    <w:rsid w:val="0088226C"/>
    <w:rsid w:val="00890EB8"/>
    <w:rsid w:val="008B2F6B"/>
    <w:rsid w:val="008B40F5"/>
    <w:rsid w:val="008B6364"/>
    <w:rsid w:val="008C6073"/>
    <w:rsid w:val="008D1E41"/>
    <w:rsid w:val="008D4095"/>
    <w:rsid w:val="008E5861"/>
    <w:rsid w:val="008E6AA6"/>
    <w:rsid w:val="008E7888"/>
    <w:rsid w:val="008F253D"/>
    <w:rsid w:val="00905F63"/>
    <w:rsid w:val="009148C6"/>
    <w:rsid w:val="00915796"/>
    <w:rsid w:val="00917C0A"/>
    <w:rsid w:val="009374B5"/>
    <w:rsid w:val="00940CE8"/>
    <w:rsid w:val="00941E57"/>
    <w:rsid w:val="009449E8"/>
    <w:rsid w:val="00944B9E"/>
    <w:rsid w:val="00951D67"/>
    <w:rsid w:val="009626AB"/>
    <w:rsid w:val="009725ED"/>
    <w:rsid w:val="009C6E8E"/>
    <w:rsid w:val="009C7FCA"/>
    <w:rsid w:val="009D5C38"/>
    <w:rsid w:val="009E2BD3"/>
    <w:rsid w:val="00A456FA"/>
    <w:rsid w:val="00A620D2"/>
    <w:rsid w:val="00A87EC0"/>
    <w:rsid w:val="00A925F3"/>
    <w:rsid w:val="00AA1CC0"/>
    <w:rsid w:val="00AC16CD"/>
    <w:rsid w:val="00AC5E79"/>
    <w:rsid w:val="00AF0C25"/>
    <w:rsid w:val="00B11105"/>
    <w:rsid w:val="00B26EBE"/>
    <w:rsid w:val="00B3144B"/>
    <w:rsid w:val="00B32CEA"/>
    <w:rsid w:val="00B338B1"/>
    <w:rsid w:val="00B33FDC"/>
    <w:rsid w:val="00B366B3"/>
    <w:rsid w:val="00B55010"/>
    <w:rsid w:val="00B65AB4"/>
    <w:rsid w:val="00B70897"/>
    <w:rsid w:val="00B8491A"/>
    <w:rsid w:val="00BA2C55"/>
    <w:rsid w:val="00C01CF9"/>
    <w:rsid w:val="00C0747D"/>
    <w:rsid w:val="00C115D2"/>
    <w:rsid w:val="00C27EBC"/>
    <w:rsid w:val="00C30DCA"/>
    <w:rsid w:val="00C36C01"/>
    <w:rsid w:val="00C71F94"/>
    <w:rsid w:val="00C824BE"/>
    <w:rsid w:val="00C961EA"/>
    <w:rsid w:val="00CA4EBB"/>
    <w:rsid w:val="00CB014D"/>
    <w:rsid w:val="00CB3305"/>
    <w:rsid w:val="00CB4A0B"/>
    <w:rsid w:val="00CD7E22"/>
    <w:rsid w:val="00CE2450"/>
    <w:rsid w:val="00CF7FE3"/>
    <w:rsid w:val="00D27B47"/>
    <w:rsid w:val="00D340EE"/>
    <w:rsid w:val="00D427E2"/>
    <w:rsid w:val="00D43A16"/>
    <w:rsid w:val="00D4770C"/>
    <w:rsid w:val="00D54BEC"/>
    <w:rsid w:val="00D6384E"/>
    <w:rsid w:val="00DA172E"/>
    <w:rsid w:val="00DB28E7"/>
    <w:rsid w:val="00DC5179"/>
    <w:rsid w:val="00DC59A8"/>
    <w:rsid w:val="00DC78E9"/>
    <w:rsid w:val="00DE17C7"/>
    <w:rsid w:val="00E0286E"/>
    <w:rsid w:val="00E0606F"/>
    <w:rsid w:val="00E20F40"/>
    <w:rsid w:val="00E23504"/>
    <w:rsid w:val="00E23815"/>
    <w:rsid w:val="00E528AA"/>
    <w:rsid w:val="00E56B1D"/>
    <w:rsid w:val="00E80B49"/>
    <w:rsid w:val="00E83D8C"/>
    <w:rsid w:val="00E847D8"/>
    <w:rsid w:val="00E84DB2"/>
    <w:rsid w:val="00E96B84"/>
    <w:rsid w:val="00EA1E7B"/>
    <w:rsid w:val="00EB25E9"/>
    <w:rsid w:val="00EC3A8F"/>
    <w:rsid w:val="00EC6042"/>
    <w:rsid w:val="00EC682A"/>
    <w:rsid w:val="00EE013F"/>
    <w:rsid w:val="00EE67C9"/>
    <w:rsid w:val="00EF26B3"/>
    <w:rsid w:val="00F00A18"/>
    <w:rsid w:val="00F074C2"/>
    <w:rsid w:val="00F10FBD"/>
    <w:rsid w:val="00F20B88"/>
    <w:rsid w:val="00F27012"/>
    <w:rsid w:val="00F3361A"/>
    <w:rsid w:val="00F357B6"/>
    <w:rsid w:val="00F52D68"/>
    <w:rsid w:val="00F72003"/>
    <w:rsid w:val="00F77973"/>
    <w:rsid w:val="00F86B1C"/>
    <w:rsid w:val="00F9366F"/>
    <w:rsid w:val="00FA0C48"/>
    <w:rsid w:val="00FA6603"/>
    <w:rsid w:val="00FB7B4C"/>
    <w:rsid w:val="00FF4792"/>
    <w:rsid w:val="00FF63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97AD0"/>
  <w15:docId w15:val="{FDE402E4-48ED-4006-BFDA-D25C619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B3"/>
    <w:rPr>
      <w:rFonts w:ascii="Segoe UI" w:hAnsi="Segoe UI" w:cs="Segoe UI"/>
      <w:sz w:val="18"/>
      <w:szCs w:val="18"/>
    </w:rPr>
  </w:style>
  <w:style w:type="character" w:styleId="Hyperlink">
    <w:name w:val="Hyperlink"/>
    <w:basedOn w:val="DefaultParagraphFont"/>
    <w:uiPriority w:val="99"/>
    <w:unhideWhenUsed/>
    <w:rsid w:val="006D7C9D"/>
    <w:rPr>
      <w:color w:val="0563C1" w:themeColor="hyperlink"/>
      <w:u w:val="single"/>
    </w:rPr>
  </w:style>
  <w:style w:type="character" w:styleId="CommentReference">
    <w:name w:val="annotation reference"/>
    <w:basedOn w:val="DefaultParagraphFont"/>
    <w:uiPriority w:val="99"/>
    <w:semiHidden/>
    <w:unhideWhenUsed/>
    <w:rsid w:val="00B32CEA"/>
    <w:rPr>
      <w:sz w:val="18"/>
      <w:szCs w:val="18"/>
    </w:rPr>
  </w:style>
  <w:style w:type="paragraph" w:styleId="CommentText">
    <w:name w:val="annotation text"/>
    <w:basedOn w:val="Normal"/>
    <w:link w:val="CommentTextChar"/>
    <w:uiPriority w:val="99"/>
    <w:semiHidden/>
    <w:unhideWhenUsed/>
    <w:rsid w:val="00B32CEA"/>
    <w:pPr>
      <w:spacing w:line="240" w:lineRule="auto"/>
    </w:pPr>
    <w:rPr>
      <w:sz w:val="24"/>
      <w:szCs w:val="24"/>
    </w:rPr>
  </w:style>
  <w:style w:type="character" w:customStyle="1" w:styleId="CommentTextChar">
    <w:name w:val="Comment Text Char"/>
    <w:basedOn w:val="DefaultParagraphFont"/>
    <w:link w:val="CommentText"/>
    <w:uiPriority w:val="99"/>
    <w:semiHidden/>
    <w:rsid w:val="00B32CEA"/>
    <w:rPr>
      <w:sz w:val="24"/>
      <w:szCs w:val="24"/>
    </w:rPr>
  </w:style>
  <w:style w:type="paragraph" w:styleId="CommentSubject">
    <w:name w:val="annotation subject"/>
    <w:basedOn w:val="CommentText"/>
    <w:next w:val="CommentText"/>
    <w:link w:val="CommentSubjectChar"/>
    <w:uiPriority w:val="99"/>
    <w:semiHidden/>
    <w:unhideWhenUsed/>
    <w:rsid w:val="00B32CEA"/>
    <w:rPr>
      <w:b/>
      <w:bCs/>
      <w:sz w:val="20"/>
      <w:szCs w:val="20"/>
    </w:rPr>
  </w:style>
  <w:style w:type="character" w:customStyle="1" w:styleId="CommentSubjectChar">
    <w:name w:val="Comment Subject Char"/>
    <w:basedOn w:val="CommentTextChar"/>
    <w:link w:val="CommentSubject"/>
    <w:uiPriority w:val="99"/>
    <w:semiHidden/>
    <w:rsid w:val="00B32CEA"/>
    <w:rPr>
      <w:b/>
      <w:bCs/>
      <w:sz w:val="20"/>
      <w:szCs w:val="20"/>
    </w:rPr>
  </w:style>
  <w:style w:type="paragraph" w:styleId="ListParagraph">
    <w:name w:val="List Paragraph"/>
    <w:basedOn w:val="Normal"/>
    <w:uiPriority w:val="34"/>
    <w:qFormat/>
    <w:rsid w:val="007074CD"/>
    <w:pPr>
      <w:ind w:left="720"/>
      <w:contextualSpacing/>
    </w:pPr>
  </w:style>
  <w:style w:type="character" w:customStyle="1" w:styleId="apple-converted-space">
    <w:name w:val="apple-converted-space"/>
    <w:basedOn w:val="DefaultParagraphFont"/>
    <w:rsid w:val="00723659"/>
  </w:style>
  <w:style w:type="paragraph" w:styleId="PlainText">
    <w:name w:val="Plain Text"/>
    <w:basedOn w:val="Normal"/>
    <w:link w:val="PlainTextChar"/>
    <w:uiPriority w:val="99"/>
    <w:semiHidden/>
    <w:unhideWhenUsed/>
    <w:rsid w:val="003B71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71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8707">
      <w:bodyDiv w:val="1"/>
      <w:marLeft w:val="0"/>
      <w:marRight w:val="0"/>
      <w:marTop w:val="0"/>
      <w:marBottom w:val="0"/>
      <w:divBdr>
        <w:top w:val="none" w:sz="0" w:space="0" w:color="auto"/>
        <w:left w:val="none" w:sz="0" w:space="0" w:color="auto"/>
        <w:bottom w:val="none" w:sz="0" w:space="0" w:color="auto"/>
        <w:right w:val="none" w:sz="0" w:space="0" w:color="auto"/>
      </w:divBdr>
    </w:div>
    <w:div w:id="19524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who.int/en/publications/abstracts/what-is-the-evidence-on-the-role-of-the-arts-in-improving-health-and-well-being-a-scoping-review-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1757913917736661" TargetMode="External"/><Relationship Id="rId5" Type="http://schemas.openxmlformats.org/officeDocument/2006/relationships/hyperlink" Target="https://doi.org/10.1177/17579139209104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Bungay, Hilary</dc:creator>
  <cp:keywords/>
  <dc:description/>
  <cp:lastModifiedBy>Hilary Bungay</cp:lastModifiedBy>
  <cp:revision>2</cp:revision>
  <dcterms:created xsi:type="dcterms:W3CDTF">2021-09-06T15:25:00Z</dcterms:created>
  <dcterms:modified xsi:type="dcterms:W3CDTF">2021-09-06T15:25:00Z</dcterms:modified>
</cp:coreProperties>
</file>