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4A4F" w14:textId="489AECC4" w:rsidR="00D4496C" w:rsidRPr="00357722" w:rsidRDefault="004D75E4" w:rsidP="00420D80">
      <w:pPr>
        <w:spacing w:after="0" w:line="240" w:lineRule="auto"/>
        <w:jc w:val="center"/>
        <w:rPr>
          <w:rFonts w:ascii="Times New Roman" w:eastAsia="SimSu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rPr>
        <w:t>Impacts of cross-border equity portfolio flow and central bank transparency on financial development</w:t>
      </w:r>
      <w:r w:rsidR="00894041">
        <w:rPr>
          <w:rFonts w:ascii="Times New Roman" w:hAnsi="Times New Roman" w:cs="Times New Roman"/>
          <w:b/>
          <w:color w:val="000000" w:themeColor="text1"/>
          <w:sz w:val="24"/>
          <w:szCs w:val="24"/>
        </w:rPr>
        <w:t xml:space="preserve">: </w:t>
      </w:r>
      <w:r w:rsidR="00AE0703">
        <w:rPr>
          <w:rFonts w:ascii="Times New Roman" w:hAnsi="Times New Roman" w:cs="Times New Roman"/>
          <w:b/>
          <w:color w:val="000000" w:themeColor="text1"/>
          <w:sz w:val="24"/>
          <w:szCs w:val="24"/>
        </w:rPr>
        <w:t>the role of economic freedom and international bonds</w:t>
      </w:r>
    </w:p>
    <w:p w14:paraId="2B4B82F4" w14:textId="77777777" w:rsidR="00D4496C" w:rsidRPr="00357722" w:rsidRDefault="00D4496C" w:rsidP="00837C37">
      <w:pPr>
        <w:pStyle w:val="NoSpacing"/>
        <w:spacing w:line="480" w:lineRule="auto"/>
        <w:jc w:val="center"/>
        <w:rPr>
          <w:rFonts w:ascii="Times New Roman" w:hAnsi="Times New Roman" w:cs="Times New Roman"/>
          <w:b/>
          <w:color w:val="000000" w:themeColor="text1"/>
          <w:sz w:val="24"/>
          <w:szCs w:val="24"/>
        </w:rPr>
      </w:pPr>
    </w:p>
    <w:p w14:paraId="12D8B5E3" w14:textId="77777777" w:rsidR="00004625" w:rsidRPr="00357722" w:rsidRDefault="00004625" w:rsidP="00837C37">
      <w:pPr>
        <w:pStyle w:val="NoSpacing"/>
        <w:spacing w:line="480" w:lineRule="auto"/>
        <w:jc w:val="center"/>
        <w:rPr>
          <w:rFonts w:ascii="Times New Roman" w:hAnsi="Times New Roman" w:cs="Times New Roman"/>
          <w:b/>
          <w:color w:val="000000" w:themeColor="text1"/>
          <w:sz w:val="24"/>
          <w:szCs w:val="24"/>
        </w:rPr>
      </w:pPr>
    </w:p>
    <w:p w14:paraId="1EC68934" w14:textId="77777777" w:rsidR="00004625" w:rsidRPr="00357722" w:rsidRDefault="00004625" w:rsidP="00837C37">
      <w:pPr>
        <w:pStyle w:val="NoSpacing"/>
        <w:spacing w:line="480" w:lineRule="auto"/>
        <w:jc w:val="center"/>
        <w:rPr>
          <w:rFonts w:ascii="Times New Roman" w:hAnsi="Times New Roman" w:cs="Times New Roman"/>
          <w:b/>
          <w:color w:val="000000" w:themeColor="text1"/>
          <w:sz w:val="24"/>
          <w:szCs w:val="24"/>
        </w:rPr>
      </w:pPr>
    </w:p>
    <w:p w14:paraId="0AEBA4B5" w14:textId="77777777" w:rsidR="00D4496C" w:rsidRPr="00357722" w:rsidRDefault="00D4496C" w:rsidP="002D2C3B">
      <w:pPr>
        <w:spacing w:after="0" w:line="480" w:lineRule="auto"/>
        <w:ind w:right="709"/>
        <w:jc w:val="center"/>
        <w:rPr>
          <w:rFonts w:ascii="Times New Roman" w:hAnsi="Times New Roman" w:cs="Times New Roman"/>
          <w:b/>
          <w:color w:val="000000" w:themeColor="text1"/>
          <w:sz w:val="24"/>
          <w:szCs w:val="24"/>
        </w:rPr>
      </w:pPr>
      <w:r w:rsidRPr="00357722">
        <w:rPr>
          <w:rFonts w:ascii="Times New Roman" w:hAnsi="Times New Roman" w:cs="Times New Roman"/>
          <w:b/>
          <w:color w:val="000000" w:themeColor="text1"/>
          <w:sz w:val="24"/>
          <w:szCs w:val="24"/>
        </w:rPr>
        <w:t>Abstract</w:t>
      </w:r>
    </w:p>
    <w:p w14:paraId="418A4B29" w14:textId="77777777" w:rsidR="00004625" w:rsidRPr="00357722" w:rsidRDefault="00004625" w:rsidP="002D2C3B">
      <w:pPr>
        <w:spacing w:after="0" w:line="480" w:lineRule="auto"/>
        <w:ind w:right="709"/>
        <w:jc w:val="center"/>
        <w:rPr>
          <w:rFonts w:ascii="Times New Roman" w:hAnsi="Times New Roman" w:cs="Times New Roman"/>
          <w:b/>
          <w:color w:val="000000" w:themeColor="text1"/>
          <w:sz w:val="24"/>
          <w:szCs w:val="24"/>
        </w:rPr>
      </w:pPr>
    </w:p>
    <w:p w14:paraId="7CEC39C7" w14:textId="6CB28DA6" w:rsidR="0040292D" w:rsidRPr="00357722" w:rsidRDefault="0040292D" w:rsidP="0040292D">
      <w:pPr>
        <w:spacing w:line="480" w:lineRule="auto"/>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 xml:space="preserve">We investigate the effects of international equity portfolio diversification </w:t>
      </w:r>
      <w:r w:rsidR="004D75E4">
        <w:rPr>
          <w:rFonts w:ascii="Times New Roman" w:hAnsi="Times New Roman" w:cs="Times New Roman"/>
          <w:color w:val="000000" w:themeColor="text1"/>
          <w:sz w:val="24"/>
          <w:szCs w:val="24"/>
        </w:rPr>
        <w:t xml:space="preserve">and central bank independence </w:t>
      </w:r>
      <w:r w:rsidRPr="00357722">
        <w:rPr>
          <w:rFonts w:ascii="Times New Roman" w:hAnsi="Times New Roman" w:cs="Times New Roman"/>
          <w:color w:val="000000" w:themeColor="text1"/>
          <w:sz w:val="24"/>
          <w:szCs w:val="24"/>
        </w:rPr>
        <w:t xml:space="preserve">on financial development using panel data </w:t>
      </w:r>
      <w:r w:rsidR="00594572">
        <w:rPr>
          <w:rFonts w:ascii="Times New Roman" w:hAnsi="Times New Roman" w:cs="Times New Roman"/>
          <w:color w:val="000000" w:themeColor="text1"/>
          <w:sz w:val="24"/>
          <w:szCs w:val="24"/>
        </w:rPr>
        <w:t>from</w:t>
      </w:r>
      <w:r w:rsidRPr="00357722">
        <w:rPr>
          <w:rFonts w:ascii="Times New Roman" w:hAnsi="Times New Roman" w:cs="Times New Roman"/>
          <w:color w:val="000000" w:themeColor="text1"/>
          <w:sz w:val="24"/>
          <w:szCs w:val="24"/>
        </w:rPr>
        <w:t xml:space="preserve"> 49 countries from 2001 to 2016. </w:t>
      </w:r>
      <w:r w:rsidR="004D75E4">
        <w:rPr>
          <w:rFonts w:ascii="Times New Roman" w:hAnsi="Times New Roman" w:cs="Times New Roman"/>
          <w:color w:val="000000" w:themeColor="text1"/>
          <w:sz w:val="24"/>
          <w:szCs w:val="24"/>
        </w:rPr>
        <w:t>We find that international equity port</w:t>
      </w:r>
      <w:r w:rsidR="000016D4">
        <w:rPr>
          <w:rFonts w:ascii="Times New Roman" w:hAnsi="Times New Roman" w:cs="Times New Roman"/>
          <w:color w:val="000000" w:themeColor="text1"/>
          <w:sz w:val="24"/>
          <w:szCs w:val="24"/>
        </w:rPr>
        <w:t>folio diversification improves financial development</w:t>
      </w:r>
      <w:r w:rsidR="004D75E4">
        <w:rPr>
          <w:rFonts w:ascii="Times New Roman" w:hAnsi="Times New Roman" w:cs="Times New Roman"/>
          <w:color w:val="000000" w:themeColor="text1"/>
          <w:sz w:val="24"/>
          <w:szCs w:val="24"/>
        </w:rPr>
        <w:t xml:space="preserve">. </w:t>
      </w:r>
      <w:r w:rsidRPr="00357722">
        <w:rPr>
          <w:rFonts w:ascii="Times New Roman" w:hAnsi="Times New Roman" w:cs="Times New Roman"/>
          <w:color w:val="000000" w:themeColor="text1"/>
          <w:sz w:val="24"/>
          <w:szCs w:val="24"/>
        </w:rPr>
        <w:t xml:space="preserve">We </w:t>
      </w:r>
      <w:r w:rsidR="000016D4" w:rsidRPr="00357722">
        <w:rPr>
          <w:rFonts w:ascii="Times New Roman" w:hAnsi="Times New Roman" w:cs="Times New Roman"/>
          <w:color w:val="000000" w:themeColor="text1"/>
          <w:sz w:val="24"/>
          <w:szCs w:val="24"/>
        </w:rPr>
        <w:t>correspondingly</w:t>
      </w:r>
      <w:r w:rsidRPr="00357722">
        <w:rPr>
          <w:rFonts w:ascii="Times New Roman" w:hAnsi="Times New Roman" w:cs="Times New Roman"/>
          <w:color w:val="000000" w:themeColor="text1"/>
          <w:sz w:val="24"/>
          <w:szCs w:val="24"/>
        </w:rPr>
        <w:t xml:space="preserve"> examine potential </w:t>
      </w:r>
      <w:r w:rsidR="000016D4">
        <w:rPr>
          <w:rFonts w:ascii="Times New Roman" w:hAnsi="Times New Roman" w:cs="Times New Roman"/>
          <w:color w:val="000000" w:themeColor="text1"/>
          <w:sz w:val="24"/>
          <w:szCs w:val="24"/>
        </w:rPr>
        <w:t>factors</w:t>
      </w:r>
      <w:r w:rsidRPr="00357722">
        <w:rPr>
          <w:rFonts w:ascii="Times New Roman" w:hAnsi="Times New Roman" w:cs="Times New Roman"/>
          <w:color w:val="000000" w:themeColor="text1"/>
          <w:sz w:val="24"/>
          <w:szCs w:val="24"/>
        </w:rPr>
        <w:t xml:space="preserve"> through which international equity portfolio diversification may impact financial development and find that central bank transparency provides an important channel for improving financial development. We further find that the relationship between international equity portfolio diversification and financial development is sensitive to economic freedom. Concerning sequencing, we find that foreign equity and debt flow are complementary to financial system development. Our results are robust to endogeneity using </w:t>
      </w:r>
      <w:r w:rsidR="00E30532">
        <w:rPr>
          <w:rFonts w:ascii="Times New Roman" w:hAnsi="Times New Roman" w:cs="Times New Roman"/>
          <w:color w:val="000000" w:themeColor="text1"/>
          <w:sz w:val="24"/>
          <w:szCs w:val="24"/>
        </w:rPr>
        <w:t xml:space="preserve">the </w:t>
      </w:r>
      <w:r w:rsidRPr="00357722">
        <w:rPr>
          <w:rFonts w:ascii="Times New Roman" w:hAnsi="Times New Roman" w:cs="Times New Roman"/>
          <w:color w:val="000000" w:themeColor="text1"/>
          <w:sz w:val="24"/>
          <w:szCs w:val="24"/>
        </w:rPr>
        <w:t>exogenous shock of the 2008 financial crisis. This study offers new empirical evidence on the relationship between international capital and financial development.</w:t>
      </w:r>
    </w:p>
    <w:p w14:paraId="324C115D" w14:textId="77777777" w:rsidR="00837C37" w:rsidRPr="00357722" w:rsidRDefault="00837C37" w:rsidP="007710F0">
      <w:pPr>
        <w:suppressAutoHyphens/>
        <w:autoSpaceDN w:val="0"/>
        <w:spacing w:after="0" w:line="480" w:lineRule="auto"/>
        <w:textAlignment w:val="baseline"/>
        <w:rPr>
          <w:rFonts w:ascii="Times New Roman" w:eastAsia="Calibri" w:hAnsi="Times New Roman" w:cs="Times New Roman"/>
          <w:i/>
          <w:sz w:val="24"/>
          <w:szCs w:val="24"/>
          <w:lang w:eastAsia="en-US"/>
        </w:rPr>
      </w:pPr>
    </w:p>
    <w:p w14:paraId="0B7F3C0F" w14:textId="77777777" w:rsidR="00355AAF" w:rsidRPr="00355AAF" w:rsidRDefault="00355AAF" w:rsidP="00355AAF">
      <w:pPr>
        <w:spacing w:after="0" w:line="360" w:lineRule="auto"/>
        <w:jc w:val="both"/>
        <w:rPr>
          <w:rFonts w:ascii="Times New Roman" w:eastAsia="Calibri" w:hAnsi="Times New Roman" w:cs="Times New Roman"/>
          <w:i/>
          <w:sz w:val="24"/>
          <w:szCs w:val="24"/>
          <w:lang w:eastAsia="en-US"/>
        </w:rPr>
      </w:pPr>
      <w:r w:rsidRPr="00355AAF">
        <w:rPr>
          <w:rFonts w:ascii="Times New Roman" w:eastAsia="Calibri" w:hAnsi="Times New Roman" w:cs="Times New Roman"/>
          <w:i/>
          <w:sz w:val="24"/>
          <w:szCs w:val="24"/>
          <w:lang w:eastAsia="en-US"/>
        </w:rPr>
        <w:t xml:space="preserve">JEL classification: </w:t>
      </w:r>
      <w:r w:rsidRPr="00355AAF">
        <w:rPr>
          <w:rFonts w:ascii="Times New Roman" w:eastAsia="Calibri" w:hAnsi="Times New Roman" w:cs="Times New Roman"/>
          <w:sz w:val="24"/>
          <w:szCs w:val="24"/>
          <w:lang w:eastAsia="en-US"/>
        </w:rPr>
        <w:t>F3, G1, K2</w:t>
      </w:r>
    </w:p>
    <w:p w14:paraId="5D2107AD" w14:textId="2608337B" w:rsidR="0058457B" w:rsidRPr="00357722" w:rsidRDefault="00D4496C" w:rsidP="00D4496C">
      <w:pPr>
        <w:spacing w:after="0" w:line="480" w:lineRule="auto"/>
        <w:jc w:val="both"/>
        <w:rPr>
          <w:rFonts w:ascii="Times New Roman" w:hAnsi="Times New Roman" w:cs="Times New Roman"/>
          <w:color w:val="000000" w:themeColor="text1"/>
          <w:sz w:val="24"/>
          <w:szCs w:val="24"/>
        </w:rPr>
      </w:pPr>
      <w:r w:rsidRPr="00357722">
        <w:rPr>
          <w:rFonts w:ascii="Times New Roman" w:hAnsi="Times New Roman" w:cs="Times New Roman"/>
          <w:bCs/>
          <w:i/>
          <w:color w:val="000000" w:themeColor="text1"/>
          <w:sz w:val="24"/>
          <w:szCs w:val="24"/>
        </w:rPr>
        <w:t>Key</w:t>
      </w:r>
      <w:r w:rsidR="00837C37" w:rsidRPr="00357722">
        <w:rPr>
          <w:rFonts w:ascii="Times New Roman" w:hAnsi="Times New Roman" w:cs="Times New Roman"/>
          <w:bCs/>
          <w:i/>
          <w:color w:val="000000" w:themeColor="text1"/>
          <w:sz w:val="24"/>
          <w:szCs w:val="24"/>
        </w:rPr>
        <w:t xml:space="preserve"> </w:t>
      </w:r>
      <w:r w:rsidRPr="00357722">
        <w:rPr>
          <w:rFonts w:ascii="Times New Roman" w:hAnsi="Times New Roman" w:cs="Times New Roman"/>
          <w:bCs/>
          <w:i/>
          <w:color w:val="000000" w:themeColor="text1"/>
          <w:sz w:val="24"/>
          <w:szCs w:val="24"/>
        </w:rPr>
        <w:t>words:</w:t>
      </w:r>
      <w:r w:rsidRPr="00357722">
        <w:rPr>
          <w:rFonts w:ascii="Times New Roman" w:hAnsi="Times New Roman" w:cs="Times New Roman"/>
          <w:b/>
          <w:color w:val="000000" w:themeColor="text1"/>
          <w:sz w:val="24"/>
          <w:szCs w:val="24"/>
        </w:rPr>
        <w:t xml:space="preserve"> </w:t>
      </w:r>
      <w:r w:rsidR="00355AAF" w:rsidRPr="00355AAF">
        <w:rPr>
          <w:rFonts w:ascii="Times New Roman" w:hAnsi="Times New Roman" w:cs="Times New Roman"/>
          <w:color w:val="000000" w:themeColor="text1"/>
          <w:sz w:val="24"/>
          <w:szCs w:val="24"/>
        </w:rPr>
        <w:t>Financial development;</w:t>
      </w:r>
      <w:r w:rsidR="00355AAF">
        <w:rPr>
          <w:rFonts w:ascii="Times New Roman" w:hAnsi="Times New Roman" w:cs="Times New Roman"/>
          <w:b/>
          <w:color w:val="000000" w:themeColor="text1"/>
          <w:sz w:val="24"/>
          <w:szCs w:val="24"/>
        </w:rPr>
        <w:t xml:space="preserve"> </w:t>
      </w:r>
      <w:r w:rsidRPr="00357722">
        <w:rPr>
          <w:rFonts w:ascii="Times New Roman" w:hAnsi="Times New Roman" w:cs="Times New Roman"/>
          <w:color w:val="000000" w:themeColor="text1"/>
          <w:sz w:val="24"/>
          <w:szCs w:val="24"/>
        </w:rPr>
        <w:t xml:space="preserve">International equity portfolio diversification; </w:t>
      </w:r>
      <w:r w:rsidR="002B0FB0">
        <w:rPr>
          <w:rFonts w:ascii="Times New Roman" w:hAnsi="Times New Roman" w:cs="Times New Roman"/>
          <w:color w:val="000000" w:themeColor="text1"/>
          <w:sz w:val="24"/>
          <w:szCs w:val="24"/>
        </w:rPr>
        <w:t>C</w:t>
      </w:r>
      <w:r w:rsidR="00355AAF">
        <w:rPr>
          <w:rFonts w:ascii="Times New Roman" w:hAnsi="Times New Roman" w:cs="Times New Roman"/>
          <w:color w:val="000000" w:themeColor="text1"/>
          <w:sz w:val="24"/>
          <w:szCs w:val="24"/>
        </w:rPr>
        <w:t xml:space="preserve">entral bank transparency; </w:t>
      </w:r>
      <w:r w:rsidR="00106082" w:rsidRPr="00357722">
        <w:rPr>
          <w:rFonts w:ascii="Times New Roman" w:hAnsi="Times New Roman" w:cs="Times New Roman"/>
          <w:color w:val="000000" w:themeColor="text1"/>
          <w:sz w:val="24"/>
          <w:szCs w:val="24"/>
        </w:rPr>
        <w:t>F</w:t>
      </w:r>
      <w:r w:rsidR="00A82854" w:rsidRPr="00357722">
        <w:rPr>
          <w:rFonts w:ascii="Times New Roman" w:hAnsi="Times New Roman" w:cs="Times New Roman"/>
          <w:color w:val="000000" w:themeColor="text1"/>
          <w:sz w:val="24"/>
          <w:szCs w:val="24"/>
        </w:rPr>
        <w:t xml:space="preserve">oreign debt flow; </w:t>
      </w:r>
      <w:r w:rsidR="00106082" w:rsidRPr="00357722">
        <w:rPr>
          <w:rFonts w:ascii="Times New Roman" w:hAnsi="Times New Roman" w:cs="Times New Roman"/>
          <w:color w:val="000000" w:themeColor="text1"/>
          <w:sz w:val="24"/>
          <w:szCs w:val="24"/>
        </w:rPr>
        <w:t>Economic freedom</w:t>
      </w:r>
    </w:p>
    <w:p w14:paraId="117B7D72" w14:textId="77777777" w:rsidR="007710F0" w:rsidRPr="00357722" w:rsidRDefault="007710F0" w:rsidP="00D4496C">
      <w:pPr>
        <w:spacing w:after="0" w:line="480" w:lineRule="auto"/>
        <w:jc w:val="both"/>
        <w:rPr>
          <w:rFonts w:ascii="Times New Roman" w:hAnsi="Times New Roman" w:cs="Times New Roman"/>
          <w:color w:val="000000" w:themeColor="text1"/>
          <w:sz w:val="24"/>
          <w:szCs w:val="24"/>
        </w:rPr>
      </w:pPr>
    </w:p>
    <w:p w14:paraId="68F0134B" w14:textId="77777777" w:rsidR="0058457B" w:rsidRPr="00357722" w:rsidRDefault="0058457B" w:rsidP="00D4496C">
      <w:pPr>
        <w:spacing w:after="0" w:line="480" w:lineRule="auto"/>
        <w:jc w:val="both"/>
        <w:rPr>
          <w:rFonts w:ascii="Times New Roman" w:hAnsi="Times New Roman" w:cs="Times New Roman"/>
          <w:color w:val="000000" w:themeColor="text1"/>
          <w:sz w:val="24"/>
          <w:szCs w:val="24"/>
        </w:rPr>
        <w:sectPr w:rsidR="0058457B" w:rsidRPr="00357722" w:rsidSect="00C34896">
          <w:footerReference w:type="default" r:id="rId11"/>
          <w:pgSz w:w="11906" w:h="16838"/>
          <w:pgMar w:top="1440" w:right="1440" w:bottom="1440" w:left="993" w:header="708" w:footer="708" w:gutter="0"/>
          <w:cols w:space="708"/>
          <w:docGrid w:linePitch="360"/>
        </w:sectPr>
      </w:pPr>
    </w:p>
    <w:p w14:paraId="78CC61EA" w14:textId="6E0047B7" w:rsidR="00D46ABA" w:rsidRPr="00357722" w:rsidRDefault="00D46ABA" w:rsidP="00D46ABA">
      <w:pPr>
        <w:numPr>
          <w:ilvl w:val="0"/>
          <w:numId w:val="30"/>
        </w:numPr>
        <w:spacing w:after="0" w:line="480" w:lineRule="auto"/>
        <w:contextualSpacing/>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lastRenderedPageBreak/>
        <w:t>Introduction</w:t>
      </w:r>
    </w:p>
    <w:p w14:paraId="3873AD12" w14:textId="0EC32200" w:rsidR="00346EDB" w:rsidRPr="00357722" w:rsidRDefault="00A10F1D" w:rsidP="00F4693E">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 xml:space="preserve">Several countries in the last four decades have undertaken financial liberalization </w:t>
      </w:r>
      <w:r w:rsidR="007377F2" w:rsidRPr="00357722">
        <w:rPr>
          <w:rFonts w:ascii="Times New Roman" w:hAnsi="Times New Roman" w:cs="Times New Roman"/>
          <w:color w:val="000000" w:themeColor="text1"/>
          <w:sz w:val="24"/>
          <w:szCs w:val="24"/>
        </w:rPr>
        <w:t xml:space="preserve">with the aim </w:t>
      </w:r>
      <w:r w:rsidRPr="00357722">
        <w:rPr>
          <w:rFonts w:ascii="Times New Roman" w:hAnsi="Times New Roman" w:cs="Times New Roman"/>
          <w:color w:val="000000" w:themeColor="text1"/>
          <w:sz w:val="24"/>
          <w:szCs w:val="24"/>
        </w:rPr>
        <w:t xml:space="preserve">to develop their financial markets. However, </w:t>
      </w:r>
      <w:r w:rsidR="007F225D" w:rsidRPr="00357722">
        <w:rPr>
          <w:rFonts w:ascii="Times New Roman" w:hAnsi="Times New Roman" w:cs="Times New Roman"/>
          <w:color w:val="000000" w:themeColor="text1"/>
          <w:sz w:val="24"/>
          <w:szCs w:val="24"/>
        </w:rPr>
        <w:t xml:space="preserve">empirical </w:t>
      </w:r>
      <w:r w:rsidRPr="00357722">
        <w:rPr>
          <w:rFonts w:ascii="Times New Roman" w:hAnsi="Times New Roman" w:cs="Times New Roman"/>
          <w:color w:val="000000" w:themeColor="text1"/>
          <w:sz w:val="24"/>
          <w:szCs w:val="24"/>
        </w:rPr>
        <w:t xml:space="preserve">evidence </w:t>
      </w:r>
      <w:r w:rsidR="00841BCA" w:rsidRPr="00357722">
        <w:rPr>
          <w:rFonts w:ascii="Times New Roman" w:hAnsi="Times New Roman" w:cs="Times New Roman"/>
          <w:color w:val="000000" w:themeColor="text1"/>
          <w:sz w:val="24"/>
          <w:szCs w:val="24"/>
        </w:rPr>
        <w:t>indicate</w:t>
      </w:r>
      <w:r w:rsidR="00E30532">
        <w:rPr>
          <w:rFonts w:ascii="Times New Roman" w:hAnsi="Times New Roman" w:cs="Times New Roman"/>
          <w:color w:val="000000" w:themeColor="text1"/>
          <w:sz w:val="24"/>
          <w:szCs w:val="24"/>
        </w:rPr>
        <w:t>s</w:t>
      </w:r>
      <w:r w:rsidRPr="00357722">
        <w:rPr>
          <w:rFonts w:ascii="Times New Roman" w:hAnsi="Times New Roman" w:cs="Times New Roman"/>
          <w:color w:val="000000" w:themeColor="text1"/>
          <w:sz w:val="24"/>
          <w:szCs w:val="24"/>
        </w:rPr>
        <w:t xml:space="preserve"> that the result</w:t>
      </w:r>
      <w:r w:rsidR="00EF7905" w:rsidRPr="00357722">
        <w:rPr>
          <w:rFonts w:ascii="Times New Roman" w:hAnsi="Times New Roman" w:cs="Times New Roman"/>
          <w:color w:val="000000" w:themeColor="text1"/>
          <w:sz w:val="24"/>
          <w:szCs w:val="24"/>
        </w:rPr>
        <w:t>s</w:t>
      </w:r>
      <w:r w:rsidRPr="00357722">
        <w:rPr>
          <w:rFonts w:ascii="Times New Roman" w:hAnsi="Times New Roman" w:cs="Times New Roman"/>
          <w:color w:val="000000" w:themeColor="text1"/>
          <w:sz w:val="24"/>
          <w:szCs w:val="24"/>
        </w:rPr>
        <w:t xml:space="preserve"> have been mixed. </w:t>
      </w:r>
      <w:r w:rsidR="00F4693E" w:rsidRPr="00357722">
        <w:rPr>
          <w:rFonts w:ascii="Times New Roman" w:hAnsi="Times New Roman" w:cs="Times New Roman"/>
          <w:color w:val="000000" w:themeColor="text1"/>
          <w:sz w:val="24"/>
          <w:szCs w:val="24"/>
        </w:rPr>
        <w:t xml:space="preserve">This is consistent with the view that financial development is not just an interplay of </w:t>
      </w:r>
      <w:r w:rsidR="00E30532" w:rsidRPr="00357722">
        <w:rPr>
          <w:rFonts w:ascii="Times New Roman" w:hAnsi="Times New Roman" w:cs="Times New Roman"/>
          <w:color w:val="000000" w:themeColor="text1"/>
          <w:sz w:val="24"/>
          <w:szCs w:val="24"/>
        </w:rPr>
        <w:t>free</w:t>
      </w:r>
      <w:r w:rsidR="00E30532">
        <w:rPr>
          <w:rFonts w:ascii="Times New Roman" w:hAnsi="Times New Roman" w:cs="Times New Roman"/>
          <w:color w:val="000000" w:themeColor="text1"/>
          <w:sz w:val="24"/>
          <w:szCs w:val="24"/>
        </w:rPr>
        <w:t>-</w:t>
      </w:r>
      <w:r w:rsidR="00F4693E" w:rsidRPr="00357722">
        <w:rPr>
          <w:rFonts w:ascii="Times New Roman" w:hAnsi="Times New Roman" w:cs="Times New Roman"/>
          <w:color w:val="000000" w:themeColor="text1"/>
          <w:sz w:val="24"/>
          <w:szCs w:val="24"/>
        </w:rPr>
        <w:t>market forces. A</w:t>
      </w:r>
      <w:r w:rsidR="00EF7905" w:rsidRPr="00357722">
        <w:rPr>
          <w:rFonts w:ascii="Times New Roman" w:hAnsi="Times New Roman" w:cs="Times New Roman"/>
          <w:color w:val="000000" w:themeColor="text1"/>
          <w:sz w:val="24"/>
          <w:szCs w:val="24"/>
        </w:rPr>
        <w:t xml:space="preserve"> more recent work by Laeven (2014) shows that government-led effort</w:t>
      </w:r>
      <w:r w:rsidR="00E30532">
        <w:rPr>
          <w:rFonts w:ascii="Times New Roman" w:hAnsi="Times New Roman" w:cs="Times New Roman"/>
          <w:color w:val="000000" w:themeColor="text1"/>
          <w:sz w:val="24"/>
          <w:szCs w:val="24"/>
        </w:rPr>
        <w:t>s</w:t>
      </w:r>
      <w:r w:rsidR="00EF7905" w:rsidRPr="00357722">
        <w:rPr>
          <w:rFonts w:ascii="Times New Roman" w:hAnsi="Times New Roman" w:cs="Times New Roman"/>
          <w:color w:val="000000" w:themeColor="text1"/>
          <w:sz w:val="24"/>
          <w:szCs w:val="24"/>
        </w:rPr>
        <w:t xml:space="preserve"> to develop domestic market</w:t>
      </w:r>
      <w:r w:rsidR="00841BCA" w:rsidRPr="00357722">
        <w:rPr>
          <w:rFonts w:ascii="Times New Roman" w:hAnsi="Times New Roman" w:cs="Times New Roman"/>
          <w:color w:val="000000" w:themeColor="text1"/>
          <w:sz w:val="24"/>
          <w:szCs w:val="24"/>
        </w:rPr>
        <w:t>s</w:t>
      </w:r>
      <w:r w:rsidR="00EF7905" w:rsidRPr="00357722">
        <w:rPr>
          <w:rFonts w:ascii="Times New Roman" w:hAnsi="Times New Roman" w:cs="Times New Roman"/>
          <w:color w:val="000000" w:themeColor="text1"/>
          <w:sz w:val="24"/>
          <w:szCs w:val="24"/>
        </w:rPr>
        <w:t xml:space="preserve"> to improve risk-sharing and capital allocation efficiency have had mixed success, with several countries failing. </w:t>
      </w:r>
      <w:r w:rsidR="00093A5A" w:rsidRPr="00357722">
        <w:rPr>
          <w:rFonts w:ascii="Times New Roman" w:hAnsi="Times New Roman" w:cs="Times New Roman"/>
          <w:color w:val="000000" w:themeColor="text1"/>
          <w:sz w:val="24"/>
          <w:szCs w:val="24"/>
        </w:rPr>
        <w:t>The question that then naturally arises is; why have</w:t>
      </w:r>
      <w:r w:rsidR="00EF7905" w:rsidRPr="00357722">
        <w:rPr>
          <w:rFonts w:ascii="Times New Roman" w:hAnsi="Times New Roman" w:cs="Times New Roman"/>
          <w:color w:val="000000" w:themeColor="text1"/>
          <w:sz w:val="24"/>
          <w:szCs w:val="24"/>
        </w:rPr>
        <w:t xml:space="preserve"> reforms witnessed in the </w:t>
      </w:r>
      <w:r w:rsidR="00093A5A" w:rsidRPr="00357722">
        <w:rPr>
          <w:rFonts w:ascii="Times New Roman" w:hAnsi="Times New Roman" w:cs="Times New Roman"/>
          <w:color w:val="000000" w:themeColor="text1"/>
          <w:sz w:val="24"/>
          <w:szCs w:val="24"/>
        </w:rPr>
        <w:t xml:space="preserve">past </w:t>
      </w:r>
      <w:r w:rsidR="00EF7905" w:rsidRPr="00357722">
        <w:rPr>
          <w:rFonts w:ascii="Times New Roman" w:hAnsi="Times New Roman" w:cs="Times New Roman"/>
          <w:color w:val="000000" w:themeColor="text1"/>
          <w:sz w:val="24"/>
          <w:szCs w:val="24"/>
        </w:rPr>
        <w:t xml:space="preserve">four decades in the form of financial liberalization leading to global financial integration </w:t>
      </w:r>
      <w:r w:rsidR="00594572">
        <w:rPr>
          <w:rFonts w:ascii="Times New Roman" w:hAnsi="Times New Roman" w:cs="Times New Roman"/>
          <w:color w:val="000000" w:themeColor="text1"/>
          <w:sz w:val="24"/>
          <w:szCs w:val="24"/>
        </w:rPr>
        <w:t>been</w:t>
      </w:r>
      <w:r w:rsidR="00594572" w:rsidRPr="00357722">
        <w:rPr>
          <w:rFonts w:ascii="Times New Roman" w:hAnsi="Times New Roman" w:cs="Times New Roman"/>
          <w:color w:val="000000" w:themeColor="text1"/>
          <w:sz w:val="24"/>
          <w:szCs w:val="24"/>
        </w:rPr>
        <w:t xml:space="preserve"> </w:t>
      </w:r>
      <w:r w:rsidR="00F4693E" w:rsidRPr="00357722">
        <w:rPr>
          <w:rFonts w:ascii="Times New Roman" w:hAnsi="Times New Roman" w:cs="Times New Roman"/>
          <w:color w:val="000000" w:themeColor="text1"/>
          <w:sz w:val="24"/>
          <w:szCs w:val="24"/>
        </w:rPr>
        <w:t xml:space="preserve">unsuccessful </w:t>
      </w:r>
      <w:r w:rsidR="00093A5A" w:rsidRPr="00357722">
        <w:rPr>
          <w:rFonts w:ascii="Times New Roman" w:hAnsi="Times New Roman" w:cs="Times New Roman"/>
          <w:color w:val="000000" w:themeColor="text1"/>
          <w:sz w:val="24"/>
          <w:szCs w:val="24"/>
        </w:rPr>
        <w:t xml:space="preserve">in several countries? These reforms were </w:t>
      </w:r>
      <w:r w:rsidR="00841BCA" w:rsidRPr="00357722">
        <w:rPr>
          <w:rFonts w:ascii="Times New Roman" w:hAnsi="Times New Roman" w:cs="Times New Roman"/>
          <w:color w:val="000000" w:themeColor="text1"/>
          <w:sz w:val="24"/>
          <w:szCs w:val="24"/>
        </w:rPr>
        <w:t>mainly to promote</w:t>
      </w:r>
      <w:r w:rsidR="00EF7905" w:rsidRPr="00357722">
        <w:rPr>
          <w:rFonts w:ascii="Times New Roman" w:hAnsi="Times New Roman" w:cs="Times New Roman"/>
          <w:color w:val="000000" w:themeColor="text1"/>
          <w:sz w:val="24"/>
          <w:szCs w:val="24"/>
        </w:rPr>
        <w:t xml:space="preserve"> </w:t>
      </w:r>
      <w:r w:rsidR="00F4693E" w:rsidRPr="00357722">
        <w:rPr>
          <w:rFonts w:ascii="Times New Roman" w:hAnsi="Times New Roman" w:cs="Times New Roman"/>
          <w:color w:val="000000" w:themeColor="text1"/>
          <w:sz w:val="24"/>
          <w:szCs w:val="24"/>
        </w:rPr>
        <w:t xml:space="preserve">financial development to achieve </w:t>
      </w:r>
      <w:r w:rsidR="00EF7905" w:rsidRPr="00357722">
        <w:rPr>
          <w:rFonts w:ascii="Times New Roman" w:hAnsi="Times New Roman" w:cs="Times New Roman"/>
          <w:color w:val="000000" w:themeColor="text1"/>
          <w:sz w:val="24"/>
          <w:szCs w:val="24"/>
        </w:rPr>
        <w:t>economic growth</w:t>
      </w:r>
      <w:r w:rsidR="00F4693E" w:rsidRPr="00357722">
        <w:rPr>
          <w:rFonts w:ascii="Times New Roman" w:hAnsi="Times New Roman" w:cs="Times New Roman"/>
          <w:color w:val="000000" w:themeColor="text1"/>
          <w:sz w:val="24"/>
          <w:szCs w:val="24"/>
        </w:rPr>
        <w:t>.</w:t>
      </w:r>
      <w:r w:rsidR="00EF7905" w:rsidRPr="00357722">
        <w:rPr>
          <w:rFonts w:ascii="Times New Roman" w:hAnsi="Times New Roman" w:cs="Times New Roman"/>
          <w:color w:val="000000" w:themeColor="text1"/>
          <w:sz w:val="24"/>
          <w:szCs w:val="24"/>
        </w:rPr>
        <w:t xml:space="preserve"> </w:t>
      </w:r>
    </w:p>
    <w:p w14:paraId="36CD5A9E" w14:textId="5C62304D" w:rsidR="00D631AB" w:rsidRPr="00357722" w:rsidRDefault="00346EDB" w:rsidP="00476D2C">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U</w:t>
      </w:r>
      <w:r w:rsidR="007F225D" w:rsidRPr="00357722">
        <w:rPr>
          <w:rFonts w:ascii="Times New Roman" w:hAnsi="Times New Roman" w:cs="Times New Roman"/>
          <w:color w:val="000000" w:themeColor="text1"/>
          <w:sz w:val="24"/>
          <w:szCs w:val="24"/>
        </w:rPr>
        <w:t xml:space="preserve">nderstanding of factors that determine financial development is necessary due to the salient role financial markets play in </w:t>
      </w:r>
      <w:r w:rsidR="00D631AB" w:rsidRPr="00357722">
        <w:rPr>
          <w:rFonts w:ascii="Times New Roman" w:hAnsi="Times New Roman" w:cs="Times New Roman"/>
          <w:color w:val="000000" w:themeColor="text1"/>
          <w:sz w:val="24"/>
          <w:szCs w:val="24"/>
        </w:rPr>
        <w:t>economic growth</w:t>
      </w:r>
      <w:r w:rsidR="00476D2C" w:rsidRPr="00357722">
        <w:rPr>
          <w:rFonts w:ascii="Times New Roman" w:hAnsi="Times New Roman" w:cs="Times New Roman"/>
          <w:color w:val="000000" w:themeColor="text1"/>
          <w:sz w:val="24"/>
          <w:szCs w:val="24"/>
        </w:rPr>
        <w:t xml:space="preserve"> and development</w:t>
      </w:r>
      <w:r w:rsidR="00D631AB" w:rsidRPr="00357722">
        <w:rPr>
          <w:rFonts w:ascii="Times New Roman" w:hAnsi="Times New Roman" w:cs="Times New Roman"/>
          <w:color w:val="000000" w:themeColor="text1"/>
          <w:sz w:val="24"/>
          <w:szCs w:val="24"/>
        </w:rPr>
        <w:t xml:space="preserve"> (Levine and Zervos, 1998; La Porta et al.</w:t>
      </w:r>
      <w:r w:rsidR="009C595B">
        <w:rPr>
          <w:rFonts w:ascii="Times New Roman" w:hAnsi="Times New Roman" w:cs="Times New Roman"/>
          <w:color w:val="000000" w:themeColor="text1"/>
          <w:sz w:val="24"/>
          <w:szCs w:val="24"/>
        </w:rPr>
        <w:t>,</w:t>
      </w:r>
      <w:r w:rsidR="00D631AB" w:rsidRPr="00357722">
        <w:rPr>
          <w:rFonts w:ascii="Times New Roman" w:hAnsi="Times New Roman" w:cs="Times New Roman"/>
          <w:color w:val="000000" w:themeColor="text1"/>
          <w:sz w:val="24"/>
          <w:szCs w:val="24"/>
        </w:rPr>
        <w:t xml:space="preserve"> 1998; Beck et al.</w:t>
      </w:r>
      <w:r w:rsidR="009C595B">
        <w:rPr>
          <w:rFonts w:ascii="Times New Roman" w:hAnsi="Times New Roman" w:cs="Times New Roman"/>
          <w:color w:val="000000" w:themeColor="text1"/>
          <w:sz w:val="24"/>
          <w:szCs w:val="24"/>
        </w:rPr>
        <w:t>,</w:t>
      </w:r>
      <w:r w:rsidR="00D631AB" w:rsidRPr="00357722">
        <w:rPr>
          <w:rFonts w:ascii="Times New Roman" w:hAnsi="Times New Roman" w:cs="Times New Roman"/>
          <w:color w:val="000000" w:themeColor="text1"/>
          <w:sz w:val="24"/>
          <w:szCs w:val="24"/>
        </w:rPr>
        <w:t xml:space="preserve"> 2000). Turner (2002) finds the development of </w:t>
      </w:r>
      <w:r w:rsidR="00E30532">
        <w:rPr>
          <w:rFonts w:ascii="Times New Roman" w:hAnsi="Times New Roman" w:cs="Times New Roman"/>
          <w:color w:val="000000" w:themeColor="text1"/>
          <w:sz w:val="24"/>
          <w:szCs w:val="24"/>
        </w:rPr>
        <w:t xml:space="preserve">the </w:t>
      </w:r>
      <w:r w:rsidR="00D631AB" w:rsidRPr="00357722">
        <w:rPr>
          <w:rFonts w:ascii="Times New Roman" w:hAnsi="Times New Roman" w:cs="Times New Roman"/>
          <w:color w:val="000000" w:themeColor="text1"/>
          <w:sz w:val="24"/>
          <w:szCs w:val="24"/>
        </w:rPr>
        <w:t xml:space="preserve">local bond market is an important source of funds for </w:t>
      </w:r>
      <w:r w:rsidR="00E30532">
        <w:rPr>
          <w:rFonts w:ascii="Times New Roman" w:hAnsi="Times New Roman" w:cs="Times New Roman"/>
          <w:color w:val="000000" w:themeColor="text1"/>
          <w:sz w:val="24"/>
          <w:szCs w:val="24"/>
        </w:rPr>
        <w:t xml:space="preserve">the </w:t>
      </w:r>
      <w:r w:rsidR="00D631AB" w:rsidRPr="00357722">
        <w:rPr>
          <w:rFonts w:ascii="Times New Roman" w:hAnsi="Times New Roman" w:cs="Times New Roman"/>
          <w:color w:val="000000" w:themeColor="text1"/>
          <w:sz w:val="24"/>
          <w:szCs w:val="24"/>
        </w:rPr>
        <w:t xml:space="preserve">government </w:t>
      </w:r>
      <w:r w:rsidR="00F11BFE">
        <w:rPr>
          <w:rFonts w:ascii="Times New Roman" w:hAnsi="Times New Roman" w:cs="Times New Roman"/>
          <w:color w:val="000000" w:themeColor="text1"/>
          <w:sz w:val="24"/>
          <w:szCs w:val="24"/>
        </w:rPr>
        <w:t>in financing</w:t>
      </w:r>
      <w:r w:rsidR="00D631AB" w:rsidRPr="00357722">
        <w:rPr>
          <w:rFonts w:ascii="Times New Roman" w:hAnsi="Times New Roman" w:cs="Times New Roman"/>
          <w:color w:val="000000" w:themeColor="text1"/>
          <w:sz w:val="24"/>
          <w:szCs w:val="24"/>
        </w:rPr>
        <w:t xml:space="preserve"> substantial fiscal deficits without necessar</w:t>
      </w:r>
      <w:r w:rsidR="00E30532">
        <w:rPr>
          <w:rFonts w:ascii="Times New Roman" w:hAnsi="Times New Roman" w:cs="Times New Roman"/>
          <w:color w:val="000000" w:themeColor="text1"/>
          <w:sz w:val="24"/>
          <w:szCs w:val="24"/>
        </w:rPr>
        <w:t>il</w:t>
      </w:r>
      <w:r w:rsidR="00D631AB" w:rsidRPr="00357722">
        <w:rPr>
          <w:rFonts w:ascii="Times New Roman" w:hAnsi="Times New Roman" w:cs="Times New Roman"/>
          <w:color w:val="000000" w:themeColor="text1"/>
          <w:sz w:val="24"/>
          <w:szCs w:val="24"/>
        </w:rPr>
        <w:t xml:space="preserve">y resorting to foreign borrowing. </w:t>
      </w:r>
      <w:r w:rsidR="00F11BFE">
        <w:rPr>
          <w:rFonts w:ascii="Times New Roman" w:hAnsi="Times New Roman" w:cs="Times New Roman"/>
          <w:color w:val="000000" w:themeColor="text1"/>
          <w:sz w:val="24"/>
          <w:szCs w:val="24"/>
        </w:rPr>
        <w:t>Other</w:t>
      </w:r>
      <w:r w:rsidR="00D631AB" w:rsidRPr="00357722">
        <w:rPr>
          <w:rFonts w:ascii="Times New Roman" w:hAnsi="Times New Roman" w:cs="Times New Roman"/>
          <w:color w:val="000000" w:themeColor="text1"/>
          <w:sz w:val="24"/>
          <w:szCs w:val="24"/>
        </w:rPr>
        <w:t xml:space="preserve"> threads</w:t>
      </w:r>
      <w:r w:rsidRPr="00357722">
        <w:rPr>
          <w:rFonts w:ascii="Times New Roman" w:hAnsi="Times New Roman" w:cs="Times New Roman"/>
          <w:color w:val="000000" w:themeColor="text1"/>
          <w:sz w:val="24"/>
          <w:szCs w:val="24"/>
        </w:rPr>
        <w:t xml:space="preserve"> </w:t>
      </w:r>
      <w:r w:rsidR="00B14062" w:rsidRPr="00357722">
        <w:rPr>
          <w:rFonts w:ascii="Times New Roman" w:hAnsi="Times New Roman" w:cs="Times New Roman"/>
          <w:color w:val="000000" w:themeColor="text1"/>
          <w:sz w:val="24"/>
          <w:szCs w:val="24"/>
        </w:rPr>
        <w:t xml:space="preserve">of </w:t>
      </w:r>
      <w:r w:rsidRPr="00357722">
        <w:rPr>
          <w:rFonts w:ascii="Times New Roman" w:hAnsi="Times New Roman" w:cs="Times New Roman"/>
          <w:color w:val="000000" w:themeColor="text1"/>
          <w:sz w:val="24"/>
          <w:szCs w:val="24"/>
        </w:rPr>
        <w:t>the finance literature have explored the impact of financial development on corporate investment decision</w:t>
      </w:r>
      <w:r w:rsidR="00E30532">
        <w:rPr>
          <w:rFonts w:ascii="Times New Roman" w:hAnsi="Times New Roman" w:cs="Times New Roman"/>
          <w:color w:val="000000" w:themeColor="text1"/>
          <w:sz w:val="24"/>
          <w:szCs w:val="24"/>
        </w:rPr>
        <w:t>s</w:t>
      </w:r>
      <w:r w:rsidRPr="00357722">
        <w:rPr>
          <w:rFonts w:ascii="Times New Roman" w:hAnsi="Times New Roman" w:cs="Times New Roman"/>
          <w:color w:val="000000" w:themeColor="text1"/>
          <w:sz w:val="24"/>
          <w:szCs w:val="24"/>
        </w:rPr>
        <w:t xml:space="preserve"> (see Fazzari et al.</w:t>
      </w:r>
      <w:r w:rsidR="009C595B">
        <w:rPr>
          <w:rFonts w:ascii="Times New Roman" w:hAnsi="Times New Roman" w:cs="Times New Roman"/>
          <w:color w:val="000000" w:themeColor="text1"/>
          <w:sz w:val="24"/>
          <w:szCs w:val="24"/>
        </w:rPr>
        <w:t>,</w:t>
      </w:r>
      <w:r w:rsidRPr="00357722">
        <w:rPr>
          <w:rFonts w:ascii="Times New Roman" w:hAnsi="Times New Roman" w:cs="Times New Roman"/>
          <w:color w:val="000000" w:themeColor="text1"/>
          <w:sz w:val="24"/>
          <w:szCs w:val="24"/>
        </w:rPr>
        <w:t xml:space="preserve"> 2000; Kaplan and Zingales, 2000; Erickson and Whited, 2000; Houston and James, 2001).</w:t>
      </w:r>
    </w:p>
    <w:p w14:paraId="4935DB90" w14:textId="2B7721FE" w:rsidR="00F520A0" w:rsidRPr="00357722" w:rsidRDefault="00CC3D7A" w:rsidP="00EF7905">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The preponderance of empirical evidence indicate</w:t>
      </w:r>
      <w:r w:rsidR="00AE6963">
        <w:rPr>
          <w:rFonts w:ascii="Times New Roman" w:hAnsi="Times New Roman" w:cs="Times New Roman"/>
          <w:color w:val="000000" w:themeColor="text1"/>
          <w:sz w:val="24"/>
          <w:szCs w:val="24"/>
        </w:rPr>
        <w:t>s</w:t>
      </w:r>
      <w:r w:rsidRPr="00357722">
        <w:rPr>
          <w:rFonts w:ascii="Times New Roman" w:hAnsi="Times New Roman" w:cs="Times New Roman"/>
          <w:color w:val="000000" w:themeColor="text1"/>
          <w:sz w:val="24"/>
          <w:szCs w:val="24"/>
        </w:rPr>
        <w:t xml:space="preserve"> that there is a shift from </w:t>
      </w:r>
      <w:r w:rsidR="00476D2C" w:rsidRPr="00357722">
        <w:rPr>
          <w:rFonts w:ascii="Times New Roman" w:hAnsi="Times New Roman" w:cs="Times New Roman"/>
          <w:color w:val="000000" w:themeColor="text1"/>
          <w:sz w:val="24"/>
          <w:szCs w:val="24"/>
        </w:rPr>
        <w:t xml:space="preserve">studies examining the </w:t>
      </w:r>
      <w:r w:rsidRPr="00357722">
        <w:rPr>
          <w:rFonts w:ascii="Times New Roman" w:hAnsi="Times New Roman" w:cs="Times New Roman"/>
          <w:color w:val="000000" w:themeColor="text1"/>
          <w:sz w:val="24"/>
          <w:szCs w:val="24"/>
        </w:rPr>
        <w:t>finance-growth nexus</w:t>
      </w:r>
      <w:r w:rsidR="00476D2C" w:rsidRPr="00357722">
        <w:rPr>
          <w:rFonts w:ascii="Times New Roman" w:hAnsi="Times New Roman" w:cs="Times New Roman"/>
          <w:color w:val="000000" w:themeColor="text1"/>
          <w:sz w:val="24"/>
          <w:szCs w:val="24"/>
        </w:rPr>
        <w:t>,</w:t>
      </w:r>
      <w:r w:rsidR="00346EDB" w:rsidRPr="00357722">
        <w:rPr>
          <w:rFonts w:ascii="Times New Roman" w:hAnsi="Times New Roman" w:cs="Times New Roman"/>
          <w:color w:val="000000" w:themeColor="text1"/>
          <w:sz w:val="24"/>
          <w:szCs w:val="24"/>
        </w:rPr>
        <w:t xml:space="preserve"> to </w:t>
      </w:r>
      <w:r w:rsidR="00476D2C" w:rsidRPr="00357722">
        <w:rPr>
          <w:rFonts w:ascii="Times New Roman" w:hAnsi="Times New Roman" w:cs="Times New Roman"/>
          <w:color w:val="000000" w:themeColor="text1"/>
          <w:sz w:val="24"/>
          <w:szCs w:val="24"/>
        </w:rPr>
        <w:t xml:space="preserve">a </w:t>
      </w:r>
      <w:r w:rsidR="00775B76" w:rsidRPr="00357722">
        <w:rPr>
          <w:rFonts w:ascii="Times New Roman" w:hAnsi="Times New Roman" w:cs="Times New Roman"/>
          <w:color w:val="000000" w:themeColor="text1"/>
          <w:sz w:val="24"/>
          <w:szCs w:val="24"/>
        </w:rPr>
        <w:t xml:space="preserve">growing number of </w:t>
      </w:r>
      <w:r w:rsidR="00476D2C" w:rsidRPr="00357722">
        <w:rPr>
          <w:rFonts w:ascii="Times New Roman" w:hAnsi="Times New Roman" w:cs="Times New Roman"/>
          <w:color w:val="000000" w:themeColor="text1"/>
          <w:sz w:val="24"/>
          <w:szCs w:val="24"/>
        </w:rPr>
        <w:t>studies</w:t>
      </w:r>
      <w:r w:rsidR="00775B76" w:rsidRPr="00357722">
        <w:rPr>
          <w:rFonts w:ascii="Times New Roman" w:hAnsi="Times New Roman" w:cs="Times New Roman"/>
          <w:color w:val="000000" w:themeColor="text1"/>
          <w:sz w:val="24"/>
          <w:szCs w:val="24"/>
        </w:rPr>
        <w:t xml:space="preserve"> investigat</w:t>
      </w:r>
      <w:r w:rsidR="00476D2C" w:rsidRPr="00357722">
        <w:rPr>
          <w:rFonts w:ascii="Times New Roman" w:hAnsi="Times New Roman" w:cs="Times New Roman"/>
          <w:color w:val="000000" w:themeColor="text1"/>
          <w:sz w:val="24"/>
          <w:szCs w:val="24"/>
        </w:rPr>
        <w:t>ing</w:t>
      </w:r>
      <w:r w:rsidR="00775B76" w:rsidRPr="00357722">
        <w:rPr>
          <w:rFonts w:ascii="Times New Roman" w:hAnsi="Times New Roman" w:cs="Times New Roman"/>
          <w:color w:val="000000" w:themeColor="text1"/>
          <w:sz w:val="24"/>
          <w:szCs w:val="24"/>
        </w:rPr>
        <w:t xml:space="preserve"> factors that </w:t>
      </w:r>
      <w:r w:rsidR="00B14062" w:rsidRPr="00357722">
        <w:rPr>
          <w:rFonts w:ascii="Times New Roman" w:hAnsi="Times New Roman" w:cs="Times New Roman"/>
          <w:color w:val="000000" w:themeColor="text1"/>
          <w:sz w:val="24"/>
          <w:szCs w:val="24"/>
        </w:rPr>
        <w:t xml:space="preserve">influence </w:t>
      </w:r>
      <w:r w:rsidR="00775B76" w:rsidRPr="00357722">
        <w:rPr>
          <w:rFonts w:ascii="Times New Roman" w:hAnsi="Times New Roman" w:cs="Times New Roman"/>
          <w:color w:val="000000" w:themeColor="text1"/>
          <w:sz w:val="24"/>
          <w:szCs w:val="24"/>
        </w:rPr>
        <w:t xml:space="preserve">financial development. </w:t>
      </w:r>
      <w:r w:rsidRPr="00357722">
        <w:rPr>
          <w:rFonts w:ascii="Times New Roman" w:hAnsi="Times New Roman" w:cs="Times New Roman"/>
          <w:color w:val="000000" w:themeColor="text1"/>
          <w:sz w:val="24"/>
          <w:szCs w:val="24"/>
        </w:rPr>
        <w:t>Amongst the</w:t>
      </w:r>
      <w:r w:rsidR="00775B76" w:rsidRPr="00357722">
        <w:rPr>
          <w:rFonts w:ascii="Times New Roman" w:hAnsi="Times New Roman" w:cs="Times New Roman"/>
          <w:color w:val="000000" w:themeColor="text1"/>
          <w:sz w:val="24"/>
          <w:szCs w:val="24"/>
        </w:rPr>
        <w:t>se</w:t>
      </w:r>
      <w:r w:rsidRPr="00357722">
        <w:rPr>
          <w:rFonts w:ascii="Times New Roman" w:hAnsi="Times New Roman" w:cs="Times New Roman"/>
          <w:color w:val="000000" w:themeColor="text1"/>
          <w:sz w:val="24"/>
          <w:szCs w:val="24"/>
        </w:rPr>
        <w:t xml:space="preserve"> studies include; trade and financial openness (Rajan and Zingales (2003), </w:t>
      </w:r>
      <w:r w:rsidR="00EF676C" w:rsidRPr="00357722">
        <w:rPr>
          <w:rFonts w:ascii="Times New Roman" w:hAnsi="Times New Roman" w:cs="Times New Roman"/>
          <w:color w:val="000000" w:themeColor="text1"/>
          <w:sz w:val="24"/>
          <w:szCs w:val="24"/>
        </w:rPr>
        <w:t>institutions (Law et al.</w:t>
      </w:r>
      <w:r w:rsidR="009C595B">
        <w:rPr>
          <w:rFonts w:ascii="Times New Roman" w:hAnsi="Times New Roman" w:cs="Times New Roman"/>
          <w:color w:val="000000" w:themeColor="text1"/>
          <w:sz w:val="24"/>
          <w:szCs w:val="24"/>
        </w:rPr>
        <w:t>,</w:t>
      </w:r>
      <w:r w:rsidR="00EF676C" w:rsidRPr="00357722">
        <w:rPr>
          <w:rFonts w:ascii="Times New Roman" w:hAnsi="Times New Roman" w:cs="Times New Roman"/>
          <w:color w:val="000000" w:themeColor="text1"/>
          <w:sz w:val="24"/>
          <w:szCs w:val="24"/>
        </w:rPr>
        <w:t xml:space="preserve"> 2013), culture (Stulz and Williamson, 2003), political institutions (</w:t>
      </w:r>
      <w:r w:rsidR="00E234FD" w:rsidRPr="00357722">
        <w:rPr>
          <w:rFonts w:ascii="Times New Roman" w:hAnsi="Times New Roman" w:cs="Times New Roman"/>
          <w:color w:val="000000" w:themeColor="text1"/>
          <w:sz w:val="24"/>
          <w:szCs w:val="24"/>
        </w:rPr>
        <w:t>Roe and Siegal, 201</w:t>
      </w:r>
      <w:r w:rsidR="004514AF">
        <w:rPr>
          <w:rFonts w:ascii="Times New Roman" w:hAnsi="Times New Roman" w:cs="Times New Roman"/>
          <w:color w:val="000000" w:themeColor="text1"/>
          <w:sz w:val="24"/>
          <w:szCs w:val="24"/>
        </w:rPr>
        <w:t>1</w:t>
      </w:r>
      <w:r w:rsidR="00E234FD" w:rsidRPr="00357722">
        <w:rPr>
          <w:rFonts w:ascii="Times New Roman" w:hAnsi="Times New Roman" w:cs="Times New Roman"/>
          <w:color w:val="000000" w:themeColor="text1"/>
          <w:sz w:val="24"/>
          <w:szCs w:val="24"/>
        </w:rPr>
        <w:t>), ownership of banks by the state (La Porta et al. 2002; Andrianova et al.</w:t>
      </w:r>
      <w:r w:rsidR="009C595B">
        <w:rPr>
          <w:rFonts w:ascii="Times New Roman" w:hAnsi="Times New Roman" w:cs="Times New Roman"/>
          <w:color w:val="000000" w:themeColor="text1"/>
          <w:sz w:val="24"/>
          <w:szCs w:val="24"/>
        </w:rPr>
        <w:t>,</w:t>
      </w:r>
      <w:r w:rsidR="00E234FD" w:rsidRPr="00357722">
        <w:rPr>
          <w:rFonts w:ascii="Times New Roman" w:hAnsi="Times New Roman" w:cs="Times New Roman"/>
          <w:color w:val="000000" w:themeColor="text1"/>
          <w:sz w:val="24"/>
          <w:szCs w:val="24"/>
        </w:rPr>
        <w:t xml:space="preserve"> 2008), legal systems (La Porta et al.</w:t>
      </w:r>
      <w:r w:rsidR="009C595B">
        <w:rPr>
          <w:rFonts w:ascii="Times New Roman" w:hAnsi="Times New Roman" w:cs="Times New Roman"/>
          <w:color w:val="000000" w:themeColor="text1"/>
          <w:sz w:val="24"/>
          <w:szCs w:val="24"/>
        </w:rPr>
        <w:t>,</w:t>
      </w:r>
      <w:r w:rsidR="00E234FD" w:rsidRPr="00357722">
        <w:rPr>
          <w:rFonts w:ascii="Times New Roman" w:hAnsi="Times New Roman" w:cs="Times New Roman"/>
          <w:color w:val="000000" w:themeColor="text1"/>
          <w:sz w:val="24"/>
          <w:szCs w:val="24"/>
        </w:rPr>
        <w:t xml:space="preserve"> 1998), financial sector policies (Ang, 2008).</w:t>
      </w:r>
    </w:p>
    <w:p w14:paraId="5D96768F" w14:textId="5C9CCC04" w:rsidR="00330329" w:rsidRPr="00357722" w:rsidRDefault="00B14062" w:rsidP="00B14062">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Our study is largely in response to the relevant role financial markets play in the economy and the challenges countries face in developing their financial markets. I</w:t>
      </w:r>
      <w:r w:rsidR="001C4FEE" w:rsidRPr="00357722">
        <w:rPr>
          <w:rFonts w:ascii="Times New Roman" w:hAnsi="Times New Roman" w:cs="Times New Roman"/>
          <w:color w:val="000000" w:themeColor="text1"/>
          <w:sz w:val="24"/>
          <w:szCs w:val="24"/>
        </w:rPr>
        <w:t xml:space="preserve">n </w:t>
      </w:r>
      <w:r w:rsidR="002C74CB" w:rsidRPr="00357722">
        <w:rPr>
          <w:rFonts w:ascii="Times New Roman" w:hAnsi="Times New Roman" w:cs="Times New Roman"/>
          <w:color w:val="000000" w:themeColor="text1"/>
          <w:sz w:val="24"/>
          <w:szCs w:val="24"/>
        </w:rPr>
        <w:t xml:space="preserve">line </w:t>
      </w:r>
      <w:r w:rsidR="001C4FEE" w:rsidRPr="00357722">
        <w:rPr>
          <w:rFonts w:ascii="Times New Roman" w:hAnsi="Times New Roman" w:cs="Times New Roman"/>
          <w:color w:val="000000" w:themeColor="text1"/>
          <w:sz w:val="24"/>
          <w:szCs w:val="24"/>
        </w:rPr>
        <w:t xml:space="preserve">with </w:t>
      </w:r>
      <w:r w:rsidR="001D51F7" w:rsidRPr="00357722">
        <w:rPr>
          <w:rFonts w:ascii="Times New Roman" w:hAnsi="Times New Roman" w:cs="Times New Roman"/>
          <w:color w:val="000000" w:themeColor="text1"/>
          <w:sz w:val="24"/>
          <w:szCs w:val="24"/>
        </w:rPr>
        <w:t xml:space="preserve">the </w:t>
      </w:r>
      <w:r w:rsidR="001C4FEE" w:rsidRPr="00357722">
        <w:rPr>
          <w:rFonts w:ascii="Times New Roman" w:hAnsi="Times New Roman" w:cs="Times New Roman"/>
          <w:color w:val="000000" w:themeColor="text1"/>
          <w:sz w:val="24"/>
          <w:szCs w:val="24"/>
        </w:rPr>
        <w:t xml:space="preserve">theoretical </w:t>
      </w:r>
      <w:r w:rsidR="001C4FEE" w:rsidRPr="00357722">
        <w:rPr>
          <w:rFonts w:ascii="Times New Roman" w:hAnsi="Times New Roman" w:cs="Times New Roman"/>
          <w:color w:val="000000" w:themeColor="text1"/>
          <w:sz w:val="24"/>
          <w:szCs w:val="24"/>
        </w:rPr>
        <w:lastRenderedPageBreak/>
        <w:t>argument</w:t>
      </w:r>
      <w:r w:rsidR="006E78B8" w:rsidRPr="00357722">
        <w:rPr>
          <w:rFonts w:ascii="Times New Roman" w:hAnsi="Times New Roman" w:cs="Times New Roman"/>
          <w:color w:val="000000" w:themeColor="text1"/>
          <w:sz w:val="24"/>
          <w:szCs w:val="24"/>
        </w:rPr>
        <w:t xml:space="preserve">, we examine the role of </w:t>
      </w:r>
      <w:r w:rsidR="0090738B" w:rsidRPr="00357722">
        <w:rPr>
          <w:rFonts w:ascii="Times New Roman" w:hAnsi="Times New Roman" w:cs="Times New Roman"/>
          <w:color w:val="000000" w:themeColor="text1"/>
          <w:sz w:val="24"/>
          <w:szCs w:val="24"/>
        </w:rPr>
        <w:t>international</w:t>
      </w:r>
      <w:r w:rsidR="00BB6A10" w:rsidRPr="00357722">
        <w:rPr>
          <w:rFonts w:ascii="Times New Roman" w:hAnsi="Times New Roman" w:cs="Times New Roman"/>
          <w:color w:val="000000" w:themeColor="text1"/>
          <w:sz w:val="24"/>
          <w:szCs w:val="24"/>
        </w:rPr>
        <w:t xml:space="preserve"> capital flow in domestic </w:t>
      </w:r>
      <w:r w:rsidR="0090738B" w:rsidRPr="00357722">
        <w:rPr>
          <w:rFonts w:ascii="Times New Roman" w:hAnsi="Times New Roman" w:cs="Times New Roman"/>
          <w:color w:val="000000" w:themeColor="text1"/>
          <w:sz w:val="24"/>
          <w:szCs w:val="24"/>
        </w:rPr>
        <w:t>financial</w:t>
      </w:r>
      <w:r w:rsidR="00BB6A10" w:rsidRPr="00357722">
        <w:rPr>
          <w:rFonts w:ascii="Times New Roman" w:hAnsi="Times New Roman" w:cs="Times New Roman"/>
          <w:color w:val="000000" w:themeColor="text1"/>
          <w:sz w:val="24"/>
          <w:szCs w:val="24"/>
        </w:rPr>
        <w:t xml:space="preserve"> </w:t>
      </w:r>
      <w:r w:rsidR="0090738B" w:rsidRPr="00357722">
        <w:rPr>
          <w:rFonts w:ascii="Times New Roman" w:hAnsi="Times New Roman" w:cs="Times New Roman"/>
          <w:color w:val="000000" w:themeColor="text1"/>
          <w:sz w:val="24"/>
          <w:szCs w:val="24"/>
        </w:rPr>
        <w:t xml:space="preserve">market </w:t>
      </w:r>
      <w:r w:rsidR="00BB6A10" w:rsidRPr="00357722">
        <w:rPr>
          <w:rFonts w:ascii="Times New Roman" w:hAnsi="Times New Roman" w:cs="Times New Roman"/>
          <w:color w:val="000000" w:themeColor="text1"/>
          <w:sz w:val="24"/>
          <w:szCs w:val="24"/>
        </w:rPr>
        <w:t xml:space="preserve">development. </w:t>
      </w:r>
      <w:r w:rsidR="002C74CB" w:rsidRPr="00357722">
        <w:rPr>
          <w:rFonts w:ascii="Times New Roman" w:hAnsi="Times New Roman" w:cs="Times New Roman"/>
          <w:color w:val="000000" w:themeColor="text1"/>
          <w:sz w:val="24"/>
          <w:szCs w:val="24"/>
        </w:rPr>
        <w:t xml:space="preserve">We further test </w:t>
      </w:r>
      <w:r w:rsidR="00944A33" w:rsidRPr="00357722">
        <w:rPr>
          <w:rFonts w:ascii="Times New Roman" w:hAnsi="Times New Roman" w:cs="Times New Roman"/>
          <w:color w:val="000000" w:themeColor="text1"/>
          <w:sz w:val="24"/>
          <w:szCs w:val="24"/>
        </w:rPr>
        <w:t xml:space="preserve">whether central bank transparency interacts with international equity portfolio diversification to </w:t>
      </w:r>
      <w:r w:rsidR="00120B45" w:rsidRPr="00357722">
        <w:rPr>
          <w:rFonts w:ascii="Times New Roman" w:hAnsi="Times New Roman" w:cs="Times New Roman"/>
          <w:color w:val="000000" w:themeColor="text1"/>
          <w:sz w:val="24"/>
          <w:szCs w:val="24"/>
        </w:rPr>
        <w:t xml:space="preserve">boost </w:t>
      </w:r>
      <w:r w:rsidR="00944A33" w:rsidRPr="00357722">
        <w:rPr>
          <w:rFonts w:ascii="Times New Roman" w:hAnsi="Times New Roman" w:cs="Times New Roman"/>
          <w:color w:val="000000" w:themeColor="text1"/>
          <w:sz w:val="24"/>
          <w:szCs w:val="24"/>
        </w:rPr>
        <w:t>financial development.</w:t>
      </w:r>
      <w:r w:rsidR="001D51F7" w:rsidRPr="00357722">
        <w:rPr>
          <w:rFonts w:ascii="Times New Roman" w:hAnsi="Times New Roman" w:cs="Times New Roman"/>
          <w:color w:val="000000" w:themeColor="text1"/>
          <w:sz w:val="24"/>
          <w:szCs w:val="24"/>
        </w:rPr>
        <w:t xml:space="preserve"> </w:t>
      </w:r>
      <w:r w:rsidR="00E234FD" w:rsidRPr="00357722">
        <w:rPr>
          <w:rFonts w:ascii="Times New Roman" w:hAnsi="Times New Roman" w:cs="Times New Roman"/>
          <w:color w:val="000000" w:themeColor="text1"/>
          <w:sz w:val="24"/>
          <w:szCs w:val="24"/>
        </w:rPr>
        <w:t xml:space="preserve">We </w:t>
      </w:r>
      <w:r w:rsidR="00754F14" w:rsidRPr="00357722">
        <w:rPr>
          <w:rFonts w:ascii="Times New Roman" w:hAnsi="Times New Roman" w:cs="Times New Roman"/>
          <w:color w:val="000000" w:themeColor="text1"/>
          <w:sz w:val="24"/>
          <w:szCs w:val="24"/>
        </w:rPr>
        <w:t xml:space="preserve">additionally </w:t>
      </w:r>
      <w:r w:rsidR="00E234FD" w:rsidRPr="00357722">
        <w:rPr>
          <w:rFonts w:ascii="Times New Roman" w:hAnsi="Times New Roman" w:cs="Times New Roman"/>
          <w:color w:val="000000" w:themeColor="text1"/>
          <w:sz w:val="24"/>
          <w:szCs w:val="24"/>
        </w:rPr>
        <w:t xml:space="preserve">investigate whether </w:t>
      </w:r>
      <w:r w:rsidR="00D167C3" w:rsidRPr="00357722">
        <w:rPr>
          <w:rFonts w:ascii="Times New Roman" w:hAnsi="Times New Roman" w:cs="Times New Roman"/>
          <w:color w:val="000000" w:themeColor="text1"/>
          <w:sz w:val="24"/>
          <w:szCs w:val="24"/>
        </w:rPr>
        <w:t xml:space="preserve">the relationship between international capital and financial development is sensitive to </w:t>
      </w:r>
      <w:r w:rsidR="00AC6828" w:rsidRPr="00357722">
        <w:rPr>
          <w:rFonts w:ascii="Times New Roman" w:hAnsi="Times New Roman" w:cs="Times New Roman"/>
          <w:color w:val="000000" w:themeColor="text1"/>
          <w:sz w:val="24"/>
          <w:szCs w:val="24"/>
        </w:rPr>
        <w:t>economic freedom</w:t>
      </w:r>
      <w:r w:rsidR="00A03BAD" w:rsidRPr="00357722">
        <w:rPr>
          <w:rStyle w:val="FootnoteReference"/>
          <w:rFonts w:ascii="Times New Roman" w:hAnsi="Times New Roman" w:cs="Times New Roman"/>
          <w:color w:val="000000" w:themeColor="text1"/>
          <w:sz w:val="24"/>
          <w:szCs w:val="24"/>
        </w:rPr>
        <w:footnoteReference w:id="2"/>
      </w:r>
      <w:r w:rsidR="00D167C3" w:rsidRPr="00357722">
        <w:rPr>
          <w:rFonts w:ascii="Times New Roman" w:hAnsi="Times New Roman" w:cs="Times New Roman"/>
          <w:color w:val="000000" w:themeColor="text1"/>
          <w:sz w:val="24"/>
          <w:szCs w:val="24"/>
        </w:rPr>
        <w:t>.</w:t>
      </w:r>
      <w:r w:rsidR="00E5505D" w:rsidRPr="00357722">
        <w:rPr>
          <w:rFonts w:ascii="Times New Roman" w:hAnsi="Times New Roman" w:cs="Times New Roman"/>
          <w:color w:val="000000" w:themeColor="text1"/>
          <w:sz w:val="24"/>
          <w:szCs w:val="24"/>
        </w:rPr>
        <w:t xml:space="preserve"> </w:t>
      </w:r>
      <w:r w:rsidR="001C4FEE" w:rsidRPr="00357722">
        <w:rPr>
          <w:rFonts w:ascii="Times New Roman" w:hAnsi="Times New Roman" w:cs="Times New Roman"/>
          <w:color w:val="000000" w:themeColor="text1"/>
          <w:sz w:val="24"/>
          <w:szCs w:val="24"/>
        </w:rPr>
        <w:t xml:space="preserve">Finally, we test </w:t>
      </w:r>
      <w:r w:rsidR="00754F14" w:rsidRPr="00357722">
        <w:rPr>
          <w:rFonts w:ascii="Times New Roman" w:hAnsi="Times New Roman" w:cs="Times New Roman"/>
          <w:color w:val="000000" w:themeColor="text1"/>
          <w:sz w:val="24"/>
          <w:szCs w:val="24"/>
        </w:rPr>
        <w:t xml:space="preserve">if </w:t>
      </w:r>
      <w:r w:rsidR="00CD4624" w:rsidRPr="00357722">
        <w:rPr>
          <w:rFonts w:ascii="Times New Roman" w:hAnsi="Times New Roman" w:cs="Times New Roman"/>
          <w:color w:val="000000" w:themeColor="text1"/>
          <w:sz w:val="24"/>
          <w:szCs w:val="24"/>
        </w:rPr>
        <w:t>international equity portfolio diversification and international bond flow (</w:t>
      </w:r>
      <w:r w:rsidR="00CD4624" w:rsidRPr="00357722">
        <w:rPr>
          <w:rFonts w:ascii="Times New Roman" w:hAnsi="Times New Roman" w:cs="Times New Roman"/>
          <w:i/>
          <w:color w:val="000000" w:themeColor="text1"/>
          <w:sz w:val="24"/>
          <w:szCs w:val="24"/>
        </w:rPr>
        <w:t>IBF</w:t>
      </w:r>
      <w:r w:rsidR="00CD4624" w:rsidRPr="00357722">
        <w:rPr>
          <w:rFonts w:ascii="Times New Roman" w:hAnsi="Times New Roman" w:cs="Times New Roman"/>
          <w:color w:val="000000" w:themeColor="text1"/>
          <w:sz w:val="24"/>
          <w:szCs w:val="24"/>
        </w:rPr>
        <w:t xml:space="preserve">) have a complementary role </w:t>
      </w:r>
      <w:r w:rsidR="00594572">
        <w:rPr>
          <w:rFonts w:ascii="Times New Roman" w:hAnsi="Times New Roman" w:cs="Times New Roman"/>
          <w:color w:val="000000" w:themeColor="text1"/>
          <w:sz w:val="24"/>
          <w:szCs w:val="24"/>
        </w:rPr>
        <w:t>in</w:t>
      </w:r>
      <w:r w:rsidR="00594572" w:rsidRPr="00357722">
        <w:rPr>
          <w:rFonts w:ascii="Times New Roman" w:hAnsi="Times New Roman" w:cs="Times New Roman"/>
          <w:color w:val="000000" w:themeColor="text1"/>
          <w:sz w:val="24"/>
          <w:szCs w:val="24"/>
        </w:rPr>
        <w:t xml:space="preserve"> </w:t>
      </w:r>
      <w:r w:rsidR="00CD4624" w:rsidRPr="00357722">
        <w:rPr>
          <w:rFonts w:ascii="Times New Roman" w:hAnsi="Times New Roman" w:cs="Times New Roman"/>
          <w:color w:val="000000" w:themeColor="text1"/>
          <w:sz w:val="24"/>
          <w:szCs w:val="24"/>
        </w:rPr>
        <w:t>financial development.</w:t>
      </w:r>
    </w:p>
    <w:p w14:paraId="4F8CAA4D" w14:textId="0B91D943" w:rsidR="006A0CDF" w:rsidRPr="00357722" w:rsidRDefault="0095228D" w:rsidP="006A0CDF">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 xml:space="preserve">In this study, </w:t>
      </w:r>
      <w:r w:rsidR="00D9624B" w:rsidRPr="00357722">
        <w:rPr>
          <w:rFonts w:ascii="Times New Roman" w:hAnsi="Times New Roman" w:cs="Times New Roman"/>
          <w:color w:val="000000" w:themeColor="text1"/>
          <w:sz w:val="24"/>
          <w:szCs w:val="24"/>
        </w:rPr>
        <w:t xml:space="preserve">we argue that </w:t>
      </w:r>
      <w:r w:rsidR="00EF7905" w:rsidRPr="00357722">
        <w:rPr>
          <w:rFonts w:ascii="Times New Roman" w:hAnsi="Times New Roman" w:cs="Times New Roman"/>
          <w:color w:val="000000" w:themeColor="text1"/>
          <w:sz w:val="24"/>
          <w:szCs w:val="24"/>
        </w:rPr>
        <w:t>cross-country differences in financial development following financial liberalization particularly in developing c</w:t>
      </w:r>
      <w:r w:rsidR="00D9624B" w:rsidRPr="00357722">
        <w:rPr>
          <w:rFonts w:ascii="Times New Roman" w:hAnsi="Times New Roman" w:cs="Times New Roman"/>
          <w:color w:val="000000" w:themeColor="text1"/>
          <w:sz w:val="24"/>
          <w:szCs w:val="24"/>
        </w:rPr>
        <w:t xml:space="preserve">ountries </w:t>
      </w:r>
      <w:r w:rsidR="00EB60C4">
        <w:rPr>
          <w:rFonts w:ascii="Times New Roman" w:hAnsi="Times New Roman" w:cs="Times New Roman"/>
          <w:color w:val="000000" w:themeColor="text1"/>
          <w:sz w:val="24"/>
          <w:szCs w:val="24"/>
        </w:rPr>
        <w:t>are</w:t>
      </w:r>
      <w:r w:rsidR="00D9624B" w:rsidRPr="00357722">
        <w:rPr>
          <w:rFonts w:ascii="Times New Roman" w:hAnsi="Times New Roman" w:cs="Times New Roman"/>
          <w:color w:val="000000" w:themeColor="text1"/>
          <w:sz w:val="24"/>
          <w:szCs w:val="24"/>
        </w:rPr>
        <w:t xml:space="preserve"> due to </w:t>
      </w:r>
      <w:r w:rsidR="00BB6A10" w:rsidRPr="00357722">
        <w:rPr>
          <w:rFonts w:ascii="Times New Roman" w:hAnsi="Times New Roman" w:cs="Times New Roman"/>
          <w:color w:val="000000" w:themeColor="text1"/>
          <w:sz w:val="24"/>
          <w:szCs w:val="24"/>
        </w:rPr>
        <w:t xml:space="preserve">insufficient </w:t>
      </w:r>
      <w:r w:rsidR="00663FB3" w:rsidRPr="00357722">
        <w:rPr>
          <w:rFonts w:ascii="Times New Roman" w:hAnsi="Times New Roman" w:cs="Times New Roman"/>
          <w:color w:val="000000" w:themeColor="text1"/>
          <w:sz w:val="24"/>
          <w:szCs w:val="24"/>
        </w:rPr>
        <w:t>international</w:t>
      </w:r>
      <w:r w:rsidR="00BB6A10" w:rsidRPr="00357722">
        <w:rPr>
          <w:rFonts w:ascii="Times New Roman" w:hAnsi="Times New Roman" w:cs="Times New Roman"/>
          <w:color w:val="000000" w:themeColor="text1"/>
          <w:sz w:val="24"/>
          <w:szCs w:val="24"/>
        </w:rPr>
        <w:t xml:space="preserve"> capital flow </w:t>
      </w:r>
      <w:r w:rsidR="00D9624B" w:rsidRPr="00357722">
        <w:rPr>
          <w:rFonts w:ascii="Times New Roman" w:hAnsi="Times New Roman" w:cs="Times New Roman"/>
          <w:color w:val="000000" w:themeColor="text1"/>
          <w:sz w:val="24"/>
          <w:szCs w:val="24"/>
        </w:rPr>
        <w:t xml:space="preserve">and </w:t>
      </w:r>
      <w:r w:rsidR="00663FB3" w:rsidRPr="00357722">
        <w:rPr>
          <w:rFonts w:ascii="Times New Roman" w:hAnsi="Times New Roman" w:cs="Times New Roman"/>
          <w:color w:val="000000" w:themeColor="text1"/>
          <w:sz w:val="24"/>
          <w:szCs w:val="24"/>
        </w:rPr>
        <w:t xml:space="preserve">lower </w:t>
      </w:r>
      <w:r w:rsidR="00D9624B" w:rsidRPr="00357722">
        <w:rPr>
          <w:rFonts w:ascii="Times New Roman" w:hAnsi="Times New Roman" w:cs="Times New Roman"/>
          <w:color w:val="000000" w:themeColor="text1"/>
          <w:sz w:val="24"/>
          <w:szCs w:val="24"/>
        </w:rPr>
        <w:t>investor participation</w:t>
      </w:r>
      <w:r w:rsidR="00663FB3" w:rsidRPr="00357722">
        <w:rPr>
          <w:rFonts w:ascii="Times New Roman" w:hAnsi="Times New Roman" w:cs="Times New Roman"/>
          <w:color w:val="000000" w:themeColor="text1"/>
          <w:sz w:val="24"/>
          <w:szCs w:val="24"/>
        </w:rPr>
        <w:t>,</w:t>
      </w:r>
      <w:r w:rsidR="00D9624B" w:rsidRPr="00357722">
        <w:rPr>
          <w:rFonts w:ascii="Times New Roman" w:hAnsi="Times New Roman" w:cs="Times New Roman"/>
          <w:color w:val="000000" w:themeColor="text1"/>
          <w:sz w:val="24"/>
          <w:szCs w:val="24"/>
        </w:rPr>
        <w:t xml:space="preserve"> </w:t>
      </w:r>
      <w:r w:rsidR="00BB6A10" w:rsidRPr="00357722">
        <w:rPr>
          <w:rFonts w:ascii="Times New Roman" w:hAnsi="Times New Roman" w:cs="Times New Roman"/>
          <w:color w:val="000000" w:themeColor="text1"/>
          <w:sz w:val="24"/>
          <w:szCs w:val="24"/>
        </w:rPr>
        <w:t>whi</w:t>
      </w:r>
      <w:r w:rsidR="00D9624B" w:rsidRPr="00357722">
        <w:rPr>
          <w:rFonts w:ascii="Times New Roman" w:hAnsi="Times New Roman" w:cs="Times New Roman"/>
          <w:color w:val="000000" w:themeColor="text1"/>
          <w:sz w:val="24"/>
          <w:szCs w:val="24"/>
        </w:rPr>
        <w:t>ch are</w:t>
      </w:r>
      <w:r w:rsidR="00BB6A10" w:rsidRPr="00357722">
        <w:rPr>
          <w:rFonts w:ascii="Times New Roman" w:hAnsi="Times New Roman" w:cs="Times New Roman"/>
          <w:color w:val="000000" w:themeColor="text1"/>
          <w:sz w:val="24"/>
          <w:szCs w:val="24"/>
        </w:rPr>
        <w:t xml:space="preserve"> linked to </w:t>
      </w:r>
      <w:r w:rsidR="00EB60C4">
        <w:rPr>
          <w:rFonts w:ascii="Times New Roman" w:hAnsi="Times New Roman" w:cs="Times New Roman"/>
          <w:color w:val="000000" w:themeColor="text1"/>
          <w:sz w:val="24"/>
          <w:szCs w:val="24"/>
        </w:rPr>
        <w:t xml:space="preserve">a </w:t>
      </w:r>
      <w:r w:rsidR="00F4693E" w:rsidRPr="00357722">
        <w:rPr>
          <w:rFonts w:ascii="Times New Roman" w:hAnsi="Times New Roman" w:cs="Times New Roman"/>
          <w:color w:val="000000" w:themeColor="text1"/>
          <w:sz w:val="24"/>
          <w:szCs w:val="24"/>
        </w:rPr>
        <w:t xml:space="preserve">high </w:t>
      </w:r>
      <w:r w:rsidR="00D9624B" w:rsidRPr="00357722">
        <w:rPr>
          <w:rFonts w:ascii="Times New Roman" w:hAnsi="Times New Roman" w:cs="Times New Roman"/>
          <w:color w:val="000000" w:themeColor="text1"/>
          <w:sz w:val="24"/>
          <w:szCs w:val="24"/>
        </w:rPr>
        <w:t xml:space="preserve">prevalence of </w:t>
      </w:r>
      <w:r w:rsidRPr="00357722">
        <w:rPr>
          <w:rFonts w:ascii="Times New Roman" w:hAnsi="Times New Roman" w:cs="Times New Roman"/>
          <w:color w:val="000000" w:themeColor="text1"/>
          <w:sz w:val="24"/>
          <w:szCs w:val="24"/>
        </w:rPr>
        <w:t>poor institutional quality</w:t>
      </w:r>
      <w:r w:rsidR="00BB6A10" w:rsidRPr="00357722">
        <w:rPr>
          <w:rFonts w:ascii="Times New Roman" w:hAnsi="Times New Roman" w:cs="Times New Roman"/>
          <w:color w:val="000000" w:themeColor="text1"/>
          <w:sz w:val="24"/>
          <w:szCs w:val="24"/>
        </w:rPr>
        <w:t xml:space="preserve"> and information asymmetry. For instance, </w:t>
      </w:r>
      <w:r w:rsidR="006A0CDF" w:rsidRPr="00357722">
        <w:rPr>
          <w:rFonts w:ascii="Times New Roman" w:hAnsi="Times New Roman" w:cs="Times New Roman"/>
          <w:color w:val="000000" w:themeColor="text1"/>
          <w:sz w:val="24"/>
          <w:szCs w:val="24"/>
        </w:rPr>
        <w:t xml:space="preserve">Lau et al. (2010) provide </w:t>
      </w:r>
      <w:r w:rsidR="00FD64F6" w:rsidRPr="00357722">
        <w:rPr>
          <w:rFonts w:ascii="Times New Roman" w:hAnsi="Times New Roman" w:cs="Times New Roman"/>
          <w:color w:val="000000" w:themeColor="text1"/>
          <w:sz w:val="24"/>
          <w:szCs w:val="24"/>
        </w:rPr>
        <w:t>e</w:t>
      </w:r>
      <w:r w:rsidR="00284081" w:rsidRPr="00357722">
        <w:rPr>
          <w:rFonts w:ascii="Times New Roman" w:hAnsi="Times New Roman" w:cs="Times New Roman"/>
          <w:color w:val="000000" w:themeColor="text1"/>
          <w:sz w:val="24"/>
          <w:szCs w:val="24"/>
        </w:rPr>
        <w:t xml:space="preserve">mpirical evidence that </w:t>
      </w:r>
      <w:r w:rsidR="00EB60C4">
        <w:rPr>
          <w:rFonts w:ascii="Times New Roman" w:hAnsi="Times New Roman" w:cs="Times New Roman"/>
          <w:color w:val="000000" w:themeColor="text1"/>
          <w:sz w:val="24"/>
          <w:szCs w:val="24"/>
        </w:rPr>
        <w:t>despite</w:t>
      </w:r>
      <w:r w:rsidR="00284081" w:rsidRPr="00357722">
        <w:rPr>
          <w:rFonts w:ascii="Times New Roman" w:hAnsi="Times New Roman" w:cs="Times New Roman"/>
          <w:color w:val="000000" w:themeColor="text1"/>
          <w:sz w:val="24"/>
          <w:szCs w:val="24"/>
        </w:rPr>
        <w:t xml:space="preserve"> the suggestion</w:t>
      </w:r>
      <w:r w:rsidR="00FD64F6" w:rsidRPr="00357722">
        <w:rPr>
          <w:rFonts w:ascii="Times New Roman" w:hAnsi="Times New Roman" w:cs="Times New Roman"/>
          <w:color w:val="000000" w:themeColor="text1"/>
          <w:sz w:val="24"/>
          <w:szCs w:val="24"/>
        </w:rPr>
        <w:t>s</w:t>
      </w:r>
      <w:r w:rsidR="00284081" w:rsidRPr="00357722">
        <w:rPr>
          <w:rFonts w:ascii="Times New Roman" w:hAnsi="Times New Roman" w:cs="Times New Roman"/>
          <w:color w:val="000000" w:themeColor="text1"/>
          <w:sz w:val="24"/>
          <w:szCs w:val="24"/>
        </w:rPr>
        <w:t xml:space="preserve"> by the international capital pricing model (ICAPM) that investors should construct </w:t>
      </w:r>
      <w:r w:rsidR="00EB60C4">
        <w:rPr>
          <w:rFonts w:ascii="Times New Roman" w:hAnsi="Times New Roman" w:cs="Times New Roman"/>
          <w:color w:val="000000" w:themeColor="text1"/>
          <w:sz w:val="24"/>
          <w:szCs w:val="24"/>
        </w:rPr>
        <w:t xml:space="preserve">an </w:t>
      </w:r>
      <w:r w:rsidR="00284081" w:rsidRPr="00357722">
        <w:rPr>
          <w:rFonts w:ascii="Times New Roman" w:hAnsi="Times New Roman" w:cs="Times New Roman"/>
          <w:color w:val="000000" w:themeColor="text1"/>
          <w:sz w:val="24"/>
          <w:szCs w:val="24"/>
        </w:rPr>
        <w:t>internationally diversified equity portfolio</w:t>
      </w:r>
      <w:r w:rsidR="00330329" w:rsidRPr="00357722">
        <w:rPr>
          <w:rFonts w:ascii="Times New Roman" w:hAnsi="Times New Roman" w:cs="Times New Roman"/>
          <w:color w:val="000000" w:themeColor="text1"/>
          <w:sz w:val="24"/>
          <w:szCs w:val="24"/>
        </w:rPr>
        <w:t>, investors exhibit equity home bias</w:t>
      </w:r>
      <w:r w:rsidR="00330329" w:rsidRPr="00357722">
        <w:rPr>
          <w:rStyle w:val="FootnoteReference"/>
          <w:rFonts w:ascii="Times New Roman" w:hAnsi="Times New Roman" w:cs="Times New Roman"/>
          <w:color w:val="000000" w:themeColor="text1"/>
          <w:sz w:val="24"/>
          <w:szCs w:val="24"/>
        </w:rPr>
        <w:footnoteReference w:id="3"/>
      </w:r>
      <w:r w:rsidR="00330329" w:rsidRPr="00357722">
        <w:rPr>
          <w:rFonts w:ascii="Times New Roman" w:hAnsi="Times New Roman" w:cs="Times New Roman"/>
          <w:color w:val="000000" w:themeColor="text1"/>
          <w:sz w:val="24"/>
          <w:szCs w:val="24"/>
        </w:rPr>
        <w:t>.</w:t>
      </w:r>
      <w:r w:rsidR="00263D10" w:rsidRPr="00357722">
        <w:rPr>
          <w:rFonts w:ascii="Times New Roman" w:hAnsi="Times New Roman" w:cs="Times New Roman"/>
          <w:color w:val="000000" w:themeColor="text1"/>
          <w:sz w:val="24"/>
          <w:szCs w:val="24"/>
        </w:rPr>
        <w:t xml:space="preserve"> </w:t>
      </w:r>
      <w:r w:rsidR="006A0CDF" w:rsidRPr="00357722">
        <w:rPr>
          <w:rFonts w:ascii="Times New Roman" w:hAnsi="Times New Roman" w:cs="Times New Roman"/>
          <w:color w:val="000000" w:themeColor="text1"/>
          <w:sz w:val="24"/>
          <w:szCs w:val="24"/>
        </w:rPr>
        <w:t xml:space="preserve">The financial market will be segmented with </w:t>
      </w:r>
      <w:r w:rsidR="00EB60C4">
        <w:rPr>
          <w:rFonts w:ascii="Times New Roman" w:hAnsi="Times New Roman" w:cs="Times New Roman"/>
          <w:color w:val="000000" w:themeColor="text1"/>
          <w:sz w:val="24"/>
          <w:szCs w:val="24"/>
        </w:rPr>
        <w:t xml:space="preserve">the </w:t>
      </w:r>
      <w:r w:rsidR="00663FB3" w:rsidRPr="00357722">
        <w:rPr>
          <w:rFonts w:ascii="Times New Roman" w:hAnsi="Times New Roman" w:cs="Times New Roman"/>
          <w:color w:val="000000" w:themeColor="text1"/>
          <w:sz w:val="24"/>
          <w:szCs w:val="24"/>
        </w:rPr>
        <w:t>high pervasiveness</w:t>
      </w:r>
      <w:r w:rsidR="006A0CDF" w:rsidRPr="00357722">
        <w:rPr>
          <w:rFonts w:ascii="Times New Roman" w:hAnsi="Times New Roman" w:cs="Times New Roman"/>
          <w:color w:val="000000" w:themeColor="text1"/>
          <w:sz w:val="24"/>
          <w:szCs w:val="24"/>
        </w:rPr>
        <w:t xml:space="preserve"> of equity home bias. </w:t>
      </w:r>
      <w:r w:rsidRPr="00357722">
        <w:rPr>
          <w:rFonts w:ascii="Times New Roman" w:hAnsi="Times New Roman" w:cs="Times New Roman"/>
          <w:color w:val="000000" w:themeColor="text1"/>
          <w:sz w:val="24"/>
          <w:szCs w:val="24"/>
        </w:rPr>
        <w:t>Segmented financial markets suffer from illiquidity, information asymmetry</w:t>
      </w:r>
      <w:r w:rsidR="00D540A1" w:rsidRPr="00357722">
        <w:rPr>
          <w:rFonts w:ascii="Times New Roman" w:hAnsi="Times New Roman" w:cs="Times New Roman"/>
          <w:color w:val="000000" w:themeColor="text1"/>
          <w:sz w:val="24"/>
          <w:szCs w:val="24"/>
        </w:rPr>
        <w:t>, poor-functioning regulatory system</w:t>
      </w:r>
      <w:r w:rsidR="00EB60C4">
        <w:rPr>
          <w:rFonts w:ascii="Times New Roman" w:hAnsi="Times New Roman" w:cs="Times New Roman"/>
          <w:color w:val="000000" w:themeColor="text1"/>
          <w:sz w:val="24"/>
          <w:szCs w:val="24"/>
        </w:rPr>
        <w:t>,</w:t>
      </w:r>
      <w:r w:rsidRPr="00357722">
        <w:rPr>
          <w:rFonts w:ascii="Times New Roman" w:hAnsi="Times New Roman" w:cs="Times New Roman"/>
          <w:color w:val="000000" w:themeColor="text1"/>
          <w:sz w:val="24"/>
          <w:szCs w:val="24"/>
        </w:rPr>
        <w:t xml:space="preserve"> and </w:t>
      </w:r>
      <w:r w:rsidR="00D540A1" w:rsidRPr="00357722">
        <w:rPr>
          <w:rFonts w:ascii="Times New Roman" w:hAnsi="Times New Roman" w:cs="Times New Roman"/>
          <w:color w:val="000000" w:themeColor="text1"/>
          <w:sz w:val="24"/>
          <w:szCs w:val="24"/>
        </w:rPr>
        <w:t xml:space="preserve">under-developed financial infrastructure. </w:t>
      </w:r>
      <w:r w:rsidR="00EB60C4">
        <w:rPr>
          <w:rFonts w:ascii="Times New Roman" w:hAnsi="Times New Roman" w:cs="Times New Roman"/>
          <w:color w:val="000000" w:themeColor="text1"/>
          <w:sz w:val="24"/>
          <w:szCs w:val="24"/>
        </w:rPr>
        <w:t>A c</w:t>
      </w:r>
      <w:r w:rsidR="00BA0556" w:rsidRPr="00357722">
        <w:rPr>
          <w:rFonts w:ascii="Times New Roman" w:hAnsi="Times New Roman" w:cs="Times New Roman"/>
          <w:color w:val="000000" w:themeColor="text1"/>
          <w:sz w:val="24"/>
          <w:szCs w:val="24"/>
        </w:rPr>
        <w:t>ritical open question is whether international equity portfolio diversification directly and interactively enhance</w:t>
      </w:r>
      <w:r w:rsidR="00EB60C4">
        <w:rPr>
          <w:rFonts w:ascii="Times New Roman" w:hAnsi="Times New Roman" w:cs="Times New Roman"/>
          <w:color w:val="000000" w:themeColor="text1"/>
          <w:sz w:val="24"/>
          <w:szCs w:val="24"/>
        </w:rPr>
        <w:t>s</w:t>
      </w:r>
      <w:r w:rsidR="00BA0556" w:rsidRPr="00357722">
        <w:rPr>
          <w:rFonts w:ascii="Times New Roman" w:hAnsi="Times New Roman" w:cs="Times New Roman"/>
          <w:color w:val="000000" w:themeColor="text1"/>
          <w:sz w:val="24"/>
          <w:szCs w:val="24"/>
        </w:rPr>
        <w:t xml:space="preserve"> financial development. This question has previously never been addressed because cross-border equity portfolio data recently became available. </w:t>
      </w:r>
      <w:r w:rsidR="006A0CDF" w:rsidRPr="00357722">
        <w:rPr>
          <w:rFonts w:ascii="Times New Roman" w:hAnsi="Times New Roman" w:cs="Times New Roman"/>
          <w:color w:val="000000" w:themeColor="text1"/>
          <w:sz w:val="24"/>
          <w:szCs w:val="24"/>
        </w:rPr>
        <w:t>We fill the ga</w:t>
      </w:r>
      <w:r w:rsidR="005928FE" w:rsidRPr="00357722">
        <w:rPr>
          <w:rFonts w:ascii="Times New Roman" w:hAnsi="Times New Roman" w:cs="Times New Roman"/>
          <w:color w:val="000000" w:themeColor="text1"/>
          <w:sz w:val="24"/>
          <w:szCs w:val="24"/>
        </w:rPr>
        <w:t>p</w:t>
      </w:r>
      <w:r w:rsidR="006A0CDF" w:rsidRPr="00357722">
        <w:rPr>
          <w:rFonts w:ascii="Times New Roman" w:hAnsi="Times New Roman" w:cs="Times New Roman"/>
          <w:color w:val="000000" w:themeColor="text1"/>
          <w:sz w:val="24"/>
          <w:szCs w:val="24"/>
        </w:rPr>
        <w:t xml:space="preserve"> in the finance literature by showing that central bank transparency and </w:t>
      </w:r>
      <w:r w:rsidR="00CD4624" w:rsidRPr="00357722">
        <w:rPr>
          <w:rFonts w:ascii="Times New Roman" w:hAnsi="Times New Roman" w:cs="Times New Roman"/>
          <w:color w:val="000000" w:themeColor="text1"/>
          <w:sz w:val="24"/>
          <w:szCs w:val="24"/>
        </w:rPr>
        <w:t>economic freedom</w:t>
      </w:r>
      <w:r w:rsidR="006A0CDF" w:rsidRPr="00357722">
        <w:rPr>
          <w:rFonts w:ascii="Times New Roman" w:hAnsi="Times New Roman" w:cs="Times New Roman"/>
          <w:color w:val="000000" w:themeColor="text1"/>
          <w:sz w:val="24"/>
          <w:szCs w:val="24"/>
        </w:rPr>
        <w:t xml:space="preserve"> will </w:t>
      </w:r>
      <w:r w:rsidR="00D540A1" w:rsidRPr="00357722">
        <w:rPr>
          <w:rFonts w:ascii="Times New Roman" w:hAnsi="Times New Roman" w:cs="Times New Roman"/>
          <w:color w:val="000000" w:themeColor="text1"/>
          <w:sz w:val="24"/>
          <w:szCs w:val="24"/>
        </w:rPr>
        <w:t xml:space="preserve">encourage </w:t>
      </w:r>
      <w:r w:rsidR="006A0CDF" w:rsidRPr="00357722">
        <w:rPr>
          <w:rFonts w:ascii="Times New Roman" w:hAnsi="Times New Roman" w:cs="Times New Roman"/>
          <w:color w:val="000000" w:themeColor="text1"/>
          <w:sz w:val="24"/>
          <w:szCs w:val="24"/>
        </w:rPr>
        <w:t>international investors to participat</w:t>
      </w:r>
      <w:r w:rsidR="00EB60C4">
        <w:rPr>
          <w:rFonts w:ascii="Times New Roman" w:hAnsi="Times New Roman" w:cs="Times New Roman"/>
          <w:color w:val="000000" w:themeColor="text1"/>
          <w:sz w:val="24"/>
          <w:szCs w:val="24"/>
        </w:rPr>
        <w:t>e</w:t>
      </w:r>
      <w:r w:rsidR="006A0CDF" w:rsidRPr="00357722">
        <w:rPr>
          <w:rFonts w:ascii="Times New Roman" w:hAnsi="Times New Roman" w:cs="Times New Roman"/>
          <w:color w:val="000000" w:themeColor="text1"/>
          <w:sz w:val="24"/>
          <w:szCs w:val="24"/>
        </w:rPr>
        <w:t xml:space="preserve"> in the domestic financial market </w:t>
      </w:r>
      <w:r w:rsidR="00D540A1" w:rsidRPr="00357722">
        <w:rPr>
          <w:rFonts w:ascii="Times New Roman" w:hAnsi="Times New Roman" w:cs="Times New Roman"/>
          <w:color w:val="000000" w:themeColor="text1"/>
          <w:sz w:val="24"/>
          <w:szCs w:val="24"/>
        </w:rPr>
        <w:t xml:space="preserve">to </w:t>
      </w:r>
      <w:r w:rsidR="006A0CDF" w:rsidRPr="00357722">
        <w:rPr>
          <w:rFonts w:ascii="Times New Roman" w:hAnsi="Times New Roman" w:cs="Times New Roman"/>
          <w:color w:val="000000" w:themeColor="text1"/>
          <w:sz w:val="24"/>
          <w:szCs w:val="24"/>
        </w:rPr>
        <w:t xml:space="preserve">enhance </w:t>
      </w:r>
      <w:r w:rsidR="00D540A1" w:rsidRPr="00357722">
        <w:rPr>
          <w:rFonts w:ascii="Times New Roman" w:hAnsi="Times New Roman" w:cs="Times New Roman"/>
          <w:color w:val="000000" w:themeColor="text1"/>
          <w:sz w:val="24"/>
          <w:szCs w:val="24"/>
        </w:rPr>
        <w:t xml:space="preserve">financial </w:t>
      </w:r>
      <w:r w:rsidR="006A0CDF" w:rsidRPr="00357722">
        <w:rPr>
          <w:rFonts w:ascii="Times New Roman" w:hAnsi="Times New Roman" w:cs="Times New Roman"/>
          <w:color w:val="000000" w:themeColor="text1"/>
          <w:sz w:val="24"/>
          <w:szCs w:val="24"/>
        </w:rPr>
        <w:t xml:space="preserve">development. </w:t>
      </w:r>
    </w:p>
    <w:p w14:paraId="19E1B53E" w14:textId="064BAC25" w:rsidR="002A379C" w:rsidRPr="00357722" w:rsidRDefault="00371890" w:rsidP="002A379C">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 xml:space="preserve">Using panel data </w:t>
      </w:r>
      <w:r w:rsidR="00594572">
        <w:rPr>
          <w:rFonts w:ascii="Times New Roman" w:hAnsi="Times New Roman" w:cs="Times New Roman"/>
          <w:color w:val="000000" w:themeColor="text1"/>
          <w:sz w:val="24"/>
          <w:szCs w:val="24"/>
        </w:rPr>
        <w:t>from</w:t>
      </w:r>
      <w:r w:rsidR="00594572" w:rsidRPr="00357722">
        <w:rPr>
          <w:rFonts w:ascii="Times New Roman" w:hAnsi="Times New Roman" w:cs="Times New Roman"/>
          <w:color w:val="000000" w:themeColor="text1"/>
          <w:sz w:val="24"/>
          <w:szCs w:val="24"/>
        </w:rPr>
        <w:t xml:space="preserve"> </w:t>
      </w:r>
      <w:r w:rsidRPr="00357722">
        <w:rPr>
          <w:rFonts w:ascii="Times New Roman" w:hAnsi="Times New Roman" w:cs="Times New Roman"/>
          <w:color w:val="000000" w:themeColor="text1"/>
          <w:sz w:val="24"/>
          <w:szCs w:val="24"/>
        </w:rPr>
        <w:t>49 countries</w:t>
      </w:r>
      <w:r w:rsidR="00B936D5" w:rsidRPr="00357722">
        <w:rPr>
          <w:rFonts w:ascii="Times New Roman" w:hAnsi="Times New Roman" w:cs="Times New Roman"/>
          <w:color w:val="000000" w:themeColor="text1"/>
          <w:sz w:val="24"/>
          <w:szCs w:val="24"/>
        </w:rPr>
        <w:t xml:space="preserve"> from 2001 to 2016</w:t>
      </w:r>
      <w:r w:rsidRPr="00357722">
        <w:rPr>
          <w:rFonts w:ascii="Times New Roman" w:hAnsi="Times New Roman" w:cs="Times New Roman"/>
          <w:color w:val="000000" w:themeColor="text1"/>
          <w:sz w:val="24"/>
          <w:szCs w:val="24"/>
        </w:rPr>
        <w:t xml:space="preserve">, we find that international equity portfolio diversification </w:t>
      </w:r>
      <w:r w:rsidR="00D540A1" w:rsidRPr="00357722">
        <w:rPr>
          <w:rFonts w:ascii="Times New Roman" w:hAnsi="Times New Roman" w:cs="Times New Roman"/>
          <w:color w:val="000000" w:themeColor="text1"/>
          <w:sz w:val="24"/>
          <w:szCs w:val="24"/>
        </w:rPr>
        <w:t>boosts</w:t>
      </w:r>
      <w:r w:rsidRPr="00357722">
        <w:rPr>
          <w:rFonts w:ascii="Times New Roman" w:hAnsi="Times New Roman" w:cs="Times New Roman"/>
          <w:color w:val="000000" w:themeColor="text1"/>
          <w:sz w:val="24"/>
          <w:szCs w:val="24"/>
        </w:rPr>
        <w:t xml:space="preserve"> financial development. </w:t>
      </w:r>
      <w:r w:rsidR="00774B1E" w:rsidRPr="00357722">
        <w:rPr>
          <w:rFonts w:ascii="Times New Roman" w:hAnsi="Times New Roman" w:cs="Times New Roman"/>
          <w:color w:val="000000" w:themeColor="text1"/>
          <w:sz w:val="24"/>
          <w:szCs w:val="24"/>
        </w:rPr>
        <w:t>For instance, one standard deviation increase in international portfolio diversification will increase market capital</w:t>
      </w:r>
      <w:r w:rsidR="00EB60C4">
        <w:rPr>
          <w:rFonts w:ascii="Times New Roman" w:hAnsi="Times New Roman" w:cs="Times New Roman"/>
          <w:color w:val="000000" w:themeColor="text1"/>
          <w:sz w:val="24"/>
          <w:szCs w:val="24"/>
        </w:rPr>
        <w:t>ization</w:t>
      </w:r>
      <w:r w:rsidR="00774B1E" w:rsidRPr="00357722">
        <w:rPr>
          <w:rFonts w:ascii="Times New Roman" w:hAnsi="Times New Roman" w:cs="Times New Roman"/>
          <w:color w:val="000000" w:themeColor="text1"/>
          <w:sz w:val="24"/>
          <w:szCs w:val="24"/>
        </w:rPr>
        <w:t xml:space="preserve"> to GDP by 0.57%. </w:t>
      </w:r>
      <w:r w:rsidR="00D540A1" w:rsidRPr="00357722">
        <w:rPr>
          <w:rFonts w:ascii="Times New Roman" w:hAnsi="Times New Roman" w:cs="Times New Roman"/>
          <w:color w:val="000000" w:themeColor="text1"/>
          <w:sz w:val="24"/>
          <w:szCs w:val="24"/>
        </w:rPr>
        <w:t xml:space="preserve">We </w:t>
      </w:r>
      <w:r w:rsidR="00D540A1" w:rsidRPr="00357722">
        <w:rPr>
          <w:rFonts w:ascii="Times New Roman" w:hAnsi="Times New Roman" w:cs="Times New Roman"/>
          <w:color w:val="000000" w:themeColor="text1"/>
          <w:sz w:val="24"/>
          <w:szCs w:val="24"/>
        </w:rPr>
        <w:lastRenderedPageBreak/>
        <w:t>further</w:t>
      </w:r>
      <w:r w:rsidR="00A223CD" w:rsidRPr="00357722">
        <w:rPr>
          <w:rFonts w:ascii="Times New Roman" w:hAnsi="Times New Roman" w:cs="Times New Roman"/>
          <w:color w:val="000000" w:themeColor="text1"/>
          <w:sz w:val="24"/>
          <w:szCs w:val="24"/>
        </w:rPr>
        <w:t xml:space="preserve"> provide evidence to support our hypothesis that central bank transparency interact</w:t>
      </w:r>
      <w:r w:rsidR="00D540A1" w:rsidRPr="00357722">
        <w:rPr>
          <w:rFonts w:ascii="Times New Roman" w:hAnsi="Times New Roman" w:cs="Times New Roman"/>
          <w:color w:val="000000" w:themeColor="text1"/>
          <w:sz w:val="24"/>
          <w:szCs w:val="24"/>
        </w:rPr>
        <w:t>s</w:t>
      </w:r>
      <w:r w:rsidR="00A223CD" w:rsidRPr="00357722">
        <w:rPr>
          <w:rFonts w:ascii="Times New Roman" w:hAnsi="Times New Roman" w:cs="Times New Roman"/>
          <w:color w:val="000000" w:themeColor="text1"/>
          <w:sz w:val="24"/>
          <w:szCs w:val="24"/>
        </w:rPr>
        <w:t xml:space="preserve"> with international </w:t>
      </w:r>
      <w:r w:rsidR="00D540A1" w:rsidRPr="00357722">
        <w:rPr>
          <w:rFonts w:ascii="Times New Roman" w:hAnsi="Times New Roman" w:cs="Times New Roman"/>
          <w:color w:val="000000" w:themeColor="text1"/>
          <w:sz w:val="24"/>
          <w:szCs w:val="24"/>
        </w:rPr>
        <w:t>equity portfolio diversification</w:t>
      </w:r>
      <w:r w:rsidR="00A223CD" w:rsidRPr="00357722">
        <w:rPr>
          <w:rFonts w:ascii="Times New Roman" w:hAnsi="Times New Roman" w:cs="Times New Roman"/>
          <w:color w:val="000000" w:themeColor="text1"/>
          <w:sz w:val="24"/>
          <w:szCs w:val="24"/>
        </w:rPr>
        <w:t xml:space="preserve"> to improve financial development. </w:t>
      </w:r>
      <w:r w:rsidR="00C02507" w:rsidRPr="00357722">
        <w:rPr>
          <w:rFonts w:ascii="Times New Roman" w:hAnsi="Times New Roman" w:cs="Times New Roman"/>
          <w:color w:val="000000" w:themeColor="text1"/>
          <w:sz w:val="24"/>
          <w:szCs w:val="24"/>
        </w:rPr>
        <w:t>We</w:t>
      </w:r>
      <w:r w:rsidR="00A223CD" w:rsidRPr="00357722">
        <w:rPr>
          <w:rFonts w:ascii="Times New Roman" w:hAnsi="Times New Roman" w:cs="Times New Roman"/>
          <w:color w:val="000000" w:themeColor="text1"/>
          <w:sz w:val="24"/>
          <w:szCs w:val="24"/>
        </w:rPr>
        <w:t xml:space="preserve"> find the relation between international equity portfolio flow and financial </w:t>
      </w:r>
      <w:r w:rsidR="006A0CDF" w:rsidRPr="00357722">
        <w:rPr>
          <w:rFonts w:ascii="Times New Roman" w:hAnsi="Times New Roman" w:cs="Times New Roman"/>
          <w:color w:val="000000" w:themeColor="text1"/>
          <w:sz w:val="24"/>
          <w:szCs w:val="24"/>
        </w:rPr>
        <w:t xml:space="preserve">market </w:t>
      </w:r>
      <w:r w:rsidR="00A223CD" w:rsidRPr="00357722">
        <w:rPr>
          <w:rFonts w:ascii="Times New Roman" w:hAnsi="Times New Roman" w:cs="Times New Roman"/>
          <w:color w:val="000000" w:themeColor="text1"/>
          <w:sz w:val="24"/>
          <w:szCs w:val="24"/>
        </w:rPr>
        <w:t xml:space="preserve">development is sensitive to </w:t>
      </w:r>
      <w:r w:rsidR="00C02507" w:rsidRPr="00357722">
        <w:rPr>
          <w:rFonts w:ascii="Times New Roman" w:hAnsi="Times New Roman" w:cs="Times New Roman"/>
          <w:color w:val="000000" w:themeColor="text1"/>
          <w:sz w:val="24"/>
          <w:szCs w:val="24"/>
        </w:rPr>
        <w:t xml:space="preserve">economic freedom which reflects </w:t>
      </w:r>
      <w:r w:rsidR="00E30532">
        <w:rPr>
          <w:rFonts w:ascii="Times New Roman" w:hAnsi="Times New Roman" w:cs="Times New Roman"/>
          <w:color w:val="000000" w:themeColor="text1"/>
          <w:sz w:val="24"/>
          <w:szCs w:val="24"/>
        </w:rPr>
        <w:t xml:space="preserve">the </w:t>
      </w:r>
      <w:r w:rsidR="00C02507" w:rsidRPr="00357722">
        <w:rPr>
          <w:rFonts w:ascii="Times New Roman" w:hAnsi="Times New Roman" w:cs="Times New Roman"/>
          <w:color w:val="000000" w:themeColor="text1"/>
          <w:sz w:val="24"/>
          <w:szCs w:val="24"/>
        </w:rPr>
        <w:t>institutional quality</w:t>
      </w:r>
      <w:r w:rsidR="00A223CD" w:rsidRPr="00357722">
        <w:rPr>
          <w:rFonts w:ascii="Times New Roman" w:hAnsi="Times New Roman" w:cs="Times New Roman"/>
          <w:color w:val="000000" w:themeColor="text1"/>
          <w:sz w:val="24"/>
          <w:szCs w:val="24"/>
        </w:rPr>
        <w:t>.</w:t>
      </w:r>
      <w:r w:rsidR="00C02507" w:rsidRPr="00357722">
        <w:rPr>
          <w:rFonts w:ascii="Times New Roman" w:hAnsi="Times New Roman" w:cs="Times New Roman"/>
          <w:color w:val="000000" w:themeColor="text1"/>
          <w:sz w:val="24"/>
          <w:szCs w:val="24"/>
        </w:rPr>
        <w:t xml:space="preserve"> In </w:t>
      </w:r>
      <w:r w:rsidR="00D540A1" w:rsidRPr="00357722">
        <w:rPr>
          <w:rFonts w:ascii="Times New Roman" w:hAnsi="Times New Roman" w:cs="Times New Roman"/>
          <w:color w:val="000000" w:themeColor="text1"/>
          <w:sz w:val="24"/>
          <w:szCs w:val="24"/>
        </w:rPr>
        <w:t xml:space="preserve">a </w:t>
      </w:r>
      <w:r w:rsidR="00C02507" w:rsidRPr="00357722">
        <w:rPr>
          <w:rFonts w:ascii="Times New Roman" w:hAnsi="Times New Roman" w:cs="Times New Roman"/>
          <w:color w:val="000000" w:themeColor="text1"/>
          <w:sz w:val="24"/>
          <w:szCs w:val="24"/>
        </w:rPr>
        <w:t xml:space="preserve">further </w:t>
      </w:r>
      <w:r w:rsidR="00D540A1" w:rsidRPr="00357722">
        <w:rPr>
          <w:rFonts w:ascii="Times New Roman" w:hAnsi="Times New Roman" w:cs="Times New Roman"/>
          <w:color w:val="000000" w:themeColor="text1"/>
          <w:sz w:val="24"/>
          <w:szCs w:val="24"/>
        </w:rPr>
        <w:t xml:space="preserve">empirical </w:t>
      </w:r>
      <w:r w:rsidR="00C02507" w:rsidRPr="00357722">
        <w:rPr>
          <w:rFonts w:ascii="Times New Roman" w:hAnsi="Times New Roman" w:cs="Times New Roman"/>
          <w:color w:val="000000" w:themeColor="text1"/>
          <w:sz w:val="24"/>
          <w:szCs w:val="24"/>
        </w:rPr>
        <w:t xml:space="preserve">analysis, we find that </w:t>
      </w:r>
      <w:r w:rsidR="00D3587D" w:rsidRPr="00357722">
        <w:rPr>
          <w:rFonts w:ascii="Times New Roman" w:hAnsi="Times New Roman" w:cs="Times New Roman"/>
          <w:color w:val="000000" w:themeColor="text1"/>
          <w:sz w:val="24"/>
          <w:szCs w:val="24"/>
        </w:rPr>
        <w:t>international</w:t>
      </w:r>
      <w:r w:rsidR="00C02507" w:rsidRPr="00357722">
        <w:rPr>
          <w:rFonts w:ascii="Times New Roman" w:hAnsi="Times New Roman" w:cs="Times New Roman"/>
          <w:color w:val="000000" w:themeColor="text1"/>
          <w:sz w:val="24"/>
          <w:szCs w:val="24"/>
        </w:rPr>
        <w:t xml:space="preserve"> equity and </w:t>
      </w:r>
      <w:r w:rsidR="00D540A1" w:rsidRPr="00357722">
        <w:rPr>
          <w:rFonts w:ascii="Times New Roman" w:hAnsi="Times New Roman" w:cs="Times New Roman"/>
          <w:color w:val="000000" w:themeColor="text1"/>
          <w:sz w:val="24"/>
          <w:szCs w:val="24"/>
        </w:rPr>
        <w:t>bond</w:t>
      </w:r>
      <w:r w:rsidR="00C02507" w:rsidRPr="00357722">
        <w:rPr>
          <w:rFonts w:ascii="Times New Roman" w:hAnsi="Times New Roman" w:cs="Times New Roman"/>
          <w:color w:val="000000" w:themeColor="text1"/>
          <w:sz w:val="24"/>
          <w:szCs w:val="24"/>
        </w:rPr>
        <w:t xml:space="preserve"> flow are complementary to financial system development.</w:t>
      </w:r>
    </w:p>
    <w:p w14:paraId="6AC97B2C" w14:textId="66BB1BFB" w:rsidR="003056DE" w:rsidRPr="00357722" w:rsidRDefault="00B64B4E" w:rsidP="002A379C">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are motivated to undertake this study </w:t>
      </w:r>
      <w:r w:rsidR="00B33AB2">
        <w:rPr>
          <w:rFonts w:ascii="Times New Roman" w:hAnsi="Times New Roman" w:cs="Times New Roman"/>
          <w:color w:val="000000" w:themeColor="text1"/>
          <w:sz w:val="24"/>
          <w:szCs w:val="24"/>
        </w:rPr>
        <w:t xml:space="preserve">mainly to build on existing literature and also due to the policy orientation of the study. </w:t>
      </w:r>
      <w:r w:rsidR="00C02507" w:rsidRPr="00357722">
        <w:rPr>
          <w:rFonts w:ascii="Times New Roman" w:hAnsi="Times New Roman" w:cs="Times New Roman"/>
          <w:color w:val="000000" w:themeColor="text1"/>
          <w:sz w:val="24"/>
          <w:szCs w:val="24"/>
        </w:rPr>
        <w:t xml:space="preserve">Our study extends </w:t>
      </w:r>
      <w:r w:rsidR="00263D10" w:rsidRPr="00357722">
        <w:rPr>
          <w:rFonts w:ascii="Times New Roman" w:hAnsi="Times New Roman" w:cs="Times New Roman"/>
          <w:color w:val="000000" w:themeColor="text1"/>
          <w:sz w:val="24"/>
          <w:szCs w:val="24"/>
        </w:rPr>
        <w:t>the international finance literature</w:t>
      </w:r>
      <w:r w:rsidR="00A223CD" w:rsidRPr="00357722">
        <w:rPr>
          <w:rFonts w:ascii="Times New Roman" w:hAnsi="Times New Roman" w:cs="Times New Roman"/>
          <w:color w:val="000000" w:themeColor="text1"/>
          <w:sz w:val="24"/>
          <w:szCs w:val="24"/>
        </w:rPr>
        <w:t xml:space="preserve"> in </w:t>
      </w:r>
      <w:r w:rsidR="00C02507" w:rsidRPr="00357722">
        <w:rPr>
          <w:rFonts w:ascii="Times New Roman" w:hAnsi="Times New Roman" w:cs="Times New Roman"/>
          <w:color w:val="000000" w:themeColor="text1"/>
          <w:sz w:val="24"/>
          <w:szCs w:val="24"/>
        </w:rPr>
        <w:t xml:space="preserve">several </w:t>
      </w:r>
      <w:r w:rsidR="00A223CD" w:rsidRPr="00357722">
        <w:rPr>
          <w:rFonts w:ascii="Times New Roman" w:hAnsi="Times New Roman" w:cs="Times New Roman"/>
          <w:color w:val="000000" w:themeColor="text1"/>
          <w:sz w:val="24"/>
          <w:szCs w:val="24"/>
        </w:rPr>
        <w:t>ways</w:t>
      </w:r>
      <w:r w:rsidR="00263D10" w:rsidRPr="00357722">
        <w:rPr>
          <w:rFonts w:ascii="Times New Roman" w:hAnsi="Times New Roman" w:cs="Times New Roman"/>
          <w:color w:val="000000" w:themeColor="text1"/>
          <w:sz w:val="24"/>
          <w:szCs w:val="24"/>
        </w:rPr>
        <w:t>.</w:t>
      </w:r>
      <w:r w:rsidR="003056DE" w:rsidRPr="00357722">
        <w:rPr>
          <w:rFonts w:ascii="Times New Roman" w:hAnsi="Times New Roman" w:cs="Times New Roman"/>
          <w:color w:val="000000" w:themeColor="text1"/>
          <w:sz w:val="24"/>
          <w:szCs w:val="24"/>
          <w:shd w:val="clear" w:color="auto" w:fill="FFFFFF"/>
        </w:rPr>
        <w:t xml:space="preserve"> </w:t>
      </w:r>
      <w:r w:rsidR="008838CA" w:rsidRPr="00357722">
        <w:rPr>
          <w:rFonts w:ascii="Times New Roman" w:hAnsi="Times New Roman" w:cs="Times New Roman"/>
          <w:color w:val="000000" w:themeColor="text1"/>
          <w:sz w:val="24"/>
          <w:szCs w:val="24"/>
          <w:shd w:val="clear" w:color="auto" w:fill="FFFFFF"/>
        </w:rPr>
        <w:t xml:space="preserve">First, </w:t>
      </w:r>
      <w:r w:rsidR="00C02507" w:rsidRPr="00357722">
        <w:rPr>
          <w:rFonts w:ascii="Times New Roman" w:hAnsi="Times New Roman" w:cs="Times New Roman"/>
          <w:color w:val="000000" w:themeColor="text1"/>
          <w:sz w:val="24"/>
          <w:szCs w:val="24"/>
          <w:shd w:val="clear" w:color="auto" w:fill="FFFFFF"/>
        </w:rPr>
        <w:t xml:space="preserve">we directly examine </w:t>
      </w:r>
      <w:r w:rsidR="003A4EA4" w:rsidRPr="00357722">
        <w:rPr>
          <w:rFonts w:ascii="Times New Roman" w:hAnsi="Times New Roman" w:cs="Times New Roman"/>
          <w:color w:val="000000" w:themeColor="text1"/>
          <w:sz w:val="24"/>
          <w:szCs w:val="24"/>
          <w:shd w:val="clear" w:color="auto" w:fill="FFFFFF"/>
        </w:rPr>
        <w:t>the effects of international equity portfolio diversification on financial developmen</w:t>
      </w:r>
      <w:r w:rsidR="00D3587D" w:rsidRPr="00357722">
        <w:rPr>
          <w:rFonts w:ascii="Times New Roman" w:hAnsi="Times New Roman" w:cs="Times New Roman"/>
          <w:color w:val="000000" w:themeColor="text1"/>
          <w:sz w:val="24"/>
          <w:szCs w:val="24"/>
          <w:shd w:val="clear" w:color="auto" w:fill="FFFFFF"/>
        </w:rPr>
        <w:t>t. More importantly, the analysi</w:t>
      </w:r>
      <w:r w:rsidR="003A4EA4" w:rsidRPr="00357722">
        <w:rPr>
          <w:rFonts w:ascii="Times New Roman" w:hAnsi="Times New Roman" w:cs="Times New Roman"/>
          <w:color w:val="000000" w:themeColor="text1"/>
          <w:sz w:val="24"/>
          <w:szCs w:val="24"/>
          <w:shd w:val="clear" w:color="auto" w:fill="FFFFFF"/>
        </w:rPr>
        <w:t>s allow</w:t>
      </w:r>
      <w:r w:rsidR="00D3587D" w:rsidRPr="00357722">
        <w:rPr>
          <w:rFonts w:ascii="Times New Roman" w:hAnsi="Times New Roman" w:cs="Times New Roman"/>
          <w:color w:val="000000" w:themeColor="text1"/>
          <w:sz w:val="24"/>
          <w:szCs w:val="24"/>
          <w:shd w:val="clear" w:color="auto" w:fill="FFFFFF"/>
        </w:rPr>
        <w:t>s</w:t>
      </w:r>
      <w:r w:rsidR="003A4EA4" w:rsidRPr="00357722">
        <w:rPr>
          <w:rFonts w:ascii="Times New Roman" w:hAnsi="Times New Roman" w:cs="Times New Roman"/>
          <w:color w:val="000000" w:themeColor="text1"/>
          <w:sz w:val="24"/>
          <w:szCs w:val="24"/>
          <w:shd w:val="clear" w:color="auto" w:fill="FFFFFF"/>
        </w:rPr>
        <w:t xml:space="preserve"> us to quantify the </w:t>
      </w:r>
      <w:r w:rsidR="005928FE" w:rsidRPr="00357722">
        <w:rPr>
          <w:rFonts w:ascii="Times New Roman" w:hAnsi="Times New Roman" w:cs="Times New Roman"/>
          <w:color w:val="000000" w:themeColor="text1"/>
          <w:sz w:val="24"/>
          <w:szCs w:val="24"/>
          <w:shd w:val="clear" w:color="auto" w:fill="FFFFFF"/>
        </w:rPr>
        <w:t xml:space="preserve">magnitude </w:t>
      </w:r>
      <w:r w:rsidR="003A4EA4" w:rsidRPr="00357722">
        <w:rPr>
          <w:rFonts w:ascii="Times New Roman" w:hAnsi="Times New Roman" w:cs="Times New Roman"/>
          <w:color w:val="000000" w:themeColor="text1"/>
          <w:sz w:val="24"/>
          <w:szCs w:val="24"/>
          <w:shd w:val="clear" w:color="auto" w:fill="FFFFFF"/>
        </w:rPr>
        <w:t xml:space="preserve">of the financial development impact of cross-country </w:t>
      </w:r>
      <w:r w:rsidR="00ED49D4" w:rsidRPr="00357722">
        <w:rPr>
          <w:rFonts w:ascii="Times New Roman" w:hAnsi="Times New Roman" w:cs="Times New Roman"/>
          <w:color w:val="000000" w:themeColor="text1"/>
          <w:sz w:val="24"/>
          <w:szCs w:val="24"/>
          <w:shd w:val="clear" w:color="auto" w:fill="FFFFFF"/>
        </w:rPr>
        <w:t>variations</w:t>
      </w:r>
      <w:r w:rsidR="003A4EA4" w:rsidRPr="00357722">
        <w:rPr>
          <w:rFonts w:ascii="Times New Roman" w:hAnsi="Times New Roman" w:cs="Times New Roman"/>
          <w:color w:val="000000" w:themeColor="text1"/>
          <w:sz w:val="24"/>
          <w:szCs w:val="24"/>
          <w:shd w:val="clear" w:color="auto" w:fill="FFFFFF"/>
        </w:rPr>
        <w:t xml:space="preserve"> in attracting international capital. We </w:t>
      </w:r>
      <w:r w:rsidR="003056DE" w:rsidRPr="00357722">
        <w:rPr>
          <w:rFonts w:ascii="Times New Roman" w:hAnsi="Times New Roman" w:cs="Times New Roman"/>
          <w:color w:val="000000" w:themeColor="text1"/>
          <w:sz w:val="24"/>
          <w:szCs w:val="24"/>
          <w:shd w:val="clear" w:color="auto" w:fill="FFFFFF"/>
        </w:rPr>
        <w:t xml:space="preserve">show that international investors contribute to financial market development. </w:t>
      </w:r>
      <w:r w:rsidR="003A4EA4" w:rsidRPr="00357722">
        <w:rPr>
          <w:rFonts w:ascii="Times New Roman" w:hAnsi="Times New Roman" w:cs="Times New Roman"/>
          <w:color w:val="000000" w:themeColor="text1"/>
          <w:sz w:val="24"/>
          <w:szCs w:val="24"/>
          <w:shd w:val="clear" w:color="auto" w:fill="FFFFFF"/>
        </w:rPr>
        <w:t>Our research closely relate</w:t>
      </w:r>
      <w:r w:rsidR="00E30532">
        <w:rPr>
          <w:rFonts w:ascii="Times New Roman" w:hAnsi="Times New Roman" w:cs="Times New Roman"/>
          <w:color w:val="000000" w:themeColor="text1"/>
          <w:sz w:val="24"/>
          <w:szCs w:val="24"/>
          <w:shd w:val="clear" w:color="auto" w:fill="FFFFFF"/>
        </w:rPr>
        <w:t>s</w:t>
      </w:r>
      <w:r w:rsidR="003A4EA4" w:rsidRPr="00357722">
        <w:rPr>
          <w:rFonts w:ascii="Times New Roman" w:hAnsi="Times New Roman" w:cs="Times New Roman"/>
          <w:color w:val="000000" w:themeColor="text1"/>
          <w:sz w:val="24"/>
          <w:szCs w:val="24"/>
          <w:shd w:val="clear" w:color="auto" w:fill="FFFFFF"/>
        </w:rPr>
        <w:t xml:space="preserve"> to Chinn and Ito (2006) who find that financial openness </w:t>
      </w:r>
      <w:r w:rsidR="00D3587D" w:rsidRPr="00357722">
        <w:rPr>
          <w:rFonts w:ascii="Times New Roman" w:hAnsi="Times New Roman" w:cs="Times New Roman"/>
          <w:color w:val="000000" w:themeColor="text1"/>
          <w:sz w:val="24"/>
          <w:szCs w:val="24"/>
          <w:shd w:val="clear" w:color="auto" w:fill="FFFFFF"/>
        </w:rPr>
        <w:t xml:space="preserve">directly and </w:t>
      </w:r>
      <w:r w:rsidR="003A4EA4" w:rsidRPr="00357722">
        <w:rPr>
          <w:rFonts w:ascii="Times New Roman" w:hAnsi="Times New Roman" w:cs="Times New Roman"/>
          <w:color w:val="000000" w:themeColor="text1"/>
          <w:sz w:val="24"/>
          <w:szCs w:val="24"/>
          <w:shd w:val="clear" w:color="auto" w:fill="FFFFFF"/>
        </w:rPr>
        <w:t xml:space="preserve">interactively </w:t>
      </w:r>
      <w:r w:rsidR="00D3587D" w:rsidRPr="00357722">
        <w:rPr>
          <w:rFonts w:ascii="Times New Roman" w:hAnsi="Times New Roman" w:cs="Times New Roman"/>
          <w:color w:val="000000" w:themeColor="text1"/>
          <w:sz w:val="24"/>
          <w:szCs w:val="24"/>
          <w:shd w:val="clear" w:color="auto" w:fill="FFFFFF"/>
        </w:rPr>
        <w:t xml:space="preserve">with </w:t>
      </w:r>
      <w:r w:rsidR="003A4EA4" w:rsidRPr="00357722">
        <w:rPr>
          <w:rFonts w:ascii="Times New Roman" w:hAnsi="Times New Roman" w:cs="Times New Roman"/>
          <w:color w:val="000000" w:themeColor="text1"/>
          <w:sz w:val="24"/>
          <w:szCs w:val="24"/>
          <w:shd w:val="clear" w:color="auto" w:fill="FFFFFF"/>
        </w:rPr>
        <w:t>legal quality t</w:t>
      </w:r>
      <w:r w:rsidR="0015118E" w:rsidRPr="00357722">
        <w:rPr>
          <w:rFonts w:ascii="Times New Roman" w:hAnsi="Times New Roman" w:cs="Times New Roman"/>
          <w:color w:val="000000" w:themeColor="text1"/>
          <w:sz w:val="24"/>
          <w:szCs w:val="24"/>
          <w:shd w:val="clear" w:color="auto" w:fill="FFFFFF"/>
        </w:rPr>
        <w:t>o enhance financial development.</w:t>
      </w:r>
      <w:r w:rsidR="003A4EA4" w:rsidRPr="00357722">
        <w:rPr>
          <w:rFonts w:ascii="Times New Roman" w:hAnsi="Times New Roman" w:cs="Times New Roman"/>
          <w:color w:val="000000" w:themeColor="text1"/>
          <w:sz w:val="24"/>
          <w:szCs w:val="24"/>
          <w:shd w:val="clear" w:color="auto" w:fill="FFFFFF"/>
        </w:rPr>
        <w:t xml:space="preserve"> </w:t>
      </w:r>
      <w:r w:rsidR="00201A21" w:rsidRPr="00357722">
        <w:rPr>
          <w:rFonts w:ascii="Times New Roman" w:hAnsi="Times New Roman" w:cs="Times New Roman"/>
          <w:color w:val="000000" w:themeColor="text1"/>
          <w:sz w:val="24"/>
          <w:szCs w:val="24"/>
          <w:shd w:val="clear" w:color="auto" w:fill="FFFFFF"/>
        </w:rPr>
        <w:t xml:space="preserve">Particularly, when a certain level of legal development is attained. </w:t>
      </w:r>
      <w:r w:rsidR="003A4EA4" w:rsidRPr="00357722">
        <w:rPr>
          <w:rFonts w:ascii="Times New Roman" w:hAnsi="Times New Roman" w:cs="Times New Roman"/>
          <w:color w:val="000000" w:themeColor="text1"/>
          <w:sz w:val="24"/>
          <w:szCs w:val="24"/>
          <w:shd w:val="clear" w:color="auto" w:fill="FFFFFF"/>
        </w:rPr>
        <w:t>We also provide</w:t>
      </w:r>
      <w:r w:rsidR="003056DE" w:rsidRPr="00357722">
        <w:rPr>
          <w:rFonts w:ascii="Times New Roman" w:hAnsi="Times New Roman" w:cs="Times New Roman"/>
          <w:color w:val="000000" w:themeColor="text1"/>
          <w:sz w:val="24"/>
          <w:szCs w:val="24"/>
          <w:shd w:val="clear" w:color="auto" w:fill="FFFFFF"/>
        </w:rPr>
        <w:t xml:space="preserve"> </w:t>
      </w:r>
      <w:r w:rsidR="00E30532">
        <w:rPr>
          <w:rFonts w:ascii="Times New Roman" w:hAnsi="Times New Roman" w:cs="Times New Roman"/>
          <w:color w:val="000000" w:themeColor="text1"/>
          <w:sz w:val="24"/>
          <w:szCs w:val="24"/>
          <w:shd w:val="clear" w:color="auto" w:fill="FFFFFF"/>
        </w:rPr>
        <w:t xml:space="preserve">an </w:t>
      </w:r>
      <w:r w:rsidR="003056DE" w:rsidRPr="00357722">
        <w:rPr>
          <w:rFonts w:ascii="Times New Roman" w:hAnsi="Times New Roman" w:cs="Times New Roman"/>
          <w:color w:val="000000" w:themeColor="text1"/>
          <w:sz w:val="24"/>
          <w:szCs w:val="24"/>
          <w:shd w:val="clear" w:color="auto" w:fill="FFFFFF"/>
        </w:rPr>
        <w:t xml:space="preserve">incremental contribution to </w:t>
      </w:r>
      <w:r w:rsidR="0015118E" w:rsidRPr="00357722">
        <w:rPr>
          <w:rFonts w:ascii="Times New Roman" w:hAnsi="Times New Roman" w:cs="Times New Roman"/>
          <w:color w:val="000000" w:themeColor="text1"/>
          <w:sz w:val="24"/>
          <w:szCs w:val="24"/>
          <w:shd w:val="clear" w:color="auto" w:fill="FFFFFF"/>
        </w:rPr>
        <w:t xml:space="preserve">Kwabi et al. (2020) who show </w:t>
      </w:r>
      <w:r w:rsidR="00D3587D" w:rsidRPr="00357722">
        <w:rPr>
          <w:rFonts w:ascii="Times New Roman" w:hAnsi="Times New Roman" w:cs="Times New Roman"/>
          <w:color w:val="000000" w:themeColor="text1"/>
          <w:sz w:val="24"/>
          <w:szCs w:val="24"/>
          <w:shd w:val="clear" w:color="auto" w:fill="FFFFFF"/>
        </w:rPr>
        <w:t xml:space="preserve">the </w:t>
      </w:r>
      <w:r w:rsidR="0015118E" w:rsidRPr="00357722">
        <w:rPr>
          <w:rFonts w:ascii="Times New Roman" w:hAnsi="Times New Roman" w:cs="Times New Roman"/>
          <w:color w:val="000000" w:themeColor="text1"/>
          <w:sz w:val="24"/>
          <w:szCs w:val="24"/>
          <w:shd w:val="clear" w:color="auto" w:fill="FFFFFF"/>
        </w:rPr>
        <w:t xml:space="preserve">stock market development effects of variations in equity home and foreign bias, </w:t>
      </w:r>
      <w:proofErr w:type="spellStart"/>
      <w:r w:rsidR="003056DE" w:rsidRPr="00357722">
        <w:rPr>
          <w:rFonts w:ascii="Times New Roman" w:hAnsi="Times New Roman" w:cs="Times New Roman"/>
          <w:color w:val="000000" w:themeColor="text1"/>
          <w:sz w:val="24"/>
          <w:szCs w:val="24"/>
          <w:shd w:val="clear" w:color="auto" w:fill="FFFFFF"/>
        </w:rPr>
        <w:t>Demirgüç</w:t>
      </w:r>
      <w:proofErr w:type="spellEnd"/>
      <w:r w:rsidR="003056DE" w:rsidRPr="00357722">
        <w:rPr>
          <w:rFonts w:ascii="Times New Roman" w:hAnsi="Times New Roman" w:cs="Times New Roman"/>
          <w:color w:val="000000" w:themeColor="text1"/>
          <w:sz w:val="24"/>
          <w:szCs w:val="24"/>
          <w:shd w:val="clear" w:color="auto" w:fill="FFFFFF"/>
        </w:rPr>
        <w:t xml:space="preserve">-Kunt and Maksimovic (1999) </w:t>
      </w:r>
      <w:r w:rsidR="003A4EA4" w:rsidRPr="00357722">
        <w:rPr>
          <w:rFonts w:ascii="Times New Roman" w:hAnsi="Times New Roman" w:cs="Times New Roman"/>
          <w:color w:val="000000" w:themeColor="text1"/>
          <w:sz w:val="24"/>
          <w:szCs w:val="24"/>
          <w:shd w:val="clear" w:color="auto" w:fill="FFFFFF"/>
        </w:rPr>
        <w:t xml:space="preserve">who document that </w:t>
      </w:r>
      <w:r w:rsidR="003056DE" w:rsidRPr="00357722">
        <w:rPr>
          <w:rFonts w:ascii="Times New Roman" w:hAnsi="Times New Roman" w:cs="Times New Roman"/>
          <w:color w:val="000000" w:themeColor="text1"/>
          <w:sz w:val="24"/>
          <w:szCs w:val="24"/>
          <w:shd w:val="clear" w:color="auto" w:fill="FFFFFF"/>
        </w:rPr>
        <w:t xml:space="preserve">stock market </w:t>
      </w:r>
      <w:r w:rsidR="00E30532" w:rsidRPr="00357722">
        <w:rPr>
          <w:rFonts w:ascii="Times New Roman" w:hAnsi="Times New Roman" w:cs="Times New Roman"/>
          <w:color w:val="000000" w:themeColor="text1"/>
          <w:sz w:val="24"/>
          <w:szCs w:val="24"/>
          <w:shd w:val="clear" w:color="auto" w:fill="FFFFFF"/>
        </w:rPr>
        <w:t>capitali</w:t>
      </w:r>
      <w:r w:rsidR="00E30532">
        <w:rPr>
          <w:rFonts w:ascii="Times New Roman" w:hAnsi="Times New Roman" w:cs="Times New Roman"/>
          <w:color w:val="000000" w:themeColor="text1"/>
          <w:sz w:val="24"/>
          <w:szCs w:val="24"/>
          <w:shd w:val="clear" w:color="auto" w:fill="FFFFFF"/>
        </w:rPr>
        <w:t>z</w:t>
      </w:r>
      <w:r w:rsidR="00E30532" w:rsidRPr="00357722">
        <w:rPr>
          <w:rFonts w:ascii="Times New Roman" w:hAnsi="Times New Roman" w:cs="Times New Roman"/>
          <w:color w:val="000000" w:themeColor="text1"/>
          <w:sz w:val="24"/>
          <w:szCs w:val="24"/>
          <w:shd w:val="clear" w:color="auto" w:fill="FFFFFF"/>
        </w:rPr>
        <w:t xml:space="preserve">ation </w:t>
      </w:r>
      <w:r w:rsidR="00201A21" w:rsidRPr="00357722">
        <w:rPr>
          <w:rFonts w:ascii="Times New Roman" w:hAnsi="Times New Roman" w:cs="Times New Roman"/>
          <w:color w:val="000000" w:themeColor="text1"/>
          <w:sz w:val="24"/>
          <w:szCs w:val="24"/>
          <w:shd w:val="clear" w:color="auto" w:fill="FFFFFF"/>
        </w:rPr>
        <w:t>determines</w:t>
      </w:r>
      <w:r w:rsidR="003056DE" w:rsidRPr="00357722">
        <w:rPr>
          <w:rFonts w:ascii="Times New Roman" w:hAnsi="Times New Roman" w:cs="Times New Roman"/>
          <w:color w:val="000000" w:themeColor="text1"/>
          <w:sz w:val="24"/>
          <w:szCs w:val="24"/>
          <w:shd w:val="clear" w:color="auto" w:fill="FFFFFF"/>
        </w:rPr>
        <w:t xml:space="preserve"> external financing </w:t>
      </w:r>
      <w:r w:rsidR="00201A21" w:rsidRPr="00357722">
        <w:rPr>
          <w:rFonts w:ascii="Times New Roman" w:hAnsi="Times New Roman" w:cs="Times New Roman"/>
          <w:color w:val="000000" w:themeColor="text1"/>
          <w:sz w:val="24"/>
          <w:szCs w:val="24"/>
          <w:shd w:val="clear" w:color="auto" w:fill="FFFFFF"/>
        </w:rPr>
        <w:t xml:space="preserve">for </w:t>
      </w:r>
      <w:r w:rsidR="003056DE" w:rsidRPr="00357722">
        <w:rPr>
          <w:rFonts w:ascii="Times New Roman" w:hAnsi="Times New Roman" w:cs="Times New Roman"/>
          <w:color w:val="000000" w:themeColor="text1"/>
          <w:sz w:val="24"/>
          <w:szCs w:val="24"/>
          <w:shd w:val="clear" w:color="auto" w:fill="FFFFFF"/>
        </w:rPr>
        <w:t>firms to increase long term credit</w:t>
      </w:r>
      <w:r w:rsidR="00D7010C" w:rsidRPr="00357722">
        <w:rPr>
          <w:rFonts w:ascii="Times New Roman" w:hAnsi="Times New Roman" w:cs="Times New Roman"/>
          <w:color w:val="000000" w:themeColor="text1"/>
          <w:sz w:val="24"/>
          <w:szCs w:val="24"/>
          <w:shd w:val="clear" w:color="auto" w:fill="FFFFFF"/>
        </w:rPr>
        <w:t>.</w:t>
      </w:r>
      <w:r w:rsidR="008838CA" w:rsidRPr="00357722">
        <w:rPr>
          <w:rFonts w:ascii="Times New Roman" w:hAnsi="Times New Roman" w:cs="Times New Roman"/>
          <w:color w:val="000000" w:themeColor="text1"/>
          <w:sz w:val="24"/>
          <w:szCs w:val="24"/>
          <w:shd w:val="clear" w:color="auto" w:fill="FFFFFF"/>
        </w:rPr>
        <w:t xml:space="preserve"> </w:t>
      </w:r>
    </w:p>
    <w:p w14:paraId="34B835F9" w14:textId="3A6E22F5" w:rsidR="0015118E" w:rsidRPr="00357722" w:rsidRDefault="00883C01" w:rsidP="00D80591">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Second, our research advances the plethora of related literature that test</w:t>
      </w:r>
      <w:r w:rsidR="00594572">
        <w:rPr>
          <w:rFonts w:ascii="Times New Roman" w:hAnsi="Times New Roman" w:cs="Times New Roman"/>
          <w:color w:val="000000" w:themeColor="text1"/>
          <w:sz w:val="24"/>
          <w:szCs w:val="24"/>
        </w:rPr>
        <w:t>s</w:t>
      </w:r>
      <w:r w:rsidRPr="00357722">
        <w:rPr>
          <w:rFonts w:ascii="Times New Roman" w:hAnsi="Times New Roman" w:cs="Times New Roman"/>
          <w:color w:val="000000" w:themeColor="text1"/>
          <w:sz w:val="24"/>
          <w:szCs w:val="24"/>
        </w:rPr>
        <w:t xml:space="preserve"> the impact of legal institutions on financial development. </w:t>
      </w:r>
      <w:r w:rsidR="001B2298" w:rsidRPr="00357722">
        <w:rPr>
          <w:rFonts w:ascii="Times New Roman" w:hAnsi="Times New Roman" w:cs="Times New Roman"/>
          <w:color w:val="000000" w:themeColor="text1"/>
          <w:sz w:val="24"/>
          <w:szCs w:val="24"/>
        </w:rPr>
        <w:t>Prior</w:t>
      </w:r>
      <w:r w:rsidRPr="00357722">
        <w:rPr>
          <w:rFonts w:ascii="Times New Roman" w:hAnsi="Times New Roman" w:cs="Times New Roman"/>
          <w:color w:val="000000" w:themeColor="text1"/>
          <w:sz w:val="24"/>
          <w:szCs w:val="24"/>
        </w:rPr>
        <w:t xml:space="preserve"> studies such as Claessens et al. (2002a), Beck and Levine (2004), Caprio et al. (2004), Levine (2000) show the financial development effects of legal development. </w:t>
      </w:r>
      <w:r w:rsidR="00754F14" w:rsidRPr="00357722">
        <w:rPr>
          <w:rFonts w:ascii="Times New Roman" w:hAnsi="Times New Roman" w:cs="Times New Roman"/>
          <w:color w:val="000000" w:themeColor="text1"/>
          <w:sz w:val="24"/>
          <w:szCs w:val="24"/>
        </w:rPr>
        <w:t xml:space="preserve">However, these </w:t>
      </w:r>
      <w:r w:rsidRPr="00357722">
        <w:rPr>
          <w:rFonts w:ascii="Times New Roman" w:hAnsi="Times New Roman" w:cs="Times New Roman"/>
          <w:color w:val="000000" w:themeColor="text1"/>
          <w:sz w:val="24"/>
          <w:szCs w:val="24"/>
        </w:rPr>
        <w:t xml:space="preserve">studies did not consider whether the effects of legal </w:t>
      </w:r>
      <w:r w:rsidR="00594572" w:rsidRPr="00357722">
        <w:rPr>
          <w:rFonts w:ascii="Times New Roman" w:hAnsi="Times New Roman" w:cs="Times New Roman"/>
          <w:color w:val="000000" w:themeColor="text1"/>
          <w:sz w:val="24"/>
          <w:szCs w:val="24"/>
        </w:rPr>
        <w:t>institution</w:t>
      </w:r>
      <w:r w:rsidR="00594572">
        <w:rPr>
          <w:rFonts w:ascii="Times New Roman" w:hAnsi="Times New Roman" w:cs="Times New Roman"/>
          <w:color w:val="000000" w:themeColor="text1"/>
          <w:sz w:val="24"/>
          <w:szCs w:val="24"/>
        </w:rPr>
        <w:t>s'</w:t>
      </w:r>
      <w:r w:rsidR="00594572" w:rsidRPr="00357722">
        <w:rPr>
          <w:rFonts w:ascii="Times New Roman" w:hAnsi="Times New Roman" w:cs="Times New Roman"/>
          <w:color w:val="000000" w:themeColor="text1"/>
          <w:sz w:val="24"/>
          <w:szCs w:val="24"/>
        </w:rPr>
        <w:t xml:space="preserve"> </w:t>
      </w:r>
      <w:r w:rsidRPr="00357722">
        <w:rPr>
          <w:rFonts w:ascii="Times New Roman" w:hAnsi="Times New Roman" w:cs="Times New Roman"/>
          <w:color w:val="000000" w:themeColor="text1"/>
          <w:sz w:val="24"/>
          <w:szCs w:val="24"/>
        </w:rPr>
        <w:t xml:space="preserve">development </w:t>
      </w:r>
      <w:r w:rsidR="00333AAA" w:rsidRPr="00357722">
        <w:rPr>
          <w:rFonts w:ascii="Times New Roman" w:hAnsi="Times New Roman" w:cs="Times New Roman"/>
          <w:color w:val="000000" w:themeColor="text1"/>
          <w:sz w:val="24"/>
          <w:szCs w:val="24"/>
        </w:rPr>
        <w:t xml:space="preserve">on financial development </w:t>
      </w:r>
      <w:r w:rsidR="00594572">
        <w:rPr>
          <w:rFonts w:ascii="Times New Roman" w:hAnsi="Times New Roman" w:cs="Times New Roman"/>
          <w:color w:val="000000" w:themeColor="text1"/>
          <w:sz w:val="24"/>
          <w:szCs w:val="24"/>
        </w:rPr>
        <w:t>are</w:t>
      </w:r>
      <w:r w:rsidR="00594572" w:rsidRPr="00357722">
        <w:rPr>
          <w:rFonts w:ascii="Times New Roman" w:hAnsi="Times New Roman" w:cs="Times New Roman"/>
          <w:color w:val="000000" w:themeColor="text1"/>
          <w:sz w:val="24"/>
          <w:szCs w:val="24"/>
        </w:rPr>
        <w:t xml:space="preserve"> </w:t>
      </w:r>
      <w:r w:rsidR="00333AAA" w:rsidRPr="00357722">
        <w:rPr>
          <w:rFonts w:ascii="Times New Roman" w:hAnsi="Times New Roman" w:cs="Times New Roman"/>
          <w:color w:val="000000" w:themeColor="text1"/>
          <w:sz w:val="24"/>
          <w:szCs w:val="24"/>
        </w:rPr>
        <w:t xml:space="preserve">sensitive to international </w:t>
      </w:r>
      <w:r w:rsidR="005928FE" w:rsidRPr="00357722">
        <w:rPr>
          <w:rFonts w:ascii="Times New Roman" w:hAnsi="Times New Roman" w:cs="Times New Roman"/>
          <w:color w:val="000000" w:themeColor="text1"/>
          <w:sz w:val="24"/>
          <w:szCs w:val="24"/>
        </w:rPr>
        <w:t xml:space="preserve">capital </w:t>
      </w:r>
      <w:r w:rsidR="00333AAA" w:rsidRPr="00357722">
        <w:rPr>
          <w:rFonts w:ascii="Times New Roman" w:hAnsi="Times New Roman" w:cs="Times New Roman"/>
          <w:color w:val="000000" w:themeColor="text1"/>
          <w:sz w:val="24"/>
          <w:szCs w:val="24"/>
        </w:rPr>
        <w:t>flow. In contrast to existing literature, our study interact</w:t>
      </w:r>
      <w:r w:rsidR="00574FCD" w:rsidRPr="00357722">
        <w:rPr>
          <w:rFonts w:ascii="Times New Roman" w:hAnsi="Times New Roman" w:cs="Times New Roman"/>
          <w:color w:val="000000" w:themeColor="text1"/>
          <w:sz w:val="24"/>
          <w:szCs w:val="24"/>
        </w:rPr>
        <w:t>s</w:t>
      </w:r>
      <w:r w:rsidR="00333AAA" w:rsidRPr="00357722">
        <w:rPr>
          <w:rFonts w:ascii="Times New Roman" w:hAnsi="Times New Roman" w:cs="Times New Roman"/>
          <w:color w:val="000000" w:themeColor="text1"/>
          <w:sz w:val="24"/>
          <w:szCs w:val="24"/>
        </w:rPr>
        <w:t xml:space="preserve"> economic freedom with international equity portfolio diversification to determine whether there is a combined effect on financial development. This is </w:t>
      </w:r>
      <w:r w:rsidR="00333AAA" w:rsidRPr="00357722">
        <w:rPr>
          <w:rFonts w:ascii="Times New Roman" w:hAnsi="Times New Roman" w:cs="Times New Roman"/>
          <w:color w:val="000000" w:themeColor="text1"/>
          <w:sz w:val="24"/>
          <w:szCs w:val="24"/>
        </w:rPr>
        <w:lastRenderedPageBreak/>
        <w:t>consistent with the conventional view that legal ins</w:t>
      </w:r>
      <w:r w:rsidR="00E30532">
        <w:rPr>
          <w:rFonts w:ascii="Times New Roman" w:hAnsi="Times New Roman" w:cs="Times New Roman"/>
          <w:color w:val="000000" w:themeColor="text1"/>
          <w:sz w:val="24"/>
          <w:szCs w:val="24"/>
        </w:rPr>
        <w:t>ti</w:t>
      </w:r>
      <w:r w:rsidR="00333AAA" w:rsidRPr="00357722">
        <w:rPr>
          <w:rFonts w:ascii="Times New Roman" w:hAnsi="Times New Roman" w:cs="Times New Roman"/>
          <w:color w:val="000000" w:themeColor="text1"/>
          <w:sz w:val="24"/>
          <w:szCs w:val="24"/>
        </w:rPr>
        <w:t xml:space="preserve">tutions influence economic </w:t>
      </w:r>
      <w:r w:rsidR="00594572" w:rsidRPr="00357722">
        <w:rPr>
          <w:rFonts w:ascii="Times New Roman" w:hAnsi="Times New Roman" w:cs="Times New Roman"/>
          <w:color w:val="000000" w:themeColor="text1"/>
          <w:sz w:val="24"/>
          <w:szCs w:val="24"/>
        </w:rPr>
        <w:t>agent</w:t>
      </w:r>
      <w:r w:rsidR="00594572">
        <w:rPr>
          <w:rFonts w:ascii="Times New Roman" w:hAnsi="Times New Roman" w:cs="Times New Roman"/>
          <w:color w:val="000000" w:themeColor="text1"/>
          <w:sz w:val="24"/>
          <w:szCs w:val="24"/>
        </w:rPr>
        <w:t>s'</w:t>
      </w:r>
      <w:r w:rsidR="00594572" w:rsidRPr="00357722">
        <w:rPr>
          <w:rFonts w:ascii="Times New Roman" w:hAnsi="Times New Roman" w:cs="Times New Roman"/>
          <w:color w:val="000000" w:themeColor="text1"/>
          <w:sz w:val="24"/>
          <w:szCs w:val="24"/>
        </w:rPr>
        <w:t xml:space="preserve"> </w:t>
      </w:r>
      <w:r w:rsidR="00333AAA" w:rsidRPr="00357722">
        <w:rPr>
          <w:rFonts w:ascii="Times New Roman" w:hAnsi="Times New Roman" w:cs="Times New Roman"/>
          <w:color w:val="000000" w:themeColor="text1"/>
          <w:sz w:val="24"/>
          <w:szCs w:val="24"/>
        </w:rPr>
        <w:t>investment decisions.</w:t>
      </w:r>
    </w:p>
    <w:p w14:paraId="1993577A" w14:textId="2E3FD138" w:rsidR="007C662C" w:rsidRPr="00357722" w:rsidRDefault="008838CA" w:rsidP="00856B3C">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Third</w:t>
      </w:r>
      <w:r w:rsidR="009637EC" w:rsidRPr="00357722">
        <w:rPr>
          <w:rFonts w:ascii="Times New Roman" w:hAnsi="Times New Roman" w:cs="Times New Roman"/>
          <w:color w:val="000000" w:themeColor="text1"/>
          <w:sz w:val="24"/>
          <w:szCs w:val="24"/>
        </w:rPr>
        <w:t xml:space="preserve">, </w:t>
      </w:r>
      <w:r w:rsidR="00CF5C2A" w:rsidRPr="00357722">
        <w:rPr>
          <w:rFonts w:ascii="Times New Roman" w:hAnsi="Times New Roman" w:cs="Times New Roman"/>
          <w:color w:val="000000" w:themeColor="text1"/>
          <w:sz w:val="24"/>
          <w:szCs w:val="24"/>
        </w:rPr>
        <w:t xml:space="preserve">a significant number of prior studies in the finance literature have investigated the role of central banks </w:t>
      </w:r>
      <w:r w:rsidR="0041282A" w:rsidRPr="00357722">
        <w:rPr>
          <w:rFonts w:ascii="Times New Roman" w:hAnsi="Times New Roman" w:cs="Times New Roman"/>
          <w:color w:val="000000" w:themeColor="text1"/>
          <w:sz w:val="24"/>
          <w:szCs w:val="24"/>
        </w:rPr>
        <w:t xml:space="preserve">via transparent </w:t>
      </w:r>
      <w:r w:rsidR="005469BB" w:rsidRPr="00357722">
        <w:rPr>
          <w:rFonts w:ascii="Times New Roman" w:hAnsi="Times New Roman" w:cs="Times New Roman"/>
          <w:color w:val="000000" w:themeColor="text1"/>
          <w:sz w:val="24"/>
          <w:szCs w:val="24"/>
        </w:rPr>
        <w:t>macroe</w:t>
      </w:r>
      <w:r w:rsidR="00214773" w:rsidRPr="00357722">
        <w:rPr>
          <w:rFonts w:ascii="Times New Roman" w:hAnsi="Times New Roman" w:cs="Times New Roman"/>
          <w:color w:val="000000" w:themeColor="text1"/>
          <w:sz w:val="24"/>
          <w:szCs w:val="24"/>
        </w:rPr>
        <w:t>co</w:t>
      </w:r>
      <w:r w:rsidR="005469BB" w:rsidRPr="00357722">
        <w:rPr>
          <w:rFonts w:ascii="Times New Roman" w:hAnsi="Times New Roman" w:cs="Times New Roman"/>
          <w:color w:val="000000" w:themeColor="text1"/>
          <w:sz w:val="24"/>
          <w:szCs w:val="24"/>
        </w:rPr>
        <w:t xml:space="preserve">nomic information and </w:t>
      </w:r>
      <w:r w:rsidR="00CF5C2A" w:rsidRPr="00357722">
        <w:rPr>
          <w:rFonts w:ascii="Times New Roman" w:hAnsi="Times New Roman" w:cs="Times New Roman"/>
          <w:color w:val="000000" w:themeColor="text1"/>
          <w:sz w:val="24"/>
          <w:szCs w:val="24"/>
        </w:rPr>
        <w:t>in price stability. A</w:t>
      </w:r>
      <w:r w:rsidR="00FD64F6" w:rsidRPr="00357722">
        <w:rPr>
          <w:rFonts w:ascii="Times New Roman" w:hAnsi="Times New Roman" w:cs="Times New Roman"/>
          <w:color w:val="000000" w:themeColor="text1"/>
          <w:sz w:val="24"/>
          <w:szCs w:val="24"/>
        </w:rPr>
        <w:t>s far as we are concern</w:t>
      </w:r>
      <w:r w:rsidR="00E30532">
        <w:rPr>
          <w:rFonts w:ascii="Times New Roman" w:hAnsi="Times New Roman" w:cs="Times New Roman"/>
          <w:color w:val="000000" w:themeColor="text1"/>
          <w:sz w:val="24"/>
          <w:szCs w:val="24"/>
        </w:rPr>
        <w:t>ed</w:t>
      </w:r>
      <w:r w:rsidR="00FD64F6" w:rsidRPr="00357722">
        <w:rPr>
          <w:rFonts w:ascii="Times New Roman" w:hAnsi="Times New Roman" w:cs="Times New Roman"/>
          <w:color w:val="000000" w:themeColor="text1"/>
          <w:sz w:val="24"/>
          <w:szCs w:val="24"/>
        </w:rPr>
        <w:t xml:space="preserve">, </w:t>
      </w:r>
      <w:r w:rsidR="00EB60C4">
        <w:rPr>
          <w:rFonts w:ascii="Times New Roman" w:hAnsi="Times New Roman" w:cs="Times New Roman"/>
          <w:color w:val="000000" w:themeColor="text1"/>
          <w:sz w:val="24"/>
          <w:szCs w:val="24"/>
        </w:rPr>
        <w:t>no study</w:t>
      </w:r>
      <w:r w:rsidR="00E30532">
        <w:rPr>
          <w:rFonts w:ascii="Times New Roman" w:hAnsi="Times New Roman" w:cs="Times New Roman"/>
          <w:color w:val="000000" w:themeColor="text1"/>
          <w:sz w:val="24"/>
          <w:szCs w:val="24"/>
        </w:rPr>
        <w:t xml:space="preserve"> </w:t>
      </w:r>
      <w:r w:rsidR="00FD64F6" w:rsidRPr="00357722">
        <w:rPr>
          <w:rFonts w:ascii="Times New Roman" w:hAnsi="Times New Roman" w:cs="Times New Roman"/>
          <w:color w:val="000000" w:themeColor="text1"/>
          <w:sz w:val="24"/>
          <w:szCs w:val="24"/>
        </w:rPr>
        <w:t xml:space="preserve">has </w:t>
      </w:r>
      <w:r w:rsidR="00574FCD" w:rsidRPr="00357722">
        <w:rPr>
          <w:rFonts w:ascii="Times New Roman" w:hAnsi="Times New Roman" w:cs="Times New Roman"/>
          <w:color w:val="000000" w:themeColor="text1"/>
          <w:sz w:val="24"/>
          <w:szCs w:val="24"/>
        </w:rPr>
        <w:t xml:space="preserve">directly </w:t>
      </w:r>
      <w:r w:rsidR="00EA4BE9" w:rsidRPr="00357722">
        <w:rPr>
          <w:rFonts w:ascii="Times New Roman" w:hAnsi="Times New Roman" w:cs="Times New Roman"/>
          <w:color w:val="000000" w:themeColor="text1"/>
          <w:sz w:val="24"/>
          <w:szCs w:val="24"/>
        </w:rPr>
        <w:t>explore</w:t>
      </w:r>
      <w:r w:rsidR="00574FCD" w:rsidRPr="00357722">
        <w:rPr>
          <w:rFonts w:ascii="Times New Roman" w:hAnsi="Times New Roman" w:cs="Times New Roman"/>
          <w:color w:val="000000" w:themeColor="text1"/>
          <w:sz w:val="24"/>
          <w:szCs w:val="24"/>
        </w:rPr>
        <w:t>d</w:t>
      </w:r>
      <w:r w:rsidR="00EA4BE9" w:rsidRPr="00357722">
        <w:rPr>
          <w:rFonts w:ascii="Times New Roman" w:hAnsi="Times New Roman" w:cs="Times New Roman"/>
          <w:color w:val="000000" w:themeColor="text1"/>
          <w:sz w:val="24"/>
          <w:szCs w:val="24"/>
        </w:rPr>
        <w:t xml:space="preserve"> </w:t>
      </w:r>
      <w:r w:rsidR="00574FCD" w:rsidRPr="00357722">
        <w:rPr>
          <w:rFonts w:ascii="Times New Roman" w:hAnsi="Times New Roman" w:cs="Times New Roman"/>
          <w:color w:val="000000" w:themeColor="text1"/>
          <w:sz w:val="24"/>
          <w:szCs w:val="24"/>
        </w:rPr>
        <w:t xml:space="preserve">the </w:t>
      </w:r>
      <w:r w:rsidR="00CF5C2A" w:rsidRPr="00357722">
        <w:rPr>
          <w:rFonts w:ascii="Times New Roman" w:hAnsi="Times New Roman" w:cs="Times New Roman"/>
          <w:color w:val="000000" w:themeColor="text1"/>
          <w:sz w:val="24"/>
          <w:szCs w:val="24"/>
        </w:rPr>
        <w:t xml:space="preserve">interactive </w:t>
      </w:r>
      <w:r w:rsidR="00574FCD" w:rsidRPr="00357722">
        <w:rPr>
          <w:rFonts w:ascii="Times New Roman" w:hAnsi="Times New Roman" w:cs="Times New Roman"/>
          <w:color w:val="000000" w:themeColor="text1"/>
          <w:sz w:val="24"/>
          <w:szCs w:val="24"/>
        </w:rPr>
        <w:t xml:space="preserve">effect of </w:t>
      </w:r>
      <w:r w:rsidR="00EA4BE9" w:rsidRPr="00357722">
        <w:rPr>
          <w:rFonts w:ascii="Times New Roman" w:hAnsi="Times New Roman" w:cs="Times New Roman"/>
          <w:color w:val="000000" w:themeColor="text1"/>
          <w:sz w:val="24"/>
          <w:szCs w:val="24"/>
        </w:rPr>
        <w:t xml:space="preserve">transparent information </w:t>
      </w:r>
      <w:r w:rsidR="0041282A" w:rsidRPr="00357722">
        <w:rPr>
          <w:rFonts w:ascii="Times New Roman" w:hAnsi="Times New Roman" w:cs="Times New Roman"/>
          <w:color w:val="000000" w:themeColor="text1"/>
          <w:sz w:val="24"/>
          <w:szCs w:val="24"/>
        </w:rPr>
        <w:t>through</w:t>
      </w:r>
      <w:r w:rsidR="00EA4BE9" w:rsidRPr="00357722">
        <w:rPr>
          <w:rFonts w:ascii="Times New Roman" w:hAnsi="Times New Roman" w:cs="Times New Roman"/>
          <w:color w:val="000000" w:themeColor="text1"/>
          <w:sz w:val="24"/>
          <w:szCs w:val="24"/>
        </w:rPr>
        <w:t xml:space="preserve"> </w:t>
      </w:r>
      <w:r w:rsidR="00E30532">
        <w:rPr>
          <w:rFonts w:ascii="Times New Roman" w:hAnsi="Times New Roman" w:cs="Times New Roman"/>
          <w:color w:val="000000" w:themeColor="text1"/>
          <w:sz w:val="24"/>
          <w:szCs w:val="24"/>
        </w:rPr>
        <w:t xml:space="preserve">the </w:t>
      </w:r>
      <w:r w:rsidR="00EA4BE9" w:rsidRPr="00357722">
        <w:rPr>
          <w:rFonts w:ascii="Times New Roman" w:hAnsi="Times New Roman" w:cs="Times New Roman"/>
          <w:color w:val="000000" w:themeColor="text1"/>
          <w:sz w:val="24"/>
          <w:szCs w:val="24"/>
        </w:rPr>
        <w:t xml:space="preserve">central bank </w:t>
      </w:r>
      <w:r w:rsidR="00B85D77" w:rsidRPr="00357722">
        <w:rPr>
          <w:rFonts w:ascii="Times New Roman" w:hAnsi="Times New Roman" w:cs="Times New Roman"/>
          <w:color w:val="000000" w:themeColor="text1"/>
          <w:sz w:val="24"/>
          <w:szCs w:val="24"/>
        </w:rPr>
        <w:t xml:space="preserve">in </w:t>
      </w:r>
      <w:r w:rsidR="00EA4BE9" w:rsidRPr="00357722">
        <w:rPr>
          <w:rFonts w:ascii="Times New Roman" w:hAnsi="Times New Roman" w:cs="Times New Roman"/>
          <w:color w:val="000000" w:themeColor="text1"/>
          <w:sz w:val="24"/>
          <w:szCs w:val="24"/>
        </w:rPr>
        <w:t>influenc</w:t>
      </w:r>
      <w:r w:rsidR="00B85D77" w:rsidRPr="00357722">
        <w:rPr>
          <w:rFonts w:ascii="Times New Roman" w:hAnsi="Times New Roman" w:cs="Times New Roman"/>
          <w:color w:val="000000" w:themeColor="text1"/>
          <w:sz w:val="24"/>
          <w:szCs w:val="24"/>
        </w:rPr>
        <w:t>ing</w:t>
      </w:r>
      <w:r w:rsidR="00EA4BE9" w:rsidRPr="00357722">
        <w:rPr>
          <w:rFonts w:ascii="Times New Roman" w:hAnsi="Times New Roman" w:cs="Times New Roman"/>
          <w:color w:val="000000" w:themeColor="text1"/>
          <w:sz w:val="24"/>
          <w:szCs w:val="24"/>
        </w:rPr>
        <w:t xml:space="preserve"> </w:t>
      </w:r>
      <w:r w:rsidR="004D2FE8" w:rsidRPr="00357722">
        <w:rPr>
          <w:rFonts w:ascii="Times New Roman" w:hAnsi="Times New Roman" w:cs="Times New Roman"/>
          <w:color w:val="000000" w:themeColor="text1"/>
          <w:sz w:val="24"/>
          <w:szCs w:val="24"/>
        </w:rPr>
        <w:t>investor</w:t>
      </w:r>
      <w:r w:rsidR="00EA4BE9" w:rsidRPr="00357722">
        <w:rPr>
          <w:rFonts w:ascii="Times New Roman" w:hAnsi="Times New Roman" w:cs="Times New Roman"/>
          <w:color w:val="000000" w:themeColor="text1"/>
          <w:sz w:val="24"/>
          <w:szCs w:val="24"/>
        </w:rPr>
        <w:t xml:space="preserve"> participation. We</w:t>
      </w:r>
      <w:r w:rsidR="00C32CD1">
        <w:rPr>
          <w:rFonts w:ascii="Times New Roman" w:hAnsi="Times New Roman" w:cs="Times New Roman"/>
          <w:color w:val="000000" w:themeColor="text1"/>
          <w:sz w:val="24"/>
          <w:szCs w:val="24"/>
        </w:rPr>
        <w:t xml:space="preserve"> </w:t>
      </w:r>
      <w:r w:rsidR="009637EC" w:rsidRPr="00357722">
        <w:rPr>
          <w:rFonts w:ascii="Times New Roman" w:hAnsi="Times New Roman" w:cs="Times New Roman"/>
          <w:color w:val="000000" w:themeColor="text1"/>
          <w:sz w:val="24"/>
          <w:szCs w:val="24"/>
        </w:rPr>
        <w:t xml:space="preserve">investigate </w:t>
      </w:r>
      <w:r w:rsidR="00300698" w:rsidRPr="00357722">
        <w:rPr>
          <w:rFonts w:ascii="Times New Roman" w:hAnsi="Times New Roman" w:cs="Times New Roman"/>
          <w:color w:val="000000" w:themeColor="text1"/>
          <w:sz w:val="24"/>
          <w:szCs w:val="24"/>
        </w:rPr>
        <w:t xml:space="preserve">the financial development effect of the interaction between </w:t>
      </w:r>
      <w:r w:rsidR="009637EC" w:rsidRPr="00357722">
        <w:rPr>
          <w:rFonts w:ascii="Times New Roman" w:hAnsi="Times New Roman" w:cs="Times New Roman"/>
          <w:color w:val="000000" w:themeColor="text1"/>
          <w:sz w:val="24"/>
          <w:szCs w:val="24"/>
        </w:rPr>
        <w:t xml:space="preserve">central bank transparency </w:t>
      </w:r>
      <w:r w:rsidR="003C485B" w:rsidRPr="00357722">
        <w:rPr>
          <w:rFonts w:ascii="Times New Roman" w:hAnsi="Times New Roman" w:cs="Times New Roman"/>
          <w:color w:val="000000" w:themeColor="text1"/>
          <w:sz w:val="24"/>
          <w:szCs w:val="24"/>
        </w:rPr>
        <w:t xml:space="preserve">and international equity portfolio diversification. </w:t>
      </w:r>
      <w:r w:rsidR="001326D5" w:rsidRPr="00357722">
        <w:rPr>
          <w:rFonts w:ascii="Times New Roman" w:hAnsi="Times New Roman" w:cs="Times New Roman"/>
          <w:color w:val="000000" w:themeColor="text1"/>
          <w:sz w:val="24"/>
          <w:szCs w:val="24"/>
        </w:rPr>
        <w:t>This</w:t>
      </w:r>
      <w:r w:rsidR="00835D24" w:rsidRPr="00357722">
        <w:rPr>
          <w:rFonts w:ascii="Times New Roman" w:hAnsi="Times New Roman" w:cs="Times New Roman"/>
          <w:color w:val="000000" w:themeColor="text1"/>
          <w:sz w:val="24"/>
          <w:szCs w:val="24"/>
        </w:rPr>
        <w:t xml:space="preserve"> </w:t>
      </w:r>
      <w:r w:rsidR="00856B3C" w:rsidRPr="00357722">
        <w:rPr>
          <w:rFonts w:ascii="Times New Roman" w:hAnsi="Times New Roman" w:cs="Times New Roman"/>
          <w:color w:val="000000" w:themeColor="text1"/>
          <w:sz w:val="24"/>
          <w:szCs w:val="24"/>
        </w:rPr>
        <w:t>study extends existing literature that suggest</w:t>
      </w:r>
      <w:r w:rsidR="00E30532">
        <w:rPr>
          <w:rFonts w:ascii="Times New Roman" w:hAnsi="Times New Roman" w:cs="Times New Roman"/>
          <w:color w:val="000000" w:themeColor="text1"/>
          <w:sz w:val="24"/>
          <w:szCs w:val="24"/>
        </w:rPr>
        <w:t>s</w:t>
      </w:r>
      <w:r w:rsidR="00856B3C" w:rsidRPr="00357722">
        <w:rPr>
          <w:rFonts w:ascii="Times New Roman" w:hAnsi="Times New Roman" w:cs="Times New Roman"/>
          <w:color w:val="000000" w:themeColor="text1"/>
          <w:sz w:val="24"/>
          <w:szCs w:val="24"/>
        </w:rPr>
        <w:t xml:space="preserve"> central bank transparency reduces information asymmetry </w:t>
      </w:r>
      <w:r w:rsidR="00594572">
        <w:rPr>
          <w:rFonts w:ascii="Times New Roman" w:hAnsi="Times New Roman" w:cs="Times New Roman"/>
          <w:color w:val="000000" w:themeColor="text1"/>
          <w:sz w:val="24"/>
          <w:szCs w:val="24"/>
        </w:rPr>
        <w:t xml:space="preserve">and </w:t>
      </w:r>
      <w:r w:rsidR="00856B3C" w:rsidRPr="00357722">
        <w:rPr>
          <w:rFonts w:ascii="Times New Roman" w:hAnsi="Times New Roman" w:cs="Times New Roman"/>
          <w:color w:val="000000" w:themeColor="text1"/>
          <w:sz w:val="24"/>
          <w:szCs w:val="24"/>
        </w:rPr>
        <w:t>enhance</w:t>
      </w:r>
      <w:r w:rsidR="00E30532">
        <w:rPr>
          <w:rFonts w:ascii="Times New Roman" w:hAnsi="Times New Roman" w:cs="Times New Roman"/>
          <w:color w:val="000000" w:themeColor="text1"/>
          <w:sz w:val="24"/>
          <w:szCs w:val="24"/>
        </w:rPr>
        <w:t>s</w:t>
      </w:r>
      <w:r w:rsidR="00856B3C" w:rsidRPr="00357722">
        <w:rPr>
          <w:rFonts w:ascii="Times New Roman" w:hAnsi="Times New Roman" w:cs="Times New Roman"/>
          <w:color w:val="000000" w:themeColor="text1"/>
          <w:sz w:val="24"/>
          <w:szCs w:val="24"/>
        </w:rPr>
        <w:t xml:space="preserve"> accountability and legitimacy to prompt investor participation (Chortareas et al.</w:t>
      </w:r>
      <w:r w:rsidR="009C595B">
        <w:rPr>
          <w:rFonts w:ascii="Times New Roman" w:hAnsi="Times New Roman" w:cs="Times New Roman"/>
          <w:color w:val="000000" w:themeColor="text1"/>
          <w:sz w:val="24"/>
          <w:szCs w:val="24"/>
        </w:rPr>
        <w:t>,</w:t>
      </w:r>
      <w:r w:rsidR="00856B3C" w:rsidRPr="00357722">
        <w:rPr>
          <w:rFonts w:ascii="Times New Roman" w:hAnsi="Times New Roman" w:cs="Times New Roman"/>
          <w:color w:val="000000" w:themeColor="text1"/>
          <w:sz w:val="24"/>
          <w:szCs w:val="24"/>
        </w:rPr>
        <w:t xml:space="preserve"> 2002; Crowe and Meade, 2008). </w:t>
      </w:r>
      <w:r w:rsidR="00352DB9" w:rsidRPr="00357722">
        <w:rPr>
          <w:rFonts w:ascii="Times New Roman" w:hAnsi="Times New Roman" w:cs="Times New Roman"/>
          <w:color w:val="000000" w:themeColor="text1"/>
          <w:sz w:val="24"/>
          <w:szCs w:val="24"/>
        </w:rPr>
        <w:t>Ehrmann et al. (2014)</w:t>
      </w:r>
      <w:r w:rsidR="00EA4BE9" w:rsidRPr="00357722">
        <w:rPr>
          <w:rFonts w:ascii="Times New Roman" w:hAnsi="Times New Roman" w:cs="Times New Roman"/>
          <w:color w:val="000000" w:themeColor="text1"/>
          <w:sz w:val="24"/>
          <w:szCs w:val="24"/>
        </w:rPr>
        <w:t xml:space="preserve"> </w:t>
      </w:r>
      <w:r w:rsidR="00352DB9" w:rsidRPr="00357722">
        <w:rPr>
          <w:rFonts w:ascii="Times New Roman" w:hAnsi="Times New Roman" w:cs="Times New Roman"/>
          <w:color w:val="000000" w:themeColor="text1"/>
          <w:sz w:val="24"/>
          <w:szCs w:val="24"/>
        </w:rPr>
        <w:t xml:space="preserve">find that </w:t>
      </w:r>
      <w:r w:rsidR="00352DB9" w:rsidRPr="00357722">
        <w:rPr>
          <w:rFonts w:ascii="Times New Roman" w:eastAsia="Calibri" w:hAnsi="Times New Roman" w:cs="Times New Roman"/>
          <w:sz w:val="24"/>
          <w:szCs w:val="24"/>
          <w:lang w:eastAsia="en-US"/>
        </w:rPr>
        <w:t>information asymmetry</w:t>
      </w:r>
      <w:r w:rsidR="004D2FE8" w:rsidRPr="00357722">
        <w:rPr>
          <w:rFonts w:ascii="Times New Roman" w:eastAsia="Calibri" w:hAnsi="Times New Roman" w:cs="Times New Roman"/>
          <w:sz w:val="24"/>
          <w:szCs w:val="24"/>
          <w:lang w:eastAsia="en-US"/>
        </w:rPr>
        <w:t xml:space="preserve"> </w:t>
      </w:r>
      <w:r w:rsidR="00286CAF" w:rsidRPr="00357722">
        <w:rPr>
          <w:rFonts w:ascii="Times New Roman" w:eastAsia="Calibri" w:hAnsi="Times New Roman" w:cs="Times New Roman"/>
          <w:sz w:val="24"/>
          <w:szCs w:val="24"/>
          <w:lang w:eastAsia="en-US"/>
        </w:rPr>
        <w:t xml:space="preserve">impacts </w:t>
      </w:r>
      <w:r w:rsidR="004D2FE8" w:rsidRPr="00357722">
        <w:rPr>
          <w:rFonts w:ascii="Times New Roman" w:eastAsia="Calibri" w:hAnsi="Times New Roman" w:cs="Times New Roman"/>
          <w:sz w:val="24"/>
          <w:szCs w:val="24"/>
          <w:lang w:eastAsia="en-US"/>
        </w:rPr>
        <w:t xml:space="preserve">portfolio risk and returns. </w:t>
      </w:r>
    </w:p>
    <w:p w14:paraId="442F403C" w14:textId="2E6C27D4" w:rsidR="00D80591" w:rsidRPr="00357722" w:rsidRDefault="007C662C" w:rsidP="00D80591">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Fo</w:t>
      </w:r>
      <w:r w:rsidR="00032D04" w:rsidRPr="00357722">
        <w:rPr>
          <w:rFonts w:ascii="Times New Roman" w:hAnsi="Times New Roman" w:cs="Times New Roman"/>
          <w:color w:val="000000" w:themeColor="text1"/>
          <w:sz w:val="24"/>
          <w:szCs w:val="24"/>
        </w:rPr>
        <w:t>u</w:t>
      </w:r>
      <w:r w:rsidRPr="00357722">
        <w:rPr>
          <w:rFonts w:ascii="Times New Roman" w:hAnsi="Times New Roman" w:cs="Times New Roman"/>
          <w:color w:val="000000" w:themeColor="text1"/>
          <w:sz w:val="24"/>
          <w:szCs w:val="24"/>
        </w:rPr>
        <w:t>rth</w:t>
      </w:r>
      <w:r w:rsidR="00352DB9" w:rsidRPr="00357722">
        <w:rPr>
          <w:rFonts w:ascii="Times New Roman" w:hAnsi="Times New Roman" w:cs="Times New Roman"/>
          <w:color w:val="000000" w:themeColor="text1"/>
          <w:sz w:val="24"/>
          <w:szCs w:val="24"/>
        </w:rPr>
        <w:t xml:space="preserve">, </w:t>
      </w:r>
      <w:r w:rsidR="00835D24" w:rsidRPr="00357722">
        <w:rPr>
          <w:rFonts w:ascii="Times New Roman" w:hAnsi="Times New Roman" w:cs="Times New Roman"/>
          <w:color w:val="000000" w:themeColor="text1"/>
          <w:sz w:val="24"/>
          <w:szCs w:val="24"/>
        </w:rPr>
        <w:t xml:space="preserve">our </w:t>
      </w:r>
      <w:r w:rsidR="009637EC" w:rsidRPr="00357722">
        <w:rPr>
          <w:rFonts w:ascii="Times New Roman" w:hAnsi="Times New Roman" w:cs="Times New Roman"/>
          <w:color w:val="000000" w:themeColor="text1"/>
          <w:sz w:val="24"/>
          <w:szCs w:val="24"/>
        </w:rPr>
        <w:t xml:space="preserve">study builds on the strand of literature that </w:t>
      </w:r>
      <w:r w:rsidR="00E30532" w:rsidRPr="00357722">
        <w:rPr>
          <w:rFonts w:ascii="Times New Roman" w:hAnsi="Times New Roman" w:cs="Times New Roman"/>
          <w:color w:val="000000" w:themeColor="text1"/>
          <w:sz w:val="24"/>
          <w:szCs w:val="24"/>
        </w:rPr>
        <w:t>ha</w:t>
      </w:r>
      <w:r w:rsidR="00E30532">
        <w:rPr>
          <w:rFonts w:ascii="Times New Roman" w:hAnsi="Times New Roman" w:cs="Times New Roman"/>
          <w:color w:val="000000" w:themeColor="text1"/>
          <w:sz w:val="24"/>
          <w:szCs w:val="24"/>
        </w:rPr>
        <w:t>s</w:t>
      </w:r>
      <w:r w:rsidR="00E30532" w:rsidRPr="00357722">
        <w:rPr>
          <w:rFonts w:ascii="Times New Roman" w:hAnsi="Times New Roman" w:cs="Times New Roman"/>
          <w:color w:val="000000" w:themeColor="text1"/>
          <w:sz w:val="24"/>
          <w:szCs w:val="24"/>
        </w:rPr>
        <w:t xml:space="preserve"> </w:t>
      </w:r>
      <w:r w:rsidR="00CC3D7A" w:rsidRPr="00357722">
        <w:rPr>
          <w:rFonts w:ascii="Times New Roman" w:hAnsi="Times New Roman" w:cs="Times New Roman"/>
          <w:color w:val="000000" w:themeColor="text1"/>
          <w:sz w:val="24"/>
          <w:szCs w:val="24"/>
        </w:rPr>
        <w:t>investigate</w:t>
      </w:r>
      <w:r w:rsidR="00391135" w:rsidRPr="00357722">
        <w:rPr>
          <w:rFonts w:ascii="Times New Roman" w:hAnsi="Times New Roman" w:cs="Times New Roman"/>
          <w:color w:val="000000" w:themeColor="text1"/>
          <w:sz w:val="24"/>
          <w:szCs w:val="24"/>
        </w:rPr>
        <w:t>d</w:t>
      </w:r>
      <w:r w:rsidR="009637EC" w:rsidRPr="00357722">
        <w:rPr>
          <w:rFonts w:ascii="Times New Roman" w:hAnsi="Times New Roman" w:cs="Times New Roman"/>
          <w:color w:val="000000" w:themeColor="text1"/>
          <w:sz w:val="24"/>
          <w:szCs w:val="24"/>
        </w:rPr>
        <w:t xml:space="preserve"> the benefits of international capital</w:t>
      </w:r>
      <w:r w:rsidR="00102E30" w:rsidRPr="00357722">
        <w:rPr>
          <w:rFonts w:ascii="Times New Roman" w:hAnsi="Times New Roman" w:cs="Times New Roman"/>
          <w:color w:val="000000" w:themeColor="text1"/>
          <w:sz w:val="24"/>
          <w:szCs w:val="24"/>
        </w:rPr>
        <w:t xml:space="preserve"> flow</w:t>
      </w:r>
      <w:r w:rsidR="009637EC" w:rsidRPr="00357722">
        <w:rPr>
          <w:rFonts w:ascii="Times New Roman" w:hAnsi="Times New Roman" w:cs="Times New Roman"/>
          <w:color w:val="000000" w:themeColor="text1"/>
          <w:sz w:val="24"/>
          <w:szCs w:val="24"/>
        </w:rPr>
        <w:t xml:space="preserve"> (see </w:t>
      </w:r>
      <w:r w:rsidR="00B24B60" w:rsidRPr="00357722">
        <w:rPr>
          <w:rFonts w:ascii="Times New Roman" w:hAnsi="Times New Roman" w:cs="Times New Roman"/>
          <w:color w:val="000000" w:themeColor="text1"/>
          <w:sz w:val="24"/>
          <w:szCs w:val="24"/>
        </w:rPr>
        <w:t>Grubel,</w:t>
      </w:r>
      <w:r w:rsidR="00E66197" w:rsidRPr="00357722">
        <w:rPr>
          <w:rFonts w:ascii="Times New Roman" w:hAnsi="Times New Roman" w:cs="Times New Roman"/>
          <w:color w:val="000000" w:themeColor="text1"/>
          <w:sz w:val="24"/>
          <w:szCs w:val="24"/>
        </w:rPr>
        <w:t xml:space="preserve"> 1968; Lessard, 1976; Devereux and</w:t>
      </w:r>
      <w:r w:rsidR="00B24B60" w:rsidRPr="00357722">
        <w:rPr>
          <w:rFonts w:ascii="Times New Roman" w:hAnsi="Times New Roman" w:cs="Times New Roman"/>
          <w:color w:val="000000" w:themeColor="text1"/>
          <w:sz w:val="24"/>
          <w:szCs w:val="24"/>
        </w:rPr>
        <w:t xml:space="preserve"> Smith,</w:t>
      </w:r>
      <w:r w:rsidR="003B23AF">
        <w:rPr>
          <w:rFonts w:ascii="Times New Roman" w:hAnsi="Times New Roman" w:cs="Times New Roman"/>
          <w:color w:val="000000" w:themeColor="text1"/>
          <w:sz w:val="24"/>
          <w:szCs w:val="24"/>
        </w:rPr>
        <w:t xml:space="preserve"> </w:t>
      </w:r>
      <w:r w:rsidR="0076216F" w:rsidRPr="00357722">
        <w:rPr>
          <w:rFonts w:ascii="Times New Roman" w:hAnsi="Times New Roman" w:cs="Times New Roman"/>
          <w:color w:val="000000" w:themeColor="text1"/>
          <w:sz w:val="24"/>
          <w:szCs w:val="24"/>
        </w:rPr>
        <w:t>1994; Errunza, 2001; Driessen and</w:t>
      </w:r>
      <w:r w:rsidR="00B24B60" w:rsidRPr="00357722">
        <w:rPr>
          <w:rFonts w:ascii="Times New Roman" w:hAnsi="Times New Roman" w:cs="Times New Roman"/>
          <w:color w:val="000000" w:themeColor="text1"/>
          <w:sz w:val="24"/>
          <w:szCs w:val="24"/>
        </w:rPr>
        <w:t xml:space="preserve"> Laeven, 2007; Bae and Goyal, 2010; Lau et al.</w:t>
      </w:r>
      <w:r w:rsidR="009C595B">
        <w:rPr>
          <w:rFonts w:ascii="Times New Roman" w:hAnsi="Times New Roman" w:cs="Times New Roman"/>
          <w:color w:val="000000" w:themeColor="text1"/>
          <w:sz w:val="24"/>
          <w:szCs w:val="24"/>
        </w:rPr>
        <w:t>,</w:t>
      </w:r>
      <w:r w:rsidR="00B24B60" w:rsidRPr="00357722">
        <w:rPr>
          <w:rFonts w:ascii="Times New Roman" w:hAnsi="Times New Roman" w:cs="Times New Roman"/>
          <w:color w:val="000000" w:themeColor="text1"/>
          <w:sz w:val="24"/>
          <w:szCs w:val="24"/>
        </w:rPr>
        <w:t xml:space="preserve"> 2010</w:t>
      </w:r>
      <w:r w:rsidR="009637EC" w:rsidRPr="00357722">
        <w:rPr>
          <w:rFonts w:ascii="Times New Roman" w:hAnsi="Times New Roman" w:cs="Times New Roman"/>
          <w:color w:val="000000" w:themeColor="text1"/>
          <w:sz w:val="24"/>
          <w:szCs w:val="24"/>
        </w:rPr>
        <w:t xml:space="preserve">) and institutional quality (see </w:t>
      </w:r>
      <w:r w:rsidR="00B24B60" w:rsidRPr="00357722">
        <w:rPr>
          <w:rFonts w:ascii="Times New Roman" w:hAnsi="Times New Roman" w:cs="Times New Roman"/>
          <w:color w:val="000000" w:themeColor="text1"/>
          <w:sz w:val="24"/>
          <w:szCs w:val="24"/>
        </w:rPr>
        <w:t xml:space="preserve">Henry, 2000; Errunza, 2001; </w:t>
      </w:r>
      <w:r w:rsidR="00B24B60" w:rsidRPr="00357722">
        <w:rPr>
          <w:rFonts w:ascii="Times New Roman" w:eastAsia="Calibri" w:hAnsi="Times New Roman" w:cs="Times New Roman"/>
          <w:sz w:val="24"/>
          <w:szCs w:val="24"/>
          <w:lang w:val="en-US" w:eastAsia="en-US"/>
        </w:rPr>
        <w:t>Grosse and Trevino, 2005; Daude and Stein, 2007</w:t>
      </w:r>
      <w:r w:rsidR="009637EC" w:rsidRPr="00357722">
        <w:rPr>
          <w:rFonts w:ascii="Times New Roman" w:hAnsi="Times New Roman" w:cs="Times New Roman"/>
          <w:color w:val="000000" w:themeColor="text1"/>
          <w:sz w:val="24"/>
          <w:szCs w:val="24"/>
        </w:rPr>
        <w:t xml:space="preserve">). </w:t>
      </w:r>
    </w:p>
    <w:p w14:paraId="6056562F" w14:textId="3DB02E18" w:rsidR="00EB25AA" w:rsidRPr="00357722" w:rsidRDefault="007C662C" w:rsidP="00EB25AA">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 xml:space="preserve">Fifth, </w:t>
      </w:r>
      <w:r w:rsidR="00623CFE" w:rsidRPr="00357722">
        <w:rPr>
          <w:rFonts w:ascii="Times New Roman" w:hAnsi="Times New Roman" w:cs="Times New Roman"/>
          <w:color w:val="000000" w:themeColor="text1"/>
          <w:sz w:val="24"/>
          <w:szCs w:val="24"/>
        </w:rPr>
        <w:t>a still unresolved question in the finance literature is</w:t>
      </w:r>
      <w:r w:rsidR="00D73334" w:rsidRPr="00357722">
        <w:rPr>
          <w:rFonts w:ascii="Times New Roman" w:hAnsi="Times New Roman" w:cs="Times New Roman"/>
          <w:color w:val="000000" w:themeColor="text1"/>
          <w:sz w:val="24"/>
          <w:szCs w:val="24"/>
        </w:rPr>
        <w:t xml:space="preserve"> the debate </w:t>
      </w:r>
      <w:r w:rsidR="00623CFE" w:rsidRPr="00357722">
        <w:rPr>
          <w:rFonts w:ascii="Times New Roman" w:hAnsi="Times New Roman" w:cs="Times New Roman"/>
          <w:color w:val="000000" w:themeColor="text1"/>
          <w:sz w:val="24"/>
          <w:szCs w:val="24"/>
        </w:rPr>
        <w:t xml:space="preserve">on </w:t>
      </w:r>
      <w:r w:rsidR="00D73334" w:rsidRPr="00357722">
        <w:rPr>
          <w:rFonts w:ascii="Times New Roman" w:hAnsi="Times New Roman" w:cs="Times New Roman"/>
          <w:color w:val="000000" w:themeColor="text1"/>
          <w:sz w:val="24"/>
          <w:szCs w:val="24"/>
        </w:rPr>
        <w:t xml:space="preserve">banking system development and equity market development nexus. </w:t>
      </w:r>
      <w:r w:rsidR="00C40C06" w:rsidRPr="00357722">
        <w:rPr>
          <w:rFonts w:ascii="Times New Roman" w:hAnsi="Times New Roman" w:cs="Times New Roman"/>
          <w:color w:val="000000" w:themeColor="text1"/>
          <w:sz w:val="24"/>
          <w:szCs w:val="24"/>
        </w:rPr>
        <w:t>We</w:t>
      </w:r>
      <w:r w:rsidR="00623CFE" w:rsidRPr="00357722">
        <w:rPr>
          <w:rFonts w:ascii="Times New Roman" w:hAnsi="Times New Roman" w:cs="Times New Roman"/>
          <w:color w:val="000000" w:themeColor="text1"/>
          <w:sz w:val="24"/>
          <w:szCs w:val="24"/>
        </w:rPr>
        <w:t xml:space="preserve"> </w:t>
      </w:r>
      <w:r w:rsidR="00516CBE" w:rsidRPr="00357722">
        <w:rPr>
          <w:rFonts w:ascii="Times New Roman" w:hAnsi="Times New Roman" w:cs="Times New Roman"/>
          <w:color w:val="000000" w:themeColor="text1"/>
          <w:sz w:val="24"/>
          <w:szCs w:val="24"/>
        </w:rPr>
        <w:t xml:space="preserve">add </w:t>
      </w:r>
      <w:r w:rsidR="0041282A" w:rsidRPr="00357722">
        <w:rPr>
          <w:rFonts w:ascii="Times New Roman" w:hAnsi="Times New Roman" w:cs="Times New Roman"/>
          <w:color w:val="000000" w:themeColor="text1"/>
          <w:sz w:val="24"/>
          <w:szCs w:val="24"/>
        </w:rPr>
        <w:t xml:space="preserve">to </w:t>
      </w:r>
      <w:r w:rsidR="00D73334" w:rsidRPr="00357722">
        <w:rPr>
          <w:rFonts w:ascii="Times New Roman" w:hAnsi="Times New Roman" w:cs="Times New Roman"/>
          <w:color w:val="000000" w:themeColor="text1"/>
          <w:sz w:val="24"/>
          <w:szCs w:val="24"/>
        </w:rPr>
        <w:t xml:space="preserve">Chinn and Ito (2006) who </w:t>
      </w:r>
      <w:r w:rsidR="00516CBE" w:rsidRPr="00357722">
        <w:rPr>
          <w:rFonts w:ascii="Times New Roman" w:hAnsi="Times New Roman" w:cs="Times New Roman"/>
          <w:color w:val="000000" w:themeColor="text1"/>
          <w:sz w:val="24"/>
          <w:szCs w:val="24"/>
        </w:rPr>
        <w:t>showed</w:t>
      </w:r>
      <w:r w:rsidR="00C40C06" w:rsidRPr="00357722">
        <w:rPr>
          <w:rFonts w:ascii="Times New Roman" w:hAnsi="Times New Roman" w:cs="Times New Roman"/>
          <w:color w:val="000000" w:themeColor="text1"/>
          <w:sz w:val="24"/>
          <w:szCs w:val="24"/>
        </w:rPr>
        <w:t xml:space="preserve"> that banking development is </w:t>
      </w:r>
      <w:r w:rsidR="00E30532">
        <w:rPr>
          <w:rFonts w:ascii="Times New Roman" w:hAnsi="Times New Roman" w:cs="Times New Roman"/>
          <w:color w:val="000000" w:themeColor="text1"/>
          <w:sz w:val="24"/>
          <w:szCs w:val="24"/>
        </w:rPr>
        <w:t xml:space="preserve">a </w:t>
      </w:r>
      <w:r w:rsidR="00C40C06" w:rsidRPr="00357722">
        <w:rPr>
          <w:rFonts w:ascii="Times New Roman" w:hAnsi="Times New Roman" w:cs="Times New Roman"/>
          <w:color w:val="000000" w:themeColor="text1"/>
          <w:sz w:val="24"/>
          <w:szCs w:val="24"/>
        </w:rPr>
        <w:t xml:space="preserve">prerequisite for equity market development. They </w:t>
      </w:r>
      <w:r w:rsidR="00D73334" w:rsidRPr="00357722">
        <w:rPr>
          <w:rFonts w:ascii="Times New Roman" w:hAnsi="Times New Roman" w:cs="Times New Roman"/>
          <w:color w:val="000000" w:themeColor="text1"/>
          <w:sz w:val="24"/>
          <w:szCs w:val="24"/>
        </w:rPr>
        <w:t xml:space="preserve">find that trade openness is essential for </w:t>
      </w:r>
      <w:r w:rsidR="00A03BAD" w:rsidRPr="00357722">
        <w:rPr>
          <w:rFonts w:ascii="Times New Roman" w:hAnsi="Times New Roman" w:cs="Times New Roman"/>
          <w:color w:val="000000" w:themeColor="text1"/>
          <w:sz w:val="24"/>
          <w:szCs w:val="24"/>
        </w:rPr>
        <w:t>capital account liberalization</w:t>
      </w:r>
      <w:r w:rsidR="00B85D77" w:rsidRPr="00357722">
        <w:rPr>
          <w:rFonts w:ascii="Times New Roman" w:hAnsi="Times New Roman" w:cs="Times New Roman"/>
          <w:color w:val="000000" w:themeColor="text1"/>
          <w:sz w:val="24"/>
          <w:szCs w:val="24"/>
        </w:rPr>
        <w:t xml:space="preserve">. </w:t>
      </w:r>
      <w:r w:rsidR="00A03BAD" w:rsidRPr="00357722">
        <w:rPr>
          <w:rFonts w:ascii="Times New Roman" w:hAnsi="Times New Roman" w:cs="Times New Roman"/>
          <w:color w:val="000000" w:themeColor="text1"/>
          <w:sz w:val="24"/>
          <w:szCs w:val="24"/>
        </w:rPr>
        <w:t>In contrast, we extend the literature by showing that foreign equity and debt flow are complementary to financial development</w:t>
      </w:r>
      <w:r w:rsidR="002E2B09" w:rsidRPr="00357722">
        <w:rPr>
          <w:rFonts w:ascii="Times New Roman" w:hAnsi="Times New Roman" w:cs="Times New Roman"/>
          <w:color w:val="000000" w:themeColor="text1"/>
          <w:sz w:val="24"/>
          <w:szCs w:val="24"/>
        </w:rPr>
        <w:t>.</w:t>
      </w:r>
      <w:r w:rsidR="00C40C06" w:rsidRPr="00357722">
        <w:rPr>
          <w:rFonts w:ascii="Times New Roman" w:hAnsi="Times New Roman" w:cs="Times New Roman"/>
          <w:color w:val="000000" w:themeColor="text1"/>
          <w:sz w:val="24"/>
          <w:szCs w:val="24"/>
        </w:rPr>
        <w:t xml:space="preserve"> </w:t>
      </w:r>
    </w:p>
    <w:p w14:paraId="5400D583" w14:textId="732B64D9" w:rsidR="00AC6828" w:rsidRPr="00357722" w:rsidRDefault="00AC6828" w:rsidP="00D80591">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Our study has implications for policymakers</w:t>
      </w:r>
      <w:r w:rsidR="00EB2E2E" w:rsidRPr="00357722">
        <w:rPr>
          <w:rFonts w:ascii="Times New Roman" w:hAnsi="Times New Roman" w:cs="Times New Roman"/>
          <w:color w:val="000000" w:themeColor="text1"/>
          <w:sz w:val="24"/>
          <w:szCs w:val="24"/>
        </w:rPr>
        <w:t>, particular</w:t>
      </w:r>
      <w:r w:rsidR="00214773" w:rsidRPr="00357722">
        <w:rPr>
          <w:rFonts w:ascii="Times New Roman" w:hAnsi="Times New Roman" w:cs="Times New Roman"/>
          <w:color w:val="000000" w:themeColor="text1"/>
          <w:sz w:val="24"/>
          <w:szCs w:val="24"/>
        </w:rPr>
        <w:t>l</w:t>
      </w:r>
      <w:r w:rsidR="00EB2E2E" w:rsidRPr="00357722">
        <w:rPr>
          <w:rFonts w:ascii="Times New Roman" w:hAnsi="Times New Roman" w:cs="Times New Roman"/>
          <w:color w:val="000000" w:themeColor="text1"/>
          <w:sz w:val="24"/>
          <w:szCs w:val="24"/>
        </w:rPr>
        <w:t>y,</w:t>
      </w:r>
      <w:r w:rsidRPr="00357722">
        <w:rPr>
          <w:rFonts w:ascii="Times New Roman" w:hAnsi="Times New Roman" w:cs="Times New Roman"/>
          <w:color w:val="000000" w:themeColor="text1"/>
          <w:sz w:val="24"/>
          <w:szCs w:val="24"/>
        </w:rPr>
        <w:t xml:space="preserve"> governments in emerging countries. Our results imply that making </w:t>
      </w:r>
      <w:r w:rsidR="00594572">
        <w:rPr>
          <w:rFonts w:ascii="Times New Roman" w:hAnsi="Times New Roman" w:cs="Times New Roman"/>
          <w:color w:val="000000" w:themeColor="text1"/>
          <w:sz w:val="24"/>
          <w:szCs w:val="24"/>
        </w:rPr>
        <w:t xml:space="preserve">the </w:t>
      </w:r>
      <w:r w:rsidRPr="00357722">
        <w:rPr>
          <w:rFonts w:ascii="Times New Roman" w:hAnsi="Times New Roman" w:cs="Times New Roman"/>
          <w:color w:val="000000" w:themeColor="text1"/>
          <w:sz w:val="24"/>
          <w:szCs w:val="24"/>
        </w:rPr>
        <w:t>central bank transparent will attract foreign equity and debt flow. This will enhance the domestic financial system development to provide funds to firms with greater investment opportunities for economic growth,</w:t>
      </w:r>
    </w:p>
    <w:p w14:paraId="2AF64D03" w14:textId="2DC8FEEF" w:rsidR="00D80591" w:rsidRPr="00357722" w:rsidRDefault="0076216F" w:rsidP="00D80591">
      <w:pPr>
        <w:spacing w:after="0" w:line="480" w:lineRule="auto"/>
        <w:ind w:firstLine="720"/>
        <w:jc w:val="both"/>
        <w:rPr>
          <w:rFonts w:ascii="Times New Roman" w:eastAsia="Times New Roman" w:hAnsi="Times New Roman" w:cs="Times New Roman"/>
          <w:color w:val="000000"/>
          <w:sz w:val="24"/>
          <w:szCs w:val="24"/>
        </w:rPr>
      </w:pPr>
      <w:r w:rsidRPr="00357722">
        <w:rPr>
          <w:rFonts w:ascii="Times New Roman" w:eastAsia="Times New Roman" w:hAnsi="Times New Roman" w:cs="Times New Roman"/>
          <w:color w:val="000000"/>
          <w:sz w:val="24"/>
          <w:szCs w:val="24"/>
        </w:rPr>
        <w:lastRenderedPageBreak/>
        <w:t xml:space="preserve">The rest of the paper is </w:t>
      </w:r>
      <w:r w:rsidR="00E30532" w:rsidRPr="00357722">
        <w:rPr>
          <w:rFonts w:ascii="Times New Roman" w:eastAsia="Times New Roman" w:hAnsi="Times New Roman" w:cs="Times New Roman"/>
          <w:color w:val="000000"/>
          <w:sz w:val="24"/>
          <w:szCs w:val="24"/>
        </w:rPr>
        <w:t>organi</w:t>
      </w:r>
      <w:r w:rsidR="00E30532">
        <w:rPr>
          <w:rFonts w:ascii="Times New Roman" w:eastAsia="Times New Roman" w:hAnsi="Times New Roman" w:cs="Times New Roman"/>
          <w:color w:val="000000"/>
          <w:sz w:val="24"/>
          <w:szCs w:val="24"/>
        </w:rPr>
        <w:t>z</w:t>
      </w:r>
      <w:r w:rsidR="00E30532" w:rsidRPr="00357722">
        <w:rPr>
          <w:rFonts w:ascii="Times New Roman" w:eastAsia="Times New Roman" w:hAnsi="Times New Roman" w:cs="Times New Roman"/>
          <w:color w:val="000000"/>
          <w:sz w:val="24"/>
          <w:szCs w:val="24"/>
        </w:rPr>
        <w:t xml:space="preserve">ed </w:t>
      </w:r>
      <w:r w:rsidRPr="00357722">
        <w:rPr>
          <w:rFonts w:ascii="Times New Roman" w:eastAsia="Times New Roman" w:hAnsi="Times New Roman" w:cs="Times New Roman"/>
          <w:color w:val="000000"/>
          <w:sz w:val="24"/>
          <w:szCs w:val="24"/>
        </w:rPr>
        <w:t>as follows: Section 2 presents</w:t>
      </w:r>
      <w:r w:rsidR="00A249ED" w:rsidRPr="00357722">
        <w:rPr>
          <w:rFonts w:ascii="Times New Roman" w:eastAsia="Times New Roman" w:hAnsi="Times New Roman" w:cs="Times New Roman"/>
          <w:color w:val="000000"/>
          <w:sz w:val="24"/>
          <w:szCs w:val="24"/>
        </w:rPr>
        <w:t xml:space="preserve"> </w:t>
      </w:r>
      <w:r w:rsidR="00E30532">
        <w:rPr>
          <w:rFonts w:ascii="Times New Roman" w:eastAsia="Times New Roman" w:hAnsi="Times New Roman" w:cs="Times New Roman"/>
          <w:color w:val="000000"/>
          <w:sz w:val="24"/>
          <w:szCs w:val="24"/>
        </w:rPr>
        <w:t xml:space="preserve">the </w:t>
      </w:r>
      <w:r w:rsidR="00C87D20" w:rsidRPr="00357722">
        <w:rPr>
          <w:rFonts w:ascii="Times New Roman" w:eastAsia="Times New Roman" w:hAnsi="Times New Roman" w:cs="Times New Roman"/>
          <w:color w:val="000000"/>
          <w:sz w:val="24"/>
          <w:szCs w:val="24"/>
        </w:rPr>
        <w:t>related literature</w:t>
      </w:r>
      <w:r w:rsidRPr="00357722">
        <w:rPr>
          <w:rFonts w:ascii="Times New Roman" w:eastAsia="Times New Roman" w:hAnsi="Times New Roman" w:cs="Times New Roman"/>
          <w:color w:val="000000"/>
          <w:sz w:val="24"/>
          <w:szCs w:val="24"/>
        </w:rPr>
        <w:t xml:space="preserve"> and hypothesis development, Section 3 lays out data and methods, Section 4 present</w:t>
      </w:r>
      <w:r w:rsidR="00E30532">
        <w:rPr>
          <w:rFonts w:ascii="Times New Roman" w:eastAsia="Times New Roman" w:hAnsi="Times New Roman" w:cs="Times New Roman"/>
          <w:color w:val="000000"/>
          <w:sz w:val="24"/>
          <w:szCs w:val="24"/>
        </w:rPr>
        <w:t>s</w:t>
      </w:r>
      <w:r w:rsidRPr="00357722">
        <w:rPr>
          <w:rFonts w:ascii="Times New Roman" w:eastAsia="Times New Roman" w:hAnsi="Times New Roman" w:cs="Times New Roman"/>
          <w:color w:val="000000"/>
          <w:sz w:val="24"/>
          <w:szCs w:val="24"/>
        </w:rPr>
        <w:t xml:space="preserve"> empirical results, whilst the final section presents conclusions and policy implications of the study.</w:t>
      </w:r>
    </w:p>
    <w:p w14:paraId="53276878" w14:textId="77777777" w:rsidR="00B85D77" w:rsidRPr="00357722" w:rsidRDefault="00B85D77" w:rsidP="002E2B09">
      <w:pPr>
        <w:spacing w:after="0" w:line="480" w:lineRule="auto"/>
        <w:jc w:val="both"/>
        <w:rPr>
          <w:rFonts w:ascii="Times New Roman" w:eastAsia="Times New Roman" w:hAnsi="Times New Roman" w:cs="Times New Roman"/>
          <w:color w:val="000000"/>
          <w:sz w:val="24"/>
          <w:szCs w:val="24"/>
        </w:rPr>
      </w:pPr>
    </w:p>
    <w:p w14:paraId="593FB7EA" w14:textId="42864D5D" w:rsidR="00926C88" w:rsidRPr="00357722" w:rsidRDefault="00926C88" w:rsidP="00D80591">
      <w:pPr>
        <w:spacing w:after="0" w:line="480" w:lineRule="auto"/>
        <w:jc w:val="both"/>
        <w:rPr>
          <w:rFonts w:ascii="Times New Roman" w:hAnsi="Times New Roman" w:cs="Times New Roman"/>
          <w:i/>
          <w:color w:val="000000" w:themeColor="text1"/>
          <w:sz w:val="24"/>
          <w:szCs w:val="24"/>
        </w:rPr>
      </w:pPr>
      <w:r w:rsidRPr="00357722">
        <w:rPr>
          <w:rFonts w:ascii="Times New Roman" w:hAnsi="Times New Roman" w:cs="Times New Roman"/>
          <w:i/>
          <w:color w:val="000000" w:themeColor="text1"/>
          <w:sz w:val="24"/>
          <w:szCs w:val="24"/>
        </w:rPr>
        <w:t>2.</w:t>
      </w:r>
      <w:r w:rsidRPr="00357722">
        <w:rPr>
          <w:rFonts w:ascii="Times New Roman" w:hAnsi="Times New Roman" w:cs="Times New Roman"/>
          <w:i/>
          <w:color w:val="000000" w:themeColor="text1"/>
          <w:sz w:val="24"/>
          <w:szCs w:val="24"/>
        </w:rPr>
        <w:tab/>
      </w:r>
      <w:r w:rsidR="00FD3A4C" w:rsidRPr="00357722">
        <w:rPr>
          <w:rFonts w:ascii="Times New Roman" w:hAnsi="Times New Roman" w:cs="Times New Roman"/>
          <w:i/>
          <w:color w:val="000000" w:themeColor="text1"/>
          <w:sz w:val="24"/>
          <w:szCs w:val="24"/>
        </w:rPr>
        <w:t>Literature</w:t>
      </w:r>
      <w:r w:rsidR="0036485A" w:rsidRPr="00357722">
        <w:rPr>
          <w:rFonts w:ascii="Times New Roman" w:hAnsi="Times New Roman" w:cs="Times New Roman"/>
          <w:i/>
          <w:color w:val="000000" w:themeColor="text1"/>
          <w:sz w:val="24"/>
          <w:szCs w:val="24"/>
        </w:rPr>
        <w:t xml:space="preserve"> and hypothesis development</w:t>
      </w:r>
    </w:p>
    <w:p w14:paraId="7B0D4352" w14:textId="332D5143" w:rsidR="00BD0AE2" w:rsidRPr="00357722" w:rsidRDefault="0036485A" w:rsidP="004E339E">
      <w:pPr>
        <w:spacing w:after="0" w:line="480" w:lineRule="auto"/>
        <w:ind w:firstLine="720"/>
        <w:jc w:val="both"/>
        <w:rPr>
          <w:rFonts w:ascii="Times New Roman" w:eastAsia="Times New Roman" w:hAnsi="Times New Roman" w:cs="Times New Roman"/>
          <w:color w:val="000000"/>
          <w:sz w:val="24"/>
          <w:szCs w:val="24"/>
        </w:rPr>
      </w:pPr>
      <w:r w:rsidRPr="00357722">
        <w:rPr>
          <w:rFonts w:ascii="Times New Roman" w:eastAsia="Times New Roman" w:hAnsi="Times New Roman" w:cs="Times New Roman"/>
          <w:color w:val="000000"/>
          <w:sz w:val="24"/>
          <w:szCs w:val="24"/>
        </w:rPr>
        <w:t xml:space="preserve">This section provides brief </w:t>
      </w:r>
      <w:r w:rsidR="008A06C1" w:rsidRPr="00357722">
        <w:rPr>
          <w:rFonts w:ascii="Times New Roman" w:eastAsia="Times New Roman" w:hAnsi="Times New Roman" w:cs="Times New Roman"/>
          <w:color w:val="000000"/>
          <w:sz w:val="24"/>
          <w:szCs w:val="24"/>
        </w:rPr>
        <w:t xml:space="preserve">related literature and an </w:t>
      </w:r>
      <w:r w:rsidRPr="00357722">
        <w:rPr>
          <w:rFonts w:ascii="Times New Roman" w:eastAsia="Times New Roman" w:hAnsi="Times New Roman" w:cs="Times New Roman"/>
          <w:color w:val="000000"/>
          <w:sz w:val="24"/>
          <w:szCs w:val="24"/>
        </w:rPr>
        <w:t xml:space="preserve">overview of the channel through which international equity portfolio </w:t>
      </w:r>
      <w:r w:rsidR="00B85D77" w:rsidRPr="00357722">
        <w:rPr>
          <w:rFonts w:ascii="Times New Roman" w:eastAsia="Times New Roman" w:hAnsi="Times New Roman" w:cs="Times New Roman"/>
          <w:color w:val="000000"/>
          <w:sz w:val="24"/>
          <w:szCs w:val="24"/>
        </w:rPr>
        <w:t>diversification</w:t>
      </w:r>
      <w:r w:rsidRPr="00357722">
        <w:rPr>
          <w:rFonts w:ascii="Times New Roman" w:eastAsia="Times New Roman" w:hAnsi="Times New Roman" w:cs="Times New Roman"/>
          <w:color w:val="000000"/>
          <w:sz w:val="24"/>
          <w:szCs w:val="24"/>
        </w:rPr>
        <w:t xml:space="preserve">, </w:t>
      </w:r>
      <w:r w:rsidR="00D32B5D" w:rsidRPr="00357722">
        <w:rPr>
          <w:rFonts w:ascii="Times New Roman" w:eastAsia="Times New Roman" w:hAnsi="Times New Roman" w:cs="Times New Roman"/>
          <w:color w:val="000000"/>
          <w:sz w:val="24"/>
          <w:szCs w:val="24"/>
        </w:rPr>
        <w:t>central bank transparency</w:t>
      </w:r>
      <w:r w:rsidR="00E30532">
        <w:rPr>
          <w:rFonts w:ascii="Times New Roman" w:eastAsia="Times New Roman" w:hAnsi="Times New Roman" w:cs="Times New Roman"/>
          <w:color w:val="000000"/>
          <w:sz w:val="24"/>
          <w:szCs w:val="24"/>
        </w:rPr>
        <w:t>,</w:t>
      </w:r>
      <w:r w:rsidR="00D32B5D" w:rsidRPr="00357722">
        <w:rPr>
          <w:rFonts w:ascii="Times New Roman" w:eastAsia="Times New Roman" w:hAnsi="Times New Roman" w:cs="Times New Roman"/>
          <w:color w:val="000000"/>
          <w:sz w:val="24"/>
          <w:szCs w:val="24"/>
        </w:rPr>
        <w:t xml:space="preserve"> and </w:t>
      </w:r>
      <w:r w:rsidR="00A04BE8" w:rsidRPr="00357722">
        <w:rPr>
          <w:rFonts w:ascii="Times New Roman" w:eastAsia="Times New Roman" w:hAnsi="Times New Roman" w:cs="Times New Roman"/>
          <w:color w:val="000000"/>
          <w:sz w:val="24"/>
          <w:szCs w:val="24"/>
        </w:rPr>
        <w:t>economic freedom</w:t>
      </w:r>
      <w:r w:rsidR="00D32B5D" w:rsidRPr="00357722">
        <w:rPr>
          <w:rFonts w:ascii="Times New Roman" w:eastAsia="Times New Roman" w:hAnsi="Times New Roman" w:cs="Times New Roman"/>
          <w:color w:val="000000"/>
          <w:sz w:val="24"/>
          <w:szCs w:val="24"/>
        </w:rPr>
        <w:t xml:space="preserve"> </w:t>
      </w:r>
      <w:r w:rsidRPr="00357722">
        <w:rPr>
          <w:rFonts w:ascii="Times New Roman" w:eastAsia="Times New Roman" w:hAnsi="Times New Roman" w:cs="Times New Roman"/>
          <w:color w:val="000000"/>
          <w:sz w:val="24"/>
          <w:szCs w:val="24"/>
        </w:rPr>
        <w:t xml:space="preserve">impact financial development. We </w:t>
      </w:r>
      <w:r w:rsidR="00057609" w:rsidRPr="00357722">
        <w:rPr>
          <w:rFonts w:ascii="Times New Roman" w:eastAsia="Times New Roman" w:hAnsi="Times New Roman" w:cs="Times New Roman"/>
          <w:color w:val="000000"/>
          <w:sz w:val="24"/>
          <w:szCs w:val="24"/>
        </w:rPr>
        <w:t xml:space="preserve">first </w:t>
      </w:r>
      <w:r w:rsidRPr="00357722">
        <w:rPr>
          <w:rFonts w:ascii="Times New Roman" w:eastAsia="Times New Roman" w:hAnsi="Times New Roman" w:cs="Times New Roman"/>
          <w:color w:val="000000"/>
          <w:sz w:val="24"/>
          <w:szCs w:val="24"/>
        </w:rPr>
        <w:t xml:space="preserve">report the findings of existing </w:t>
      </w:r>
      <w:r w:rsidR="00057609" w:rsidRPr="00357722">
        <w:rPr>
          <w:rFonts w:ascii="Times New Roman" w:eastAsia="Times New Roman" w:hAnsi="Times New Roman" w:cs="Times New Roman"/>
          <w:color w:val="000000"/>
          <w:sz w:val="24"/>
          <w:szCs w:val="24"/>
        </w:rPr>
        <w:t xml:space="preserve">related </w:t>
      </w:r>
      <w:r w:rsidRPr="00357722">
        <w:rPr>
          <w:rFonts w:ascii="Times New Roman" w:eastAsia="Times New Roman" w:hAnsi="Times New Roman" w:cs="Times New Roman"/>
          <w:color w:val="000000"/>
          <w:sz w:val="24"/>
          <w:szCs w:val="24"/>
        </w:rPr>
        <w:t>studies and then proceed to develop three sets of testable hypothes</w:t>
      </w:r>
      <w:r w:rsidR="00F413DB" w:rsidRPr="00357722">
        <w:rPr>
          <w:rFonts w:ascii="Times New Roman" w:eastAsia="Times New Roman" w:hAnsi="Times New Roman" w:cs="Times New Roman"/>
          <w:color w:val="000000"/>
          <w:sz w:val="24"/>
          <w:szCs w:val="24"/>
        </w:rPr>
        <w:t>e</w:t>
      </w:r>
      <w:r w:rsidRPr="00357722">
        <w:rPr>
          <w:rFonts w:ascii="Times New Roman" w:eastAsia="Times New Roman" w:hAnsi="Times New Roman" w:cs="Times New Roman"/>
          <w:color w:val="000000"/>
          <w:sz w:val="24"/>
          <w:szCs w:val="24"/>
        </w:rPr>
        <w:t>s.</w:t>
      </w:r>
    </w:p>
    <w:p w14:paraId="739367B4" w14:textId="614A1E5E" w:rsidR="00DA7039" w:rsidRPr="00357722" w:rsidRDefault="00C87D20" w:rsidP="00DA7039">
      <w:pPr>
        <w:pStyle w:val="Style2"/>
        <w:spacing w:line="480" w:lineRule="auto"/>
        <w:ind w:firstLine="720"/>
        <w:rPr>
          <w:i w:val="0"/>
          <w:color w:val="000000" w:themeColor="text1"/>
        </w:rPr>
      </w:pPr>
      <w:r w:rsidRPr="00357722">
        <w:rPr>
          <w:i w:val="0"/>
          <w:color w:val="000000" w:themeColor="text1"/>
        </w:rPr>
        <w:t>F</w:t>
      </w:r>
      <w:r w:rsidR="002E7BB0" w:rsidRPr="00357722">
        <w:rPr>
          <w:i w:val="0"/>
          <w:color w:val="000000" w:themeColor="text1"/>
        </w:rPr>
        <w:t xml:space="preserve">ollowing </w:t>
      </w:r>
      <w:r w:rsidR="004C24A3" w:rsidRPr="00357722">
        <w:rPr>
          <w:i w:val="0"/>
          <w:color w:val="000000" w:themeColor="text1"/>
        </w:rPr>
        <w:t xml:space="preserve">financial </w:t>
      </w:r>
      <w:r w:rsidR="00214773" w:rsidRPr="00357722">
        <w:rPr>
          <w:i w:val="0"/>
          <w:color w:val="000000" w:themeColor="text1"/>
        </w:rPr>
        <w:t>liberalization</w:t>
      </w:r>
      <w:r w:rsidR="00214773" w:rsidRPr="00357722">
        <w:rPr>
          <w:color w:val="000000" w:themeColor="text1"/>
        </w:rPr>
        <w:t xml:space="preserve"> </w:t>
      </w:r>
      <w:r w:rsidR="004C24A3" w:rsidRPr="00357722">
        <w:rPr>
          <w:i w:val="0"/>
          <w:color w:val="000000" w:themeColor="text1"/>
        </w:rPr>
        <w:t>leading to</w:t>
      </w:r>
      <w:r w:rsidR="00BB6A10" w:rsidRPr="00357722">
        <w:rPr>
          <w:i w:val="0"/>
          <w:color w:val="000000" w:themeColor="text1"/>
        </w:rPr>
        <w:t xml:space="preserve"> financial </w:t>
      </w:r>
      <w:r w:rsidR="00E30532" w:rsidRPr="00357722">
        <w:rPr>
          <w:i w:val="0"/>
          <w:color w:val="000000" w:themeColor="text1"/>
        </w:rPr>
        <w:t>globali</w:t>
      </w:r>
      <w:r w:rsidR="00E30532">
        <w:rPr>
          <w:i w:val="0"/>
          <w:color w:val="000000" w:themeColor="text1"/>
        </w:rPr>
        <w:t>z</w:t>
      </w:r>
      <w:r w:rsidR="00E30532" w:rsidRPr="00357722">
        <w:rPr>
          <w:i w:val="0"/>
          <w:color w:val="000000" w:themeColor="text1"/>
        </w:rPr>
        <w:t xml:space="preserve">ation </w:t>
      </w:r>
      <w:r w:rsidR="002E7BB0" w:rsidRPr="00357722">
        <w:rPr>
          <w:i w:val="0"/>
          <w:color w:val="000000" w:themeColor="text1"/>
        </w:rPr>
        <w:t>allows</w:t>
      </w:r>
      <w:r w:rsidR="00BB6A10" w:rsidRPr="00357722">
        <w:rPr>
          <w:i w:val="0"/>
          <w:color w:val="000000" w:themeColor="text1"/>
        </w:rPr>
        <w:t xml:space="preserve"> investors to construct internationally diversified equity portfolio</w:t>
      </w:r>
      <w:r w:rsidR="00E30532">
        <w:rPr>
          <w:i w:val="0"/>
          <w:color w:val="000000" w:themeColor="text1"/>
        </w:rPr>
        <w:t>s</w:t>
      </w:r>
      <w:r w:rsidR="00BB6A10" w:rsidRPr="00357722">
        <w:rPr>
          <w:i w:val="0"/>
          <w:color w:val="000000" w:themeColor="text1"/>
        </w:rPr>
        <w:t xml:space="preserve"> to explore growth </w:t>
      </w:r>
      <w:r w:rsidR="00214773" w:rsidRPr="00357722">
        <w:rPr>
          <w:i w:val="0"/>
          <w:color w:val="000000" w:themeColor="text1"/>
        </w:rPr>
        <w:t xml:space="preserve">opportunities </w:t>
      </w:r>
      <w:r w:rsidR="0055280C" w:rsidRPr="00357722">
        <w:rPr>
          <w:i w:val="0"/>
          <w:color w:val="000000" w:themeColor="text1"/>
        </w:rPr>
        <w:t xml:space="preserve">in </w:t>
      </w:r>
      <w:r w:rsidR="00A232FB" w:rsidRPr="00357722">
        <w:rPr>
          <w:i w:val="0"/>
          <w:color w:val="000000" w:themeColor="text1"/>
        </w:rPr>
        <w:t xml:space="preserve">other countries </w:t>
      </w:r>
      <w:r w:rsidR="00BB6A10" w:rsidRPr="00357722">
        <w:rPr>
          <w:i w:val="0"/>
          <w:color w:val="000000" w:themeColor="text1"/>
        </w:rPr>
        <w:t xml:space="preserve">and also to reduce portfolio risk. </w:t>
      </w:r>
      <w:r w:rsidR="00DA7039" w:rsidRPr="00357722">
        <w:rPr>
          <w:rFonts w:eastAsiaTheme="minorEastAsia"/>
          <w:bCs w:val="0"/>
          <w:i w:val="0"/>
          <w:iCs w:val="0"/>
          <w:color w:val="000000"/>
        </w:rPr>
        <w:t xml:space="preserve">The international capital asset pricing model suggests that investors should construct </w:t>
      </w:r>
      <w:r w:rsidR="00E30532">
        <w:rPr>
          <w:rFonts w:eastAsiaTheme="minorEastAsia"/>
          <w:bCs w:val="0"/>
          <w:i w:val="0"/>
          <w:iCs w:val="0"/>
          <w:color w:val="000000"/>
        </w:rPr>
        <w:t xml:space="preserve">a </w:t>
      </w:r>
      <w:r w:rsidR="00DA7039" w:rsidRPr="00357722">
        <w:rPr>
          <w:rFonts w:eastAsiaTheme="minorEastAsia"/>
          <w:bCs w:val="0"/>
          <w:i w:val="0"/>
          <w:iCs w:val="0"/>
          <w:color w:val="000000"/>
        </w:rPr>
        <w:t xml:space="preserve">globally diversified portfolio, and several studies document that international equity portfolio diversification facilitates </w:t>
      </w:r>
      <w:r w:rsidR="00E30532" w:rsidRPr="00357722">
        <w:rPr>
          <w:rFonts w:eastAsiaTheme="minorEastAsia"/>
          <w:bCs w:val="0"/>
          <w:i w:val="0"/>
          <w:iCs w:val="0"/>
          <w:color w:val="000000"/>
        </w:rPr>
        <w:t>risk</w:t>
      </w:r>
      <w:r w:rsidR="00E30532">
        <w:rPr>
          <w:rFonts w:eastAsiaTheme="minorEastAsia"/>
          <w:bCs w:val="0"/>
          <w:i w:val="0"/>
          <w:iCs w:val="0"/>
          <w:color w:val="000000"/>
        </w:rPr>
        <w:t>-</w:t>
      </w:r>
      <w:r w:rsidR="00DA7039" w:rsidRPr="00357722">
        <w:rPr>
          <w:rFonts w:eastAsiaTheme="minorEastAsia"/>
          <w:bCs w:val="0"/>
          <w:i w:val="0"/>
          <w:iCs w:val="0"/>
          <w:color w:val="000000"/>
        </w:rPr>
        <w:t>sharing (Levine and Zervos, 1998</w:t>
      </w:r>
      <w:r w:rsidR="001C2EBE">
        <w:rPr>
          <w:rFonts w:eastAsiaTheme="minorEastAsia"/>
          <w:bCs w:val="0"/>
          <w:i w:val="0"/>
          <w:iCs w:val="0"/>
          <w:color w:val="000000"/>
        </w:rPr>
        <w:t>;</w:t>
      </w:r>
      <w:r w:rsidR="00DA7039" w:rsidRPr="00357722">
        <w:rPr>
          <w:rFonts w:eastAsiaTheme="minorEastAsia"/>
          <w:bCs w:val="0"/>
          <w:i w:val="0"/>
          <w:iCs w:val="0"/>
          <w:color w:val="000000"/>
        </w:rPr>
        <w:t xml:space="preserve"> Bae and Goyal, 2010). Subsequent research focusses on the benefits of </w:t>
      </w:r>
      <w:r w:rsidR="00E30532">
        <w:rPr>
          <w:rFonts w:eastAsiaTheme="minorEastAsia"/>
          <w:bCs w:val="0"/>
          <w:i w:val="0"/>
          <w:iCs w:val="0"/>
          <w:color w:val="000000"/>
        </w:rPr>
        <w:t xml:space="preserve">a </w:t>
      </w:r>
      <w:r w:rsidR="00DA7039" w:rsidRPr="00357722">
        <w:rPr>
          <w:rFonts w:eastAsiaTheme="minorEastAsia"/>
          <w:bCs w:val="0"/>
          <w:i w:val="0"/>
          <w:iCs w:val="0"/>
          <w:color w:val="000000"/>
        </w:rPr>
        <w:t>foreign equity portfolio to the host country (Colombo et al.</w:t>
      </w:r>
      <w:r w:rsidR="009C595B">
        <w:rPr>
          <w:rFonts w:eastAsiaTheme="minorEastAsia"/>
          <w:bCs w:val="0"/>
          <w:i w:val="0"/>
          <w:iCs w:val="0"/>
          <w:color w:val="000000"/>
        </w:rPr>
        <w:t>,</w:t>
      </w:r>
      <w:r w:rsidR="00DA7039" w:rsidRPr="00357722">
        <w:rPr>
          <w:rFonts w:eastAsiaTheme="minorEastAsia"/>
          <w:bCs w:val="0"/>
          <w:i w:val="0"/>
          <w:iCs w:val="0"/>
          <w:color w:val="000000"/>
        </w:rPr>
        <w:t xml:space="preserve"> 2018; Kwabi et al.</w:t>
      </w:r>
      <w:r w:rsidR="009C595B">
        <w:rPr>
          <w:rFonts w:eastAsiaTheme="minorEastAsia"/>
          <w:bCs w:val="0"/>
          <w:i w:val="0"/>
          <w:iCs w:val="0"/>
          <w:color w:val="000000"/>
        </w:rPr>
        <w:t>,</w:t>
      </w:r>
      <w:r w:rsidR="00DA7039" w:rsidRPr="00357722">
        <w:rPr>
          <w:rFonts w:eastAsiaTheme="minorEastAsia"/>
          <w:bCs w:val="0"/>
          <w:i w:val="0"/>
          <w:iCs w:val="0"/>
          <w:color w:val="000000"/>
        </w:rPr>
        <w:t xml:space="preserve"> 201</w:t>
      </w:r>
      <w:r w:rsidR="002B7026">
        <w:rPr>
          <w:rFonts w:eastAsiaTheme="minorEastAsia"/>
          <w:bCs w:val="0"/>
          <w:i w:val="0"/>
          <w:iCs w:val="0"/>
          <w:color w:val="000000"/>
        </w:rPr>
        <w:t>8</w:t>
      </w:r>
      <w:r w:rsidR="00DA7039" w:rsidRPr="00357722">
        <w:rPr>
          <w:rFonts w:eastAsiaTheme="minorEastAsia"/>
          <w:bCs w:val="0"/>
          <w:i w:val="0"/>
          <w:iCs w:val="0"/>
          <w:color w:val="000000"/>
        </w:rPr>
        <w:t xml:space="preserve">; Hail and </w:t>
      </w:r>
      <w:proofErr w:type="spellStart"/>
      <w:r w:rsidR="00DA7039" w:rsidRPr="00357722">
        <w:rPr>
          <w:rFonts w:eastAsiaTheme="minorEastAsia"/>
          <w:bCs w:val="0"/>
          <w:i w:val="0"/>
          <w:iCs w:val="0"/>
          <w:color w:val="000000"/>
        </w:rPr>
        <w:t>Leuz</w:t>
      </w:r>
      <w:proofErr w:type="spellEnd"/>
      <w:r w:rsidR="00DA7039" w:rsidRPr="00357722">
        <w:rPr>
          <w:rFonts w:eastAsiaTheme="minorEastAsia"/>
          <w:bCs w:val="0"/>
          <w:i w:val="0"/>
          <w:iCs w:val="0"/>
          <w:color w:val="000000"/>
        </w:rPr>
        <w:t>, 2006).</w:t>
      </w:r>
      <w:r w:rsidR="00910BA7" w:rsidRPr="00357722">
        <w:rPr>
          <w:rFonts w:eastAsiaTheme="minorEastAsia"/>
          <w:bCs w:val="0"/>
          <w:i w:val="0"/>
          <w:iCs w:val="0"/>
          <w:color w:val="000000"/>
        </w:rPr>
        <w:t xml:space="preserve"> Agenor (2001) discusses the benefits of international financial integration on investment, growth</w:t>
      </w:r>
      <w:r w:rsidR="00E30532">
        <w:rPr>
          <w:rFonts w:eastAsiaTheme="minorEastAsia"/>
          <w:bCs w:val="0"/>
          <w:i w:val="0"/>
          <w:iCs w:val="0"/>
          <w:color w:val="000000"/>
        </w:rPr>
        <w:t>,</w:t>
      </w:r>
      <w:r w:rsidR="00910BA7" w:rsidRPr="00357722">
        <w:rPr>
          <w:rFonts w:eastAsiaTheme="minorEastAsia"/>
          <w:bCs w:val="0"/>
          <w:i w:val="0"/>
          <w:iCs w:val="0"/>
          <w:color w:val="000000"/>
        </w:rPr>
        <w:t xml:space="preserve"> and the role of foreign banks </w:t>
      </w:r>
      <w:r w:rsidR="00E30532">
        <w:rPr>
          <w:rFonts w:eastAsiaTheme="minorEastAsia"/>
          <w:bCs w:val="0"/>
          <w:i w:val="0"/>
          <w:iCs w:val="0"/>
          <w:color w:val="000000"/>
        </w:rPr>
        <w:t>i</w:t>
      </w:r>
      <w:r w:rsidR="00E30532" w:rsidRPr="00357722">
        <w:rPr>
          <w:rFonts w:eastAsiaTheme="minorEastAsia"/>
          <w:bCs w:val="0"/>
          <w:i w:val="0"/>
          <w:iCs w:val="0"/>
          <w:color w:val="000000"/>
        </w:rPr>
        <w:t xml:space="preserve">n </w:t>
      </w:r>
      <w:r w:rsidR="00910BA7" w:rsidRPr="00357722">
        <w:rPr>
          <w:rFonts w:eastAsiaTheme="minorEastAsia"/>
          <w:bCs w:val="0"/>
          <w:i w:val="0"/>
          <w:iCs w:val="0"/>
          <w:color w:val="000000"/>
        </w:rPr>
        <w:t>the local financial system.</w:t>
      </w:r>
    </w:p>
    <w:p w14:paraId="3A666350" w14:textId="372E5646" w:rsidR="00B6608B" w:rsidRPr="00357722" w:rsidRDefault="004C24A3" w:rsidP="00C87D20">
      <w:pPr>
        <w:pStyle w:val="Style2"/>
        <w:spacing w:line="480" w:lineRule="auto"/>
        <w:ind w:firstLine="720"/>
        <w:rPr>
          <w:rFonts w:eastAsiaTheme="minorEastAsia"/>
          <w:bCs w:val="0"/>
          <w:i w:val="0"/>
          <w:iCs w:val="0"/>
          <w:color w:val="000000"/>
        </w:rPr>
      </w:pPr>
      <w:r w:rsidRPr="00357722">
        <w:rPr>
          <w:i w:val="0"/>
          <w:color w:val="000000"/>
        </w:rPr>
        <w:t xml:space="preserve">A number of early studies have hypothesized the </w:t>
      </w:r>
      <w:r w:rsidR="00A648E0" w:rsidRPr="00357722">
        <w:rPr>
          <w:i w:val="0"/>
          <w:color w:val="000000"/>
        </w:rPr>
        <w:t xml:space="preserve">relationship between international finance and </w:t>
      </w:r>
      <w:r w:rsidR="00C00F60" w:rsidRPr="00357722">
        <w:rPr>
          <w:i w:val="0"/>
          <w:color w:val="000000"/>
        </w:rPr>
        <w:t xml:space="preserve">financial </w:t>
      </w:r>
      <w:r w:rsidR="008D5DB0" w:rsidRPr="00357722">
        <w:rPr>
          <w:i w:val="0"/>
          <w:color w:val="000000"/>
        </w:rPr>
        <w:t xml:space="preserve">market </w:t>
      </w:r>
      <w:r w:rsidR="00C00F60" w:rsidRPr="00357722">
        <w:rPr>
          <w:i w:val="0"/>
          <w:color w:val="000000"/>
        </w:rPr>
        <w:t>development</w:t>
      </w:r>
      <w:r w:rsidR="004E34DB" w:rsidRPr="00357722">
        <w:rPr>
          <w:i w:val="0"/>
          <w:color w:val="000000"/>
        </w:rPr>
        <w:t xml:space="preserve"> under financial</w:t>
      </w:r>
      <w:r w:rsidR="00A648E0" w:rsidRPr="00357722">
        <w:rPr>
          <w:i w:val="0"/>
          <w:color w:val="000000"/>
        </w:rPr>
        <w:t xml:space="preserve"> liberalization</w:t>
      </w:r>
      <w:r w:rsidR="004E34DB" w:rsidRPr="00357722">
        <w:rPr>
          <w:i w:val="0"/>
          <w:color w:val="000000"/>
        </w:rPr>
        <w:t xml:space="preserve"> </w:t>
      </w:r>
      <w:r w:rsidR="00A648E0" w:rsidRPr="00357722">
        <w:rPr>
          <w:i w:val="0"/>
          <w:color w:val="000000"/>
        </w:rPr>
        <w:t>(Stulz, 1999; 2005)</w:t>
      </w:r>
      <w:r w:rsidR="00AD75F7" w:rsidRPr="00357722">
        <w:rPr>
          <w:i w:val="0"/>
          <w:color w:val="000000"/>
        </w:rPr>
        <w:t>,</w:t>
      </w:r>
      <w:r w:rsidR="00A648E0" w:rsidRPr="00357722">
        <w:rPr>
          <w:i w:val="0"/>
          <w:color w:val="000000"/>
        </w:rPr>
        <w:t xml:space="preserve"> and financial </w:t>
      </w:r>
      <w:r w:rsidR="00E30532" w:rsidRPr="00357722">
        <w:rPr>
          <w:i w:val="0"/>
          <w:color w:val="000000"/>
        </w:rPr>
        <w:t>globali</w:t>
      </w:r>
      <w:r w:rsidR="00E30532">
        <w:rPr>
          <w:i w:val="0"/>
          <w:color w:val="000000"/>
        </w:rPr>
        <w:t>z</w:t>
      </w:r>
      <w:r w:rsidR="00E30532" w:rsidRPr="00357722">
        <w:rPr>
          <w:i w:val="0"/>
          <w:color w:val="000000"/>
        </w:rPr>
        <w:t xml:space="preserve">ation </w:t>
      </w:r>
      <w:r w:rsidR="00A648E0" w:rsidRPr="00357722">
        <w:rPr>
          <w:i w:val="0"/>
          <w:color w:val="000000"/>
        </w:rPr>
        <w:t>(Stulz, 2000)</w:t>
      </w:r>
      <w:r w:rsidR="00FA3779" w:rsidRPr="00357722">
        <w:rPr>
          <w:i w:val="0"/>
          <w:color w:val="000000"/>
        </w:rPr>
        <w:t xml:space="preserve">. </w:t>
      </w:r>
      <w:r w:rsidRPr="00357722">
        <w:rPr>
          <w:i w:val="0"/>
          <w:color w:val="000000"/>
        </w:rPr>
        <w:t>These studies have shown that</w:t>
      </w:r>
      <w:r w:rsidR="00D2498A" w:rsidRPr="00357722">
        <w:rPr>
          <w:i w:val="0"/>
          <w:color w:val="000000"/>
        </w:rPr>
        <w:t>,</w:t>
      </w:r>
      <w:r w:rsidRPr="00357722">
        <w:rPr>
          <w:i w:val="0"/>
          <w:color w:val="000000"/>
        </w:rPr>
        <w:t xml:space="preserve"> as </w:t>
      </w:r>
      <w:r w:rsidR="00104CFF" w:rsidRPr="00357722">
        <w:rPr>
          <w:i w:val="0"/>
          <w:color w:val="000000"/>
        </w:rPr>
        <w:t xml:space="preserve">countries attract foreign investors, </w:t>
      </w:r>
      <w:r w:rsidR="00723297" w:rsidRPr="00357722">
        <w:rPr>
          <w:i w:val="0"/>
          <w:color w:val="000000"/>
        </w:rPr>
        <w:t xml:space="preserve">the presence of international investors </w:t>
      </w:r>
      <w:r w:rsidR="00AD75F7" w:rsidRPr="00357722">
        <w:rPr>
          <w:i w:val="0"/>
          <w:color w:val="000000"/>
        </w:rPr>
        <w:t>upsurge</w:t>
      </w:r>
      <w:r w:rsidR="001C2EBE">
        <w:rPr>
          <w:i w:val="0"/>
          <w:color w:val="000000"/>
        </w:rPr>
        <w:t>s</w:t>
      </w:r>
      <w:r w:rsidR="00723297" w:rsidRPr="00357722">
        <w:rPr>
          <w:i w:val="0"/>
          <w:color w:val="000000"/>
        </w:rPr>
        <w:t xml:space="preserve"> financial market efficiency by fostering </w:t>
      </w:r>
      <w:r w:rsidR="00794E66" w:rsidRPr="00357722">
        <w:rPr>
          <w:i w:val="0"/>
          <w:color w:val="000000"/>
        </w:rPr>
        <w:t>well-organized</w:t>
      </w:r>
      <w:r w:rsidR="00723297" w:rsidRPr="00357722">
        <w:rPr>
          <w:i w:val="0"/>
          <w:color w:val="000000"/>
        </w:rPr>
        <w:t xml:space="preserve"> financial institution</w:t>
      </w:r>
      <w:r w:rsidR="00E30532">
        <w:rPr>
          <w:i w:val="0"/>
          <w:color w:val="000000"/>
        </w:rPr>
        <w:t>s</w:t>
      </w:r>
      <w:r w:rsidR="00723297" w:rsidRPr="00357722">
        <w:rPr>
          <w:i w:val="0"/>
          <w:color w:val="000000"/>
        </w:rPr>
        <w:t xml:space="preserve"> (Henry,</w:t>
      </w:r>
      <w:r w:rsidR="00D559D0" w:rsidRPr="00357722">
        <w:rPr>
          <w:i w:val="0"/>
          <w:color w:val="000000"/>
        </w:rPr>
        <w:t xml:space="preserve"> </w:t>
      </w:r>
      <w:r w:rsidR="00723297" w:rsidRPr="00357722">
        <w:rPr>
          <w:i w:val="0"/>
          <w:color w:val="000000"/>
        </w:rPr>
        <w:t>2000</w:t>
      </w:r>
      <w:r w:rsidR="00DB19D2" w:rsidRPr="00357722">
        <w:rPr>
          <w:i w:val="0"/>
          <w:color w:val="000000"/>
        </w:rPr>
        <w:t>; Chin and</w:t>
      </w:r>
      <w:r w:rsidR="001A5A90" w:rsidRPr="00357722">
        <w:rPr>
          <w:i w:val="0"/>
          <w:color w:val="000000"/>
        </w:rPr>
        <w:t xml:space="preserve"> Ito, 2006</w:t>
      </w:r>
      <w:r w:rsidR="00723297" w:rsidRPr="00357722">
        <w:rPr>
          <w:i w:val="0"/>
          <w:color w:val="000000"/>
        </w:rPr>
        <w:t>)</w:t>
      </w:r>
      <w:r w:rsidR="00022C24" w:rsidRPr="00357722">
        <w:rPr>
          <w:i w:val="0"/>
          <w:color w:val="000000"/>
        </w:rPr>
        <w:t xml:space="preserve"> and </w:t>
      </w:r>
      <w:r w:rsidR="001C2EBE">
        <w:rPr>
          <w:i w:val="0"/>
          <w:color w:val="000000"/>
        </w:rPr>
        <w:t xml:space="preserve">the </w:t>
      </w:r>
      <w:r w:rsidR="00022C24" w:rsidRPr="00357722">
        <w:rPr>
          <w:i w:val="0"/>
          <w:color w:val="000000"/>
        </w:rPr>
        <w:t>reform</w:t>
      </w:r>
      <w:r w:rsidR="00AD75F7" w:rsidRPr="00357722">
        <w:rPr>
          <w:i w:val="0"/>
          <w:color w:val="000000"/>
        </w:rPr>
        <w:t>s</w:t>
      </w:r>
      <w:r w:rsidR="00022C24" w:rsidRPr="00357722">
        <w:rPr>
          <w:i w:val="0"/>
          <w:color w:val="000000"/>
        </w:rPr>
        <w:t xml:space="preserve"> </w:t>
      </w:r>
      <w:r w:rsidR="00AD75F7" w:rsidRPr="00357722">
        <w:rPr>
          <w:i w:val="0"/>
          <w:color w:val="000000"/>
        </w:rPr>
        <w:t>prevailing</w:t>
      </w:r>
      <w:r w:rsidR="00022C24" w:rsidRPr="00357722">
        <w:rPr>
          <w:i w:val="0"/>
          <w:color w:val="000000"/>
        </w:rPr>
        <w:t xml:space="preserve"> financial infrastructure</w:t>
      </w:r>
      <w:r w:rsidR="00D559D0" w:rsidRPr="00357722">
        <w:rPr>
          <w:i w:val="0"/>
          <w:color w:val="000000"/>
        </w:rPr>
        <w:t xml:space="preserve"> (Claessens</w:t>
      </w:r>
      <w:r w:rsidR="00022C24" w:rsidRPr="00357722">
        <w:rPr>
          <w:i w:val="0"/>
          <w:color w:val="000000"/>
        </w:rPr>
        <w:t xml:space="preserve"> </w:t>
      </w:r>
      <w:r w:rsidR="00D559D0" w:rsidRPr="00357722">
        <w:rPr>
          <w:i w:val="0"/>
          <w:color w:val="000000"/>
        </w:rPr>
        <w:t>et al.</w:t>
      </w:r>
      <w:r w:rsidR="009C595B">
        <w:rPr>
          <w:i w:val="0"/>
          <w:color w:val="000000"/>
        </w:rPr>
        <w:t>,</w:t>
      </w:r>
      <w:r w:rsidR="00A04BE8" w:rsidRPr="00357722">
        <w:rPr>
          <w:i w:val="0"/>
          <w:color w:val="000000"/>
        </w:rPr>
        <w:t xml:space="preserve"> </w:t>
      </w:r>
      <w:r w:rsidR="00D559D0" w:rsidRPr="00357722">
        <w:rPr>
          <w:i w:val="0"/>
          <w:color w:val="000000"/>
        </w:rPr>
        <w:t>2001).</w:t>
      </w:r>
      <w:r w:rsidR="001B3E9A" w:rsidRPr="00357722">
        <w:rPr>
          <w:i w:val="0"/>
          <w:color w:val="000000"/>
        </w:rPr>
        <w:t xml:space="preserve"> </w:t>
      </w:r>
      <w:r w:rsidR="00CE3D86" w:rsidRPr="00357722">
        <w:rPr>
          <w:i w:val="0"/>
          <w:color w:val="000000"/>
        </w:rPr>
        <w:t xml:space="preserve">Several theoretical researchers emphasize the role of international investors in financial development. For instance, </w:t>
      </w:r>
      <w:r w:rsidR="001B3E9A" w:rsidRPr="00357722">
        <w:rPr>
          <w:i w:val="0"/>
          <w:color w:val="000000"/>
        </w:rPr>
        <w:t xml:space="preserve">Errunza (2001) </w:t>
      </w:r>
      <w:r w:rsidR="00104CFF" w:rsidRPr="00357722">
        <w:rPr>
          <w:i w:val="0"/>
          <w:color w:val="000000"/>
        </w:rPr>
        <w:t xml:space="preserve">provides </w:t>
      </w:r>
      <w:r w:rsidR="00AD75F7" w:rsidRPr="00357722">
        <w:rPr>
          <w:i w:val="0"/>
          <w:color w:val="000000"/>
        </w:rPr>
        <w:t xml:space="preserve">a </w:t>
      </w:r>
      <w:r w:rsidR="00104CFF" w:rsidRPr="00357722">
        <w:rPr>
          <w:i w:val="0"/>
          <w:color w:val="000000"/>
        </w:rPr>
        <w:lastRenderedPageBreak/>
        <w:t xml:space="preserve">theoretical argument </w:t>
      </w:r>
      <w:r w:rsidR="001B3E9A" w:rsidRPr="00357722">
        <w:rPr>
          <w:i w:val="0"/>
          <w:color w:val="000000"/>
        </w:rPr>
        <w:t xml:space="preserve">that </w:t>
      </w:r>
      <w:r w:rsidR="00AD75F7" w:rsidRPr="00357722">
        <w:rPr>
          <w:i w:val="0"/>
          <w:color w:val="000000"/>
        </w:rPr>
        <w:t>foreign capital flow</w:t>
      </w:r>
      <w:r w:rsidR="001B3E9A" w:rsidRPr="00357722">
        <w:rPr>
          <w:i w:val="0"/>
          <w:color w:val="000000"/>
        </w:rPr>
        <w:t xml:space="preserve"> </w:t>
      </w:r>
      <w:r w:rsidR="00877B75" w:rsidRPr="00357722">
        <w:rPr>
          <w:i w:val="0"/>
          <w:color w:val="000000"/>
        </w:rPr>
        <w:t>will prompt stock market development via enhanced</w:t>
      </w:r>
      <w:r w:rsidR="00104CFF" w:rsidRPr="00357722">
        <w:rPr>
          <w:i w:val="0"/>
          <w:color w:val="000000"/>
        </w:rPr>
        <w:t xml:space="preserve"> </w:t>
      </w:r>
      <w:r w:rsidR="001B3E9A" w:rsidRPr="00357722">
        <w:rPr>
          <w:i w:val="0"/>
          <w:color w:val="000000"/>
        </w:rPr>
        <w:t>timeliness and quality of information</w:t>
      </w:r>
      <w:r w:rsidR="00104CFF" w:rsidRPr="00357722">
        <w:rPr>
          <w:i w:val="0"/>
          <w:color w:val="000000"/>
        </w:rPr>
        <w:t>,</w:t>
      </w:r>
      <w:r w:rsidR="001B3E9A" w:rsidRPr="00357722">
        <w:rPr>
          <w:i w:val="0"/>
          <w:color w:val="000000"/>
        </w:rPr>
        <w:t xml:space="preserve"> </w:t>
      </w:r>
      <w:r w:rsidR="00104CFF" w:rsidRPr="00357722">
        <w:rPr>
          <w:i w:val="0"/>
          <w:color w:val="000000"/>
        </w:rPr>
        <w:t xml:space="preserve">better </w:t>
      </w:r>
      <w:r w:rsidR="001B3E9A" w:rsidRPr="00357722">
        <w:rPr>
          <w:i w:val="0"/>
          <w:color w:val="000000"/>
        </w:rPr>
        <w:t>protection of minority shareholders</w:t>
      </w:r>
      <w:r w:rsidR="00104CFF" w:rsidRPr="00357722">
        <w:rPr>
          <w:i w:val="0"/>
          <w:color w:val="000000"/>
        </w:rPr>
        <w:t>,</w:t>
      </w:r>
      <w:r w:rsidR="001B3E9A" w:rsidRPr="00357722">
        <w:rPr>
          <w:i w:val="0"/>
          <w:color w:val="000000"/>
        </w:rPr>
        <w:t xml:space="preserve"> </w:t>
      </w:r>
      <w:r w:rsidR="00AF7F4B">
        <w:rPr>
          <w:i w:val="0"/>
          <w:color w:val="000000"/>
        </w:rPr>
        <w:t xml:space="preserve">and </w:t>
      </w:r>
      <w:r w:rsidR="001B3E9A" w:rsidRPr="00357722">
        <w:rPr>
          <w:i w:val="0"/>
          <w:color w:val="000000"/>
        </w:rPr>
        <w:t>adequate market and trading regulations</w:t>
      </w:r>
      <w:r w:rsidR="00104CFF" w:rsidRPr="00357722">
        <w:rPr>
          <w:i w:val="0"/>
          <w:color w:val="000000"/>
        </w:rPr>
        <w:t>.</w:t>
      </w:r>
      <w:r w:rsidR="00FD3A4C" w:rsidRPr="00357722">
        <w:rPr>
          <w:i w:val="0"/>
          <w:color w:val="000000"/>
        </w:rPr>
        <w:t xml:space="preserve"> However, our understanding of how international equity portfolio flow</w:t>
      </w:r>
      <w:r w:rsidR="00E30532">
        <w:rPr>
          <w:i w:val="0"/>
          <w:color w:val="000000"/>
        </w:rPr>
        <w:t>s</w:t>
      </w:r>
      <w:r w:rsidR="00FD3A4C" w:rsidRPr="00357722">
        <w:rPr>
          <w:i w:val="0"/>
          <w:color w:val="000000"/>
        </w:rPr>
        <w:t xml:space="preserve"> impact financial development is incomplete.</w:t>
      </w:r>
    </w:p>
    <w:p w14:paraId="60DD1721" w14:textId="737BF1DC" w:rsidR="0083291D" w:rsidRPr="00357722" w:rsidRDefault="000A7DAF" w:rsidP="00B6608B">
      <w:pPr>
        <w:pStyle w:val="Style2"/>
        <w:spacing w:line="480" w:lineRule="auto"/>
        <w:ind w:firstLine="720"/>
        <w:rPr>
          <w:rFonts w:eastAsiaTheme="minorEastAsia"/>
          <w:bCs w:val="0"/>
          <w:i w:val="0"/>
          <w:iCs w:val="0"/>
          <w:color w:val="000000"/>
        </w:rPr>
      </w:pPr>
      <w:r w:rsidRPr="00357722">
        <w:rPr>
          <w:rFonts w:eastAsiaTheme="minorEastAsia"/>
          <w:bCs w:val="0"/>
          <w:i w:val="0"/>
          <w:iCs w:val="0"/>
          <w:color w:val="000000"/>
        </w:rPr>
        <w:t xml:space="preserve">There remains a substantial body of literature </w:t>
      </w:r>
      <w:r w:rsidR="00950B56" w:rsidRPr="00357722">
        <w:rPr>
          <w:rFonts w:eastAsiaTheme="minorEastAsia"/>
          <w:bCs w:val="0"/>
          <w:i w:val="0"/>
          <w:iCs w:val="0"/>
          <w:color w:val="000000"/>
        </w:rPr>
        <w:t xml:space="preserve">that shows </w:t>
      </w:r>
      <w:r w:rsidR="00F37D3C" w:rsidRPr="00357722">
        <w:rPr>
          <w:rFonts w:eastAsiaTheme="minorEastAsia"/>
          <w:bCs w:val="0"/>
          <w:i w:val="0"/>
          <w:iCs w:val="0"/>
          <w:color w:val="000000"/>
        </w:rPr>
        <w:t xml:space="preserve">greater </w:t>
      </w:r>
      <w:r w:rsidR="00267C8C" w:rsidRPr="00357722">
        <w:rPr>
          <w:rFonts w:eastAsiaTheme="minorEastAsia"/>
          <w:bCs w:val="0"/>
          <w:i w:val="0"/>
          <w:iCs w:val="0"/>
          <w:color w:val="000000"/>
        </w:rPr>
        <w:t xml:space="preserve">participation in the domestic stock </w:t>
      </w:r>
      <w:r w:rsidR="00D2498A" w:rsidRPr="00357722">
        <w:rPr>
          <w:rFonts w:eastAsiaTheme="minorEastAsia"/>
          <w:bCs w:val="0"/>
          <w:i w:val="0"/>
          <w:iCs w:val="0"/>
          <w:color w:val="000000"/>
        </w:rPr>
        <w:t xml:space="preserve">market </w:t>
      </w:r>
      <w:r w:rsidR="00267C8C" w:rsidRPr="00357722">
        <w:rPr>
          <w:rFonts w:eastAsiaTheme="minorEastAsia"/>
          <w:bCs w:val="0"/>
          <w:i w:val="0"/>
          <w:iCs w:val="0"/>
          <w:color w:val="000000"/>
        </w:rPr>
        <w:t xml:space="preserve">by foreign investors </w:t>
      </w:r>
      <w:r w:rsidR="00877B75" w:rsidRPr="00357722">
        <w:rPr>
          <w:rFonts w:eastAsiaTheme="minorEastAsia"/>
          <w:bCs w:val="0"/>
          <w:i w:val="0"/>
          <w:iCs w:val="0"/>
          <w:color w:val="000000"/>
        </w:rPr>
        <w:t>improve</w:t>
      </w:r>
      <w:r w:rsidR="00E30532">
        <w:rPr>
          <w:rFonts w:eastAsiaTheme="minorEastAsia"/>
          <w:bCs w:val="0"/>
          <w:i w:val="0"/>
          <w:iCs w:val="0"/>
          <w:color w:val="000000"/>
        </w:rPr>
        <w:t>s</w:t>
      </w:r>
      <w:r w:rsidR="00267C8C" w:rsidRPr="00357722">
        <w:rPr>
          <w:rFonts w:eastAsiaTheme="minorEastAsia"/>
          <w:bCs w:val="0"/>
          <w:i w:val="0"/>
          <w:iCs w:val="0"/>
          <w:color w:val="000000"/>
        </w:rPr>
        <w:t xml:space="preserve"> </w:t>
      </w:r>
      <w:r w:rsidR="0083291D" w:rsidRPr="00357722">
        <w:rPr>
          <w:rFonts w:eastAsiaTheme="minorEastAsia"/>
          <w:bCs w:val="0"/>
          <w:i w:val="0"/>
          <w:iCs w:val="0"/>
          <w:color w:val="000000"/>
        </w:rPr>
        <w:t xml:space="preserve">competition in the </w:t>
      </w:r>
      <w:r w:rsidR="00794E66" w:rsidRPr="00357722">
        <w:rPr>
          <w:rFonts w:eastAsiaTheme="minorEastAsia"/>
          <w:bCs w:val="0"/>
          <w:i w:val="0"/>
          <w:iCs w:val="0"/>
          <w:color w:val="000000"/>
        </w:rPr>
        <w:t>domestic</w:t>
      </w:r>
      <w:r w:rsidR="0083291D" w:rsidRPr="00357722">
        <w:rPr>
          <w:rFonts w:eastAsiaTheme="minorEastAsia"/>
          <w:bCs w:val="0"/>
          <w:i w:val="0"/>
          <w:iCs w:val="0"/>
          <w:color w:val="000000"/>
        </w:rPr>
        <w:t xml:space="preserve"> market (</w:t>
      </w:r>
      <w:r w:rsidR="00273ACC" w:rsidRPr="00357722">
        <w:rPr>
          <w:rFonts w:eastAsiaTheme="minorEastAsia"/>
          <w:bCs w:val="0"/>
          <w:i w:val="0"/>
          <w:iCs w:val="0"/>
          <w:color w:val="000000"/>
        </w:rPr>
        <w:t>Bekaert et al.</w:t>
      </w:r>
      <w:r w:rsidR="009C595B">
        <w:rPr>
          <w:rFonts w:eastAsiaTheme="minorEastAsia"/>
          <w:bCs w:val="0"/>
          <w:i w:val="0"/>
          <w:iCs w:val="0"/>
          <w:color w:val="000000"/>
        </w:rPr>
        <w:t>,</w:t>
      </w:r>
      <w:r w:rsidR="00273ACC" w:rsidRPr="00357722">
        <w:rPr>
          <w:rFonts w:eastAsiaTheme="minorEastAsia"/>
          <w:bCs w:val="0"/>
          <w:i w:val="0"/>
          <w:iCs w:val="0"/>
          <w:color w:val="000000"/>
        </w:rPr>
        <w:t xml:space="preserve"> 2007; Gul et al.</w:t>
      </w:r>
      <w:r w:rsidR="009C595B">
        <w:rPr>
          <w:rFonts w:eastAsiaTheme="minorEastAsia"/>
          <w:bCs w:val="0"/>
          <w:i w:val="0"/>
          <w:iCs w:val="0"/>
          <w:color w:val="000000"/>
        </w:rPr>
        <w:t>,</w:t>
      </w:r>
      <w:r w:rsidR="0083291D" w:rsidRPr="00357722">
        <w:rPr>
          <w:rFonts w:eastAsiaTheme="minorEastAsia"/>
          <w:bCs w:val="0"/>
          <w:i w:val="0"/>
          <w:iCs w:val="0"/>
          <w:color w:val="000000"/>
        </w:rPr>
        <w:t xml:space="preserve"> 2010)</w:t>
      </w:r>
      <w:r w:rsidR="00FD3A4C" w:rsidRPr="00357722">
        <w:rPr>
          <w:rFonts w:eastAsiaTheme="minorEastAsia"/>
          <w:bCs w:val="0"/>
          <w:i w:val="0"/>
          <w:iCs w:val="0"/>
          <w:color w:val="000000"/>
        </w:rPr>
        <w:t>.</w:t>
      </w:r>
      <w:r w:rsidR="00267C8C" w:rsidRPr="00357722">
        <w:rPr>
          <w:rFonts w:eastAsiaTheme="minorEastAsia"/>
          <w:bCs w:val="0"/>
          <w:i w:val="0"/>
          <w:iCs w:val="0"/>
          <w:color w:val="000000"/>
        </w:rPr>
        <w:t xml:space="preserve"> </w:t>
      </w:r>
      <w:r w:rsidR="00D35B99" w:rsidRPr="00357722">
        <w:rPr>
          <w:rFonts w:eastAsiaTheme="minorEastAsia"/>
          <w:bCs w:val="0"/>
          <w:i w:val="0"/>
          <w:iCs w:val="0"/>
          <w:color w:val="000000"/>
        </w:rPr>
        <w:t>Foreign investors</w:t>
      </w:r>
      <w:r w:rsidR="00E30532">
        <w:rPr>
          <w:rFonts w:eastAsiaTheme="minorEastAsia"/>
          <w:bCs w:val="0"/>
          <w:i w:val="0"/>
          <w:iCs w:val="0"/>
          <w:color w:val="000000"/>
        </w:rPr>
        <w:t>'</w:t>
      </w:r>
      <w:r w:rsidR="00D35B99" w:rsidRPr="00357722">
        <w:rPr>
          <w:rFonts w:eastAsiaTheme="minorEastAsia"/>
          <w:bCs w:val="0"/>
          <w:i w:val="0"/>
          <w:iCs w:val="0"/>
          <w:color w:val="000000"/>
        </w:rPr>
        <w:t xml:space="preserve"> engagement in the domestic financial market will increase the financial system efficiency by removing inefficient financial institutions and exert</w:t>
      </w:r>
      <w:r w:rsidR="00AF7F4B">
        <w:rPr>
          <w:rFonts w:eastAsiaTheme="minorEastAsia"/>
          <w:bCs w:val="0"/>
          <w:i w:val="0"/>
          <w:iCs w:val="0"/>
          <w:color w:val="000000"/>
        </w:rPr>
        <w:t>ing</w:t>
      </w:r>
      <w:r w:rsidR="00D35B99" w:rsidRPr="00357722">
        <w:rPr>
          <w:rFonts w:eastAsiaTheme="minorEastAsia"/>
          <w:bCs w:val="0"/>
          <w:i w:val="0"/>
          <w:iCs w:val="0"/>
          <w:color w:val="000000"/>
        </w:rPr>
        <w:t xml:space="preserve"> pressure for financial infrastructure reforms. This will reduce information asymmetry and increase investor participation in the financial market to provide credit to firms with productive investment opportunities. </w:t>
      </w:r>
      <w:r w:rsidR="00121928" w:rsidRPr="00357722">
        <w:rPr>
          <w:rFonts w:eastAsiaTheme="minorEastAsia"/>
          <w:bCs w:val="0"/>
          <w:i w:val="0"/>
          <w:iCs w:val="0"/>
          <w:color w:val="000000"/>
        </w:rPr>
        <w:t>Drawing from the above literature</w:t>
      </w:r>
      <w:r w:rsidR="00F44D6F" w:rsidRPr="00357722">
        <w:rPr>
          <w:rFonts w:eastAsiaTheme="minorEastAsia"/>
          <w:bCs w:val="0"/>
          <w:i w:val="0"/>
          <w:iCs w:val="0"/>
          <w:color w:val="000000"/>
        </w:rPr>
        <w:t xml:space="preserve">, we expect foreign </w:t>
      </w:r>
      <w:r w:rsidR="00624B4C" w:rsidRPr="00357722">
        <w:rPr>
          <w:rFonts w:eastAsiaTheme="minorEastAsia"/>
          <w:bCs w:val="0"/>
          <w:i w:val="0"/>
          <w:iCs w:val="0"/>
          <w:color w:val="000000"/>
        </w:rPr>
        <w:t xml:space="preserve">equity investors </w:t>
      </w:r>
      <w:r w:rsidR="00F44D6F" w:rsidRPr="00357722">
        <w:rPr>
          <w:rFonts w:eastAsiaTheme="minorEastAsia"/>
          <w:bCs w:val="0"/>
          <w:i w:val="0"/>
          <w:iCs w:val="0"/>
          <w:color w:val="000000"/>
        </w:rPr>
        <w:t xml:space="preserve">to </w:t>
      </w:r>
      <w:r w:rsidR="00624B4C" w:rsidRPr="00357722">
        <w:rPr>
          <w:rFonts w:eastAsiaTheme="minorEastAsia"/>
          <w:bCs w:val="0"/>
          <w:i w:val="0"/>
          <w:iCs w:val="0"/>
          <w:color w:val="000000"/>
        </w:rPr>
        <w:t xml:space="preserve">contribute to the well-functioning of financial market development of the </w:t>
      </w:r>
      <w:r w:rsidR="00121928" w:rsidRPr="00357722">
        <w:rPr>
          <w:rFonts w:eastAsiaTheme="minorEastAsia"/>
          <w:bCs w:val="0"/>
          <w:i w:val="0"/>
          <w:iCs w:val="0"/>
          <w:color w:val="000000"/>
        </w:rPr>
        <w:t>recipient</w:t>
      </w:r>
      <w:r w:rsidR="00624B4C" w:rsidRPr="00357722">
        <w:rPr>
          <w:rFonts w:eastAsiaTheme="minorEastAsia"/>
          <w:bCs w:val="0"/>
          <w:i w:val="0"/>
          <w:iCs w:val="0"/>
          <w:color w:val="000000"/>
        </w:rPr>
        <w:t xml:space="preserve"> country through liquidity and demand for better trading technologies. </w:t>
      </w:r>
    </w:p>
    <w:p w14:paraId="5D712EB3" w14:textId="77777777" w:rsidR="00794E66" w:rsidRPr="00357722" w:rsidRDefault="00794E66" w:rsidP="00B6608B">
      <w:pPr>
        <w:pStyle w:val="Style2"/>
        <w:spacing w:line="480" w:lineRule="auto"/>
        <w:ind w:firstLine="720"/>
        <w:rPr>
          <w:rFonts w:eastAsiaTheme="minorEastAsia"/>
          <w:bCs w:val="0"/>
          <w:i w:val="0"/>
          <w:iCs w:val="0"/>
          <w:color w:val="000000"/>
        </w:rPr>
      </w:pPr>
    </w:p>
    <w:p w14:paraId="41AEE242" w14:textId="74ABCDCB" w:rsidR="00926C88" w:rsidRPr="00357722" w:rsidRDefault="0083291D" w:rsidP="00926C88">
      <w:pPr>
        <w:spacing w:after="0" w:line="240" w:lineRule="auto"/>
        <w:ind w:right="-1"/>
        <w:jc w:val="both"/>
        <w:rPr>
          <w:rFonts w:ascii="Times New Roman" w:hAnsi="Times New Roman" w:cs="Times New Roman"/>
          <w:i/>
          <w:color w:val="000000" w:themeColor="text1"/>
          <w:sz w:val="24"/>
          <w:szCs w:val="24"/>
        </w:rPr>
      </w:pPr>
      <w:r w:rsidRPr="00357722">
        <w:t xml:space="preserve"> </w:t>
      </w:r>
      <w:r w:rsidR="00926C88" w:rsidRPr="00357722">
        <w:rPr>
          <w:rFonts w:ascii="Times New Roman" w:eastAsiaTheme="minorHAnsi" w:hAnsi="Times New Roman" w:cs="Times New Roman"/>
          <w:b/>
          <w:bCs/>
          <w:i/>
          <w:color w:val="000000" w:themeColor="text1"/>
          <w:sz w:val="24"/>
          <w:szCs w:val="24"/>
          <w:lang w:eastAsia="en-US"/>
        </w:rPr>
        <w:t>H</w:t>
      </w:r>
      <w:r w:rsidR="00926C88" w:rsidRPr="00357722">
        <w:rPr>
          <w:rFonts w:ascii="Times New Roman" w:eastAsiaTheme="minorHAnsi" w:hAnsi="Times New Roman" w:cs="Times New Roman"/>
          <w:b/>
          <w:bCs/>
          <w:i/>
          <w:color w:val="000000" w:themeColor="text1"/>
          <w:sz w:val="24"/>
          <w:szCs w:val="24"/>
          <w:vertAlign w:val="subscript"/>
          <w:lang w:eastAsia="en-US"/>
        </w:rPr>
        <w:t>1</w:t>
      </w:r>
      <w:r w:rsidR="00926C88" w:rsidRPr="00357722">
        <w:rPr>
          <w:rFonts w:ascii="Times New Roman" w:eastAsiaTheme="minorHAnsi" w:hAnsi="Times New Roman" w:cs="Times New Roman"/>
          <w:b/>
          <w:bCs/>
          <w:i/>
          <w:color w:val="000000" w:themeColor="text1"/>
          <w:sz w:val="24"/>
          <w:szCs w:val="24"/>
          <w:lang w:eastAsia="en-US"/>
        </w:rPr>
        <w:t>:</w:t>
      </w:r>
      <w:r w:rsidR="00926C88" w:rsidRPr="00357722">
        <w:rPr>
          <w:rFonts w:ascii="Times New Roman" w:eastAsiaTheme="minorHAnsi" w:hAnsi="Times New Roman" w:cs="Times New Roman"/>
          <w:i/>
          <w:color w:val="000000" w:themeColor="text1"/>
          <w:sz w:val="24"/>
          <w:szCs w:val="24"/>
          <w:lang w:eastAsia="en-US"/>
        </w:rPr>
        <w:t xml:space="preserve"> </w:t>
      </w:r>
      <w:r w:rsidR="00926C88" w:rsidRPr="00357722">
        <w:rPr>
          <w:rFonts w:ascii="Times New Roman" w:hAnsi="Times New Roman" w:cs="Times New Roman"/>
          <w:i/>
          <w:color w:val="000000" w:themeColor="text1"/>
          <w:sz w:val="24"/>
          <w:szCs w:val="24"/>
        </w:rPr>
        <w:t xml:space="preserve">International </w:t>
      </w:r>
      <w:r w:rsidR="00565F5E" w:rsidRPr="00357722">
        <w:rPr>
          <w:rFonts w:ascii="Times New Roman" w:hAnsi="Times New Roman" w:cs="Times New Roman"/>
          <w:i/>
          <w:color w:val="000000" w:themeColor="text1"/>
          <w:sz w:val="24"/>
          <w:szCs w:val="24"/>
        </w:rPr>
        <w:t xml:space="preserve">equity </w:t>
      </w:r>
      <w:r w:rsidR="00926C88" w:rsidRPr="00357722">
        <w:rPr>
          <w:rFonts w:ascii="Times New Roman" w:hAnsi="Times New Roman" w:cs="Times New Roman"/>
          <w:i/>
          <w:color w:val="000000" w:themeColor="text1"/>
          <w:sz w:val="24"/>
          <w:szCs w:val="24"/>
        </w:rPr>
        <w:t xml:space="preserve">portfolio diversification </w:t>
      </w:r>
      <w:r w:rsidR="00B936D5" w:rsidRPr="00357722">
        <w:rPr>
          <w:rFonts w:ascii="Times New Roman" w:hAnsi="Times New Roman" w:cs="Times New Roman"/>
          <w:i/>
          <w:color w:val="000000" w:themeColor="text1"/>
          <w:sz w:val="24"/>
          <w:szCs w:val="24"/>
        </w:rPr>
        <w:t xml:space="preserve">prompts </w:t>
      </w:r>
      <w:r w:rsidR="00926C88" w:rsidRPr="00357722">
        <w:rPr>
          <w:rFonts w:ascii="Times New Roman" w:hAnsi="Times New Roman" w:cs="Times New Roman"/>
          <w:i/>
          <w:color w:val="000000" w:themeColor="text1"/>
          <w:sz w:val="24"/>
          <w:szCs w:val="24"/>
        </w:rPr>
        <w:t>financial development.</w:t>
      </w:r>
    </w:p>
    <w:p w14:paraId="3A492251" w14:textId="77777777" w:rsidR="00D35B99" w:rsidRPr="00357722" w:rsidRDefault="00D35B99" w:rsidP="00D365CE">
      <w:pPr>
        <w:pStyle w:val="Style2"/>
        <w:spacing w:line="480" w:lineRule="auto"/>
      </w:pPr>
    </w:p>
    <w:p w14:paraId="746AECBC" w14:textId="7A58C9C3" w:rsidR="00C94719" w:rsidRPr="00357722" w:rsidRDefault="00C94719" w:rsidP="00061D64">
      <w:pPr>
        <w:pStyle w:val="Style2"/>
        <w:spacing w:line="480" w:lineRule="auto"/>
        <w:ind w:firstLine="720"/>
        <w:rPr>
          <w:bCs w:val="0"/>
          <w:i w:val="0"/>
          <w:color w:val="000000" w:themeColor="text1"/>
        </w:rPr>
      </w:pPr>
      <w:r w:rsidRPr="00357722">
        <w:rPr>
          <w:bCs w:val="0"/>
          <w:i w:val="0"/>
          <w:color w:val="000000" w:themeColor="text1"/>
        </w:rPr>
        <w:t xml:space="preserve">We provide a conceptual framework </w:t>
      </w:r>
      <w:r w:rsidR="00FF7FA5" w:rsidRPr="00357722">
        <w:rPr>
          <w:bCs w:val="0"/>
          <w:i w:val="0"/>
          <w:color w:val="000000" w:themeColor="text1"/>
        </w:rPr>
        <w:t>through</w:t>
      </w:r>
      <w:r w:rsidRPr="00357722">
        <w:rPr>
          <w:bCs w:val="0"/>
          <w:i w:val="0"/>
          <w:color w:val="000000" w:themeColor="text1"/>
        </w:rPr>
        <w:t xml:space="preserve"> which central bank transparency via macroeconomic policy impact</w:t>
      </w:r>
      <w:r w:rsidR="00034D4A" w:rsidRPr="00357722">
        <w:rPr>
          <w:bCs w:val="0"/>
          <w:i w:val="0"/>
          <w:color w:val="000000" w:themeColor="text1"/>
        </w:rPr>
        <w:t>s</w:t>
      </w:r>
      <w:r w:rsidRPr="00357722">
        <w:rPr>
          <w:bCs w:val="0"/>
          <w:i w:val="0"/>
          <w:color w:val="000000" w:themeColor="text1"/>
        </w:rPr>
        <w:t xml:space="preserve"> financial development. </w:t>
      </w:r>
      <w:r w:rsidR="00E40D9A" w:rsidRPr="00357722">
        <w:rPr>
          <w:bCs w:val="0"/>
          <w:i w:val="0"/>
          <w:color w:val="000000" w:themeColor="text1"/>
        </w:rPr>
        <w:t xml:space="preserve">This is consistent with the view that </w:t>
      </w:r>
      <w:r w:rsidRPr="00357722">
        <w:rPr>
          <w:bCs w:val="0"/>
          <w:i w:val="0"/>
          <w:color w:val="000000" w:themeColor="text1"/>
        </w:rPr>
        <w:t xml:space="preserve">central </w:t>
      </w:r>
      <w:r w:rsidR="00315495" w:rsidRPr="00357722">
        <w:rPr>
          <w:bCs w:val="0"/>
          <w:i w:val="0"/>
          <w:color w:val="000000" w:themeColor="text1"/>
        </w:rPr>
        <w:t xml:space="preserve">banks through transparent monetary policy actions can ensure a stable macroeconomic framework to reduce interest rate risk and exchange rate volatilities. </w:t>
      </w:r>
      <w:r w:rsidR="00E40D9A" w:rsidRPr="00357722">
        <w:rPr>
          <w:bCs w:val="0"/>
          <w:i w:val="0"/>
          <w:color w:val="000000" w:themeColor="text1"/>
        </w:rPr>
        <w:t>Existing</w:t>
      </w:r>
      <w:r w:rsidRPr="00357722">
        <w:rPr>
          <w:bCs w:val="0"/>
          <w:i w:val="0"/>
          <w:color w:val="000000" w:themeColor="text1"/>
        </w:rPr>
        <w:t xml:space="preserve"> studies have shown the connection between macroeconomic variables development and financial system development following the pioneering and </w:t>
      </w:r>
      <w:r w:rsidR="00FF7FA5" w:rsidRPr="00357722">
        <w:rPr>
          <w:bCs w:val="0"/>
          <w:i w:val="0"/>
          <w:color w:val="000000" w:themeColor="text1"/>
        </w:rPr>
        <w:t xml:space="preserve">seminal work of Chen et al. (1986). </w:t>
      </w:r>
    </w:p>
    <w:p w14:paraId="3EEF4BA2" w14:textId="5B4D6160" w:rsidR="00FF7FA5" w:rsidRPr="00357722" w:rsidRDefault="00E40D9A" w:rsidP="00061D64">
      <w:pPr>
        <w:pStyle w:val="Style2"/>
        <w:spacing w:line="480" w:lineRule="auto"/>
        <w:ind w:firstLine="720"/>
        <w:rPr>
          <w:bCs w:val="0"/>
          <w:i w:val="0"/>
          <w:color w:val="000000" w:themeColor="text1"/>
        </w:rPr>
      </w:pPr>
      <w:r w:rsidRPr="00357722">
        <w:rPr>
          <w:bCs w:val="0"/>
          <w:i w:val="0"/>
          <w:color w:val="000000" w:themeColor="text1"/>
        </w:rPr>
        <w:t>Other strand</w:t>
      </w:r>
      <w:r w:rsidR="00E30532">
        <w:rPr>
          <w:bCs w:val="0"/>
          <w:i w:val="0"/>
          <w:color w:val="000000" w:themeColor="text1"/>
        </w:rPr>
        <w:t>s</w:t>
      </w:r>
      <w:r w:rsidRPr="00357722">
        <w:rPr>
          <w:bCs w:val="0"/>
          <w:i w:val="0"/>
          <w:color w:val="000000" w:themeColor="text1"/>
        </w:rPr>
        <w:t xml:space="preserve"> of the literature show how i</w:t>
      </w:r>
      <w:r w:rsidR="00FF7FA5" w:rsidRPr="00357722">
        <w:rPr>
          <w:bCs w:val="0"/>
          <w:i w:val="0"/>
          <w:color w:val="000000" w:themeColor="text1"/>
        </w:rPr>
        <w:t xml:space="preserve">nstitutional factors reflect macroeconomic variables. </w:t>
      </w:r>
      <w:r w:rsidR="00034D4A" w:rsidRPr="00357722">
        <w:rPr>
          <w:bCs w:val="0"/>
          <w:i w:val="0"/>
          <w:color w:val="000000" w:themeColor="text1"/>
        </w:rPr>
        <w:t xml:space="preserve">For instance, </w:t>
      </w:r>
      <w:proofErr w:type="spellStart"/>
      <w:r w:rsidR="00034D4A" w:rsidRPr="00357722">
        <w:rPr>
          <w:bCs w:val="0"/>
          <w:i w:val="0"/>
          <w:color w:val="000000" w:themeColor="text1"/>
        </w:rPr>
        <w:t>Demirguc</w:t>
      </w:r>
      <w:proofErr w:type="spellEnd"/>
      <w:r w:rsidR="00034D4A" w:rsidRPr="00357722">
        <w:rPr>
          <w:bCs w:val="0"/>
          <w:i w:val="0"/>
          <w:color w:val="000000" w:themeColor="text1"/>
        </w:rPr>
        <w:t xml:space="preserve">-Kunt and Levine (1996b) find that countries </w:t>
      </w:r>
      <w:r w:rsidR="00FF7FA5" w:rsidRPr="00357722">
        <w:rPr>
          <w:bCs w:val="0"/>
          <w:i w:val="0"/>
          <w:color w:val="000000" w:themeColor="text1"/>
        </w:rPr>
        <w:t>with well-developed regulatory better institutions tend to experience high stock market development through liquidity (</w:t>
      </w:r>
      <w:proofErr w:type="spellStart"/>
      <w:r w:rsidR="00FF7FA5" w:rsidRPr="00357722">
        <w:rPr>
          <w:bCs w:val="0"/>
          <w:i w:val="0"/>
          <w:color w:val="000000" w:themeColor="text1"/>
        </w:rPr>
        <w:t>Demirguc</w:t>
      </w:r>
      <w:proofErr w:type="spellEnd"/>
      <w:r w:rsidR="00FF7FA5" w:rsidRPr="00357722">
        <w:rPr>
          <w:bCs w:val="0"/>
          <w:i w:val="0"/>
          <w:color w:val="000000" w:themeColor="text1"/>
        </w:rPr>
        <w:t xml:space="preserve">-Kunt and Levine, 1996b). Garcia and Liu (1999) </w:t>
      </w:r>
      <w:r w:rsidR="007E03C5" w:rsidRPr="00357722">
        <w:rPr>
          <w:bCs w:val="0"/>
          <w:i w:val="0"/>
          <w:color w:val="000000" w:themeColor="text1"/>
        </w:rPr>
        <w:t>postulate</w:t>
      </w:r>
      <w:r w:rsidR="00FF7FA5" w:rsidRPr="00357722">
        <w:rPr>
          <w:bCs w:val="0"/>
          <w:i w:val="0"/>
          <w:color w:val="000000" w:themeColor="text1"/>
        </w:rPr>
        <w:t xml:space="preserve"> that macroeconomic stability </w:t>
      </w:r>
      <w:r w:rsidR="008146DE" w:rsidRPr="00357722">
        <w:rPr>
          <w:bCs w:val="0"/>
          <w:i w:val="0"/>
          <w:color w:val="000000" w:themeColor="text1"/>
        </w:rPr>
        <w:lastRenderedPageBreak/>
        <w:t xml:space="preserve">impacts financial market development. This is in line with the view that lower volatility will encourage savers and firms to participate in the financial market. Central banks through monetary policy and exchange rate policy can impact </w:t>
      </w:r>
      <w:r w:rsidR="00E30532">
        <w:rPr>
          <w:bCs w:val="0"/>
          <w:i w:val="0"/>
          <w:color w:val="000000" w:themeColor="text1"/>
        </w:rPr>
        <w:t xml:space="preserve">the </w:t>
      </w:r>
      <w:r w:rsidR="008146DE" w:rsidRPr="00357722">
        <w:rPr>
          <w:bCs w:val="0"/>
          <w:i w:val="0"/>
          <w:color w:val="000000" w:themeColor="text1"/>
        </w:rPr>
        <w:t xml:space="preserve">profitability of firms and </w:t>
      </w:r>
      <w:r w:rsidR="009D7AE8">
        <w:rPr>
          <w:bCs w:val="0"/>
          <w:i w:val="0"/>
          <w:color w:val="000000" w:themeColor="text1"/>
        </w:rPr>
        <w:t xml:space="preserve">the </w:t>
      </w:r>
      <w:r w:rsidR="008146DE" w:rsidRPr="00357722">
        <w:rPr>
          <w:bCs w:val="0"/>
          <w:i w:val="0"/>
          <w:color w:val="000000" w:themeColor="text1"/>
        </w:rPr>
        <w:t>funds available to firms.</w:t>
      </w:r>
    </w:p>
    <w:p w14:paraId="0E63E0E9" w14:textId="678B6CF3" w:rsidR="00061D64" w:rsidRPr="00357722" w:rsidRDefault="00315495" w:rsidP="00061D64">
      <w:pPr>
        <w:pStyle w:val="Style2"/>
        <w:spacing w:line="480" w:lineRule="auto"/>
        <w:ind w:firstLine="720"/>
        <w:rPr>
          <w:bCs w:val="0"/>
          <w:i w:val="0"/>
          <w:color w:val="000000" w:themeColor="text1"/>
        </w:rPr>
      </w:pPr>
      <w:r w:rsidRPr="00357722">
        <w:rPr>
          <w:bCs w:val="0"/>
          <w:i w:val="0"/>
          <w:color w:val="000000" w:themeColor="text1"/>
        </w:rPr>
        <w:t xml:space="preserve">Investors expect stable portfolio returns and </w:t>
      </w:r>
      <w:r w:rsidR="00E30532">
        <w:rPr>
          <w:bCs w:val="0"/>
          <w:i w:val="0"/>
          <w:color w:val="000000" w:themeColor="text1"/>
        </w:rPr>
        <w:t xml:space="preserve">a </w:t>
      </w:r>
      <w:r w:rsidRPr="00357722">
        <w:rPr>
          <w:bCs w:val="0"/>
          <w:i w:val="0"/>
          <w:color w:val="000000" w:themeColor="text1"/>
        </w:rPr>
        <w:t xml:space="preserve">reliable supply of fixed-income investments. </w:t>
      </w:r>
      <w:r w:rsidR="00191CE9" w:rsidRPr="00357722">
        <w:rPr>
          <w:bCs w:val="0"/>
          <w:i w:val="0"/>
          <w:color w:val="000000" w:themeColor="text1"/>
        </w:rPr>
        <w:t>We conj</w:t>
      </w:r>
      <w:r w:rsidR="004E339E" w:rsidRPr="00357722">
        <w:rPr>
          <w:bCs w:val="0"/>
          <w:i w:val="0"/>
          <w:color w:val="000000" w:themeColor="text1"/>
        </w:rPr>
        <w:t>ec</w:t>
      </w:r>
      <w:r w:rsidR="00191CE9" w:rsidRPr="00357722">
        <w:rPr>
          <w:bCs w:val="0"/>
          <w:i w:val="0"/>
          <w:color w:val="000000" w:themeColor="text1"/>
        </w:rPr>
        <w:t xml:space="preserve">ture that </w:t>
      </w:r>
      <w:r w:rsidR="00D2498A" w:rsidRPr="00357722">
        <w:rPr>
          <w:bCs w:val="0"/>
          <w:i w:val="0"/>
          <w:color w:val="000000" w:themeColor="text1"/>
        </w:rPr>
        <w:t xml:space="preserve">international </w:t>
      </w:r>
      <w:r w:rsidRPr="00357722">
        <w:rPr>
          <w:bCs w:val="0"/>
          <w:i w:val="0"/>
          <w:color w:val="000000" w:themeColor="text1"/>
        </w:rPr>
        <w:t xml:space="preserve">capital </w:t>
      </w:r>
      <w:r w:rsidR="001E630E" w:rsidRPr="00357722">
        <w:rPr>
          <w:bCs w:val="0"/>
          <w:i w:val="0"/>
          <w:color w:val="000000" w:themeColor="text1"/>
        </w:rPr>
        <w:t>will flow to</w:t>
      </w:r>
      <w:r w:rsidRPr="00357722">
        <w:rPr>
          <w:bCs w:val="0"/>
          <w:i w:val="0"/>
          <w:color w:val="000000" w:themeColor="text1"/>
        </w:rPr>
        <w:t xml:space="preserve"> countries with transparent central banks</w:t>
      </w:r>
      <w:r w:rsidR="00191CE9" w:rsidRPr="00357722">
        <w:rPr>
          <w:bCs w:val="0"/>
          <w:i w:val="0"/>
          <w:color w:val="000000" w:themeColor="text1"/>
        </w:rPr>
        <w:t>. This is consistent with the view that</w:t>
      </w:r>
      <w:r w:rsidRPr="00357722">
        <w:rPr>
          <w:bCs w:val="0"/>
          <w:i w:val="0"/>
          <w:color w:val="000000" w:themeColor="text1"/>
        </w:rPr>
        <w:t xml:space="preserve"> </w:t>
      </w:r>
      <w:r w:rsidR="001E630E" w:rsidRPr="00357722">
        <w:rPr>
          <w:bCs w:val="0"/>
          <w:i w:val="0"/>
          <w:color w:val="000000" w:themeColor="text1"/>
        </w:rPr>
        <w:t xml:space="preserve">investors will consider those countries </w:t>
      </w:r>
      <w:r w:rsidRPr="00357722">
        <w:rPr>
          <w:bCs w:val="0"/>
          <w:i w:val="0"/>
          <w:color w:val="000000" w:themeColor="text1"/>
        </w:rPr>
        <w:t>to have investment and credit-friendly policies</w:t>
      </w:r>
      <w:r w:rsidR="001E630E" w:rsidRPr="00357722">
        <w:rPr>
          <w:bCs w:val="0"/>
          <w:i w:val="0"/>
          <w:color w:val="000000" w:themeColor="text1"/>
        </w:rPr>
        <w:t xml:space="preserve"> as they are not covertly influence</w:t>
      </w:r>
      <w:r w:rsidR="00191CE9" w:rsidRPr="00357722">
        <w:rPr>
          <w:bCs w:val="0"/>
          <w:i w:val="0"/>
          <w:color w:val="000000" w:themeColor="text1"/>
        </w:rPr>
        <w:t>d</w:t>
      </w:r>
      <w:r w:rsidR="001E630E" w:rsidRPr="00357722">
        <w:rPr>
          <w:bCs w:val="0"/>
          <w:i w:val="0"/>
          <w:color w:val="000000" w:themeColor="text1"/>
        </w:rPr>
        <w:t xml:space="preserve"> by the national government</w:t>
      </w:r>
      <w:r w:rsidRPr="00357722">
        <w:rPr>
          <w:bCs w:val="0"/>
          <w:i w:val="0"/>
          <w:color w:val="000000" w:themeColor="text1"/>
        </w:rPr>
        <w:t xml:space="preserve">. </w:t>
      </w:r>
      <w:r w:rsidR="001430CE" w:rsidRPr="00357722">
        <w:rPr>
          <w:bCs w:val="0"/>
          <w:i w:val="0"/>
          <w:color w:val="000000" w:themeColor="text1"/>
        </w:rPr>
        <w:t xml:space="preserve">Investors expect prudent macroeconomic policies and prudential regulations of the financial system and greater transparency as they are </w:t>
      </w:r>
      <w:r w:rsidR="00E30532">
        <w:rPr>
          <w:bCs w:val="0"/>
          <w:i w:val="0"/>
          <w:color w:val="000000" w:themeColor="text1"/>
        </w:rPr>
        <w:t xml:space="preserve">an </w:t>
      </w:r>
      <w:r w:rsidR="001430CE" w:rsidRPr="00357722">
        <w:rPr>
          <w:bCs w:val="0"/>
          <w:i w:val="0"/>
          <w:color w:val="000000" w:themeColor="text1"/>
        </w:rPr>
        <w:t xml:space="preserve">important requirement for portfolio risk management. </w:t>
      </w:r>
      <w:r w:rsidR="004664F3" w:rsidRPr="00357722">
        <w:rPr>
          <w:bCs w:val="0"/>
          <w:i w:val="0"/>
          <w:color w:val="000000" w:themeColor="text1"/>
        </w:rPr>
        <w:t xml:space="preserve">Prior literature </w:t>
      </w:r>
      <w:r w:rsidR="00191CE9" w:rsidRPr="00357722">
        <w:rPr>
          <w:bCs w:val="0"/>
          <w:i w:val="0"/>
          <w:color w:val="000000" w:themeColor="text1"/>
        </w:rPr>
        <w:t>document</w:t>
      </w:r>
      <w:r w:rsidR="00E30532">
        <w:rPr>
          <w:bCs w:val="0"/>
          <w:i w:val="0"/>
          <w:color w:val="000000" w:themeColor="text1"/>
        </w:rPr>
        <w:t>s</w:t>
      </w:r>
      <w:r w:rsidR="004664F3" w:rsidRPr="00357722">
        <w:rPr>
          <w:bCs w:val="0"/>
          <w:i w:val="0"/>
          <w:color w:val="000000" w:themeColor="text1"/>
        </w:rPr>
        <w:t xml:space="preserve"> that central bank</w:t>
      </w:r>
      <w:r w:rsidR="00191CE9" w:rsidRPr="00357722">
        <w:rPr>
          <w:bCs w:val="0"/>
          <w:i w:val="0"/>
          <w:color w:val="000000" w:themeColor="text1"/>
        </w:rPr>
        <w:t>s</w:t>
      </w:r>
      <w:r w:rsidR="004664F3" w:rsidRPr="00357722">
        <w:rPr>
          <w:bCs w:val="0"/>
          <w:i w:val="0"/>
          <w:color w:val="000000" w:themeColor="text1"/>
        </w:rPr>
        <w:t xml:space="preserve"> that are free from political interference enhance economic stability (Alesina and Summers, 1993)</w:t>
      </w:r>
      <w:r w:rsidR="00191CE9" w:rsidRPr="00357722">
        <w:rPr>
          <w:bCs w:val="0"/>
          <w:i w:val="0"/>
          <w:color w:val="000000" w:themeColor="text1"/>
        </w:rPr>
        <w:t>, and prevent</w:t>
      </w:r>
      <w:r w:rsidR="004664F3" w:rsidRPr="00357722">
        <w:rPr>
          <w:bCs w:val="0"/>
          <w:i w:val="0"/>
          <w:color w:val="000000" w:themeColor="text1"/>
        </w:rPr>
        <w:t xml:space="preserve"> politically motivated monetary policy manipulation, especially before an election (Nord</w:t>
      </w:r>
      <w:r w:rsidR="002B7026">
        <w:rPr>
          <w:bCs w:val="0"/>
          <w:i w:val="0"/>
          <w:color w:val="000000" w:themeColor="text1"/>
        </w:rPr>
        <w:t>h</w:t>
      </w:r>
      <w:r w:rsidR="004664F3" w:rsidRPr="00357722">
        <w:rPr>
          <w:bCs w:val="0"/>
          <w:i w:val="0"/>
          <w:color w:val="000000" w:themeColor="text1"/>
        </w:rPr>
        <w:t xml:space="preserve">aus, 1975). </w:t>
      </w:r>
    </w:p>
    <w:p w14:paraId="7A5A5916" w14:textId="6ACF012F" w:rsidR="00964E35" w:rsidRDefault="00191CE9" w:rsidP="00061D64">
      <w:pPr>
        <w:pStyle w:val="Style2"/>
        <w:spacing w:line="480" w:lineRule="auto"/>
        <w:ind w:firstLine="720"/>
        <w:rPr>
          <w:rFonts w:eastAsia="Calibri"/>
          <w:bCs w:val="0"/>
          <w:i w:val="0"/>
          <w:iCs w:val="0"/>
          <w:lang w:eastAsia="en-US"/>
        </w:rPr>
      </w:pPr>
      <w:r w:rsidRPr="00357722">
        <w:rPr>
          <w:bCs w:val="0"/>
          <w:i w:val="0"/>
          <w:color w:val="000000" w:themeColor="text1"/>
        </w:rPr>
        <w:t>In agreement with</w:t>
      </w:r>
      <w:r w:rsidR="004664F3" w:rsidRPr="00357722">
        <w:rPr>
          <w:bCs w:val="0"/>
          <w:i w:val="0"/>
          <w:color w:val="000000" w:themeColor="text1"/>
        </w:rPr>
        <w:t xml:space="preserve"> </w:t>
      </w:r>
      <w:r w:rsidR="00061D64" w:rsidRPr="00357722">
        <w:rPr>
          <w:bCs w:val="0"/>
          <w:i w:val="0"/>
          <w:color w:val="000000" w:themeColor="text1"/>
        </w:rPr>
        <w:t xml:space="preserve">Klomp and de Haan (2009), </w:t>
      </w:r>
      <w:r w:rsidR="00061D64" w:rsidRPr="00357722">
        <w:rPr>
          <w:rFonts w:eastAsia="Calibri"/>
          <w:bCs w:val="0"/>
          <w:i w:val="0"/>
          <w:lang w:eastAsia="en-US"/>
        </w:rPr>
        <w:t>we</w:t>
      </w:r>
      <w:r w:rsidR="004664F3" w:rsidRPr="00357722">
        <w:rPr>
          <w:rFonts w:eastAsia="Calibri"/>
          <w:bCs w:val="0"/>
          <w:i w:val="0"/>
          <w:lang w:eastAsia="en-US"/>
        </w:rPr>
        <w:t xml:space="preserve"> expect sound and stable macroeconomic policies via a transparent central bank to foster financial development.</w:t>
      </w:r>
      <w:r w:rsidR="00061D64" w:rsidRPr="00357722">
        <w:rPr>
          <w:bCs w:val="0"/>
          <w:i w:val="0"/>
          <w:color w:val="000000" w:themeColor="text1"/>
        </w:rPr>
        <w:t xml:space="preserve"> P</w:t>
      </w:r>
      <w:r w:rsidR="002D13DD" w:rsidRPr="00357722">
        <w:rPr>
          <w:bCs w:val="0"/>
          <w:i w:val="0"/>
          <w:color w:val="000000" w:themeColor="text1"/>
        </w:rPr>
        <w:t>articularly</w:t>
      </w:r>
      <w:r w:rsidR="00061D64" w:rsidRPr="00357722">
        <w:rPr>
          <w:bCs w:val="0"/>
          <w:i w:val="0"/>
          <w:color w:val="000000" w:themeColor="text1"/>
        </w:rPr>
        <w:t>, as</w:t>
      </w:r>
      <w:r w:rsidR="002D13DD" w:rsidRPr="00357722">
        <w:rPr>
          <w:bCs w:val="0"/>
          <w:i w:val="0"/>
          <w:color w:val="000000" w:themeColor="text1"/>
        </w:rPr>
        <w:t xml:space="preserve"> price stability is associated with better equity portfolio returns. </w:t>
      </w:r>
      <w:r w:rsidR="00C41307" w:rsidRPr="00357722">
        <w:rPr>
          <w:bCs w:val="0"/>
          <w:i w:val="0"/>
          <w:color w:val="000000" w:themeColor="text1"/>
        </w:rPr>
        <w:t>Horváth and</w:t>
      </w:r>
      <w:r w:rsidR="002D13DD" w:rsidRPr="00357722">
        <w:rPr>
          <w:bCs w:val="0"/>
          <w:i w:val="0"/>
          <w:color w:val="000000" w:themeColor="text1"/>
        </w:rPr>
        <w:t xml:space="preserve"> Vaško (2016) document that transparent communication has a positive impact on financial stability. As central banks perform </w:t>
      </w:r>
      <w:r w:rsidR="00E30532">
        <w:rPr>
          <w:bCs w:val="0"/>
          <w:i w:val="0"/>
          <w:color w:val="000000" w:themeColor="text1"/>
        </w:rPr>
        <w:t xml:space="preserve">a </w:t>
      </w:r>
      <w:r w:rsidR="002D13DD" w:rsidRPr="00357722">
        <w:rPr>
          <w:bCs w:val="0"/>
          <w:i w:val="0"/>
          <w:color w:val="000000" w:themeColor="text1"/>
        </w:rPr>
        <w:t>key role in implementing governments</w:t>
      </w:r>
      <w:r w:rsidR="00E30532">
        <w:rPr>
          <w:bCs w:val="0"/>
          <w:i w:val="0"/>
          <w:color w:val="000000" w:themeColor="text1"/>
        </w:rPr>
        <w:t>'</w:t>
      </w:r>
      <w:r w:rsidR="002D13DD" w:rsidRPr="00357722">
        <w:rPr>
          <w:bCs w:val="0"/>
          <w:i w:val="0"/>
          <w:color w:val="000000" w:themeColor="text1"/>
        </w:rPr>
        <w:t xml:space="preserve"> monetary policy in stabilizing the economy (Fausch and Sigonius, 2018; Bernhard, 1998)</w:t>
      </w:r>
      <w:r w:rsidR="009152FB" w:rsidRPr="00357722">
        <w:rPr>
          <w:bCs w:val="0"/>
          <w:i w:val="0"/>
          <w:color w:val="000000" w:themeColor="text1"/>
        </w:rPr>
        <w:t>.</w:t>
      </w:r>
      <w:r w:rsidR="002D13DD" w:rsidRPr="00357722">
        <w:rPr>
          <w:bCs w:val="0"/>
          <w:i w:val="0"/>
          <w:color w:val="000000" w:themeColor="text1"/>
        </w:rPr>
        <w:t xml:space="preserve"> </w:t>
      </w:r>
      <w:r w:rsidR="009152FB" w:rsidRPr="00357722">
        <w:rPr>
          <w:bCs w:val="0"/>
          <w:i w:val="0"/>
          <w:color w:val="000000" w:themeColor="text1"/>
        </w:rPr>
        <w:t xml:space="preserve">A </w:t>
      </w:r>
      <w:r w:rsidR="002D13DD" w:rsidRPr="00357722">
        <w:rPr>
          <w:bCs w:val="0"/>
          <w:i w:val="0"/>
          <w:color w:val="000000" w:themeColor="text1"/>
        </w:rPr>
        <w:t xml:space="preserve">transparent central bank will provide </w:t>
      </w:r>
      <w:r w:rsidR="00E30532">
        <w:rPr>
          <w:bCs w:val="0"/>
          <w:i w:val="0"/>
          <w:color w:val="000000" w:themeColor="text1"/>
        </w:rPr>
        <w:t xml:space="preserve">a </w:t>
      </w:r>
      <w:r w:rsidR="002D13DD" w:rsidRPr="00357722">
        <w:rPr>
          <w:bCs w:val="0"/>
          <w:i w:val="0"/>
          <w:color w:val="000000" w:themeColor="text1"/>
        </w:rPr>
        <w:t>confidence boost to investors to participate in the financial system. This is consistent with the fact that information asymmetry inhibit</w:t>
      </w:r>
      <w:r w:rsidR="00E30532">
        <w:rPr>
          <w:bCs w:val="0"/>
          <w:i w:val="0"/>
          <w:color w:val="000000" w:themeColor="text1"/>
        </w:rPr>
        <w:t>s</w:t>
      </w:r>
      <w:r w:rsidR="002D13DD" w:rsidRPr="00357722">
        <w:rPr>
          <w:bCs w:val="0"/>
          <w:i w:val="0"/>
          <w:color w:val="000000" w:themeColor="text1"/>
        </w:rPr>
        <w:t xml:space="preserve"> corporate investment decisions. Nonetheless, </w:t>
      </w:r>
      <w:r w:rsidR="00E30532">
        <w:rPr>
          <w:bCs w:val="0"/>
          <w:i w:val="0"/>
          <w:color w:val="000000" w:themeColor="text1"/>
        </w:rPr>
        <w:t xml:space="preserve">a </w:t>
      </w:r>
      <w:r w:rsidR="002D13DD" w:rsidRPr="00357722">
        <w:rPr>
          <w:bCs w:val="0"/>
          <w:i w:val="0"/>
          <w:color w:val="000000" w:themeColor="text1"/>
        </w:rPr>
        <w:t xml:space="preserve">transparent central bank will ensure </w:t>
      </w:r>
      <w:r w:rsidR="00E30532">
        <w:rPr>
          <w:bCs w:val="0"/>
          <w:i w:val="0"/>
          <w:color w:val="000000" w:themeColor="text1"/>
        </w:rPr>
        <w:t xml:space="preserve">the </w:t>
      </w:r>
      <w:r w:rsidR="00D2498A" w:rsidRPr="00357722">
        <w:rPr>
          <w:bCs w:val="0"/>
          <w:i w:val="0"/>
          <w:color w:val="000000" w:themeColor="text1"/>
        </w:rPr>
        <w:t>pellucidity</w:t>
      </w:r>
      <w:r w:rsidR="002D13DD" w:rsidRPr="00357722">
        <w:rPr>
          <w:bCs w:val="0"/>
          <w:i w:val="0"/>
          <w:color w:val="000000" w:themeColor="text1"/>
        </w:rPr>
        <w:t xml:space="preserve"> of monetary policies (see </w:t>
      </w:r>
      <w:r w:rsidR="002D13DD" w:rsidRPr="00357722">
        <w:rPr>
          <w:rFonts w:eastAsia="Calibri"/>
          <w:bCs w:val="0"/>
          <w:i w:val="0"/>
          <w:iCs w:val="0"/>
          <w:lang w:eastAsia="en-US"/>
        </w:rPr>
        <w:t>Geraats, 2002; Gelos and Wei 2005; Crowe and Meade, 2008</w:t>
      </w:r>
      <w:r w:rsidR="002B7026">
        <w:rPr>
          <w:rFonts w:eastAsia="Calibri"/>
          <w:bCs w:val="0"/>
          <w:i w:val="0"/>
          <w:iCs w:val="0"/>
          <w:lang w:eastAsia="en-US"/>
        </w:rPr>
        <w:t xml:space="preserve">; </w:t>
      </w:r>
      <w:r w:rsidR="002B7026" w:rsidRPr="002B7026">
        <w:rPr>
          <w:rFonts w:eastAsia="Calibri"/>
          <w:bCs w:val="0"/>
          <w:i w:val="0"/>
          <w:iCs w:val="0"/>
          <w:lang w:eastAsia="en-US"/>
        </w:rPr>
        <w:t xml:space="preserve">Van der </w:t>
      </w:r>
      <w:proofErr w:type="spellStart"/>
      <w:r w:rsidR="002B7026" w:rsidRPr="002B7026">
        <w:rPr>
          <w:rFonts w:eastAsia="Calibri"/>
          <w:bCs w:val="0"/>
          <w:i w:val="0"/>
          <w:iCs w:val="0"/>
          <w:lang w:eastAsia="en-US"/>
        </w:rPr>
        <w:t>Cruijsen</w:t>
      </w:r>
      <w:proofErr w:type="spellEnd"/>
      <w:r w:rsidR="002B7026" w:rsidRPr="002B7026">
        <w:rPr>
          <w:rFonts w:eastAsia="Calibri"/>
          <w:bCs w:val="0"/>
          <w:i w:val="0"/>
          <w:iCs w:val="0"/>
          <w:lang w:eastAsia="en-US"/>
        </w:rPr>
        <w:t xml:space="preserve"> et al</w:t>
      </w:r>
      <w:r w:rsidR="002B7026">
        <w:rPr>
          <w:rFonts w:eastAsia="Calibri"/>
          <w:bCs w:val="0"/>
          <w:i w:val="0"/>
          <w:iCs w:val="0"/>
          <w:lang w:eastAsia="en-US"/>
        </w:rPr>
        <w:t>.</w:t>
      </w:r>
      <w:r w:rsidR="002B7026" w:rsidRPr="002B7026">
        <w:rPr>
          <w:rFonts w:eastAsia="Calibri"/>
          <w:bCs w:val="0"/>
          <w:i w:val="0"/>
          <w:iCs w:val="0"/>
          <w:lang w:eastAsia="en-US"/>
        </w:rPr>
        <w:t xml:space="preserve"> 2010</w:t>
      </w:r>
      <w:r w:rsidR="002D13DD" w:rsidRPr="00357722">
        <w:rPr>
          <w:rFonts w:eastAsia="Calibri"/>
          <w:bCs w:val="0"/>
          <w:i w:val="0"/>
          <w:iCs w:val="0"/>
          <w:lang w:eastAsia="en-US"/>
        </w:rPr>
        <w:t xml:space="preserve">). Other studies argue that </w:t>
      </w:r>
      <w:r w:rsidR="00EB7021" w:rsidRPr="00357722">
        <w:rPr>
          <w:rFonts w:eastAsia="Calibri"/>
          <w:bCs w:val="0"/>
          <w:i w:val="0"/>
          <w:iCs w:val="0"/>
          <w:lang w:eastAsia="en-US"/>
        </w:rPr>
        <w:t xml:space="preserve">a transparent central bank </w:t>
      </w:r>
      <w:r w:rsidR="002D13DD" w:rsidRPr="00357722">
        <w:rPr>
          <w:rFonts w:eastAsia="Calibri"/>
          <w:bCs w:val="0"/>
          <w:i w:val="0"/>
          <w:iCs w:val="0"/>
          <w:lang w:eastAsia="en-US"/>
        </w:rPr>
        <w:t xml:space="preserve">provides guidelines for investors </w:t>
      </w:r>
      <w:r w:rsidR="00EB7021" w:rsidRPr="00357722">
        <w:rPr>
          <w:rFonts w:eastAsia="Calibri"/>
          <w:bCs w:val="0"/>
          <w:i w:val="0"/>
          <w:iCs w:val="0"/>
          <w:lang w:eastAsia="en-US"/>
        </w:rPr>
        <w:t xml:space="preserve">about </w:t>
      </w:r>
      <w:r w:rsidR="002D13DD" w:rsidRPr="00357722">
        <w:rPr>
          <w:rFonts w:eastAsia="Calibri"/>
          <w:bCs w:val="0"/>
          <w:i w:val="0"/>
          <w:iCs w:val="0"/>
          <w:lang w:eastAsia="en-US"/>
        </w:rPr>
        <w:t xml:space="preserve">future </w:t>
      </w:r>
      <w:r w:rsidR="00214773" w:rsidRPr="00357722">
        <w:rPr>
          <w:rFonts w:eastAsia="Calibri"/>
          <w:bCs w:val="0"/>
          <w:i w:val="0"/>
          <w:iCs w:val="0"/>
          <w:lang w:eastAsia="en-US"/>
        </w:rPr>
        <w:t xml:space="preserve">expectations </w:t>
      </w:r>
      <w:r w:rsidR="002D13DD" w:rsidRPr="00357722">
        <w:rPr>
          <w:rFonts w:eastAsia="Calibri"/>
          <w:bCs w:val="0"/>
          <w:i w:val="0"/>
          <w:iCs w:val="0"/>
          <w:lang w:eastAsia="en-US"/>
        </w:rPr>
        <w:t>and financial market participation (Blinder, 1998; Eijffinger et al. 2000). A recent study by Eichler and Littke (2018) show</w:t>
      </w:r>
      <w:r w:rsidR="00E30532">
        <w:rPr>
          <w:rFonts w:eastAsia="Calibri"/>
          <w:bCs w:val="0"/>
          <w:i w:val="0"/>
          <w:iCs w:val="0"/>
          <w:lang w:eastAsia="en-US"/>
        </w:rPr>
        <w:t>s</w:t>
      </w:r>
      <w:r w:rsidR="002D13DD" w:rsidRPr="00357722">
        <w:rPr>
          <w:rFonts w:eastAsia="Calibri"/>
          <w:bCs w:val="0"/>
          <w:i w:val="0"/>
          <w:iCs w:val="0"/>
          <w:lang w:eastAsia="en-US"/>
        </w:rPr>
        <w:t xml:space="preserve"> that </w:t>
      </w:r>
      <w:r w:rsidR="002D13DD" w:rsidRPr="00357722">
        <w:rPr>
          <w:rFonts w:eastAsia="Calibri"/>
          <w:bCs w:val="0"/>
          <w:i w:val="0"/>
          <w:iCs w:val="0"/>
          <w:lang w:eastAsia="en-US"/>
        </w:rPr>
        <w:lastRenderedPageBreak/>
        <w:t>enhanced information concerning the central bank’s monetary policy objectives lower</w:t>
      </w:r>
      <w:r w:rsidR="00E30532">
        <w:rPr>
          <w:rFonts w:eastAsia="Calibri"/>
          <w:bCs w:val="0"/>
          <w:i w:val="0"/>
          <w:iCs w:val="0"/>
          <w:lang w:eastAsia="en-US"/>
        </w:rPr>
        <w:t>s</w:t>
      </w:r>
      <w:r w:rsidR="002D13DD" w:rsidRPr="00357722">
        <w:rPr>
          <w:rFonts w:eastAsia="Calibri"/>
          <w:bCs w:val="0"/>
          <w:i w:val="0"/>
          <w:iCs w:val="0"/>
          <w:lang w:eastAsia="en-US"/>
        </w:rPr>
        <w:t xml:space="preserve"> exchange rate volatility</w:t>
      </w:r>
      <w:r w:rsidR="00061D64" w:rsidRPr="00357722">
        <w:rPr>
          <w:rFonts w:eastAsia="Calibri"/>
          <w:bCs w:val="0"/>
          <w:i w:val="0"/>
          <w:iCs w:val="0"/>
          <w:lang w:eastAsia="en-US"/>
        </w:rPr>
        <w:t xml:space="preserve">. </w:t>
      </w:r>
      <w:r w:rsidR="006371E0" w:rsidRPr="00357722">
        <w:rPr>
          <w:rFonts w:eastAsia="Calibri"/>
          <w:bCs w:val="0"/>
          <w:i w:val="0"/>
          <w:iCs w:val="0"/>
          <w:lang w:eastAsia="en-US"/>
        </w:rPr>
        <w:t>Corresponding to</w:t>
      </w:r>
      <w:r w:rsidR="002D13DD" w:rsidRPr="00357722">
        <w:rPr>
          <w:rFonts w:eastAsia="Calibri"/>
          <w:bCs w:val="0"/>
          <w:i w:val="0"/>
          <w:iCs w:val="0"/>
          <w:lang w:eastAsia="en-US"/>
        </w:rPr>
        <w:t xml:space="preserve"> the view that central bank transparency impacts interest rate risk, inflation risk, exchange rate risk</w:t>
      </w:r>
      <w:r w:rsidR="00E30532">
        <w:rPr>
          <w:rFonts w:eastAsia="Calibri"/>
          <w:bCs w:val="0"/>
          <w:i w:val="0"/>
          <w:iCs w:val="0"/>
          <w:lang w:eastAsia="en-US"/>
        </w:rPr>
        <w:t>,</w:t>
      </w:r>
      <w:r w:rsidR="002D13DD" w:rsidRPr="00357722">
        <w:rPr>
          <w:rFonts w:eastAsia="Calibri"/>
          <w:bCs w:val="0"/>
          <w:i w:val="0"/>
          <w:iCs w:val="0"/>
          <w:lang w:eastAsia="en-US"/>
        </w:rPr>
        <w:t xml:space="preserve"> and financial stability </w:t>
      </w:r>
      <w:r w:rsidR="001F2DAF" w:rsidRPr="00357722">
        <w:rPr>
          <w:rFonts w:eastAsia="Calibri"/>
          <w:bCs w:val="0"/>
          <w:i w:val="0"/>
          <w:iCs w:val="0"/>
          <w:lang w:eastAsia="en-US"/>
        </w:rPr>
        <w:t xml:space="preserve">will </w:t>
      </w:r>
      <w:r w:rsidR="002D13DD" w:rsidRPr="00357722">
        <w:rPr>
          <w:rFonts w:eastAsia="Calibri"/>
          <w:bCs w:val="0"/>
          <w:i w:val="0"/>
          <w:iCs w:val="0"/>
          <w:lang w:eastAsia="en-US"/>
        </w:rPr>
        <w:t xml:space="preserve">have implications </w:t>
      </w:r>
      <w:r w:rsidR="001F2DAF" w:rsidRPr="00357722">
        <w:rPr>
          <w:rFonts w:eastAsia="Calibri"/>
          <w:bCs w:val="0"/>
          <w:i w:val="0"/>
          <w:iCs w:val="0"/>
          <w:lang w:eastAsia="en-US"/>
        </w:rPr>
        <w:t xml:space="preserve">for </w:t>
      </w:r>
      <w:r w:rsidR="002D13DD" w:rsidRPr="00357722">
        <w:rPr>
          <w:rFonts w:eastAsia="Calibri"/>
          <w:bCs w:val="0"/>
          <w:i w:val="0"/>
          <w:iCs w:val="0"/>
          <w:lang w:eastAsia="en-US"/>
        </w:rPr>
        <w:t xml:space="preserve">equity portfolio returns. </w:t>
      </w:r>
    </w:p>
    <w:p w14:paraId="62551B66" w14:textId="74FA6C78" w:rsidR="002D13DD" w:rsidRPr="00357722" w:rsidRDefault="002D13DD" w:rsidP="00061D64">
      <w:pPr>
        <w:pStyle w:val="Style2"/>
        <w:spacing w:line="480" w:lineRule="auto"/>
        <w:ind w:firstLine="720"/>
        <w:rPr>
          <w:bCs w:val="0"/>
          <w:i w:val="0"/>
          <w:color w:val="000000" w:themeColor="text1"/>
        </w:rPr>
      </w:pPr>
      <w:r w:rsidRPr="00357722">
        <w:rPr>
          <w:rFonts w:eastAsia="Calibri"/>
          <w:bCs w:val="0"/>
          <w:i w:val="0"/>
          <w:iCs w:val="0"/>
          <w:lang w:eastAsia="en-US"/>
        </w:rPr>
        <w:t xml:space="preserve">We </w:t>
      </w:r>
      <w:r w:rsidR="003E5176" w:rsidRPr="00357722">
        <w:rPr>
          <w:rFonts w:eastAsia="Calibri"/>
          <w:bCs w:val="0"/>
          <w:i w:val="0"/>
          <w:iCs w:val="0"/>
          <w:lang w:eastAsia="en-US"/>
        </w:rPr>
        <w:t xml:space="preserve">hypothesize that </w:t>
      </w:r>
      <w:r w:rsidRPr="00357722">
        <w:rPr>
          <w:rFonts w:eastAsia="Calibri"/>
          <w:bCs w:val="0"/>
          <w:i w:val="0"/>
          <w:iCs w:val="0"/>
          <w:lang w:eastAsia="en-US"/>
        </w:rPr>
        <w:t>central bank transparency interact</w:t>
      </w:r>
      <w:r w:rsidR="00EB60C4">
        <w:rPr>
          <w:rFonts w:eastAsia="Calibri"/>
          <w:bCs w:val="0"/>
          <w:i w:val="0"/>
          <w:iCs w:val="0"/>
          <w:lang w:eastAsia="en-US"/>
        </w:rPr>
        <w:t>s</w:t>
      </w:r>
      <w:r w:rsidRPr="00357722">
        <w:rPr>
          <w:rFonts w:eastAsia="Calibri"/>
          <w:bCs w:val="0"/>
          <w:i w:val="0"/>
          <w:iCs w:val="0"/>
          <w:lang w:eastAsia="en-US"/>
        </w:rPr>
        <w:t xml:space="preserve"> with international equity portfolio diversification to increase participation to enhance financial development.</w:t>
      </w:r>
      <w:r w:rsidR="00964E35">
        <w:rPr>
          <w:rFonts w:eastAsia="Calibri"/>
          <w:bCs w:val="0"/>
          <w:i w:val="0"/>
          <w:iCs w:val="0"/>
          <w:lang w:eastAsia="en-US"/>
        </w:rPr>
        <w:t xml:space="preserve"> This is consistent with the view that greater participation of foreign equity investors in the domestic financial market will bid up stock prices, increase efficiency and trading technologies, and reduce transaction cost</w:t>
      </w:r>
      <w:r w:rsidR="009D7AE8">
        <w:rPr>
          <w:rFonts w:eastAsia="Calibri"/>
          <w:bCs w:val="0"/>
          <w:i w:val="0"/>
          <w:iCs w:val="0"/>
          <w:lang w:eastAsia="en-US"/>
        </w:rPr>
        <w:t>s</w:t>
      </w:r>
      <w:r w:rsidR="00964E35">
        <w:rPr>
          <w:rFonts w:eastAsia="Calibri"/>
          <w:bCs w:val="0"/>
          <w:i w:val="0"/>
          <w:iCs w:val="0"/>
          <w:lang w:eastAsia="en-US"/>
        </w:rPr>
        <w:t xml:space="preserve">. There will also be an increased risk-sharing between domestic and foreign investors which will reduce </w:t>
      </w:r>
      <w:r w:rsidR="009D7AE8">
        <w:rPr>
          <w:rFonts w:eastAsia="Calibri"/>
          <w:bCs w:val="0"/>
          <w:i w:val="0"/>
          <w:iCs w:val="0"/>
          <w:lang w:eastAsia="en-US"/>
        </w:rPr>
        <w:t xml:space="preserve">the </w:t>
      </w:r>
      <w:r w:rsidR="00964E35">
        <w:rPr>
          <w:rFonts w:eastAsia="Calibri"/>
          <w:bCs w:val="0"/>
          <w:i w:val="0"/>
          <w:iCs w:val="0"/>
          <w:lang w:eastAsia="en-US"/>
        </w:rPr>
        <w:t>cost of capital. Further, a transparent central bank will boost the confidence of investors to participate in the financial market driven by the view that investors will ha</w:t>
      </w:r>
      <w:r w:rsidR="00BF678D">
        <w:rPr>
          <w:rFonts w:eastAsia="Calibri"/>
          <w:bCs w:val="0"/>
          <w:i w:val="0"/>
          <w:iCs w:val="0"/>
          <w:lang w:eastAsia="en-US"/>
        </w:rPr>
        <w:t>ve a fair knowledge of future macroeconomic policies</w:t>
      </w:r>
      <w:r w:rsidR="00964E35">
        <w:rPr>
          <w:rFonts w:eastAsia="Calibri"/>
          <w:bCs w:val="0"/>
          <w:i w:val="0"/>
          <w:iCs w:val="0"/>
          <w:lang w:eastAsia="en-US"/>
        </w:rPr>
        <w:t>.</w:t>
      </w:r>
    </w:p>
    <w:p w14:paraId="7608F4AA" w14:textId="77777777" w:rsidR="002D13DD" w:rsidRPr="00357722" w:rsidRDefault="002D13DD" w:rsidP="002D13DD">
      <w:pPr>
        <w:pStyle w:val="Style2"/>
        <w:spacing w:line="480" w:lineRule="auto"/>
        <w:ind w:firstLine="720"/>
        <w:rPr>
          <w:bCs w:val="0"/>
          <w:i w:val="0"/>
          <w:color w:val="000000" w:themeColor="text1"/>
        </w:rPr>
      </w:pPr>
    </w:p>
    <w:p w14:paraId="509F0B14" w14:textId="70F3A695" w:rsidR="002D13DD" w:rsidRPr="00357722" w:rsidRDefault="002D13DD" w:rsidP="002D13DD">
      <w:pPr>
        <w:spacing w:after="0" w:line="360" w:lineRule="auto"/>
        <w:jc w:val="both"/>
        <w:rPr>
          <w:rFonts w:ascii="Times New Roman" w:eastAsiaTheme="minorHAnsi" w:hAnsi="Times New Roman" w:cs="Times New Roman"/>
          <w:i/>
          <w:color w:val="000000" w:themeColor="text1"/>
          <w:sz w:val="24"/>
          <w:szCs w:val="24"/>
          <w:lang w:eastAsia="en-US"/>
        </w:rPr>
      </w:pPr>
      <w:r w:rsidRPr="00357722">
        <w:rPr>
          <w:rFonts w:ascii="Times New Roman" w:eastAsiaTheme="minorHAnsi" w:hAnsi="Times New Roman" w:cs="Times New Roman"/>
          <w:b/>
          <w:bCs/>
          <w:i/>
          <w:color w:val="000000" w:themeColor="text1"/>
          <w:sz w:val="24"/>
          <w:szCs w:val="24"/>
          <w:lang w:eastAsia="en-US"/>
        </w:rPr>
        <w:t>H</w:t>
      </w:r>
      <w:r w:rsidRPr="00357722">
        <w:rPr>
          <w:rFonts w:ascii="Times New Roman" w:eastAsiaTheme="minorHAnsi" w:hAnsi="Times New Roman" w:cs="Times New Roman"/>
          <w:b/>
          <w:bCs/>
          <w:i/>
          <w:color w:val="000000" w:themeColor="text1"/>
          <w:sz w:val="24"/>
          <w:szCs w:val="24"/>
          <w:vertAlign w:val="subscript"/>
          <w:lang w:eastAsia="en-US"/>
        </w:rPr>
        <w:t>2</w:t>
      </w:r>
      <w:r w:rsidRPr="00357722">
        <w:rPr>
          <w:rFonts w:ascii="Times New Roman" w:eastAsiaTheme="minorHAnsi" w:hAnsi="Times New Roman" w:cs="Times New Roman"/>
          <w:b/>
          <w:bCs/>
          <w:i/>
          <w:color w:val="000000" w:themeColor="text1"/>
          <w:sz w:val="24"/>
          <w:szCs w:val="24"/>
          <w:lang w:eastAsia="en-US"/>
        </w:rPr>
        <w:t>:</w:t>
      </w:r>
      <w:r w:rsidRPr="00357722">
        <w:rPr>
          <w:rFonts w:ascii="Times New Roman" w:eastAsiaTheme="minorHAnsi" w:hAnsi="Times New Roman" w:cs="Times New Roman"/>
          <w:i/>
          <w:color w:val="000000" w:themeColor="text1"/>
          <w:sz w:val="24"/>
          <w:szCs w:val="24"/>
          <w:lang w:eastAsia="en-US"/>
        </w:rPr>
        <w:t xml:space="preserve"> Central bank transparency interacts with international equity portfolio diversification to </w:t>
      </w:r>
      <w:r w:rsidR="001F2DAF" w:rsidRPr="00357722">
        <w:rPr>
          <w:rFonts w:ascii="Times New Roman" w:eastAsiaTheme="minorHAnsi" w:hAnsi="Times New Roman" w:cs="Times New Roman"/>
          <w:i/>
          <w:color w:val="000000" w:themeColor="text1"/>
          <w:sz w:val="24"/>
          <w:szCs w:val="24"/>
          <w:lang w:eastAsia="en-US"/>
        </w:rPr>
        <w:t>improve</w:t>
      </w:r>
      <w:r w:rsidRPr="00357722">
        <w:rPr>
          <w:rFonts w:ascii="Times New Roman" w:eastAsiaTheme="minorHAnsi" w:hAnsi="Times New Roman" w:cs="Times New Roman"/>
          <w:i/>
          <w:color w:val="000000" w:themeColor="text1"/>
          <w:sz w:val="24"/>
          <w:szCs w:val="24"/>
          <w:lang w:eastAsia="en-US"/>
        </w:rPr>
        <w:t xml:space="preserve"> financial development. </w:t>
      </w:r>
    </w:p>
    <w:p w14:paraId="7EACAEC7" w14:textId="77777777" w:rsidR="002D13DD" w:rsidRPr="00357722" w:rsidRDefault="002D13DD" w:rsidP="00B6608B">
      <w:pPr>
        <w:pStyle w:val="Style2"/>
        <w:rPr>
          <w:color w:val="000000" w:themeColor="text1"/>
        </w:rPr>
      </w:pPr>
    </w:p>
    <w:p w14:paraId="404836FE" w14:textId="214A5D19" w:rsidR="006E0FD0" w:rsidRPr="00357722" w:rsidRDefault="007C4927" w:rsidP="000E573F">
      <w:pPr>
        <w:pStyle w:val="Style2"/>
        <w:spacing w:line="480" w:lineRule="auto"/>
        <w:ind w:firstLine="720"/>
        <w:rPr>
          <w:rFonts w:eastAsiaTheme="minorEastAsia"/>
          <w:bCs w:val="0"/>
          <w:i w:val="0"/>
          <w:color w:val="000000"/>
        </w:rPr>
      </w:pPr>
      <w:r w:rsidRPr="00357722">
        <w:rPr>
          <w:rFonts w:eastAsiaTheme="minorEastAsia"/>
          <w:bCs w:val="0"/>
          <w:i w:val="0"/>
          <w:color w:val="000000"/>
        </w:rPr>
        <w:t xml:space="preserve">We </w:t>
      </w:r>
      <w:r w:rsidR="009152FB" w:rsidRPr="00357722">
        <w:rPr>
          <w:rFonts w:eastAsiaTheme="minorEastAsia"/>
          <w:bCs w:val="0"/>
          <w:i w:val="0"/>
          <w:color w:val="000000"/>
        </w:rPr>
        <w:t>offer</w:t>
      </w:r>
      <w:r w:rsidRPr="00357722">
        <w:rPr>
          <w:rFonts w:eastAsiaTheme="minorEastAsia"/>
          <w:bCs w:val="0"/>
          <w:i w:val="0"/>
          <w:color w:val="000000"/>
        </w:rPr>
        <w:t xml:space="preserve"> </w:t>
      </w:r>
      <w:r w:rsidR="00E30532">
        <w:rPr>
          <w:rFonts w:eastAsiaTheme="minorEastAsia"/>
          <w:bCs w:val="0"/>
          <w:i w:val="0"/>
          <w:color w:val="000000"/>
        </w:rPr>
        <w:t xml:space="preserve">an </w:t>
      </w:r>
      <w:r w:rsidRPr="00357722">
        <w:rPr>
          <w:rFonts w:eastAsiaTheme="minorEastAsia"/>
          <w:bCs w:val="0"/>
          <w:i w:val="0"/>
          <w:color w:val="000000"/>
        </w:rPr>
        <w:t xml:space="preserve">underlying channel through </w:t>
      </w:r>
      <w:r w:rsidR="00531090" w:rsidRPr="00357722">
        <w:rPr>
          <w:rFonts w:eastAsiaTheme="minorEastAsia"/>
          <w:bCs w:val="0"/>
          <w:i w:val="0"/>
          <w:color w:val="000000"/>
        </w:rPr>
        <w:t xml:space="preserve">which </w:t>
      </w:r>
      <w:r w:rsidRPr="00357722">
        <w:rPr>
          <w:rFonts w:eastAsiaTheme="minorEastAsia"/>
          <w:bCs w:val="0"/>
          <w:i w:val="0"/>
          <w:color w:val="000000"/>
        </w:rPr>
        <w:t>economic freedom</w:t>
      </w:r>
      <w:r w:rsidR="00531090" w:rsidRPr="00357722">
        <w:rPr>
          <w:rFonts w:eastAsiaTheme="minorEastAsia"/>
          <w:bCs w:val="0"/>
          <w:i w:val="0"/>
          <w:color w:val="000000"/>
        </w:rPr>
        <w:t>,</w:t>
      </w:r>
      <w:r w:rsidRPr="00357722">
        <w:rPr>
          <w:rFonts w:eastAsiaTheme="minorEastAsia"/>
          <w:bCs w:val="0"/>
          <w:i w:val="0"/>
          <w:color w:val="000000"/>
        </w:rPr>
        <w:t xml:space="preserve"> linked to property rights, judicial effectiveness</w:t>
      </w:r>
      <w:r w:rsidR="00E30532">
        <w:rPr>
          <w:rFonts w:eastAsiaTheme="minorEastAsia"/>
          <w:bCs w:val="0"/>
          <w:i w:val="0"/>
          <w:color w:val="000000"/>
        </w:rPr>
        <w:t>,</w:t>
      </w:r>
      <w:r w:rsidRPr="00357722">
        <w:rPr>
          <w:rFonts w:eastAsiaTheme="minorEastAsia"/>
          <w:bCs w:val="0"/>
          <w:i w:val="0"/>
          <w:color w:val="000000"/>
        </w:rPr>
        <w:t xml:space="preserve"> and government integrity impact</w:t>
      </w:r>
      <w:r w:rsidR="009D7AE8">
        <w:rPr>
          <w:rFonts w:eastAsiaTheme="minorEastAsia"/>
          <w:bCs w:val="0"/>
          <w:i w:val="0"/>
          <w:color w:val="000000"/>
        </w:rPr>
        <w:t>s</w:t>
      </w:r>
      <w:r w:rsidRPr="00357722">
        <w:rPr>
          <w:rFonts w:eastAsiaTheme="minorEastAsia"/>
          <w:bCs w:val="0"/>
          <w:i w:val="0"/>
          <w:color w:val="000000"/>
        </w:rPr>
        <w:t xml:space="preserve"> financial development. </w:t>
      </w:r>
      <w:r w:rsidR="003706AD" w:rsidRPr="00357722">
        <w:rPr>
          <w:rFonts w:eastAsiaTheme="minorEastAsia"/>
          <w:bCs w:val="0"/>
          <w:i w:val="0"/>
          <w:color w:val="000000"/>
        </w:rPr>
        <w:t>The element of economic freedom that captures institutional quality is condu</w:t>
      </w:r>
      <w:r w:rsidR="001F08EE" w:rsidRPr="00357722">
        <w:rPr>
          <w:rFonts w:eastAsiaTheme="minorEastAsia"/>
          <w:bCs w:val="0"/>
          <w:i w:val="0"/>
          <w:color w:val="000000"/>
        </w:rPr>
        <w:t>c</w:t>
      </w:r>
      <w:r w:rsidR="003706AD" w:rsidRPr="00357722">
        <w:rPr>
          <w:rFonts w:eastAsiaTheme="minorEastAsia"/>
          <w:bCs w:val="0"/>
          <w:i w:val="0"/>
          <w:color w:val="000000"/>
        </w:rPr>
        <w:t xml:space="preserve">ive </w:t>
      </w:r>
      <w:r w:rsidR="00E30532">
        <w:rPr>
          <w:rFonts w:eastAsiaTheme="minorEastAsia"/>
          <w:bCs w:val="0"/>
          <w:i w:val="0"/>
          <w:color w:val="000000"/>
        </w:rPr>
        <w:t>to</w:t>
      </w:r>
      <w:r w:rsidR="00E30532" w:rsidRPr="00357722">
        <w:rPr>
          <w:rFonts w:eastAsiaTheme="minorEastAsia"/>
          <w:bCs w:val="0"/>
          <w:i w:val="0"/>
          <w:color w:val="000000"/>
        </w:rPr>
        <w:t xml:space="preserve"> </w:t>
      </w:r>
      <w:r w:rsidR="003706AD" w:rsidRPr="00357722">
        <w:rPr>
          <w:rFonts w:eastAsiaTheme="minorEastAsia"/>
          <w:bCs w:val="0"/>
          <w:i w:val="0"/>
          <w:color w:val="000000"/>
        </w:rPr>
        <w:t xml:space="preserve">financial development. La Porta et al. (1998), and </w:t>
      </w:r>
      <w:proofErr w:type="spellStart"/>
      <w:r w:rsidR="003706AD" w:rsidRPr="00357722">
        <w:rPr>
          <w:rFonts w:eastAsiaTheme="minorEastAsia"/>
          <w:bCs w:val="0"/>
          <w:i w:val="0"/>
          <w:color w:val="000000"/>
        </w:rPr>
        <w:t>Demirguc</w:t>
      </w:r>
      <w:proofErr w:type="spellEnd"/>
      <w:r w:rsidR="003706AD" w:rsidRPr="00357722">
        <w:rPr>
          <w:rFonts w:eastAsiaTheme="minorEastAsia"/>
          <w:bCs w:val="0"/>
          <w:i w:val="0"/>
          <w:color w:val="000000"/>
        </w:rPr>
        <w:t>-Kunt and Mak</w:t>
      </w:r>
      <w:r w:rsidR="00F94A9D" w:rsidRPr="00357722">
        <w:rPr>
          <w:rFonts w:eastAsiaTheme="minorEastAsia"/>
          <w:bCs w:val="0"/>
          <w:i w:val="0"/>
          <w:color w:val="000000"/>
        </w:rPr>
        <w:t xml:space="preserve">simovic (1999) show that legal origin and institutions explain cross-countries differences in financial development. </w:t>
      </w:r>
      <w:r w:rsidR="0014352B" w:rsidRPr="00357722">
        <w:rPr>
          <w:rFonts w:eastAsiaTheme="minorEastAsia"/>
          <w:bCs w:val="0"/>
          <w:i w:val="0"/>
          <w:color w:val="000000"/>
        </w:rPr>
        <w:t xml:space="preserve">A </w:t>
      </w:r>
      <w:r w:rsidR="00F94A9D" w:rsidRPr="00357722">
        <w:rPr>
          <w:rFonts w:eastAsiaTheme="minorEastAsia"/>
          <w:bCs w:val="0"/>
          <w:i w:val="0"/>
          <w:color w:val="000000"/>
        </w:rPr>
        <w:t>strand of the literature show</w:t>
      </w:r>
      <w:r w:rsidR="00E30532">
        <w:rPr>
          <w:rFonts w:eastAsiaTheme="minorEastAsia"/>
          <w:bCs w:val="0"/>
          <w:i w:val="0"/>
          <w:color w:val="000000"/>
        </w:rPr>
        <w:t>s</w:t>
      </w:r>
      <w:r w:rsidR="00F94A9D" w:rsidRPr="00357722">
        <w:rPr>
          <w:rFonts w:eastAsiaTheme="minorEastAsia"/>
          <w:bCs w:val="0"/>
          <w:i w:val="0"/>
          <w:color w:val="000000"/>
        </w:rPr>
        <w:t xml:space="preserve"> the importance of political institutions in influencing financial development (see Roe, 2006; Keefer, 2008; Roe and Siegal, 2008).</w:t>
      </w:r>
      <w:r w:rsidR="000E573F" w:rsidRPr="00357722">
        <w:rPr>
          <w:rFonts w:eastAsiaTheme="minorEastAsia"/>
          <w:bCs w:val="0"/>
          <w:i w:val="0"/>
          <w:color w:val="000000"/>
        </w:rPr>
        <w:t xml:space="preserve"> </w:t>
      </w:r>
      <w:r w:rsidR="007C748F" w:rsidRPr="00357722">
        <w:rPr>
          <w:rFonts w:eastAsiaTheme="minorEastAsia"/>
          <w:bCs w:val="0"/>
          <w:i w:val="0"/>
          <w:color w:val="000000"/>
        </w:rPr>
        <w:t xml:space="preserve">We postulate that economic freedom will interact with international equity portfolio diversification to impact financial development for a number of reasons. Particularly, economic freedom relate to institutional quality and this may influence rule of law and great </w:t>
      </w:r>
      <w:r w:rsidR="00EB7021" w:rsidRPr="00357722">
        <w:rPr>
          <w:rFonts w:eastAsiaTheme="minorEastAsia"/>
          <w:bCs w:val="0"/>
          <w:i w:val="0"/>
          <w:color w:val="000000"/>
        </w:rPr>
        <w:t xml:space="preserve">investor </w:t>
      </w:r>
      <w:r w:rsidR="007C748F" w:rsidRPr="00357722">
        <w:rPr>
          <w:rFonts w:eastAsiaTheme="minorEastAsia"/>
          <w:bCs w:val="0"/>
          <w:i w:val="0"/>
          <w:color w:val="000000"/>
        </w:rPr>
        <w:t>participation in the financial market.</w:t>
      </w:r>
    </w:p>
    <w:p w14:paraId="304D4720" w14:textId="3CE25256" w:rsidR="007C748F" w:rsidRPr="00357722" w:rsidRDefault="006D5A00" w:rsidP="000E573F">
      <w:pPr>
        <w:pStyle w:val="Style2"/>
        <w:spacing w:line="480" w:lineRule="auto"/>
        <w:ind w:firstLine="720"/>
        <w:rPr>
          <w:rFonts w:eastAsiaTheme="minorEastAsia"/>
          <w:bCs w:val="0"/>
          <w:i w:val="0"/>
          <w:color w:val="000000"/>
        </w:rPr>
      </w:pPr>
      <w:r w:rsidRPr="00357722">
        <w:rPr>
          <w:rFonts w:eastAsiaTheme="minorEastAsia"/>
          <w:bCs w:val="0"/>
          <w:i w:val="0"/>
          <w:color w:val="000000"/>
        </w:rPr>
        <w:lastRenderedPageBreak/>
        <w:t xml:space="preserve">Previous </w:t>
      </w:r>
      <w:r w:rsidR="007C748F" w:rsidRPr="00357722">
        <w:rPr>
          <w:rFonts w:eastAsiaTheme="minorEastAsia"/>
          <w:bCs w:val="0"/>
          <w:i w:val="0"/>
          <w:color w:val="000000"/>
        </w:rPr>
        <w:t xml:space="preserve">literature on intellectual property rights and economic history </w:t>
      </w:r>
      <w:r w:rsidRPr="00357722">
        <w:rPr>
          <w:rFonts w:eastAsiaTheme="minorEastAsia"/>
          <w:bCs w:val="0"/>
          <w:i w:val="0"/>
          <w:color w:val="000000"/>
        </w:rPr>
        <w:t>ha</w:t>
      </w:r>
      <w:r w:rsidR="00EB60C4">
        <w:rPr>
          <w:rFonts w:eastAsiaTheme="minorEastAsia"/>
          <w:bCs w:val="0"/>
          <w:i w:val="0"/>
          <w:color w:val="000000"/>
        </w:rPr>
        <w:t>s</w:t>
      </w:r>
      <w:r w:rsidRPr="00357722">
        <w:rPr>
          <w:rFonts w:eastAsiaTheme="minorEastAsia"/>
          <w:bCs w:val="0"/>
          <w:i w:val="0"/>
          <w:color w:val="000000"/>
        </w:rPr>
        <w:t xml:space="preserve"> emphasized </w:t>
      </w:r>
      <w:r w:rsidR="007C748F" w:rsidRPr="00357722">
        <w:rPr>
          <w:rFonts w:eastAsiaTheme="minorEastAsia"/>
          <w:bCs w:val="0"/>
          <w:i w:val="0"/>
          <w:color w:val="000000"/>
        </w:rPr>
        <w:t>that property rights protection prompt</w:t>
      </w:r>
      <w:r w:rsidR="00EB60C4">
        <w:rPr>
          <w:rFonts w:eastAsiaTheme="minorEastAsia"/>
          <w:bCs w:val="0"/>
          <w:i w:val="0"/>
          <w:color w:val="000000"/>
        </w:rPr>
        <w:t>s</w:t>
      </w:r>
      <w:r w:rsidR="007C748F" w:rsidRPr="00357722">
        <w:rPr>
          <w:rFonts w:eastAsiaTheme="minorEastAsia"/>
          <w:bCs w:val="0"/>
          <w:i w:val="0"/>
          <w:color w:val="000000"/>
        </w:rPr>
        <w:t xml:space="preserve"> entrepreneurial and corporate investment activities </w:t>
      </w:r>
      <w:r w:rsidR="00D7259E" w:rsidRPr="00357722">
        <w:rPr>
          <w:rFonts w:eastAsiaTheme="minorEastAsia"/>
          <w:bCs w:val="0"/>
          <w:i w:val="0"/>
          <w:color w:val="000000"/>
        </w:rPr>
        <w:t xml:space="preserve">at </w:t>
      </w:r>
      <w:r w:rsidR="007C748F" w:rsidRPr="00357722">
        <w:rPr>
          <w:rFonts w:eastAsiaTheme="minorEastAsia"/>
          <w:bCs w:val="0"/>
          <w:i w:val="0"/>
          <w:color w:val="000000"/>
        </w:rPr>
        <w:t xml:space="preserve">the </w:t>
      </w:r>
      <w:r w:rsidR="00E30532" w:rsidRPr="00357722">
        <w:rPr>
          <w:rFonts w:eastAsiaTheme="minorEastAsia"/>
          <w:bCs w:val="0"/>
          <w:i w:val="0"/>
          <w:color w:val="000000"/>
        </w:rPr>
        <w:t>micro</w:t>
      </w:r>
      <w:r w:rsidR="00E30532">
        <w:rPr>
          <w:rFonts w:eastAsiaTheme="minorEastAsia"/>
          <w:bCs w:val="0"/>
          <w:i w:val="0"/>
          <w:color w:val="000000"/>
        </w:rPr>
        <w:t>-</w:t>
      </w:r>
      <w:r w:rsidR="007C748F" w:rsidRPr="00357722">
        <w:rPr>
          <w:rFonts w:eastAsiaTheme="minorEastAsia"/>
          <w:bCs w:val="0"/>
          <w:i w:val="0"/>
          <w:color w:val="000000"/>
        </w:rPr>
        <w:t xml:space="preserve">level and economic development at the </w:t>
      </w:r>
      <w:r w:rsidR="00E30532" w:rsidRPr="00357722">
        <w:rPr>
          <w:rFonts w:eastAsiaTheme="minorEastAsia"/>
          <w:bCs w:val="0"/>
          <w:i w:val="0"/>
          <w:color w:val="000000"/>
        </w:rPr>
        <w:t>macro</w:t>
      </w:r>
      <w:r w:rsidR="00E30532">
        <w:rPr>
          <w:rFonts w:eastAsiaTheme="minorEastAsia"/>
          <w:bCs w:val="0"/>
          <w:i w:val="0"/>
          <w:color w:val="000000"/>
        </w:rPr>
        <w:t>-</w:t>
      </w:r>
      <w:r w:rsidR="007C748F" w:rsidRPr="00357722">
        <w:rPr>
          <w:rFonts w:eastAsiaTheme="minorEastAsia"/>
          <w:bCs w:val="0"/>
          <w:i w:val="0"/>
          <w:color w:val="000000"/>
        </w:rPr>
        <w:t xml:space="preserve">level (see Rosenberg and </w:t>
      </w:r>
      <w:proofErr w:type="spellStart"/>
      <w:r w:rsidR="007C748F" w:rsidRPr="00357722">
        <w:rPr>
          <w:rFonts w:eastAsiaTheme="minorEastAsia"/>
          <w:bCs w:val="0"/>
          <w:i w:val="0"/>
          <w:color w:val="000000"/>
        </w:rPr>
        <w:t>Birdzell</w:t>
      </w:r>
      <w:proofErr w:type="spellEnd"/>
      <w:r w:rsidR="007C748F" w:rsidRPr="00357722">
        <w:rPr>
          <w:rFonts w:eastAsiaTheme="minorEastAsia"/>
          <w:bCs w:val="0"/>
          <w:i w:val="0"/>
          <w:color w:val="000000"/>
        </w:rPr>
        <w:t>, 1986; North et al.</w:t>
      </w:r>
      <w:r w:rsidR="009C595B">
        <w:rPr>
          <w:rFonts w:eastAsiaTheme="minorEastAsia"/>
          <w:bCs w:val="0"/>
          <w:i w:val="0"/>
          <w:color w:val="000000"/>
        </w:rPr>
        <w:t>,</w:t>
      </w:r>
      <w:r w:rsidR="007C748F" w:rsidRPr="00357722">
        <w:rPr>
          <w:rFonts w:eastAsiaTheme="minorEastAsia"/>
          <w:bCs w:val="0"/>
          <w:i w:val="0"/>
          <w:color w:val="000000"/>
        </w:rPr>
        <w:t xml:space="preserve"> 2000; </w:t>
      </w:r>
      <w:proofErr w:type="spellStart"/>
      <w:r w:rsidR="007C748F" w:rsidRPr="00357722">
        <w:rPr>
          <w:rFonts w:eastAsiaTheme="minorEastAsia"/>
          <w:bCs w:val="0"/>
          <w:i w:val="0"/>
          <w:color w:val="000000"/>
        </w:rPr>
        <w:t>Falvery</w:t>
      </w:r>
      <w:proofErr w:type="spellEnd"/>
      <w:r w:rsidR="007C748F" w:rsidRPr="00357722">
        <w:rPr>
          <w:rFonts w:eastAsiaTheme="minorEastAsia"/>
          <w:bCs w:val="0"/>
          <w:i w:val="0"/>
          <w:color w:val="000000"/>
        </w:rPr>
        <w:t xml:space="preserve"> et al. 2004; Glaeser et al. 2004). This encourage</w:t>
      </w:r>
      <w:r w:rsidR="00D7259E" w:rsidRPr="00357722">
        <w:rPr>
          <w:rFonts w:eastAsiaTheme="minorEastAsia"/>
          <w:bCs w:val="0"/>
          <w:i w:val="0"/>
          <w:color w:val="000000"/>
        </w:rPr>
        <w:t>s</w:t>
      </w:r>
      <w:r w:rsidR="007C748F" w:rsidRPr="00357722">
        <w:rPr>
          <w:rFonts w:eastAsiaTheme="minorEastAsia"/>
          <w:bCs w:val="0"/>
          <w:i w:val="0"/>
          <w:color w:val="000000"/>
        </w:rPr>
        <w:t xml:space="preserve"> foreign investors to participate in the growth opportunities of those countries</w:t>
      </w:r>
      <w:r w:rsidR="0015009E" w:rsidRPr="00357722">
        <w:rPr>
          <w:rFonts w:eastAsiaTheme="minorEastAsia"/>
          <w:bCs w:val="0"/>
          <w:i w:val="0"/>
          <w:color w:val="000000"/>
        </w:rPr>
        <w:t>,</w:t>
      </w:r>
      <w:r w:rsidR="007C748F" w:rsidRPr="00357722">
        <w:rPr>
          <w:rFonts w:eastAsiaTheme="minorEastAsia"/>
          <w:bCs w:val="0"/>
          <w:i w:val="0"/>
          <w:color w:val="000000"/>
        </w:rPr>
        <w:t xml:space="preserve"> which </w:t>
      </w:r>
      <w:r w:rsidR="0015009E" w:rsidRPr="00357722">
        <w:rPr>
          <w:rFonts w:eastAsiaTheme="minorEastAsia"/>
          <w:bCs w:val="0"/>
          <w:i w:val="0"/>
          <w:color w:val="000000"/>
        </w:rPr>
        <w:t>will in turn</w:t>
      </w:r>
      <w:r w:rsidR="00D7259E" w:rsidRPr="00357722">
        <w:rPr>
          <w:rFonts w:eastAsiaTheme="minorEastAsia"/>
          <w:bCs w:val="0"/>
          <w:i w:val="0"/>
          <w:color w:val="000000"/>
        </w:rPr>
        <w:t xml:space="preserve"> </w:t>
      </w:r>
      <w:r w:rsidR="007C748F" w:rsidRPr="00357722">
        <w:rPr>
          <w:rFonts w:eastAsiaTheme="minorEastAsia"/>
          <w:bCs w:val="0"/>
          <w:i w:val="0"/>
          <w:color w:val="000000"/>
        </w:rPr>
        <w:t>improve the development of the financial market. Further, enforcement of income right</w:t>
      </w:r>
      <w:r w:rsidR="009D7AE8">
        <w:rPr>
          <w:rFonts w:eastAsiaTheme="minorEastAsia"/>
          <w:bCs w:val="0"/>
          <w:i w:val="0"/>
          <w:color w:val="000000"/>
        </w:rPr>
        <w:t>s</w:t>
      </w:r>
      <w:r w:rsidR="007C748F" w:rsidRPr="00357722">
        <w:rPr>
          <w:rFonts w:eastAsiaTheme="minorEastAsia"/>
          <w:bCs w:val="0"/>
          <w:i w:val="0"/>
          <w:color w:val="000000"/>
        </w:rPr>
        <w:t xml:space="preserve"> sends signals to investors of lower investment risk from expropriation which will stimulate </w:t>
      </w:r>
      <w:r w:rsidR="00E30532">
        <w:rPr>
          <w:rFonts w:eastAsiaTheme="minorEastAsia"/>
          <w:bCs w:val="0"/>
          <w:i w:val="0"/>
          <w:color w:val="000000"/>
        </w:rPr>
        <w:t xml:space="preserve">the </w:t>
      </w:r>
      <w:r w:rsidR="007C748F" w:rsidRPr="00357722">
        <w:rPr>
          <w:rFonts w:eastAsiaTheme="minorEastAsia"/>
          <w:bCs w:val="0"/>
          <w:i w:val="0"/>
          <w:color w:val="000000"/>
        </w:rPr>
        <w:t xml:space="preserve">provision of capital to the financial market. </w:t>
      </w:r>
    </w:p>
    <w:p w14:paraId="052444E8" w14:textId="37D672BD" w:rsidR="0022146D" w:rsidRPr="00357722" w:rsidRDefault="006D5A00" w:rsidP="00367661">
      <w:pPr>
        <w:pStyle w:val="Style2"/>
        <w:spacing w:line="480" w:lineRule="auto"/>
        <w:ind w:firstLine="720"/>
        <w:rPr>
          <w:rFonts w:eastAsiaTheme="minorEastAsia"/>
          <w:bCs w:val="0"/>
          <w:i w:val="0"/>
          <w:color w:val="000000"/>
        </w:rPr>
      </w:pPr>
      <w:r w:rsidRPr="00357722">
        <w:rPr>
          <w:rFonts w:eastAsiaTheme="minorEastAsia"/>
          <w:bCs w:val="0"/>
          <w:i w:val="0"/>
          <w:color w:val="000000"/>
        </w:rPr>
        <w:t>Most early studies as well as current work focus on g</w:t>
      </w:r>
      <w:r w:rsidR="00E76A28" w:rsidRPr="00357722">
        <w:rPr>
          <w:rFonts w:eastAsiaTheme="minorEastAsia"/>
          <w:bCs w:val="0"/>
          <w:i w:val="0"/>
          <w:color w:val="000000"/>
        </w:rPr>
        <w:t>overnment integrity reduc</w:t>
      </w:r>
      <w:r w:rsidRPr="00357722">
        <w:rPr>
          <w:rFonts w:eastAsiaTheme="minorEastAsia"/>
          <w:bCs w:val="0"/>
          <w:i w:val="0"/>
          <w:color w:val="000000"/>
        </w:rPr>
        <w:t>ing</w:t>
      </w:r>
      <w:r w:rsidR="00E76A28" w:rsidRPr="00357722">
        <w:rPr>
          <w:rFonts w:eastAsiaTheme="minorEastAsia"/>
          <w:bCs w:val="0"/>
          <w:i w:val="0"/>
          <w:color w:val="000000"/>
        </w:rPr>
        <w:t xml:space="preserve"> corruption and expropriation by corporate insiders. </w:t>
      </w:r>
      <w:r w:rsidR="00E30532">
        <w:rPr>
          <w:rFonts w:eastAsiaTheme="minorEastAsia"/>
          <w:bCs w:val="0"/>
          <w:i w:val="0"/>
          <w:color w:val="000000"/>
        </w:rPr>
        <w:t>The a</w:t>
      </w:r>
      <w:r w:rsidR="00E30532" w:rsidRPr="00357722">
        <w:rPr>
          <w:rFonts w:eastAsiaTheme="minorEastAsia"/>
          <w:bCs w:val="0"/>
          <w:i w:val="0"/>
          <w:color w:val="000000"/>
        </w:rPr>
        <w:t xml:space="preserve">bsence </w:t>
      </w:r>
      <w:r w:rsidR="000146A1" w:rsidRPr="00357722">
        <w:rPr>
          <w:rFonts w:eastAsiaTheme="minorEastAsia"/>
          <w:bCs w:val="0"/>
          <w:i w:val="0"/>
          <w:color w:val="000000"/>
        </w:rPr>
        <w:t xml:space="preserve">of government integrity will exacerbate </w:t>
      </w:r>
      <w:r w:rsidR="00EB60C4">
        <w:rPr>
          <w:rFonts w:eastAsiaTheme="minorEastAsia"/>
          <w:bCs w:val="0"/>
          <w:i w:val="0"/>
          <w:color w:val="000000"/>
        </w:rPr>
        <w:t xml:space="preserve">the </w:t>
      </w:r>
      <w:r w:rsidR="00E30532" w:rsidRPr="00357722">
        <w:rPr>
          <w:rFonts w:eastAsiaTheme="minorEastAsia"/>
          <w:bCs w:val="0"/>
          <w:i w:val="0"/>
          <w:color w:val="000000"/>
        </w:rPr>
        <w:t>preval</w:t>
      </w:r>
      <w:r w:rsidR="00E30532">
        <w:rPr>
          <w:rFonts w:eastAsiaTheme="minorEastAsia"/>
          <w:bCs w:val="0"/>
          <w:i w:val="0"/>
          <w:color w:val="000000"/>
        </w:rPr>
        <w:t>e</w:t>
      </w:r>
      <w:r w:rsidR="00E30532" w:rsidRPr="00357722">
        <w:rPr>
          <w:rFonts w:eastAsiaTheme="minorEastAsia"/>
          <w:bCs w:val="0"/>
          <w:i w:val="0"/>
          <w:color w:val="000000"/>
        </w:rPr>
        <w:t xml:space="preserve">nce </w:t>
      </w:r>
      <w:r w:rsidR="000146A1" w:rsidRPr="00357722">
        <w:rPr>
          <w:rFonts w:eastAsiaTheme="minorEastAsia"/>
          <w:bCs w:val="0"/>
          <w:i w:val="0"/>
          <w:color w:val="000000"/>
        </w:rPr>
        <w:t xml:space="preserve">of corruption via the use of public power for private benefit (Treisman, 2000). </w:t>
      </w:r>
      <w:r w:rsidR="00794E66" w:rsidRPr="00357722">
        <w:rPr>
          <w:rFonts w:eastAsia="Calibri"/>
          <w:i w:val="0"/>
          <w:iCs w:val="0"/>
          <w:lang w:eastAsia="en-US"/>
        </w:rPr>
        <w:t xml:space="preserve">Corruption </w:t>
      </w:r>
      <w:r w:rsidR="002C6D03" w:rsidRPr="00357722">
        <w:rPr>
          <w:rFonts w:eastAsia="Calibri"/>
          <w:i w:val="0"/>
          <w:iCs w:val="0"/>
          <w:lang w:eastAsia="en-US"/>
        </w:rPr>
        <w:t>thrives</w:t>
      </w:r>
      <w:r w:rsidR="002C6D03" w:rsidRPr="00357722">
        <w:rPr>
          <w:rFonts w:eastAsia="Calibri"/>
          <w:bCs w:val="0"/>
          <w:i w:val="0"/>
          <w:iCs w:val="0"/>
          <w:lang w:eastAsia="en-US"/>
        </w:rPr>
        <w:t xml:space="preserve"> in an environment where </w:t>
      </w:r>
      <w:r w:rsidR="00877B75" w:rsidRPr="00357722">
        <w:rPr>
          <w:rFonts w:eastAsia="Calibri"/>
          <w:bCs w:val="0"/>
          <w:i w:val="0"/>
          <w:iCs w:val="0"/>
          <w:lang w:eastAsia="en-US"/>
        </w:rPr>
        <w:t xml:space="preserve">there is </w:t>
      </w:r>
      <w:r w:rsidR="000146A1" w:rsidRPr="00357722">
        <w:rPr>
          <w:rFonts w:eastAsia="Calibri"/>
          <w:bCs w:val="0"/>
          <w:i w:val="0"/>
          <w:iCs w:val="0"/>
          <w:lang w:eastAsia="en-US"/>
        </w:rPr>
        <w:t xml:space="preserve">poor </w:t>
      </w:r>
      <w:r w:rsidR="002C6D03" w:rsidRPr="00357722">
        <w:rPr>
          <w:rFonts w:eastAsia="Calibri"/>
          <w:bCs w:val="0"/>
          <w:i w:val="0"/>
          <w:iCs w:val="0"/>
          <w:lang w:eastAsia="en-US"/>
        </w:rPr>
        <w:t xml:space="preserve">governance </w:t>
      </w:r>
      <w:r w:rsidR="00877B75" w:rsidRPr="00357722">
        <w:rPr>
          <w:rFonts w:eastAsia="Calibri"/>
          <w:bCs w:val="0"/>
          <w:i w:val="0"/>
          <w:iCs w:val="0"/>
          <w:lang w:eastAsia="en-US"/>
        </w:rPr>
        <w:t xml:space="preserve">and </w:t>
      </w:r>
      <w:r w:rsidR="001B7ADA" w:rsidRPr="00357722">
        <w:rPr>
          <w:rFonts w:eastAsia="Calibri"/>
          <w:bCs w:val="0"/>
          <w:i w:val="0"/>
          <w:iCs w:val="0"/>
          <w:lang w:eastAsia="en-US"/>
        </w:rPr>
        <w:t>un</w:t>
      </w:r>
      <w:r w:rsidR="00877B75" w:rsidRPr="00357722">
        <w:rPr>
          <w:rFonts w:eastAsia="Calibri"/>
          <w:bCs w:val="0"/>
          <w:i w:val="0"/>
          <w:iCs w:val="0"/>
          <w:lang w:eastAsia="en-US"/>
        </w:rPr>
        <w:t xml:space="preserve">accountability. </w:t>
      </w:r>
      <w:r w:rsidRPr="00357722">
        <w:rPr>
          <w:rFonts w:eastAsiaTheme="minorEastAsia"/>
          <w:bCs w:val="0"/>
          <w:i w:val="0"/>
          <w:color w:val="000000"/>
        </w:rPr>
        <w:t xml:space="preserve">Several </w:t>
      </w:r>
      <w:r w:rsidR="00367661" w:rsidRPr="00357722">
        <w:rPr>
          <w:rFonts w:eastAsiaTheme="minorEastAsia"/>
          <w:bCs w:val="0"/>
          <w:i w:val="0"/>
          <w:color w:val="000000"/>
        </w:rPr>
        <w:t xml:space="preserve">studies </w:t>
      </w:r>
      <w:r w:rsidR="000919AA" w:rsidRPr="00357722">
        <w:rPr>
          <w:rFonts w:eastAsiaTheme="minorEastAsia"/>
          <w:bCs w:val="0"/>
          <w:i w:val="0"/>
          <w:color w:val="000000"/>
        </w:rPr>
        <w:t xml:space="preserve">suggest </w:t>
      </w:r>
      <w:r w:rsidR="00367661" w:rsidRPr="00357722">
        <w:rPr>
          <w:rFonts w:eastAsiaTheme="minorEastAsia"/>
          <w:bCs w:val="0"/>
          <w:i w:val="0"/>
          <w:color w:val="000000"/>
        </w:rPr>
        <w:t>that corruption</w:t>
      </w:r>
      <w:r w:rsidR="00FE799F" w:rsidRPr="00357722">
        <w:rPr>
          <w:rFonts w:eastAsiaTheme="minorEastAsia"/>
          <w:bCs w:val="0"/>
          <w:i w:val="0"/>
          <w:color w:val="000000"/>
        </w:rPr>
        <w:t xml:space="preserve"> is a cost to businesses and also </w:t>
      </w:r>
      <w:r w:rsidR="008642B7" w:rsidRPr="00357722">
        <w:rPr>
          <w:rFonts w:eastAsiaTheme="minorEastAsia"/>
          <w:bCs w:val="0"/>
          <w:i w:val="0"/>
          <w:color w:val="000000"/>
        </w:rPr>
        <w:t>harmful to financial development</w:t>
      </w:r>
      <w:r w:rsidR="00FE799F" w:rsidRPr="00357722">
        <w:rPr>
          <w:rFonts w:eastAsiaTheme="minorEastAsia"/>
          <w:bCs w:val="0"/>
          <w:i w:val="0"/>
          <w:color w:val="000000"/>
        </w:rPr>
        <w:t xml:space="preserve"> (Mauro, 1998; Schleifer and </w:t>
      </w:r>
      <w:proofErr w:type="spellStart"/>
      <w:r w:rsidR="00FE799F" w:rsidRPr="00357722">
        <w:rPr>
          <w:rFonts w:eastAsiaTheme="minorEastAsia"/>
          <w:bCs w:val="0"/>
          <w:i w:val="0"/>
          <w:color w:val="000000"/>
        </w:rPr>
        <w:t>Vishny</w:t>
      </w:r>
      <w:proofErr w:type="spellEnd"/>
      <w:r w:rsidR="00FE799F" w:rsidRPr="00357722">
        <w:rPr>
          <w:rFonts w:eastAsiaTheme="minorEastAsia"/>
          <w:bCs w:val="0"/>
          <w:i w:val="0"/>
          <w:color w:val="000000"/>
        </w:rPr>
        <w:t>,</w:t>
      </w:r>
      <w:r w:rsidR="006135D1" w:rsidRPr="00357722">
        <w:rPr>
          <w:rFonts w:eastAsiaTheme="minorEastAsia"/>
          <w:bCs w:val="0"/>
          <w:i w:val="0"/>
          <w:color w:val="000000"/>
        </w:rPr>
        <w:t xml:space="preserve"> </w:t>
      </w:r>
      <w:r w:rsidR="00A96FCC" w:rsidRPr="00357722">
        <w:rPr>
          <w:rFonts w:eastAsiaTheme="minorEastAsia"/>
          <w:bCs w:val="0"/>
          <w:i w:val="0"/>
          <w:color w:val="000000"/>
        </w:rPr>
        <w:t>1993; Wei, 2000; Chen et al.</w:t>
      </w:r>
      <w:r w:rsidR="009C595B">
        <w:rPr>
          <w:rFonts w:eastAsiaTheme="minorEastAsia"/>
          <w:bCs w:val="0"/>
          <w:i w:val="0"/>
          <w:color w:val="000000"/>
        </w:rPr>
        <w:t>,</w:t>
      </w:r>
      <w:r w:rsidR="00A96FCC" w:rsidRPr="00357722">
        <w:rPr>
          <w:rFonts w:eastAsiaTheme="minorEastAsia"/>
          <w:bCs w:val="0"/>
          <w:i w:val="0"/>
          <w:color w:val="000000"/>
        </w:rPr>
        <w:t xml:space="preserve"> </w:t>
      </w:r>
      <w:r w:rsidR="00FE799F" w:rsidRPr="00357722">
        <w:rPr>
          <w:rFonts w:eastAsiaTheme="minorEastAsia"/>
          <w:bCs w:val="0"/>
          <w:i w:val="0"/>
          <w:color w:val="000000"/>
        </w:rPr>
        <w:t xml:space="preserve">2018). This is consistent with the view that </w:t>
      </w:r>
      <w:r w:rsidR="001B7ADA" w:rsidRPr="00357722">
        <w:rPr>
          <w:rFonts w:eastAsiaTheme="minorEastAsia"/>
          <w:bCs w:val="0"/>
          <w:i w:val="0"/>
          <w:color w:val="000000"/>
        </w:rPr>
        <w:t>public officials exercise intolerable use of power</w:t>
      </w:r>
      <w:r w:rsidR="001B7ADA" w:rsidRPr="00357722">
        <w:rPr>
          <w:rFonts w:eastAsiaTheme="minorEastAsia"/>
          <w:color w:val="000000"/>
        </w:rPr>
        <w:t xml:space="preserve"> </w:t>
      </w:r>
      <w:r w:rsidR="001B7ADA" w:rsidRPr="00357722">
        <w:rPr>
          <w:rFonts w:eastAsiaTheme="minorEastAsia"/>
          <w:i w:val="0"/>
          <w:color w:val="000000"/>
        </w:rPr>
        <w:t>(</w:t>
      </w:r>
      <w:proofErr w:type="spellStart"/>
      <w:r w:rsidR="001B7ADA" w:rsidRPr="00357722">
        <w:rPr>
          <w:rFonts w:eastAsiaTheme="minorEastAsia"/>
          <w:i w:val="0"/>
          <w:color w:val="000000"/>
        </w:rPr>
        <w:t>Djankov</w:t>
      </w:r>
      <w:proofErr w:type="spellEnd"/>
      <w:r w:rsidR="001B7ADA" w:rsidRPr="00357722">
        <w:rPr>
          <w:rFonts w:eastAsiaTheme="minorEastAsia"/>
          <w:i w:val="0"/>
          <w:color w:val="000000"/>
        </w:rPr>
        <w:t xml:space="preserve"> et al. 2003), and </w:t>
      </w:r>
      <w:r w:rsidR="00FE799F" w:rsidRPr="00357722">
        <w:rPr>
          <w:rFonts w:eastAsiaTheme="minorEastAsia"/>
          <w:bCs w:val="0"/>
          <w:i w:val="0"/>
          <w:color w:val="000000"/>
        </w:rPr>
        <w:t xml:space="preserve">corruption reduces </w:t>
      </w:r>
      <w:r w:rsidR="00E30532">
        <w:rPr>
          <w:rFonts w:eastAsiaTheme="minorEastAsia"/>
          <w:bCs w:val="0"/>
          <w:i w:val="0"/>
          <w:color w:val="000000"/>
        </w:rPr>
        <w:t xml:space="preserve">the </w:t>
      </w:r>
      <w:r w:rsidR="00FE799F" w:rsidRPr="00357722">
        <w:rPr>
          <w:rFonts w:eastAsiaTheme="minorEastAsia"/>
          <w:bCs w:val="0"/>
          <w:i w:val="0"/>
          <w:color w:val="000000"/>
        </w:rPr>
        <w:t xml:space="preserve">efficient allocation of resources to the most productive sector of the economy, </w:t>
      </w:r>
      <w:r w:rsidR="008642B7" w:rsidRPr="00357722">
        <w:rPr>
          <w:rFonts w:eastAsiaTheme="minorEastAsia"/>
          <w:bCs w:val="0"/>
          <w:i w:val="0"/>
          <w:color w:val="000000"/>
        </w:rPr>
        <w:t>productivity, and competition</w:t>
      </w:r>
      <w:r w:rsidR="00FE799F" w:rsidRPr="00357722">
        <w:rPr>
          <w:rFonts w:eastAsiaTheme="minorEastAsia"/>
          <w:bCs w:val="0"/>
          <w:i w:val="0"/>
          <w:color w:val="000000"/>
        </w:rPr>
        <w:t>.</w:t>
      </w:r>
      <w:r w:rsidR="00C95ECD" w:rsidRPr="00357722">
        <w:rPr>
          <w:rFonts w:eastAsiaTheme="minorEastAsia"/>
          <w:bCs w:val="0"/>
          <w:i w:val="0"/>
          <w:color w:val="000000"/>
        </w:rPr>
        <w:t xml:space="preserve"> There will </w:t>
      </w:r>
      <w:r w:rsidR="009D7AE8">
        <w:rPr>
          <w:rFonts w:eastAsiaTheme="minorEastAsia"/>
          <w:bCs w:val="0"/>
          <w:i w:val="0"/>
          <w:color w:val="000000"/>
        </w:rPr>
        <w:t xml:space="preserve">be </w:t>
      </w:r>
      <w:r w:rsidR="00C95ECD" w:rsidRPr="00357722">
        <w:rPr>
          <w:rFonts w:eastAsiaTheme="minorEastAsia"/>
          <w:bCs w:val="0"/>
          <w:i w:val="0"/>
          <w:color w:val="000000"/>
        </w:rPr>
        <w:t xml:space="preserve">lower participation in the financial market as a result of </w:t>
      </w:r>
      <w:r w:rsidR="009D7AE8" w:rsidRPr="00357722">
        <w:rPr>
          <w:rFonts w:eastAsiaTheme="minorEastAsia"/>
          <w:bCs w:val="0"/>
          <w:i w:val="0"/>
          <w:color w:val="000000"/>
        </w:rPr>
        <w:t>investor</w:t>
      </w:r>
      <w:r w:rsidR="009D7AE8">
        <w:rPr>
          <w:rFonts w:eastAsiaTheme="minorEastAsia"/>
          <w:bCs w:val="0"/>
          <w:i w:val="0"/>
          <w:color w:val="000000"/>
        </w:rPr>
        <w:t>s'</w:t>
      </w:r>
      <w:r w:rsidR="009D7AE8" w:rsidRPr="00357722">
        <w:rPr>
          <w:rFonts w:eastAsiaTheme="minorEastAsia"/>
          <w:bCs w:val="0"/>
          <w:i w:val="0"/>
          <w:color w:val="000000"/>
        </w:rPr>
        <w:t xml:space="preserve"> </w:t>
      </w:r>
      <w:r w:rsidR="00C95ECD" w:rsidRPr="00357722">
        <w:rPr>
          <w:rFonts w:eastAsiaTheme="minorEastAsia"/>
          <w:bCs w:val="0"/>
          <w:i w:val="0"/>
          <w:color w:val="000000"/>
        </w:rPr>
        <w:t xml:space="preserve">concerns </w:t>
      </w:r>
      <w:r w:rsidR="009D7AE8">
        <w:rPr>
          <w:rFonts w:eastAsiaTheme="minorEastAsia"/>
          <w:bCs w:val="0"/>
          <w:i w:val="0"/>
          <w:color w:val="000000"/>
        </w:rPr>
        <w:t>about</w:t>
      </w:r>
      <w:r w:rsidR="009D7AE8" w:rsidRPr="00357722">
        <w:rPr>
          <w:rFonts w:eastAsiaTheme="minorEastAsia"/>
          <w:bCs w:val="0"/>
          <w:i w:val="0"/>
          <w:color w:val="000000"/>
        </w:rPr>
        <w:t xml:space="preserve"> </w:t>
      </w:r>
      <w:r w:rsidR="00C95ECD" w:rsidRPr="00357722">
        <w:rPr>
          <w:rFonts w:eastAsiaTheme="minorEastAsia"/>
          <w:bCs w:val="0"/>
          <w:i w:val="0"/>
          <w:color w:val="000000"/>
        </w:rPr>
        <w:t>expropriation risk and lower returns.</w:t>
      </w:r>
      <w:r w:rsidR="00A37A4D" w:rsidRPr="00357722">
        <w:rPr>
          <w:rFonts w:eastAsiaTheme="minorEastAsia"/>
          <w:bCs w:val="0"/>
          <w:i w:val="0"/>
          <w:color w:val="000000"/>
        </w:rPr>
        <w:t xml:space="preserve"> Pastor and Veronesi (2012), show that investors’ lack of confidence in governments’ motives and policy results increases stock price crash risk. A recent study by Chen et al. (2018) find</w:t>
      </w:r>
      <w:r w:rsidR="00E30532">
        <w:rPr>
          <w:rFonts w:eastAsiaTheme="minorEastAsia"/>
          <w:bCs w:val="0"/>
          <w:i w:val="0"/>
          <w:color w:val="000000"/>
        </w:rPr>
        <w:t>s</w:t>
      </w:r>
      <w:r w:rsidR="00A37A4D" w:rsidRPr="00357722">
        <w:rPr>
          <w:rFonts w:eastAsiaTheme="minorEastAsia"/>
          <w:bCs w:val="0"/>
          <w:i w:val="0"/>
          <w:color w:val="000000"/>
        </w:rPr>
        <w:t xml:space="preserve"> that </w:t>
      </w:r>
      <w:r w:rsidR="00E30532">
        <w:rPr>
          <w:rFonts w:eastAsiaTheme="minorEastAsia"/>
          <w:bCs w:val="0"/>
          <w:i w:val="0"/>
          <w:color w:val="000000"/>
        </w:rPr>
        <w:t xml:space="preserve">the </w:t>
      </w:r>
      <w:r w:rsidR="00A37A4D" w:rsidRPr="00357722">
        <w:rPr>
          <w:rFonts w:eastAsiaTheme="minorEastAsia"/>
          <w:bCs w:val="0"/>
          <w:i w:val="0"/>
          <w:color w:val="000000"/>
        </w:rPr>
        <w:t xml:space="preserve">rent-seeking behaviour of corrupt public officials increases political risk </w:t>
      </w:r>
      <w:r w:rsidR="0022146D" w:rsidRPr="00357722">
        <w:rPr>
          <w:rFonts w:eastAsiaTheme="minorEastAsia"/>
          <w:bCs w:val="0"/>
          <w:i w:val="0"/>
          <w:color w:val="000000"/>
        </w:rPr>
        <w:t xml:space="preserve">and uncertainty about the viability of </w:t>
      </w:r>
      <w:r w:rsidR="00E30532">
        <w:rPr>
          <w:rFonts w:eastAsiaTheme="minorEastAsia"/>
          <w:bCs w:val="0"/>
          <w:i w:val="0"/>
          <w:color w:val="000000"/>
        </w:rPr>
        <w:t xml:space="preserve">the </w:t>
      </w:r>
      <w:r w:rsidR="0022146D" w:rsidRPr="00357722">
        <w:rPr>
          <w:rFonts w:eastAsiaTheme="minorEastAsia"/>
          <w:bCs w:val="0"/>
          <w:i w:val="0"/>
          <w:color w:val="000000"/>
        </w:rPr>
        <w:t>investment.</w:t>
      </w:r>
      <w:r w:rsidR="00A37A4D" w:rsidRPr="00357722">
        <w:rPr>
          <w:rFonts w:eastAsiaTheme="minorEastAsia"/>
          <w:bCs w:val="0"/>
          <w:i w:val="0"/>
          <w:color w:val="000000"/>
        </w:rPr>
        <w:t xml:space="preserve"> </w:t>
      </w:r>
      <w:r w:rsidR="0022146D" w:rsidRPr="00357722">
        <w:rPr>
          <w:rFonts w:eastAsiaTheme="minorEastAsia"/>
          <w:bCs w:val="0"/>
          <w:i w:val="0"/>
          <w:color w:val="000000"/>
        </w:rPr>
        <w:t xml:space="preserve">Pastor and Veronesi (2013) document that firms operating in a corrupt environment have lower transparency, obfuscate financial information and use briberies to gain government protection and other preferential treatment. </w:t>
      </w:r>
    </w:p>
    <w:p w14:paraId="4869FB35" w14:textId="49DC4410" w:rsidR="000A19B4" w:rsidRPr="00357722" w:rsidRDefault="00C95ECD" w:rsidP="000A19B4">
      <w:pPr>
        <w:pStyle w:val="Style2"/>
        <w:spacing w:line="480" w:lineRule="auto"/>
        <w:ind w:firstLine="720"/>
        <w:rPr>
          <w:rFonts w:eastAsiaTheme="minorEastAsia"/>
          <w:bCs w:val="0"/>
          <w:i w:val="0"/>
          <w:color w:val="000000"/>
        </w:rPr>
      </w:pPr>
      <w:r w:rsidRPr="00357722">
        <w:rPr>
          <w:rFonts w:eastAsiaTheme="minorEastAsia"/>
          <w:bCs w:val="0"/>
          <w:i w:val="0"/>
          <w:color w:val="000000"/>
        </w:rPr>
        <w:lastRenderedPageBreak/>
        <w:t xml:space="preserve">In line with the above argument, </w:t>
      </w:r>
      <w:r w:rsidR="00367661" w:rsidRPr="00357722">
        <w:rPr>
          <w:rFonts w:eastAsiaTheme="minorEastAsia"/>
          <w:bCs w:val="0"/>
          <w:i w:val="0"/>
          <w:color w:val="000000"/>
        </w:rPr>
        <w:t>we conj</w:t>
      </w:r>
      <w:r w:rsidR="001F08EE" w:rsidRPr="00357722">
        <w:rPr>
          <w:rFonts w:eastAsiaTheme="minorEastAsia"/>
          <w:bCs w:val="0"/>
          <w:i w:val="0"/>
          <w:color w:val="000000"/>
        </w:rPr>
        <w:t>e</w:t>
      </w:r>
      <w:r w:rsidR="00367661" w:rsidRPr="00357722">
        <w:rPr>
          <w:rFonts w:eastAsiaTheme="minorEastAsia"/>
          <w:bCs w:val="0"/>
          <w:i w:val="0"/>
          <w:color w:val="000000"/>
        </w:rPr>
        <w:t>cture that economic freedom through property right</w:t>
      </w:r>
      <w:r w:rsidR="00E30532">
        <w:rPr>
          <w:rFonts w:eastAsiaTheme="minorEastAsia"/>
          <w:bCs w:val="0"/>
          <w:i w:val="0"/>
          <w:color w:val="000000"/>
        </w:rPr>
        <w:t>s</w:t>
      </w:r>
      <w:r w:rsidR="00367661" w:rsidRPr="00357722">
        <w:rPr>
          <w:rFonts w:eastAsiaTheme="minorEastAsia"/>
          <w:bCs w:val="0"/>
          <w:i w:val="0"/>
          <w:color w:val="000000"/>
        </w:rPr>
        <w:t>, government integrity</w:t>
      </w:r>
      <w:r w:rsidR="00E30532">
        <w:rPr>
          <w:rFonts w:eastAsiaTheme="minorEastAsia"/>
          <w:bCs w:val="0"/>
          <w:i w:val="0"/>
          <w:color w:val="000000"/>
        </w:rPr>
        <w:t>,</w:t>
      </w:r>
      <w:r w:rsidR="00367661" w:rsidRPr="00357722">
        <w:rPr>
          <w:rFonts w:eastAsiaTheme="minorEastAsia"/>
          <w:bCs w:val="0"/>
          <w:i w:val="0"/>
          <w:color w:val="000000"/>
        </w:rPr>
        <w:t xml:space="preserve"> and judicial effectivene</w:t>
      </w:r>
      <w:r w:rsidR="000E573F" w:rsidRPr="00357722">
        <w:rPr>
          <w:rFonts w:eastAsiaTheme="minorEastAsia"/>
          <w:bCs w:val="0"/>
          <w:i w:val="0"/>
          <w:color w:val="000000"/>
        </w:rPr>
        <w:t>ss will prompt greater participation in the financial market. Specifically,</w:t>
      </w:r>
      <w:r w:rsidR="00A37A4D" w:rsidRPr="00357722">
        <w:rPr>
          <w:rFonts w:eastAsiaTheme="minorEastAsia"/>
          <w:bCs w:val="0"/>
          <w:i w:val="0"/>
          <w:color w:val="000000"/>
        </w:rPr>
        <w:t xml:space="preserve"> empirical evidence</w:t>
      </w:r>
      <w:r w:rsidR="00745B5E" w:rsidRPr="00357722">
        <w:rPr>
          <w:rFonts w:eastAsiaTheme="minorEastAsia"/>
          <w:bCs w:val="0"/>
          <w:i w:val="0"/>
          <w:color w:val="000000"/>
        </w:rPr>
        <w:t xml:space="preserve"> </w:t>
      </w:r>
      <w:r w:rsidR="000E573F" w:rsidRPr="00357722">
        <w:rPr>
          <w:rFonts w:eastAsiaTheme="minorEastAsia"/>
          <w:bCs w:val="0"/>
          <w:i w:val="0"/>
          <w:color w:val="000000"/>
        </w:rPr>
        <w:t>show</w:t>
      </w:r>
      <w:r w:rsidR="00E30532">
        <w:rPr>
          <w:rFonts w:eastAsiaTheme="minorEastAsia"/>
          <w:bCs w:val="0"/>
          <w:i w:val="0"/>
          <w:color w:val="000000"/>
        </w:rPr>
        <w:t>s</w:t>
      </w:r>
      <w:r w:rsidR="000E573F" w:rsidRPr="00357722">
        <w:rPr>
          <w:rFonts w:eastAsiaTheme="minorEastAsia"/>
          <w:bCs w:val="0"/>
          <w:i w:val="0"/>
          <w:color w:val="000000"/>
        </w:rPr>
        <w:t xml:space="preserve"> </w:t>
      </w:r>
      <w:r w:rsidR="00745B5E" w:rsidRPr="00357722">
        <w:rPr>
          <w:rFonts w:eastAsiaTheme="minorEastAsia"/>
          <w:bCs w:val="0"/>
          <w:i w:val="0"/>
          <w:color w:val="000000"/>
        </w:rPr>
        <w:t xml:space="preserve">that foreign investors from </w:t>
      </w:r>
      <w:r w:rsidR="00E30532" w:rsidRPr="00357722">
        <w:rPr>
          <w:rFonts w:eastAsiaTheme="minorEastAsia"/>
          <w:bCs w:val="0"/>
          <w:i w:val="0"/>
          <w:color w:val="000000"/>
        </w:rPr>
        <w:t>well</w:t>
      </w:r>
      <w:r w:rsidR="00E30532">
        <w:rPr>
          <w:rFonts w:eastAsiaTheme="minorEastAsia"/>
          <w:bCs w:val="0"/>
          <w:i w:val="0"/>
          <w:color w:val="000000"/>
        </w:rPr>
        <w:t>-</w:t>
      </w:r>
      <w:r w:rsidR="00745B5E" w:rsidRPr="00357722">
        <w:rPr>
          <w:rFonts w:eastAsiaTheme="minorEastAsia"/>
          <w:bCs w:val="0"/>
          <w:i w:val="0"/>
          <w:color w:val="000000"/>
        </w:rPr>
        <w:t xml:space="preserve">governed countries </w:t>
      </w:r>
      <w:r w:rsidR="00E30532">
        <w:rPr>
          <w:rFonts w:eastAsiaTheme="minorEastAsia"/>
          <w:bCs w:val="0"/>
          <w:i w:val="0"/>
          <w:color w:val="000000"/>
        </w:rPr>
        <w:t>can</w:t>
      </w:r>
      <w:r w:rsidR="00745B5E" w:rsidRPr="00357722">
        <w:rPr>
          <w:rFonts w:eastAsiaTheme="minorEastAsia"/>
          <w:bCs w:val="0"/>
          <w:i w:val="0"/>
          <w:color w:val="000000"/>
        </w:rPr>
        <w:t xml:space="preserve"> export good governance to the host countries</w:t>
      </w:r>
      <w:r w:rsidR="004769A0" w:rsidRPr="00357722">
        <w:rPr>
          <w:rFonts w:eastAsiaTheme="minorEastAsia"/>
          <w:bCs w:val="0"/>
          <w:i w:val="0"/>
          <w:color w:val="000000"/>
        </w:rPr>
        <w:t xml:space="preserve"> (see Kang and Kim, 2010; Kho et al. 2009)</w:t>
      </w:r>
      <w:r w:rsidR="00745B5E" w:rsidRPr="00357722">
        <w:rPr>
          <w:rFonts w:eastAsiaTheme="minorEastAsia"/>
          <w:bCs w:val="0"/>
          <w:i w:val="0"/>
          <w:color w:val="000000"/>
        </w:rPr>
        <w:t xml:space="preserve">. For instance, </w:t>
      </w:r>
      <w:r w:rsidR="00FF1002" w:rsidRPr="00357722">
        <w:rPr>
          <w:rFonts w:eastAsiaTheme="minorEastAsia"/>
          <w:bCs w:val="0"/>
          <w:i w:val="0"/>
          <w:color w:val="000000"/>
        </w:rPr>
        <w:t>Agga</w:t>
      </w:r>
      <w:r w:rsidR="001A513C" w:rsidRPr="00357722">
        <w:rPr>
          <w:rFonts w:eastAsiaTheme="minorEastAsia"/>
          <w:bCs w:val="0"/>
          <w:i w:val="0"/>
          <w:color w:val="000000"/>
        </w:rPr>
        <w:t>r</w:t>
      </w:r>
      <w:r w:rsidR="00FF1002" w:rsidRPr="00357722">
        <w:rPr>
          <w:rFonts w:eastAsiaTheme="minorEastAsia"/>
          <w:bCs w:val="0"/>
          <w:i w:val="0"/>
          <w:color w:val="000000"/>
        </w:rPr>
        <w:t xml:space="preserve">wal et al. (2011) document that institutional investors influence good governance around the world. </w:t>
      </w:r>
      <w:r w:rsidR="002C1DF0" w:rsidRPr="00357722">
        <w:rPr>
          <w:rFonts w:eastAsiaTheme="minorEastAsia"/>
          <w:bCs w:val="0"/>
          <w:i w:val="0"/>
          <w:color w:val="000000"/>
        </w:rPr>
        <w:t>This provides an unequivocal link between foreign portfolio diversification and ins</w:t>
      </w:r>
      <w:r w:rsidR="00E30532">
        <w:rPr>
          <w:rFonts w:eastAsiaTheme="minorEastAsia"/>
          <w:bCs w:val="0"/>
          <w:i w:val="0"/>
          <w:color w:val="000000"/>
        </w:rPr>
        <w:t>ti</w:t>
      </w:r>
      <w:r w:rsidR="002C1DF0" w:rsidRPr="00357722">
        <w:rPr>
          <w:rFonts w:eastAsiaTheme="minorEastAsia"/>
          <w:bCs w:val="0"/>
          <w:i w:val="0"/>
          <w:color w:val="000000"/>
        </w:rPr>
        <w:t xml:space="preserve">tutional quality </w:t>
      </w:r>
      <w:r w:rsidR="009D7AE8">
        <w:rPr>
          <w:rFonts w:eastAsiaTheme="minorEastAsia"/>
          <w:bCs w:val="0"/>
          <w:i w:val="0"/>
          <w:color w:val="000000"/>
        </w:rPr>
        <w:t>i</w:t>
      </w:r>
      <w:r w:rsidR="009D7AE8" w:rsidRPr="00357722">
        <w:rPr>
          <w:rFonts w:eastAsiaTheme="minorEastAsia"/>
          <w:bCs w:val="0"/>
          <w:i w:val="0"/>
          <w:color w:val="000000"/>
        </w:rPr>
        <w:t xml:space="preserve">n </w:t>
      </w:r>
      <w:r w:rsidR="002C1DF0" w:rsidRPr="00357722">
        <w:rPr>
          <w:rFonts w:eastAsiaTheme="minorEastAsia"/>
          <w:bCs w:val="0"/>
          <w:i w:val="0"/>
          <w:color w:val="000000"/>
        </w:rPr>
        <w:t xml:space="preserve">financial development. Levine et al. (2000) document the effects of legal regulation </w:t>
      </w:r>
      <w:r w:rsidR="009D7AE8" w:rsidRPr="00357722">
        <w:rPr>
          <w:rFonts w:eastAsiaTheme="minorEastAsia"/>
          <w:bCs w:val="0"/>
          <w:i w:val="0"/>
          <w:color w:val="000000"/>
        </w:rPr>
        <w:t>o</w:t>
      </w:r>
      <w:r w:rsidR="009D7AE8">
        <w:rPr>
          <w:rFonts w:eastAsiaTheme="minorEastAsia"/>
          <w:bCs w:val="0"/>
          <w:i w:val="0"/>
          <w:color w:val="000000"/>
        </w:rPr>
        <w:t>n</w:t>
      </w:r>
      <w:r w:rsidR="009D7AE8" w:rsidRPr="00357722">
        <w:rPr>
          <w:rFonts w:eastAsiaTheme="minorEastAsia"/>
          <w:bCs w:val="0"/>
          <w:i w:val="0"/>
          <w:color w:val="000000"/>
        </w:rPr>
        <w:t xml:space="preserve"> </w:t>
      </w:r>
      <w:r w:rsidR="002C1DF0" w:rsidRPr="00357722">
        <w:rPr>
          <w:rFonts w:eastAsiaTheme="minorEastAsia"/>
          <w:bCs w:val="0"/>
          <w:i w:val="0"/>
          <w:color w:val="000000"/>
        </w:rPr>
        <w:t>financial development</w:t>
      </w:r>
      <w:r w:rsidR="000800FD" w:rsidRPr="00357722">
        <w:rPr>
          <w:rStyle w:val="FootnoteReference"/>
          <w:rFonts w:eastAsiaTheme="minorEastAsia"/>
          <w:bCs w:val="0"/>
          <w:i w:val="0"/>
          <w:color w:val="000000"/>
        </w:rPr>
        <w:footnoteReference w:id="4"/>
      </w:r>
      <w:r w:rsidR="002C1DF0" w:rsidRPr="00357722">
        <w:rPr>
          <w:rFonts w:eastAsiaTheme="minorEastAsia"/>
          <w:bCs w:val="0"/>
          <w:i w:val="0"/>
          <w:color w:val="000000"/>
        </w:rPr>
        <w:t>.</w:t>
      </w:r>
    </w:p>
    <w:p w14:paraId="7963A950" w14:textId="222C0569" w:rsidR="0022146D" w:rsidRPr="00357722" w:rsidRDefault="00214827" w:rsidP="000E573F">
      <w:pPr>
        <w:pStyle w:val="Style2"/>
        <w:spacing w:line="480" w:lineRule="auto"/>
        <w:ind w:firstLine="720"/>
        <w:rPr>
          <w:rFonts w:eastAsiaTheme="minorEastAsia"/>
          <w:bCs w:val="0"/>
          <w:i w:val="0"/>
          <w:color w:val="000000"/>
        </w:rPr>
      </w:pPr>
      <w:r w:rsidRPr="00357722">
        <w:rPr>
          <w:rFonts w:eastAsiaTheme="minorEastAsia"/>
          <w:bCs w:val="0"/>
          <w:i w:val="0"/>
          <w:color w:val="000000"/>
        </w:rPr>
        <w:t>Other</w:t>
      </w:r>
      <w:r w:rsidR="00FF1002" w:rsidRPr="00357722">
        <w:rPr>
          <w:rFonts w:eastAsiaTheme="minorEastAsia"/>
          <w:bCs w:val="0"/>
          <w:i w:val="0"/>
          <w:color w:val="000000"/>
        </w:rPr>
        <w:t xml:space="preserve"> prior studies show that </w:t>
      </w:r>
      <w:r w:rsidR="00E30532" w:rsidRPr="00357722">
        <w:rPr>
          <w:rFonts w:eastAsiaTheme="minorEastAsia"/>
          <w:bCs w:val="0"/>
          <w:i w:val="0"/>
          <w:color w:val="000000"/>
        </w:rPr>
        <w:t>country</w:t>
      </w:r>
      <w:r w:rsidR="00E30532">
        <w:rPr>
          <w:rFonts w:eastAsiaTheme="minorEastAsia"/>
          <w:bCs w:val="0"/>
          <w:i w:val="0"/>
          <w:color w:val="000000"/>
        </w:rPr>
        <w:t>-</w:t>
      </w:r>
      <w:r w:rsidR="00FF1002" w:rsidRPr="00357722">
        <w:rPr>
          <w:rFonts w:eastAsiaTheme="minorEastAsia"/>
          <w:bCs w:val="0"/>
          <w:i w:val="0"/>
          <w:color w:val="000000"/>
        </w:rPr>
        <w:t xml:space="preserve">level corruption </w:t>
      </w:r>
      <w:r w:rsidR="00E30532">
        <w:rPr>
          <w:rFonts w:eastAsiaTheme="minorEastAsia"/>
          <w:bCs w:val="0"/>
          <w:i w:val="0"/>
          <w:color w:val="000000"/>
        </w:rPr>
        <w:t>is</w:t>
      </w:r>
      <w:r w:rsidR="00E30532" w:rsidRPr="00357722">
        <w:rPr>
          <w:rFonts w:eastAsiaTheme="minorEastAsia"/>
          <w:bCs w:val="0"/>
          <w:i w:val="0"/>
          <w:color w:val="000000"/>
        </w:rPr>
        <w:t xml:space="preserve"> </w:t>
      </w:r>
      <w:r w:rsidR="00FF1002" w:rsidRPr="00357722">
        <w:rPr>
          <w:rFonts w:eastAsiaTheme="minorEastAsia"/>
          <w:bCs w:val="0"/>
          <w:i w:val="0"/>
          <w:color w:val="000000"/>
        </w:rPr>
        <w:t>influenced by factors including</w:t>
      </w:r>
      <w:r w:rsidR="006B325A" w:rsidRPr="00357722">
        <w:rPr>
          <w:rFonts w:eastAsiaTheme="minorEastAsia"/>
          <w:bCs w:val="0"/>
          <w:i w:val="0"/>
          <w:color w:val="000000"/>
        </w:rPr>
        <w:t>;</w:t>
      </w:r>
      <w:r w:rsidR="00FF1002" w:rsidRPr="00357722">
        <w:rPr>
          <w:rFonts w:eastAsiaTheme="minorEastAsia"/>
          <w:bCs w:val="0"/>
          <w:i w:val="0"/>
          <w:color w:val="000000"/>
        </w:rPr>
        <w:t xml:space="preserve"> </w:t>
      </w:r>
      <w:r w:rsidR="00FF1002" w:rsidRPr="00357722">
        <w:rPr>
          <w:rFonts w:eastAsia="Calibri"/>
          <w:bCs w:val="0"/>
          <w:i w:val="0"/>
          <w:iCs w:val="0"/>
          <w:lang w:eastAsia="en-US"/>
        </w:rPr>
        <w:t>the extent of market integration, economic agents, business cycle, the legal institutions of corporate governance</w:t>
      </w:r>
      <w:r w:rsidR="00E30532">
        <w:rPr>
          <w:rFonts w:eastAsia="Calibri"/>
          <w:bCs w:val="0"/>
          <w:i w:val="0"/>
          <w:iCs w:val="0"/>
          <w:lang w:eastAsia="en-US"/>
        </w:rPr>
        <w:t>,</w:t>
      </w:r>
      <w:r w:rsidR="00FF1002" w:rsidRPr="00357722">
        <w:rPr>
          <w:rFonts w:eastAsia="Calibri"/>
          <w:bCs w:val="0"/>
          <w:i w:val="0"/>
          <w:iCs w:val="0"/>
          <w:lang w:eastAsia="en-US"/>
        </w:rPr>
        <w:t xml:space="preserve"> and culture (</w:t>
      </w:r>
      <w:proofErr w:type="spellStart"/>
      <w:r w:rsidR="00FF1002" w:rsidRPr="00357722">
        <w:rPr>
          <w:rFonts w:eastAsia="Calibri"/>
          <w:bCs w:val="0"/>
          <w:i w:val="0"/>
          <w:iCs w:val="0"/>
          <w:lang w:eastAsia="en-US"/>
        </w:rPr>
        <w:t>Gokcekus</w:t>
      </w:r>
      <w:proofErr w:type="spellEnd"/>
      <w:r w:rsidR="00FF1002" w:rsidRPr="00357722">
        <w:rPr>
          <w:rFonts w:eastAsia="Calibri"/>
          <w:bCs w:val="0"/>
          <w:i w:val="0"/>
          <w:iCs w:val="0"/>
          <w:lang w:eastAsia="en-US"/>
        </w:rPr>
        <w:t xml:space="preserve"> and Suzuki, 2011; Treisman, 2000</w:t>
      </w:r>
      <w:r w:rsidR="00FF1002" w:rsidRPr="00357722">
        <w:rPr>
          <w:rFonts w:ascii="Calibri" w:eastAsia="Calibri" w:hAnsi="Calibri"/>
          <w:bCs w:val="0"/>
          <w:i w:val="0"/>
          <w:iCs w:val="0"/>
          <w:sz w:val="22"/>
          <w:szCs w:val="22"/>
          <w:lang w:eastAsia="en-US"/>
        </w:rPr>
        <w:t xml:space="preserve">). </w:t>
      </w:r>
      <w:r w:rsidR="00AC4B10" w:rsidRPr="00357722">
        <w:rPr>
          <w:rFonts w:eastAsia="Calibri"/>
          <w:bCs w:val="0"/>
          <w:i w:val="0"/>
          <w:iCs w:val="0"/>
          <w:lang w:eastAsia="en-US"/>
        </w:rPr>
        <w:t xml:space="preserve">Errunza (2001) </w:t>
      </w:r>
      <w:r w:rsidR="006B325A" w:rsidRPr="00357722">
        <w:rPr>
          <w:rFonts w:eastAsia="Calibri"/>
          <w:bCs w:val="0"/>
          <w:i w:val="0"/>
          <w:iCs w:val="0"/>
          <w:lang w:eastAsia="en-US"/>
        </w:rPr>
        <w:t>postulates</w:t>
      </w:r>
      <w:r w:rsidR="00AC4B10" w:rsidRPr="00357722">
        <w:rPr>
          <w:rFonts w:eastAsia="Calibri"/>
          <w:bCs w:val="0"/>
          <w:i w:val="0"/>
          <w:iCs w:val="0"/>
          <w:lang w:eastAsia="en-US"/>
        </w:rPr>
        <w:t xml:space="preserve"> that international investors can exert pressure on policy-makers to reform corporate governance practices, develop strong institutions and improve transparency.</w:t>
      </w:r>
      <w:r w:rsidR="004B1A23" w:rsidRPr="00357722">
        <w:rPr>
          <w:rFonts w:eastAsia="Calibri"/>
          <w:bCs w:val="0"/>
          <w:i w:val="0"/>
          <w:iCs w:val="0"/>
          <w:lang w:eastAsia="en-US"/>
        </w:rPr>
        <w:t xml:space="preserve"> Rajan and Zingales (2003) posit that competition for external funds compel</w:t>
      </w:r>
      <w:r w:rsidR="009D7AE8">
        <w:rPr>
          <w:rFonts w:eastAsia="Calibri"/>
          <w:bCs w:val="0"/>
          <w:i w:val="0"/>
          <w:iCs w:val="0"/>
          <w:lang w:eastAsia="en-US"/>
        </w:rPr>
        <w:t>s</w:t>
      </w:r>
      <w:r w:rsidR="004B1A23" w:rsidRPr="00357722">
        <w:rPr>
          <w:rFonts w:eastAsia="Calibri"/>
          <w:bCs w:val="0"/>
          <w:i w:val="0"/>
          <w:iCs w:val="0"/>
          <w:lang w:eastAsia="en-US"/>
        </w:rPr>
        <w:t xml:space="preserve"> countries to allow </w:t>
      </w:r>
      <w:r w:rsidR="00E30532" w:rsidRPr="00357722">
        <w:rPr>
          <w:rFonts w:eastAsia="Calibri"/>
          <w:bCs w:val="0"/>
          <w:i w:val="0"/>
          <w:iCs w:val="0"/>
          <w:lang w:eastAsia="en-US"/>
        </w:rPr>
        <w:t>forei</w:t>
      </w:r>
      <w:r w:rsidR="00E30532">
        <w:rPr>
          <w:rFonts w:eastAsia="Calibri"/>
          <w:bCs w:val="0"/>
          <w:i w:val="0"/>
          <w:iCs w:val="0"/>
          <w:lang w:eastAsia="en-US"/>
        </w:rPr>
        <w:t>gn</w:t>
      </w:r>
      <w:r w:rsidR="00E30532" w:rsidRPr="00357722">
        <w:rPr>
          <w:rFonts w:eastAsia="Calibri"/>
          <w:bCs w:val="0"/>
          <w:i w:val="0"/>
          <w:iCs w:val="0"/>
          <w:lang w:eastAsia="en-US"/>
        </w:rPr>
        <w:t xml:space="preserve"> </w:t>
      </w:r>
      <w:r w:rsidR="004B1A23" w:rsidRPr="00357722">
        <w:rPr>
          <w:rFonts w:eastAsia="Calibri"/>
          <w:bCs w:val="0"/>
          <w:i w:val="0"/>
          <w:iCs w:val="0"/>
          <w:lang w:eastAsia="en-US"/>
        </w:rPr>
        <w:t xml:space="preserve">investors to actively participate in the governance of the domestic stock market. This </w:t>
      </w:r>
      <w:r w:rsidR="006B325A" w:rsidRPr="00357722">
        <w:rPr>
          <w:rFonts w:eastAsia="Calibri"/>
          <w:bCs w:val="0"/>
          <w:i w:val="0"/>
          <w:iCs w:val="0"/>
          <w:lang w:eastAsia="en-US"/>
        </w:rPr>
        <w:t xml:space="preserve">was </w:t>
      </w:r>
      <w:r w:rsidR="004B1A23" w:rsidRPr="00357722">
        <w:rPr>
          <w:rFonts w:eastAsia="Calibri"/>
          <w:bCs w:val="0"/>
          <w:i w:val="0"/>
          <w:iCs w:val="0"/>
          <w:lang w:eastAsia="en-US"/>
        </w:rPr>
        <w:t xml:space="preserve">echoed </w:t>
      </w:r>
      <w:r w:rsidR="009D7AE8">
        <w:rPr>
          <w:rFonts w:eastAsia="Calibri"/>
          <w:bCs w:val="0"/>
          <w:i w:val="0"/>
          <w:iCs w:val="0"/>
          <w:lang w:eastAsia="en-US"/>
        </w:rPr>
        <w:t>by</w:t>
      </w:r>
      <w:r w:rsidR="009D7AE8" w:rsidRPr="00357722">
        <w:rPr>
          <w:rFonts w:eastAsia="Calibri"/>
          <w:bCs w:val="0"/>
          <w:i w:val="0"/>
          <w:iCs w:val="0"/>
          <w:lang w:eastAsia="en-US"/>
        </w:rPr>
        <w:t xml:space="preserve"> </w:t>
      </w:r>
      <w:r w:rsidR="004B1A23" w:rsidRPr="00357722">
        <w:rPr>
          <w:rFonts w:eastAsia="Calibri"/>
          <w:bCs w:val="0"/>
          <w:i w:val="0"/>
          <w:iCs w:val="0"/>
          <w:lang w:eastAsia="en-US"/>
        </w:rPr>
        <w:t xml:space="preserve">Huang and Zhu (2015) who find that foreign institutional investors enhance </w:t>
      </w:r>
      <w:r w:rsidR="00E30532">
        <w:rPr>
          <w:rFonts w:eastAsia="Calibri"/>
          <w:bCs w:val="0"/>
          <w:i w:val="0"/>
          <w:iCs w:val="0"/>
          <w:lang w:eastAsia="en-US"/>
        </w:rPr>
        <w:t xml:space="preserve">the </w:t>
      </w:r>
      <w:r w:rsidR="00E30532" w:rsidRPr="00357722">
        <w:rPr>
          <w:rFonts w:eastAsia="Calibri"/>
          <w:bCs w:val="0"/>
          <w:i w:val="0"/>
          <w:iCs w:val="0"/>
          <w:lang w:eastAsia="en-US"/>
        </w:rPr>
        <w:t>market</w:t>
      </w:r>
      <w:r w:rsidR="00E30532">
        <w:rPr>
          <w:rFonts w:eastAsia="Calibri"/>
          <w:bCs w:val="0"/>
          <w:i w:val="0"/>
          <w:iCs w:val="0"/>
          <w:lang w:eastAsia="en-US"/>
        </w:rPr>
        <w:t>-</w:t>
      </w:r>
      <w:r w:rsidR="004B1A23" w:rsidRPr="00357722">
        <w:rPr>
          <w:rFonts w:eastAsia="Calibri"/>
          <w:bCs w:val="0"/>
          <w:i w:val="0"/>
          <w:iCs w:val="0"/>
          <w:lang w:eastAsia="en-US"/>
        </w:rPr>
        <w:t>based principle of corporate governance.</w:t>
      </w:r>
    </w:p>
    <w:p w14:paraId="74447E76" w14:textId="0DD860B1" w:rsidR="001235AA" w:rsidRPr="00357722" w:rsidRDefault="001235AA" w:rsidP="006A2ECB">
      <w:pPr>
        <w:pStyle w:val="Style2"/>
        <w:spacing w:line="480" w:lineRule="auto"/>
        <w:ind w:firstLine="720"/>
        <w:rPr>
          <w:rFonts w:eastAsiaTheme="minorEastAsia"/>
          <w:bCs w:val="0"/>
          <w:i w:val="0"/>
          <w:color w:val="000000"/>
        </w:rPr>
      </w:pPr>
      <w:r w:rsidRPr="00357722">
        <w:rPr>
          <w:rFonts w:eastAsia="Calibri"/>
          <w:bCs w:val="0"/>
          <w:i w:val="0"/>
          <w:iCs w:val="0"/>
          <w:lang w:eastAsia="en-US"/>
        </w:rPr>
        <w:t xml:space="preserve">We contend that </w:t>
      </w:r>
      <w:r w:rsidR="00C4095E" w:rsidRPr="00357722">
        <w:rPr>
          <w:rFonts w:eastAsia="Calibri"/>
          <w:bCs w:val="0"/>
          <w:i w:val="0"/>
          <w:iCs w:val="0"/>
          <w:lang w:eastAsia="en-US"/>
        </w:rPr>
        <w:t xml:space="preserve">as </w:t>
      </w:r>
      <w:r w:rsidRPr="00357722">
        <w:rPr>
          <w:rFonts w:eastAsia="Calibri"/>
          <w:bCs w:val="0"/>
          <w:i w:val="0"/>
          <w:iCs w:val="0"/>
          <w:lang w:eastAsia="en-US"/>
        </w:rPr>
        <w:t xml:space="preserve">foreign equity portfolio diversification reduces corruption and improves government integrity, it will </w:t>
      </w:r>
      <w:r w:rsidR="00C4095E" w:rsidRPr="00357722">
        <w:rPr>
          <w:rFonts w:eastAsia="Calibri"/>
          <w:bCs w:val="0"/>
          <w:i w:val="0"/>
          <w:iCs w:val="0"/>
          <w:lang w:eastAsia="en-US"/>
        </w:rPr>
        <w:t>boost</w:t>
      </w:r>
      <w:r w:rsidRPr="00357722">
        <w:rPr>
          <w:rFonts w:eastAsia="Calibri"/>
          <w:bCs w:val="0"/>
          <w:i w:val="0"/>
          <w:iCs w:val="0"/>
          <w:lang w:eastAsia="en-US"/>
        </w:rPr>
        <w:t xml:space="preserve"> greater participation in the stock market by both domestic and foreign investors which will </w:t>
      </w:r>
      <w:r w:rsidR="002E2B09" w:rsidRPr="00357722">
        <w:rPr>
          <w:rFonts w:eastAsia="Calibri"/>
          <w:bCs w:val="0"/>
          <w:i w:val="0"/>
          <w:iCs w:val="0"/>
          <w:lang w:eastAsia="en-US"/>
        </w:rPr>
        <w:t>successively</w:t>
      </w:r>
      <w:r w:rsidR="00C4095E" w:rsidRPr="00357722">
        <w:rPr>
          <w:rFonts w:eastAsia="Calibri"/>
          <w:bCs w:val="0"/>
          <w:i w:val="0"/>
          <w:iCs w:val="0"/>
          <w:lang w:eastAsia="en-US"/>
        </w:rPr>
        <w:t xml:space="preserve">, </w:t>
      </w:r>
      <w:r w:rsidRPr="00357722">
        <w:rPr>
          <w:rFonts w:eastAsia="Calibri"/>
          <w:bCs w:val="0"/>
          <w:i w:val="0"/>
          <w:iCs w:val="0"/>
          <w:lang w:eastAsia="en-US"/>
        </w:rPr>
        <w:t xml:space="preserve">lead to financial development. Further, </w:t>
      </w:r>
      <w:r w:rsidR="00AC4B10" w:rsidRPr="00357722">
        <w:rPr>
          <w:rFonts w:eastAsia="Calibri"/>
          <w:bCs w:val="0"/>
          <w:i w:val="0"/>
          <w:iCs w:val="0"/>
          <w:lang w:eastAsia="en-US"/>
        </w:rPr>
        <w:t xml:space="preserve">foreign investors will demand </w:t>
      </w:r>
      <w:r w:rsidR="00A37A4D" w:rsidRPr="00357722">
        <w:rPr>
          <w:rFonts w:eastAsia="Calibri"/>
          <w:bCs w:val="0"/>
          <w:i w:val="0"/>
          <w:iCs w:val="0"/>
          <w:lang w:eastAsia="en-US"/>
        </w:rPr>
        <w:t xml:space="preserve">property rights protection </w:t>
      </w:r>
      <w:r w:rsidR="009D7AE8">
        <w:rPr>
          <w:rFonts w:eastAsia="Calibri"/>
          <w:bCs w:val="0"/>
          <w:i w:val="0"/>
          <w:iCs w:val="0"/>
          <w:lang w:eastAsia="en-US"/>
        </w:rPr>
        <w:t xml:space="preserve">and </w:t>
      </w:r>
      <w:r w:rsidR="00AC4B10" w:rsidRPr="00357722">
        <w:rPr>
          <w:rFonts w:eastAsia="Calibri"/>
          <w:bCs w:val="0"/>
          <w:i w:val="0"/>
          <w:iCs w:val="0"/>
          <w:lang w:eastAsia="en-US"/>
        </w:rPr>
        <w:t>restrictive financial and stock market</w:t>
      </w:r>
      <w:r w:rsidR="00E30532">
        <w:rPr>
          <w:rFonts w:eastAsia="Calibri"/>
          <w:bCs w:val="0"/>
          <w:i w:val="0"/>
          <w:iCs w:val="0"/>
          <w:lang w:eastAsia="en-US"/>
        </w:rPr>
        <w:t>s</w:t>
      </w:r>
      <w:r w:rsidR="00AC4B10" w:rsidRPr="00357722">
        <w:rPr>
          <w:rFonts w:eastAsia="Calibri"/>
          <w:bCs w:val="0"/>
          <w:i w:val="0"/>
          <w:iCs w:val="0"/>
          <w:lang w:eastAsia="en-US"/>
        </w:rPr>
        <w:t xml:space="preserve"> regulations such as insider trading laws and enforcement.</w:t>
      </w:r>
      <w:r w:rsidR="00704F34" w:rsidRPr="00357722">
        <w:rPr>
          <w:rFonts w:eastAsia="Calibri"/>
          <w:bCs w:val="0"/>
          <w:i w:val="0"/>
          <w:iCs w:val="0"/>
          <w:lang w:eastAsia="en-US"/>
        </w:rPr>
        <w:t xml:space="preserve"> Drawing from the literature, we hypothesize that </w:t>
      </w:r>
      <w:r w:rsidR="00704F34" w:rsidRPr="00357722">
        <w:rPr>
          <w:rFonts w:eastAsia="Calibri"/>
          <w:bCs w:val="0"/>
          <w:i w:val="0"/>
          <w:iCs w:val="0"/>
          <w:lang w:eastAsia="en-US"/>
        </w:rPr>
        <w:lastRenderedPageBreak/>
        <w:t xml:space="preserve">international equity portfolio diversification will interact with </w:t>
      </w:r>
      <w:r w:rsidR="000E573F" w:rsidRPr="00357722">
        <w:rPr>
          <w:rFonts w:eastAsia="Calibri"/>
          <w:bCs w:val="0"/>
          <w:i w:val="0"/>
          <w:iCs w:val="0"/>
          <w:lang w:eastAsia="en-US"/>
        </w:rPr>
        <w:t>economic freedom linked</w:t>
      </w:r>
      <w:r w:rsidR="00704F34" w:rsidRPr="00357722">
        <w:rPr>
          <w:rFonts w:eastAsia="Calibri"/>
          <w:bCs w:val="0"/>
          <w:i w:val="0"/>
          <w:iCs w:val="0"/>
          <w:lang w:eastAsia="en-US"/>
        </w:rPr>
        <w:t xml:space="preserve"> to </w:t>
      </w:r>
      <w:r w:rsidR="000E573F" w:rsidRPr="00357722">
        <w:rPr>
          <w:rFonts w:eastAsia="Calibri"/>
          <w:bCs w:val="0"/>
          <w:i w:val="0"/>
          <w:iCs w:val="0"/>
          <w:lang w:eastAsia="en-US"/>
        </w:rPr>
        <w:t>institutional quality</w:t>
      </w:r>
      <w:r w:rsidR="009D1D78" w:rsidRPr="00357722">
        <w:rPr>
          <w:rFonts w:eastAsia="Calibri"/>
          <w:bCs w:val="0"/>
          <w:i w:val="0"/>
          <w:iCs w:val="0"/>
          <w:lang w:eastAsia="en-US"/>
        </w:rPr>
        <w:t>,</w:t>
      </w:r>
      <w:r w:rsidR="000E573F" w:rsidRPr="00357722">
        <w:rPr>
          <w:rFonts w:eastAsia="Calibri"/>
          <w:bCs w:val="0"/>
          <w:i w:val="0"/>
          <w:iCs w:val="0"/>
          <w:lang w:eastAsia="en-US"/>
        </w:rPr>
        <w:t xml:space="preserve"> </w:t>
      </w:r>
      <w:r w:rsidR="009D7AE8">
        <w:rPr>
          <w:rFonts w:eastAsia="Calibri"/>
          <w:bCs w:val="0"/>
          <w:i w:val="0"/>
          <w:iCs w:val="0"/>
          <w:lang w:eastAsia="en-US"/>
        </w:rPr>
        <w:t xml:space="preserve">and </w:t>
      </w:r>
      <w:r w:rsidR="000E573F" w:rsidRPr="00357722">
        <w:rPr>
          <w:rFonts w:eastAsia="Calibri"/>
          <w:bCs w:val="0"/>
          <w:i w:val="0"/>
          <w:iCs w:val="0"/>
          <w:lang w:eastAsia="en-US"/>
        </w:rPr>
        <w:t xml:space="preserve">will </w:t>
      </w:r>
      <w:r w:rsidR="00704F34" w:rsidRPr="00357722">
        <w:rPr>
          <w:rFonts w:eastAsia="Calibri"/>
          <w:bCs w:val="0"/>
          <w:i w:val="0"/>
          <w:iCs w:val="0"/>
          <w:lang w:eastAsia="en-US"/>
        </w:rPr>
        <w:t>have a combined effect to improve financial market development</w:t>
      </w:r>
      <w:r w:rsidR="005B6FFF" w:rsidRPr="00357722">
        <w:rPr>
          <w:rFonts w:eastAsia="Calibri"/>
          <w:bCs w:val="0"/>
          <w:i w:val="0"/>
          <w:iCs w:val="0"/>
          <w:lang w:eastAsia="en-US"/>
        </w:rPr>
        <w:t>.</w:t>
      </w:r>
    </w:p>
    <w:p w14:paraId="5D339EC9" w14:textId="205F6CA6" w:rsidR="00865D29" w:rsidRPr="00357722" w:rsidRDefault="00865D29" w:rsidP="00865D29"/>
    <w:p w14:paraId="07D7D7CD" w14:textId="10018958" w:rsidR="00865D29" w:rsidRPr="00357722" w:rsidRDefault="00B6608B" w:rsidP="005B6FFF">
      <w:pPr>
        <w:spacing w:after="0" w:line="480" w:lineRule="auto"/>
        <w:jc w:val="both"/>
        <w:rPr>
          <w:rFonts w:ascii="Times New Roman" w:hAnsi="Times New Roman" w:cs="Times New Roman"/>
          <w:i/>
          <w:color w:val="000000" w:themeColor="text1"/>
          <w:sz w:val="24"/>
          <w:szCs w:val="24"/>
        </w:rPr>
      </w:pPr>
      <w:r w:rsidRPr="00357722">
        <w:rPr>
          <w:rFonts w:ascii="Times New Roman" w:eastAsiaTheme="minorHAnsi" w:hAnsi="Times New Roman" w:cs="Times New Roman"/>
          <w:b/>
          <w:bCs/>
          <w:i/>
          <w:color w:val="000000" w:themeColor="text1"/>
          <w:sz w:val="24"/>
          <w:szCs w:val="24"/>
          <w:lang w:eastAsia="en-US"/>
        </w:rPr>
        <w:t>H</w:t>
      </w:r>
      <w:r w:rsidR="002D13DD" w:rsidRPr="00357722">
        <w:rPr>
          <w:rFonts w:ascii="Times New Roman" w:eastAsiaTheme="minorHAnsi" w:hAnsi="Times New Roman" w:cs="Times New Roman"/>
          <w:b/>
          <w:bCs/>
          <w:i/>
          <w:color w:val="000000" w:themeColor="text1"/>
          <w:sz w:val="24"/>
          <w:szCs w:val="24"/>
          <w:vertAlign w:val="subscript"/>
          <w:lang w:eastAsia="en-US"/>
        </w:rPr>
        <w:t>3</w:t>
      </w:r>
      <w:r w:rsidRPr="00357722">
        <w:rPr>
          <w:rFonts w:ascii="Times New Roman" w:eastAsiaTheme="minorHAnsi" w:hAnsi="Times New Roman" w:cs="Times New Roman"/>
          <w:b/>
          <w:bCs/>
          <w:i/>
          <w:color w:val="000000" w:themeColor="text1"/>
          <w:sz w:val="24"/>
          <w:szCs w:val="24"/>
          <w:lang w:eastAsia="en-US"/>
        </w:rPr>
        <w:t>:</w:t>
      </w:r>
      <w:r w:rsidRPr="00357722">
        <w:rPr>
          <w:rFonts w:ascii="Times New Roman" w:eastAsiaTheme="minorHAnsi" w:hAnsi="Times New Roman" w:cs="Times New Roman"/>
          <w:i/>
          <w:color w:val="000000" w:themeColor="text1"/>
          <w:sz w:val="24"/>
          <w:szCs w:val="24"/>
          <w:lang w:eastAsia="en-US"/>
        </w:rPr>
        <w:t xml:space="preserve"> </w:t>
      </w:r>
      <w:r w:rsidR="004676AD" w:rsidRPr="00357722">
        <w:rPr>
          <w:rFonts w:ascii="Times New Roman" w:hAnsi="Times New Roman" w:cs="Times New Roman"/>
          <w:i/>
          <w:color w:val="000000" w:themeColor="text1"/>
          <w:sz w:val="24"/>
          <w:szCs w:val="24"/>
        </w:rPr>
        <w:t>I</w:t>
      </w:r>
      <w:r w:rsidRPr="00357722">
        <w:rPr>
          <w:rFonts w:ascii="Times New Roman" w:hAnsi="Times New Roman" w:cs="Times New Roman"/>
          <w:i/>
          <w:color w:val="000000" w:themeColor="text1"/>
          <w:sz w:val="24"/>
          <w:szCs w:val="24"/>
        </w:rPr>
        <w:t xml:space="preserve">nternational portfolio diversification </w:t>
      </w:r>
      <w:r w:rsidR="004676AD" w:rsidRPr="00357722">
        <w:rPr>
          <w:rFonts w:ascii="Times New Roman" w:hAnsi="Times New Roman" w:cs="Times New Roman"/>
          <w:i/>
          <w:color w:val="000000" w:themeColor="text1"/>
          <w:sz w:val="24"/>
          <w:szCs w:val="24"/>
        </w:rPr>
        <w:t xml:space="preserve">interacts with </w:t>
      </w:r>
      <w:r w:rsidR="000E573F" w:rsidRPr="00357722">
        <w:rPr>
          <w:rFonts w:ascii="Times New Roman" w:hAnsi="Times New Roman" w:cs="Times New Roman"/>
          <w:i/>
          <w:color w:val="000000" w:themeColor="text1"/>
          <w:sz w:val="24"/>
          <w:szCs w:val="24"/>
        </w:rPr>
        <w:t>economic freedom</w:t>
      </w:r>
      <w:r w:rsidRPr="00357722">
        <w:rPr>
          <w:rFonts w:ascii="Times New Roman" w:hAnsi="Times New Roman" w:cs="Times New Roman"/>
          <w:i/>
          <w:color w:val="000000" w:themeColor="text1"/>
          <w:sz w:val="24"/>
          <w:szCs w:val="24"/>
        </w:rPr>
        <w:t xml:space="preserve"> </w:t>
      </w:r>
      <w:r w:rsidR="004676AD" w:rsidRPr="00357722">
        <w:rPr>
          <w:rFonts w:ascii="Times New Roman" w:hAnsi="Times New Roman" w:cs="Times New Roman"/>
          <w:i/>
          <w:color w:val="000000" w:themeColor="text1"/>
          <w:sz w:val="24"/>
          <w:szCs w:val="24"/>
        </w:rPr>
        <w:t>to enhance</w:t>
      </w:r>
      <w:r w:rsidRPr="00357722">
        <w:rPr>
          <w:rFonts w:ascii="Times New Roman" w:hAnsi="Times New Roman" w:cs="Times New Roman"/>
          <w:i/>
          <w:color w:val="000000" w:themeColor="text1"/>
          <w:sz w:val="24"/>
          <w:szCs w:val="24"/>
        </w:rPr>
        <w:t xml:space="preserve"> financial development.</w:t>
      </w:r>
    </w:p>
    <w:p w14:paraId="67D8D2CD" w14:textId="77777777" w:rsidR="005B6FFF" w:rsidRPr="00357722" w:rsidRDefault="005B6FFF" w:rsidP="005B6FFF">
      <w:pPr>
        <w:spacing w:after="0" w:line="480" w:lineRule="auto"/>
        <w:jc w:val="both"/>
        <w:rPr>
          <w:rFonts w:ascii="Times New Roman" w:hAnsi="Times New Roman" w:cs="Times New Roman"/>
          <w:i/>
          <w:color w:val="000000" w:themeColor="text1"/>
          <w:sz w:val="24"/>
          <w:szCs w:val="24"/>
        </w:rPr>
      </w:pPr>
    </w:p>
    <w:p w14:paraId="3CF9C94C" w14:textId="4C3F9254" w:rsidR="00745623" w:rsidRPr="00357722" w:rsidRDefault="00745623" w:rsidP="005B6FFF">
      <w:pPr>
        <w:pStyle w:val="Style1"/>
        <w:numPr>
          <w:ilvl w:val="0"/>
          <w:numId w:val="29"/>
        </w:numPr>
        <w:spacing w:before="0"/>
        <w:rPr>
          <w:rFonts w:ascii="Times New Roman" w:hAnsi="Times New Roman" w:cs="Times New Roman"/>
          <w:b/>
          <w:color w:val="000000" w:themeColor="text1"/>
          <w:sz w:val="24"/>
          <w:szCs w:val="24"/>
        </w:rPr>
      </w:pPr>
      <w:r w:rsidRPr="00357722">
        <w:rPr>
          <w:rFonts w:ascii="Times New Roman" w:hAnsi="Times New Roman" w:cs="Times New Roman"/>
          <w:b/>
          <w:color w:val="000000" w:themeColor="text1"/>
          <w:sz w:val="24"/>
          <w:szCs w:val="24"/>
        </w:rPr>
        <w:t>Data and Methodology</w:t>
      </w:r>
    </w:p>
    <w:p w14:paraId="5E4DB1E7" w14:textId="41022E15" w:rsidR="00182D3E" w:rsidRPr="00357722" w:rsidRDefault="00161291" w:rsidP="005B6FFF">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This section </w:t>
      </w:r>
      <w:r w:rsidR="00D32B5D" w:rsidRPr="00357722">
        <w:rPr>
          <w:rFonts w:ascii="Times New Roman" w:eastAsia="Times New Roman" w:hAnsi="Times New Roman" w:cs="Times New Roman"/>
          <w:color w:val="000000" w:themeColor="text1"/>
          <w:sz w:val="24"/>
          <w:szCs w:val="24"/>
        </w:rPr>
        <w:t>defines</w:t>
      </w:r>
      <w:r w:rsidRPr="00357722">
        <w:rPr>
          <w:rFonts w:ascii="Times New Roman" w:eastAsia="Times New Roman" w:hAnsi="Times New Roman" w:cs="Times New Roman"/>
          <w:color w:val="000000" w:themeColor="text1"/>
          <w:sz w:val="24"/>
          <w:szCs w:val="24"/>
        </w:rPr>
        <w:t xml:space="preserve"> </w:t>
      </w:r>
      <w:r w:rsidR="00BF49DE" w:rsidRPr="00357722">
        <w:rPr>
          <w:rFonts w:ascii="Times New Roman" w:eastAsia="Times New Roman" w:hAnsi="Times New Roman" w:cs="Times New Roman"/>
          <w:color w:val="000000" w:themeColor="text1"/>
          <w:sz w:val="24"/>
          <w:szCs w:val="24"/>
        </w:rPr>
        <w:t xml:space="preserve">the </w:t>
      </w:r>
      <w:r w:rsidR="00C0290F" w:rsidRPr="00357722">
        <w:rPr>
          <w:rFonts w:ascii="Times New Roman" w:eastAsia="Times New Roman" w:hAnsi="Times New Roman" w:cs="Times New Roman"/>
          <w:color w:val="000000" w:themeColor="text1"/>
          <w:sz w:val="24"/>
          <w:szCs w:val="24"/>
        </w:rPr>
        <w:t xml:space="preserve">variables we </w:t>
      </w:r>
      <w:r w:rsidR="00BF49DE" w:rsidRPr="00357722">
        <w:rPr>
          <w:rFonts w:ascii="Times New Roman" w:eastAsia="Times New Roman" w:hAnsi="Times New Roman" w:cs="Times New Roman"/>
          <w:color w:val="000000" w:themeColor="text1"/>
          <w:sz w:val="24"/>
          <w:szCs w:val="24"/>
        </w:rPr>
        <w:t>use</w:t>
      </w:r>
      <w:r w:rsidR="00C0290F" w:rsidRPr="00357722">
        <w:rPr>
          <w:rFonts w:ascii="Times New Roman" w:eastAsia="Times New Roman" w:hAnsi="Times New Roman" w:cs="Times New Roman"/>
          <w:color w:val="000000" w:themeColor="text1"/>
          <w:sz w:val="24"/>
          <w:szCs w:val="24"/>
        </w:rPr>
        <w:t xml:space="preserve"> in our empirical analysis. We fir</w:t>
      </w:r>
      <w:r w:rsidR="002E216B" w:rsidRPr="00357722">
        <w:rPr>
          <w:rFonts w:ascii="Times New Roman" w:eastAsia="Times New Roman" w:hAnsi="Times New Roman" w:cs="Times New Roman"/>
          <w:color w:val="000000" w:themeColor="text1"/>
          <w:sz w:val="24"/>
          <w:szCs w:val="24"/>
        </w:rPr>
        <w:t xml:space="preserve">st explain </w:t>
      </w:r>
      <w:r w:rsidRPr="00357722">
        <w:rPr>
          <w:rFonts w:ascii="Times New Roman" w:eastAsia="Times New Roman" w:hAnsi="Times New Roman" w:cs="Times New Roman"/>
          <w:color w:val="000000" w:themeColor="text1"/>
          <w:sz w:val="24"/>
          <w:szCs w:val="24"/>
        </w:rPr>
        <w:t xml:space="preserve">the </w:t>
      </w:r>
      <w:r w:rsidR="00C0290F" w:rsidRPr="00357722">
        <w:rPr>
          <w:rFonts w:ascii="Times New Roman" w:eastAsia="Times New Roman" w:hAnsi="Times New Roman" w:cs="Times New Roman"/>
          <w:color w:val="000000" w:themeColor="text1"/>
          <w:sz w:val="24"/>
          <w:szCs w:val="24"/>
        </w:rPr>
        <w:t xml:space="preserve">three financial development variables </w:t>
      </w:r>
      <w:r w:rsidR="002E216B" w:rsidRPr="00357722">
        <w:rPr>
          <w:rFonts w:ascii="Times New Roman" w:eastAsia="Times New Roman" w:hAnsi="Times New Roman" w:cs="Times New Roman"/>
          <w:color w:val="000000" w:themeColor="text1"/>
          <w:sz w:val="24"/>
          <w:szCs w:val="24"/>
        </w:rPr>
        <w:t xml:space="preserve">we </w:t>
      </w:r>
      <w:r w:rsidR="00BF49DE" w:rsidRPr="00357722">
        <w:rPr>
          <w:rFonts w:ascii="Times New Roman" w:eastAsia="Times New Roman" w:hAnsi="Times New Roman" w:cs="Times New Roman"/>
          <w:color w:val="000000" w:themeColor="text1"/>
          <w:sz w:val="24"/>
          <w:szCs w:val="24"/>
        </w:rPr>
        <w:t>used</w:t>
      </w:r>
      <w:r w:rsidR="002E216B" w:rsidRPr="00357722">
        <w:rPr>
          <w:rFonts w:ascii="Times New Roman" w:eastAsia="Times New Roman" w:hAnsi="Times New Roman" w:cs="Times New Roman"/>
          <w:color w:val="000000" w:themeColor="text1"/>
          <w:sz w:val="24"/>
          <w:szCs w:val="24"/>
        </w:rPr>
        <w:t xml:space="preserve"> as our dependent variables. Next, we explain our key independent variables of interest. We then proceed to explain and justify the variables we control for their effects on financial development.</w:t>
      </w:r>
      <w:r w:rsidRPr="00357722">
        <w:rPr>
          <w:rFonts w:ascii="Times New Roman" w:eastAsia="Times New Roman" w:hAnsi="Times New Roman" w:cs="Times New Roman"/>
          <w:color w:val="000000" w:themeColor="text1"/>
          <w:sz w:val="24"/>
          <w:szCs w:val="24"/>
        </w:rPr>
        <w:t xml:space="preserve"> </w:t>
      </w:r>
      <w:r w:rsidR="002E216B" w:rsidRPr="00357722">
        <w:rPr>
          <w:rFonts w:ascii="Times New Roman" w:eastAsia="Times New Roman" w:hAnsi="Times New Roman" w:cs="Times New Roman"/>
          <w:color w:val="000000" w:themeColor="text1"/>
          <w:sz w:val="24"/>
          <w:szCs w:val="24"/>
        </w:rPr>
        <w:t>Through</w:t>
      </w:r>
      <w:r w:rsidR="007E07F7" w:rsidRPr="00357722">
        <w:rPr>
          <w:rFonts w:ascii="Times New Roman" w:eastAsia="Times New Roman" w:hAnsi="Times New Roman" w:cs="Times New Roman"/>
          <w:color w:val="000000" w:themeColor="text1"/>
          <w:sz w:val="24"/>
          <w:szCs w:val="24"/>
        </w:rPr>
        <w:t>ou</w:t>
      </w:r>
      <w:r w:rsidR="002E216B" w:rsidRPr="00357722">
        <w:rPr>
          <w:rFonts w:ascii="Times New Roman" w:eastAsia="Times New Roman" w:hAnsi="Times New Roman" w:cs="Times New Roman"/>
          <w:color w:val="000000" w:themeColor="text1"/>
          <w:sz w:val="24"/>
          <w:szCs w:val="24"/>
        </w:rPr>
        <w:t xml:space="preserve">t </w:t>
      </w:r>
      <w:r w:rsidR="00BF49DE" w:rsidRPr="00357722">
        <w:rPr>
          <w:rFonts w:ascii="Times New Roman" w:eastAsia="Times New Roman" w:hAnsi="Times New Roman" w:cs="Times New Roman"/>
          <w:color w:val="000000" w:themeColor="text1"/>
          <w:sz w:val="24"/>
          <w:szCs w:val="24"/>
        </w:rPr>
        <w:t>the</w:t>
      </w:r>
      <w:r w:rsidR="002E216B" w:rsidRPr="00357722">
        <w:rPr>
          <w:rFonts w:ascii="Times New Roman" w:eastAsia="Times New Roman" w:hAnsi="Times New Roman" w:cs="Times New Roman"/>
          <w:color w:val="000000" w:themeColor="text1"/>
          <w:sz w:val="24"/>
          <w:szCs w:val="24"/>
        </w:rPr>
        <w:t xml:space="preserve"> analysis, </w:t>
      </w:r>
      <w:r w:rsidR="00BF49DE" w:rsidRPr="00357722">
        <w:rPr>
          <w:rFonts w:ascii="Times New Roman" w:eastAsia="Times New Roman" w:hAnsi="Times New Roman" w:cs="Times New Roman"/>
          <w:color w:val="000000" w:themeColor="text1"/>
          <w:sz w:val="24"/>
          <w:szCs w:val="24"/>
        </w:rPr>
        <w:t>our sample consist</w:t>
      </w:r>
      <w:r w:rsidR="00E30532">
        <w:rPr>
          <w:rFonts w:ascii="Times New Roman" w:eastAsia="Times New Roman" w:hAnsi="Times New Roman" w:cs="Times New Roman"/>
          <w:color w:val="000000" w:themeColor="text1"/>
          <w:sz w:val="24"/>
          <w:szCs w:val="24"/>
        </w:rPr>
        <w:t>s</w:t>
      </w:r>
      <w:r w:rsidR="00BF49DE" w:rsidRPr="00357722">
        <w:rPr>
          <w:rFonts w:ascii="Times New Roman" w:eastAsia="Times New Roman" w:hAnsi="Times New Roman" w:cs="Times New Roman"/>
          <w:color w:val="000000" w:themeColor="text1"/>
          <w:sz w:val="24"/>
          <w:szCs w:val="24"/>
        </w:rPr>
        <w:t xml:space="preserve"> of </w:t>
      </w:r>
      <w:r w:rsidR="002A22AD" w:rsidRPr="00357722">
        <w:rPr>
          <w:rFonts w:ascii="Times New Roman" w:eastAsia="Times New Roman" w:hAnsi="Times New Roman" w:cs="Times New Roman"/>
          <w:color w:val="000000" w:themeColor="text1"/>
          <w:sz w:val="24"/>
          <w:szCs w:val="24"/>
        </w:rPr>
        <w:t xml:space="preserve">panel data </w:t>
      </w:r>
      <w:r w:rsidR="009D7AE8">
        <w:rPr>
          <w:rFonts w:ascii="Times New Roman" w:eastAsia="Times New Roman" w:hAnsi="Times New Roman" w:cs="Times New Roman"/>
          <w:color w:val="000000" w:themeColor="text1"/>
          <w:sz w:val="24"/>
          <w:szCs w:val="24"/>
        </w:rPr>
        <w:t>from</w:t>
      </w:r>
      <w:r w:rsidR="009D7AE8" w:rsidRPr="00357722">
        <w:rPr>
          <w:rFonts w:ascii="Times New Roman" w:eastAsia="Times New Roman" w:hAnsi="Times New Roman" w:cs="Times New Roman"/>
          <w:color w:val="000000" w:themeColor="text1"/>
          <w:sz w:val="24"/>
          <w:szCs w:val="24"/>
        </w:rPr>
        <w:t xml:space="preserve"> </w:t>
      </w:r>
      <w:r w:rsidR="002A22AD" w:rsidRPr="00357722">
        <w:rPr>
          <w:rFonts w:ascii="Times New Roman" w:eastAsia="Times New Roman" w:hAnsi="Times New Roman" w:cs="Times New Roman"/>
          <w:color w:val="000000" w:themeColor="text1"/>
          <w:sz w:val="24"/>
          <w:szCs w:val="24"/>
        </w:rPr>
        <w:t xml:space="preserve">49 countries </w:t>
      </w:r>
      <w:r w:rsidR="00C0290F" w:rsidRPr="00357722">
        <w:rPr>
          <w:rFonts w:ascii="Times New Roman" w:eastAsia="Times New Roman" w:hAnsi="Times New Roman" w:cs="Times New Roman"/>
          <w:color w:val="000000" w:themeColor="text1"/>
          <w:sz w:val="24"/>
          <w:szCs w:val="24"/>
        </w:rPr>
        <w:t xml:space="preserve">for the </w:t>
      </w:r>
      <w:r w:rsidR="00BF49DE" w:rsidRPr="00357722">
        <w:rPr>
          <w:rFonts w:ascii="Times New Roman" w:eastAsia="Times New Roman" w:hAnsi="Times New Roman" w:cs="Times New Roman"/>
          <w:color w:val="000000" w:themeColor="text1"/>
          <w:sz w:val="24"/>
          <w:szCs w:val="24"/>
        </w:rPr>
        <w:t>years 2001</w:t>
      </w:r>
      <w:r w:rsidR="00CF57F8" w:rsidRPr="00357722">
        <w:rPr>
          <w:rFonts w:ascii="Times New Roman" w:eastAsia="Times New Roman" w:hAnsi="Times New Roman" w:cs="Times New Roman"/>
          <w:color w:val="000000" w:themeColor="text1"/>
          <w:sz w:val="24"/>
          <w:szCs w:val="24"/>
        </w:rPr>
        <w:t xml:space="preserve"> to </w:t>
      </w:r>
      <w:r w:rsidR="00C0290F" w:rsidRPr="00357722">
        <w:rPr>
          <w:rFonts w:ascii="Times New Roman" w:eastAsia="Times New Roman" w:hAnsi="Times New Roman" w:cs="Times New Roman"/>
          <w:color w:val="000000" w:themeColor="text1"/>
          <w:sz w:val="24"/>
          <w:szCs w:val="24"/>
        </w:rPr>
        <w:t xml:space="preserve">2016. </w:t>
      </w:r>
      <w:r w:rsidR="00502D54" w:rsidRPr="00357722">
        <w:rPr>
          <w:rFonts w:ascii="Times New Roman" w:eastAsia="Times New Roman" w:hAnsi="Times New Roman" w:cs="Times New Roman"/>
          <w:color w:val="000000" w:themeColor="text1"/>
          <w:sz w:val="24"/>
          <w:szCs w:val="24"/>
        </w:rPr>
        <w:t xml:space="preserve"> We sourced data mainly from World Development Indicators (WDI) of the World Bank, </w:t>
      </w:r>
      <w:r w:rsidR="009D7AE8">
        <w:rPr>
          <w:rFonts w:ascii="Times New Roman" w:eastAsia="Times New Roman" w:hAnsi="Times New Roman" w:cs="Times New Roman"/>
          <w:color w:val="000000" w:themeColor="text1"/>
          <w:sz w:val="24"/>
          <w:szCs w:val="24"/>
        </w:rPr>
        <w:t xml:space="preserve">the </w:t>
      </w:r>
      <w:r w:rsidR="00502D54" w:rsidRPr="00357722">
        <w:rPr>
          <w:rFonts w:ascii="Times New Roman" w:eastAsia="Times New Roman" w:hAnsi="Times New Roman" w:cs="Times New Roman"/>
          <w:color w:val="000000" w:themeColor="text1"/>
          <w:sz w:val="24"/>
          <w:szCs w:val="24"/>
        </w:rPr>
        <w:t>Coordinated Portfolio Investment Surve</w:t>
      </w:r>
      <w:r w:rsidR="00A01A01" w:rsidRPr="00357722">
        <w:rPr>
          <w:rFonts w:ascii="Times New Roman" w:eastAsia="Times New Roman" w:hAnsi="Times New Roman" w:cs="Times New Roman"/>
          <w:color w:val="000000" w:themeColor="text1"/>
          <w:sz w:val="24"/>
          <w:szCs w:val="24"/>
        </w:rPr>
        <w:t>y</w:t>
      </w:r>
      <w:r w:rsidR="00502D54" w:rsidRPr="00357722">
        <w:rPr>
          <w:rFonts w:ascii="Times New Roman" w:eastAsia="Times New Roman" w:hAnsi="Times New Roman" w:cs="Times New Roman"/>
          <w:color w:val="000000" w:themeColor="text1"/>
          <w:sz w:val="24"/>
          <w:szCs w:val="24"/>
        </w:rPr>
        <w:t xml:space="preserve"> (CPIS) of </w:t>
      </w:r>
      <w:r w:rsidR="009D7AE8">
        <w:rPr>
          <w:rFonts w:ascii="Times New Roman" w:eastAsia="Times New Roman" w:hAnsi="Times New Roman" w:cs="Times New Roman"/>
          <w:color w:val="000000" w:themeColor="text1"/>
          <w:sz w:val="24"/>
          <w:szCs w:val="24"/>
        </w:rPr>
        <w:t xml:space="preserve">the </w:t>
      </w:r>
      <w:r w:rsidR="00502D54" w:rsidRPr="00357722">
        <w:rPr>
          <w:rFonts w:ascii="Times New Roman" w:eastAsia="Times New Roman" w:hAnsi="Times New Roman" w:cs="Times New Roman"/>
          <w:color w:val="000000" w:themeColor="text1"/>
          <w:sz w:val="24"/>
          <w:szCs w:val="24"/>
        </w:rPr>
        <w:t>International Monetary Fund</w:t>
      </w:r>
      <w:r w:rsidR="00A01A01" w:rsidRPr="00357722">
        <w:rPr>
          <w:rFonts w:ascii="Times New Roman" w:eastAsia="Times New Roman" w:hAnsi="Times New Roman" w:cs="Times New Roman"/>
          <w:color w:val="000000" w:themeColor="text1"/>
          <w:sz w:val="24"/>
          <w:szCs w:val="24"/>
        </w:rPr>
        <w:t xml:space="preserve"> (IMF)</w:t>
      </w:r>
      <w:r w:rsidR="00502D54" w:rsidRPr="00357722">
        <w:rPr>
          <w:rFonts w:ascii="Times New Roman" w:eastAsia="Times New Roman" w:hAnsi="Times New Roman" w:cs="Times New Roman"/>
          <w:color w:val="000000" w:themeColor="text1"/>
          <w:sz w:val="24"/>
          <w:szCs w:val="24"/>
        </w:rPr>
        <w:t xml:space="preserve">, The Index of Economic Freedom by </w:t>
      </w:r>
      <w:r w:rsidR="009D7AE8">
        <w:rPr>
          <w:rFonts w:ascii="Times New Roman" w:eastAsia="Times New Roman" w:hAnsi="Times New Roman" w:cs="Times New Roman"/>
          <w:color w:val="000000" w:themeColor="text1"/>
          <w:sz w:val="24"/>
          <w:szCs w:val="24"/>
        </w:rPr>
        <w:t xml:space="preserve">the </w:t>
      </w:r>
      <w:r w:rsidR="00502D54" w:rsidRPr="00357722">
        <w:rPr>
          <w:rFonts w:ascii="Times New Roman" w:eastAsia="Times New Roman" w:hAnsi="Times New Roman" w:cs="Times New Roman"/>
          <w:color w:val="000000" w:themeColor="text1"/>
          <w:sz w:val="24"/>
          <w:szCs w:val="24"/>
        </w:rPr>
        <w:t>Heritage Foundation, International Financial S</w:t>
      </w:r>
      <w:r w:rsidR="00321041" w:rsidRPr="00357722">
        <w:rPr>
          <w:rFonts w:ascii="Times New Roman" w:eastAsia="Times New Roman" w:hAnsi="Times New Roman" w:cs="Times New Roman"/>
          <w:color w:val="000000" w:themeColor="text1"/>
          <w:sz w:val="24"/>
          <w:szCs w:val="24"/>
        </w:rPr>
        <w:t>tatistics, and World Governance Indicators (WGI) of the World Bank.</w:t>
      </w:r>
    </w:p>
    <w:p w14:paraId="2786040C" w14:textId="77777777" w:rsidR="00942C74" w:rsidRPr="00357722" w:rsidRDefault="00942C74" w:rsidP="005636E8">
      <w:pPr>
        <w:spacing w:after="0" w:line="480" w:lineRule="auto"/>
        <w:ind w:firstLine="425"/>
        <w:jc w:val="both"/>
        <w:rPr>
          <w:rFonts w:ascii="Times New Roman" w:eastAsia="Times New Roman" w:hAnsi="Times New Roman" w:cs="Times New Roman"/>
          <w:color w:val="000000" w:themeColor="text1"/>
          <w:sz w:val="24"/>
          <w:szCs w:val="24"/>
        </w:rPr>
      </w:pPr>
    </w:p>
    <w:p w14:paraId="14886BB3" w14:textId="4A74598B" w:rsidR="003C0752" w:rsidRPr="00357722" w:rsidRDefault="00060098" w:rsidP="005636E8">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3.1.</w:t>
      </w:r>
      <w:r w:rsidR="002F7216" w:rsidRPr="00357722">
        <w:rPr>
          <w:rFonts w:ascii="Times New Roman" w:eastAsia="Times New Roman" w:hAnsi="Times New Roman" w:cs="Times New Roman"/>
          <w:i/>
          <w:iCs/>
          <w:color w:val="000000" w:themeColor="text1"/>
          <w:sz w:val="24"/>
          <w:szCs w:val="24"/>
        </w:rPr>
        <w:tab/>
      </w:r>
      <w:r w:rsidR="003C0752" w:rsidRPr="00357722">
        <w:rPr>
          <w:rFonts w:ascii="Times New Roman" w:eastAsia="Times New Roman" w:hAnsi="Times New Roman" w:cs="Times New Roman"/>
          <w:i/>
          <w:iCs/>
          <w:color w:val="000000" w:themeColor="text1"/>
          <w:sz w:val="24"/>
          <w:szCs w:val="24"/>
        </w:rPr>
        <w:t xml:space="preserve">Dependent variable </w:t>
      </w:r>
    </w:p>
    <w:p w14:paraId="15CBF821" w14:textId="38C9487A" w:rsidR="004F4C2B" w:rsidRPr="00357722" w:rsidRDefault="00164F74" w:rsidP="00CD4770">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This section describes the three variables we employ to proxy for financial development. This is to ensure </w:t>
      </w:r>
      <w:r w:rsidR="005E3CE7" w:rsidRPr="00357722">
        <w:rPr>
          <w:rFonts w:ascii="Times New Roman" w:eastAsia="Times New Roman" w:hAnsi="Times New Roman" w:cs="Times New Roman"/>
          <w:color w:val="000000" w:themeColor="text1"/>
          <w:sz w:val="24"/>
          <w:szCs w:val="24"/>
        </w:rPr>
        <w:t xml:space="preserve">financial development in the regression capture </w:t>
      </w:r>
      <w:r w:rsidR="00CD4770" w:rsidRPr="00357722">
        <w:rPr>
          <w:rFonts w:ascii="Times New Roman" w:eastAsia="Times New Roman" w:hAnsi="Times New Roman" w:cs="Times New Roman"/>
          <w:color w:val="000000" w:themeColor="text1"/>
          <w:sz w:val="24"/>
          <w:szCs w:val="24"/>
        </w:rPr>
        <w:t xml:space="preserve">and </w:t>
      </w:r>
      <w:r w:rsidR="00E30532" w:rsidRPr="00357722">
        <w:rPr>
          <w:rFonts w:ascii="Times New Roman" w:eastAsia="Times New Roman" w:hAnsi="Times New Roman" w:cs="Times New Roman"/>
          <w:color w:val="000000" w:themeColor="text1"/>
          <w:sz w:val="24"/>
          <w:szCs w:val="24"/>
        </w:rPr>
        <w:t>recogni</w:t>
      </w:r>
      <w:r w:rsidR="00E30532">
        <w:rPr>
          <w:rFonts w:ascii="Times New Roman" w:eastAsia="Times New Roman" w:hAnsi="Times New Roman" w:cs="Times New Roman"/>
          <w:color w:val="000000" w:themeColor="text1"/>
          <w:sz w:val="24"/>
          <w:szCs w:val="24"/>
        </w:rPr>
        <w:t>z</w:t>
      </w:r>
      <w:r w:rsidR="00E30532" w:rsidRPr="00357722">
        <w:rPr>
          <w:rFonts w:ascii="Times New Roman" w:eastAsia="Times New Roman" w:hAnsi="Times New Roman" w:cs="Times New Roman"/>
          <w:color w:val="000000" w:themeColor="text1"/>
          <w:sz w:val="24"/>
          <w:szCs w:val="24"/>
        </w:rPr>
        <w:t xml:space="preserve">e </w:t>
      </w:r>
      <w:r w:rsidR="005E3CE7" w:rsidRPr="00357722">
        <w:rPr>
          <w:rFonts w:ascii="Times New Roman" w:eastAsia="Times New Roman" w:hAnsi="Times New Roman" w:cs="Times New Roman"/>
          <w:color w:val="000000" w:themeColor="text1"/>
          <w:sz w:val="24"/>
          <w:szCs w:val="24"/>
        </w:rPr>
        <w:t xml:space="preserve">different aspects </w:t>
      </w:r>
      <w:r w:rsidRPr="00357722">
        <w:rPr>
          <w:rFonts w:ascii="Times New Roman" w:eastAsia="Times New Roman" w:hAnsi="Times New Roman" w:cs="Times New Roman"/>
          <w:color w:val="000000" w:themeColor="text1"/>
          <w:sz w:val="24"/>
          <w:szCs w:val="24"/>
        </w:rPr>
        <w:t xml:space="preserve">and also to provide robustness. </w:t>
      </w:r>
      <w:r w:rsidR="004F4C2B" w:rsidRPr="00357722">
        <w:rPr>
          <w:rFonts w:ascii="Times New Roman" w:eastAsia="Times New Roman" w:hAnsi="Times New Roman" w:cs="Times New Roman"/>
          <w:color w:val="000000" w:themeColor="text1"/>
          <w:sz w:val="24"/>
          <w:szCs w:val="24"/>
        </w:rPr>
        <w:t xml:space="preserve">Financial development measures are difficult to construct for </w:t>
      </w:r>
      <w:r w:rsidR="00EB60C4">
        <w:rPr>
          <w:rFonts w:ascii="Times New Roman" w:eastAsia="Times New Roman" w:hAnsi="Times New Roman" w:cs="Times New Roman"/>
          <w:color w:val="000000" w:themeColor="text1"/>
          <w:sz w:val="24"/>
          <w:szCs w:val="24"/>
        </w:rPr>
        <w:t>many</w:t>
      </w:r>
      <w:r w:rsidR="004F4C2B" w:rsidRPr="00357722">
        <w:rPr>
          <w:rFonts w:ascii="Times New Roman" w:eastAsia="Times New Roman" w:hAnsi="Times New Roman" w:cs="Times New Roman"/>
          <w:color w:val="000000" w:themeColor="text1"/>
          <w:sz w:val="24"/>
          <w:szCs w:val="24"/>
        </w:rPr>
        <w:t xml:space="preserve"> reasons. Financial agents and institutions provide financial services</w:t>
      </w:r>
      <w:r w:rsidR="00FE1F3E" w:rsidRPr="00357722">
        <w:rPr>
          <w:rFonts w:ascii="Times New Roman" w:eastAsia="Times New Roman" w:hAnsi="Times New Roman" w:cs="Times New Roman"/>
          <w:color w:val="000000" w:themeColor="text1"/>
          <w:sz w:val="24"/>
          <w:szCs w:val="24"/>
        </w:rPr>
        <w:t>.</w:t>
      </w:r>
    </w:p>
    <w:p w14:paraId="17B63A0E" w14:textId="1D399D32" w:rsidR="00E80038" w:rsidRPr="00357722" w:rsidRDefault="00E80038" w:rsidP="00D35B99">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First, </w:t>
      </w:r>
      <w:r w:rsidR="00994CA0" w:rsidRPr="00357722">
        <w:rPr>
          <w:rFonts w:ascii="Times New Roman" w:eastAsia="Times New Roman" w:hAnsi="Times New Roman" w:cs="Times New Roman"/>
          <w:color w:val="000000" w:themeColor="text1"/>
          <w:sz w:val="24"/>
          <w:szCs w:val="24"/>
        </w:rPr>
        <w:t>f</w:t>
      </w:r>
      <w:r w:rsidR="003F7F46" w:rsidRPr="00357722">
        <w:rPr>
          <w:rFonts w:ascii="Times New Roman" w:eastAsia="Times New Roman" w:hAnsi="Times New Roman" w:cs="Times New Roman"/>
          <w:color w:val="000000" w:themeColor="text1"/>
          <w:sz w:val="24"/>
          <w:szCs w:val="24"/>
        </w:rPr>
        <w:t xml:space="preserve">ollowing Levine and Zervos (1998) </w:t>
      </w:r>
      <w:r w:rsidRPr="00357722">
        <w:rPr>
          <w:rFonts w:ascii="Times New Roman" w:eastAsia="Times New Roman" w:hAnsi="Times New Roman" w:cs="Times New Roman"/>
          <w:color w:val="000000" w:themeColor="text1"/>
          <w:sz w:val="24"/>
          <w:szCs w:val="24"/>
        </w:rPr>
        <w:t xml:space="preserve">we </w:t>
      </w:r>
      <w:r w:rsidR="0086370D" w:rsidRPr="00357722">
        <w:rPr>
          <w:rFonts w:ascii="Times New Roman" w:eastAsia="Times New Roman" w:hAnsi="Times New Roman" w:cs="Times New Roman"/>
          <w:color w:val="000000" w:themeColor="text1"/>
          <w:sz w:val="24"/>
          <w:szCs w:val="24"/>
        </w:rPr>
        <w:t xml:space="preserve">use market </w:t>
      </w:r>
      <w:r w:rsidR="00E30532" w:rsidRPr="00357722">
        <w:rPr>
          <w:rFonts w:ascii="Times New Roman" w:eastAsia="Times New Roman" w:hAnsi="Times New Roman" w:cs="Times New Roman"/>
          <w:color w:val="000000" w:themeColor="text1"/>
          <w:sz w:val="24"/>
          <w:szCs w:val="24"/>
        </w:rPr>
        <w:t>capitali</w:t>
      </w:r>
      <w:r w:rsidR="00E30532">
        <w:rPr>
          <w:rFonts w:ascii="Times New Roman" w:eastAsia="Times New Roman" w:hAnsi="Times New Roman" w:cs="Times New Roman"/>
          <w:color w:val="000000" w:themeColor="text1"/>
          <w:sz w:val="24"/>
          <w:szCs w:val="24"/>
        </w:rPr>
        <w:t>z</w:t>
      </w:r>
      <w:r w:rsidR="00E30532" w:rsidRPr="00357722">
        <w:rPr>
          <w:rFonts w:ascii="Times New Roman" w:eastAsia="Times New Roman" w:hAnsi="Times New Roman" w:cs="Times New Roman"/>
          <w:color w:val="000000" w:themeColor="text1"/>
          <w:sz w:val="24"/>
          <w:szCs w:val="24"/>
        </w:rPr>
        <w:t xml:space="preserve">ation </w:t>
      </w:r>
      <w:r w:rsidR="003F7F46" w:rsidRPr="00357722">
        <w:rPr>
          <w:rFonts w:ascii="Times New Roman" w:eastAsia="Times New Roman" w:hAnsi="Times New Roman" w:cs="Times New Roman"/>
          <w:color w:val="000000" w:themeColor="text1"/>
          <w:sz w:val="24"/>
          <w:szCs w:val="24"/>
        </w:rPr>
        <w:t xml:space="preserve">scaled by </w:t>
      </w:r>
      <w:r w:rsidR="0086370D" w:rsidRPr="00357722">
        <w:rPr>
          <w:rFonts w:ascii="Times New Roman" w:eastAsia="Times New Roman" w:hAnsi="Times New Roman" w:cs="Times New Roman"/>
          <w:color w:val="000000" w:themeColor="text1"/>
          <w:sz w:val="24"/>
          <w:szCs w:val="24"/>
        </w:rPr>
        <w:t>GDP (</w:t>
      </w:r>
      <w:r w:rsidR="0086370D" w:rsidRPr="00357722">
        <w:rPr>
          <w:rFonts w:ascii="Times New Roman" w:eastAsia="Times New Roman" w:hAnsi="Times New Roman" w:cs="Times New Roman"/>
          <w:i/>
          <w:color w:val="000000" w:themeColor="text1"/>
          <w:sz w:val="24"/>
          <w:szCs w:val="24"/>
        </w:rPr>
        <w:t>MCGDP</w:t>
      </w:r>
      <w:r w:rsidR="0086370D" w:rsidRPr="00357722">
        <w:rPr>
          <w:rFonts w:ascii="Times New Roman" w:eastAsia="Times New Roman" w:hAnsi="Times New Roman" w:cs="Times New Roman"/>
          <w:color w:val="000000" w:themeColor="text1"/>
          <w:sz w:val="24"/>
          <w:szCs w:val="24"/>
        </w:rPr>
        <w:t xml:space="preserve">) </w:t>
      </w:r>
      <w:r w:rsidR="003F7F46" w:rsidRPr="00357722">
        <w:rPr>
          <w:rFonts w:ascii="Times New Roman" w:eastAsia="Times New Roman" w:hAnsi="Times New Roman" w:cs="Times New Roman"/>
          <w:color w:val="000000" w:themeColor="text1"/>
          <w:sz w:val="24"/>
          <w:szCs w:val="24"/>
        </w:rPr>
        <w:t xml:space="preserve">to </w:t>
      </w:r>
      <w:r w:rsidR="00164F74" w:rsidRPr="00357722">
        <w:rPr>
          <w:rFonts w:ascii="Times New Roman" w:eastAsia="Times New Roman" w:hAnsi="Times New Roman" w:cs="Times New Roman"/>
          <w:color w:val="000000" w:themeColor="text1"/>
          <w:sz w:val="24"/>
          <w:szCs w:val="24"/>
        </w:rPr>
        <w:t>capture</w:t>
      </w:r>
      <w:r w:rsidRPr="00357722">
        <w:rPr>
          <w:rFonts w:ascii="Times New Roman" w:eastAsia="Times New Roman" w:hAnsi="Times New Roman" w:cs="Times New Roman"/>
          <w:color w:val="000000" w:themeColor="text1"/>
          <w:sz w:val="24"/>
          <w:szCs w:val="24"/>
        </w:rPr>
        <w:t xml:space="preserve"> the importance of the stock market to the economy.</w:t>
      </w:r>
      <w:r w:rsidR="003E6765" w:rsidRPr="00357722">
        <w:rPr>
          <w:rFonts w:ascii="Times New Roman" w:eastAsia="Times New Roman" w:hAnsi="Times New Roman" w:cs="Times New Roman"/>
          <w:color w:val="000000" w:themeColor="text1"/>
          <w:sz w:val="24"/>
          <w:szCs w:val="24"/>
        </w:rPr>
        <w:t xml:space="preserve"> Levine and Zervos (1998) argue that large stock markets may not function well as taxes may reduce the motivation and </w:t>
      </w:r>
      <w:r w:rsidR="003E6765" w:rsidRPr="00357722">
        <w:rPr>
          <w:rFonts w:ascii="Times New Roman" w:eastAsia="Times New Roman" w:hAnsi="Times New Roman" w:cs="Times New Roman"/>
          <w:color w:val="000000" w:themeColor="text1"/>
          <w:sz w:val="24"/>
          <w:szCs w:val="24"/>
        </w:rPr>
        <w:lastRenderedPageBreak/>
        <w:t>incentives for firms to list on the stock market</w:t>
      </w:r>
      <w:r w:rsidR="00397A0D" w:rsidRPr="00357722">
        <w:rPr>
          <w:rFonts w:ascii="Times New Roman" w:eastAsia="Times New Roman" w:hAnsi="Times New Roman" w:cs="Times New Roman"/>
          <w:color w:val="000000" w:themeColor="text1"/>
          <w:sz w:val="24"/>
          <w:szCs w:val="24"/>
        </w:rPr>
        <w:t xml:space="preserve">. We obtained data from World Development </w:t>
      </w:r>
      <w:r w:rsidR="00E30532">
        <w:rPr>
          <w:rFonts w:ascii="Times New Roman" w:eastAsia="Times New Roman" w:hAnsi="Times New Roman" w:cs="Times New Roman"/>
          <w:color w:val="000000" w:themeColor="text1"/>
          <w:sz w:val="24"/>
          <w:szCs w:val="24"/>
        </w:rPr>
        <w:t>I</w:t>
      </w:r>
      <w:r w:rsidR="00E30532" w:rsidRPr="00357722">
        <w:rPr>
          <w:rFonts w:ascii="Times New Roman" w:eastAsia="Times New Roman" w:hAnsi="Times New Roman" w:cs="Times New Roman"/>
          <w:color w:val="000000" w:themeColor="text1"/>
          <w:sz w:val="24"/>
          <w:szCs w:val="24"/>
        </w:rPr>
        <w:t>ndicators</w:t>
      </w:r>
      <w:r w:rsidR="00397A0D" w:rsidRPr="00357722">
        <w:rPr>
          <w:rFonts w:ascii="Times New Roman" w:eastAsia="Times New Roman" w:hAnsi="Times New Roman" w:cs="Times New Roman"/>
          <w:color w:val="000000" w:themeColor="text1"/>
          <w:sz w:val="24"/>
          <w:szCs w:val="24"/>
        </w:rPr>
        <w:t>.</w:t>
      </w:r>
    </w:p>
    <w:p w14:paraId="19333F81" w14:textId="652864AD" w:rsidR="00994CA0" w:rsidRPr="00357722" w:rsidRDefault="00994CA0" w:rsidP="00994CA0">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Following </w:t>
      </w:r>
      <w:r w:rsidR="005B2C2A" w:rsidRPr="00357722">
        <w:rPr>
          <w:rFonts w:ascii="Times New Roman" w:eastAsia="Times New Roman" w:hAnsi="Times New Roman" w:cs="Times New Roman"/>
          <w:color w:val="000000" w:themeColor="text1"/>
          <w:sz w:val="24"/>
          <w:szCs w:val="24"/>
        </w:rPr>
        <w:t xml:space="preserve">existing literature </w:t>
      </w:r>
      <w:r w:rsidRPr="00357722">
        <w:rPr>
          <w:rFonts w:ascii="Times New Roman" w:eastAsia="Times New Roman" w:hAnsi="Times New Roman" w:cs="Times New Roman"/>
          <w:color w:val="000000" w:themeColor="text1"/>
          <w:sz w:val="24"/>
          <w:szCs w:val="24"/>
        </w:rPr>
        <w:t>(see Arcand et al., 2012</w:t>
      </w:r>
      <w:r w:rsidR="0079566A" w:rsidRPr="00357722">
        <w:rPr>
          <w:rFonts w:ascii="Times New Roman" w:eastAsia="Times New Roman" w:hAnsi="Times New Roman" w:cs="Times New Roman"/>
          <w:color w:val="000000" w:themeColor="text1"/>
          <w:sz w:val="24"/>
          <w:szCs w:val="24"/>
        </w:rPr>
        <w:t>; Beck</w:t>
      </w:r>
      <w:r w:rsidRPr="00357722">
        <w:rPr>
          <w:rFonts w:ascii="Times New Roman" w:eastAsia="Times New Roman" w:hAnsi="Times New Roman" w:cs="Times New Roman"/>
          <w:color w:val="000000" w:themeColor="text1"/>
          <w:sz w:val="24"/>
          <w:szCs w:val="24"/>
        </w:rPr>
        <w:t xml:space="preserve"> et al</w:t>
      </w:r>
      <w:r w:rsidR="0079566A" w:rsidRPr="00357722">
        <w:rPr>
          <w:rFonts w:ascii="Times New Roman" w:eastAsia="Times New Roman" w:hAnsi="Times New Roman" w:cs="Times New Roman"/>
          <w:color w:val="000000" w:themeColor="text1"/>
          <w:sz w:val="24"/>
          <w:szCs w:val="24"/>
        </w:rPr>
        <w:t xml:space="preserve">. </w:t>
      </w:r>
      <w:r w:rsidRPr="00357722">
        <w:rPr>
          <w:rFonts w:ascii="Times New Roman" w:eastAsia="Times New Roman" w:hAnsi="Times New Roman" w:cs="Times New Roman"/>
          <w:color w:val="000000" w:themeColor="text1"/>
          <w:sz w:val="24"/>
          <w:szCs w:val="24"/>
        </w:rPr>
        <w:t>2000; Demetriades and Hussein, 1996; Favara, 2003; King and Lev</w:t>
      </w:r>
      <w:r w:rsidR="0079566A" w:rsidRPr="00357722">
        <w:rPr>
          <w:rFonts w:ascii="Times New Roman" w:eastAsia="Times New Roman" w:hAnsi="Times New Roman" w:cs="Times New Roman"/>
          <w:color w:val="000000" w:themeColor="text1"/>
          <w:sz w:val="24"/>
          <w:szCs w:val="24"/>
        </w:rPr>
        <w:t>ine, 1993a; Liang and</w:t>
      </w:r>
      <w:r w:rsidR="00CD4770" w:rsidRPr="00357722">
        <w:rPr>
          <w:rFonts w:ascii="Times New Roman" w:eastAsia="Times New Roman" w:hAnsi="Times New Roman" w:cs="Times New Roman"/>
          <w:color w:val="000000" w:themeColor="text1"/>
          <w:sz w:val="24"/>
          <w:szCs w:val="24"/>
        </w:rPr>
        <w:t xml:space="preserve"> Teng, 2006), we use two bank-based financial development proxies. This is consistent with the view that we aim to further capture the ability of the financial system to channel funds from depositors to investors instead of the transactions offered by the financial system.</w:t>
      </w:r>
    </w:p>
    <w:p w14:paraId="6643E97D" w14:textId="78AD0848" w:rsidR="003F7F46" w:rsidRPr="00357722" w:rsidRDefault="003F7F46" w:rsidP="00994CA0">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Second, we use private sector credit to GDP (</w:t>
      </w:r>
      <w:r w:rsidRPr="00357722">
        <w:rPr>
          <w:rFonts w:ascii="Times New Roman" w:eastAsia="Times New Roman" w:hAnsi="Times New Roman" w:cs="Times New Roman"/>
          <w:i/>
          <w:color w:val="000000" w:themeColor="text1"/>
          <w:sz w:val="24"/>
          <w:szCs w:val="24"/>
        </w:rPr>
        <w:t xml:space="preserve">PSCGDP) </w:t>
      </w:r>
      <w:r w:rsidRPr="00357722">
        <w:rPr>
          <w:rFonts w:ascii="Times New Roman" w:eastAsia="Times New Roman" w:hAnsi="Times New Roman" w:cs="Times New Roman"/>
          <w:color w:val="000000" w:themeColor="text1"/>
          <w:sz w:val="24"/>
          <w:szCs w:val="24"/>
        </w:rPr>
        <w:t>to proxy for financial development</w:t>
      </w:r>
      <w:r w:rsidRPr="00357722">
        <w:rPr>
          <w:rFonts w:ascii="Times New Roman" w:eastAsia="Times New Roman" w:hAnsi="Times New Roman" w:cs="Times New Roman"/>
          <w:i/>
          <w:color w:val="000000" w:themeColor="text1"/>
          <w:sz w:val="24"/>
          <w:szCs w:val="24"/>
        </w:rPr>
        <w:t xml:space="preserve">. PSCGDP </w:t>
      </w:r>
      <w:r w:rsidRPr="00357722">
        <w:rPr>
          <w:rFonts w:ascii="Times New Roman" w:eastAsia="Times New Roman" w:hAnsi="Times New Roman" w:cs="Times New Roman"/>
          <w:color w:val="000000" w:themeColor="text1"/>
          <w:sz w:val="24"/>
          <w:szCs w:val="24"/>
        </w:rPr>
        <w:t>reflects credit to both the private and public sector</w:t>
      </w:r>
      <w:r w:rsidR="00324C65">
        <w:rPr>
          <w:rFonts w:ascii="Times New Roman" w:eastAsia="Times New Roman" w:hAnsi="Times New Roman" w:cs="Times New Roman"/>
          <w:color w:val="000000" w:themeColor="text1"/>
          <w:sz w:val="24"/>
          <w:szCs w:val="24"/>
        </w:rPr>
        <w:t>s</w:t>
      </w:r>
      <w:r w:rsidRPr="00357722">
        <w:rPr>
          <w:rFonts w:ascii="Times New Roman" w:eastAsia="Times New Roman" w:hAnsi="Times New Roman" w:cs="Times New Roman"/>
          <w:color w:val="000000" w:themeColor="text1"/>
          <w:sz w:val="24"/>
          <w:szCs w:val="24"/>
        </w:rPr>
        <w:t xml:space="preserve"> including; local, central governments</w:t>
      </w:r>
      <w:r w:rsidR="00E30532">
        <w:rPr>
          <w:rFonts w:ascii="Times New Roman" w:eastAsia="Times New Roman" w:hAnsi="Times New Roman" w:cs="Times New Roman"/>
          <w:color w:val="000000" w:themeColor="text1"/>
          <w:sz w:val="24"/>
          <w:szCs w:val="24"/>
        </w:rPr>
        <w:t>,</w:t>
      </w:r>
      <w:r w:rsidRPr="00357722">
        <w:rPr>
          <w:rFonts w:ascii="Times New Roman" w:eastAsia="Times New Roman" w:hAnsi="Times New Roman" w:cs="Times New Roman"/>
          <w:color w:val="000000" w:themeColor="text1"/>
          <w:sz w:val="24"/>
          <w:szCs w:val="24"/>
        </w:rPr>
        <w:t xml:space="preserve"> and public enterprises. This measure of financial market development improves the </w:t>
      </w:r>
      <w:proofErr w:type="spellStart"/>
      <w:r w:rsidRPr="00357722">
        <w:rPr>
          <w:rFonts w:ascii="Times New Roman" w:eastAsia="Times New Roman" w:hAnsi="Times New Roman" w:cs="Times New Roman"/>
          <w:color w:val="000000" w:themeColor="text1"/>
          <w:sz w:val="24"/>
          <w:szCs w:val="24"/>
        </w:rPr>
        <w:t>channeling</w:t>
      </w:r>
      <w:proofErr w:type="spellEnd"/>
      <w:r w:rsidRPr="00357722">
        <w:rPr>
          <w:rFonts w:ascii="Times New Roman" w:eastAsia="Times New Roman" w:hAnsi="Times New Roman" w:cs="Times New Roman"/>
          <w:color w:val="000000" w:themeColor="text1"/>
          <w:sz w:val="24"/>
          <w:szCs w:val="24"/>
        </w:rPr>
        <w:t xml:space="preserve"> of financial resources between savers and corporations for investment projects (Levine, 2002; Levine and Zervos, 1998).</w:t>
      </w:r>
    </w:p>
    <w:p w14:paraId="30DD396D" w14:textId="75FAAE49" w:rsidR="003F7F46" w:rsidRPr="00357722" w:rsidRDefault="003F7F46" w:rsidP="003F7F46">
      <w:pPr>
        <w:spacing w:after="0" w:line="480" w:lineRule="auto"/>
        <w:ind w:firstLine="720"/>
        <w:jc w:val="both"/>
        <w:rPr>
          <w:rFonts w:ascii="Times New Roman" w:eastAsia="Times New Roman" w:hAnsi="Times New Roman" w:cs="Times New Roman"/>
          <w:b/>
          <w:color w:val="000000" w:themeColor="text1"/>
          <w:sz w:val="24"/>
          <w:szCs w:val="24"/>
        </w:rPr>
      </w:pPr>
      <w:r w:rsidRPr="00357722">
        <w:rPr>
          <w:rFonts w:ascii="Times New Roman" w:eastAsia="Times New Roman" w:hAnsi="Times New Roman" w:cs="Times New Roman"/>
          <w:color w:val="000000" w:themeColor="text1"/>
          <w:sz w:val="24"/>
          <w:szCs w:val="24"/>
        </w:rPr>
        <w:t>Third, we further proxy for financial development using allocated domestic credit to private enterprises by deposit money banks and other financial institutions divided by GDP</w:t>
      </w:r>
      <w:r w:rsidR="007D7BC3" w:rsidRPr="00357722">
        <w:rPr>
          <w:rFonts w:ascii="Times New Roman" w:eastAsia="Times New Roman" w:hAnsi="Times New Roman" w:cs="Times New Roman"/>
          <w:color w:val="000000" w:themeColor="text1"/>
          <w:sz w:val="24"/>
          <w:szCs w:val="24"/>
        </w:rPr>
        <w:t xml:space="preserve"> (</w:t>
      </w:r>
      <w:r w:rsidR="007D7BC3" w:rsidRPr="00357722">
        <w:rPr>
          <w:rFonts w:ascii="Times New Roman" w:eastAsia="Times New Roman" w:hAnsi="Times New Roman" w:cs="Times New Roman"/>
          <w:i/>
          <w:color w:val="000000" w:themeColor="text1"/>
          <w:sz w:val="24"/>
          <w:szCs w:val="24"/>
        </w:rPr>
        <w:t>DCPGDP</w:t>
      </w:r>
      <w:r w:rsidR="007D7BC3" w:rsidRPr="00357722">
        <w:rPr>
          <w:rFonts w:ascii="Times New Roman" w:eastAsia="Times New Roman" w:hAnsi="Times New Roman" w:cs="Times New Roman"/>
          <w:color w:val="000000" w:themeColor="text1"/>
          <w:sz w:val="24"/>
          <w:szCs w:val="24"/>
        </w:rPr>
        <w:t>)</w:t>
      </w:r>
      <w:r w:rsidRPr="00357722">
        <w:rPr>
          <w:rFonts w:ascii="Times New Roman" w:eastAsia="Times New Roman" w:hAnsi="Times New Roman" w:cs="Times New Roman"/>
          <w:color w:val="000000" w:themeColor="text1"/>
          <w:sz w:val="24"/>
          <w:szCs w:val="24"/>
        </w:rPr>
        <w:t xml:space="preserve">. The main idea behind this measure is that financial systems that allocate more credit to private firms are more involved in researching firms, exerting corporate control, providing risk management services, </w:t>
      </w:r>
      <w:r w:rsidR="00E30532" w:rsidRPr="00357722">
        <w:rPr>
          <w:rFonts w:ascii="Times New Roman" w:eastAsia="Times New Roman" w:hAnsi="Times New Roman" w:cs="Times New Roman"/>
          <w:color w:val="000000" w:themeColor="text1"/>
          <w:sz w:val="24"/>
          <w:szCs w:val="24"/>
        </w:rPr>
        <w:t>mobili</w:t>
      </w:r>
      <w:r w:rsidR="00E30532">
        <w:rPr>
          <w:rFonts w:ascii="Times New Roman" w:eastAsia="Times New Roman" w:hAnsi="Times New Roman" w:cs="Times New Roman"/>
          <w:color w:val="000000" w:themeColor="text1"/>
          <w:sz w:val="24"/>
          <w:szCs w:val="24"/>
        </w:rPr>
        <w:t>z</w:t>
      </w:r>
      <w:r w:rsidR="00E30532" w:rsidRPr="00357722">
        <w:rPr>
          <w:rFonts w:ascii="Times New Roman" w:eastAsia="Times New Roman" w:hAnsi="Times New Roman" w:cs="Times New Roman"/>
          <w:color w:val="000000" w:themeColor="text1"/>
          <w:sz w:val="24"/>
          <w:szCs w:val="24"/>
        </w:rPr>
        <w:t xml:space="preserve">ing </w:t>
      </w:r>
      <w:r w:rsidRPr="00357722">
        <w:rPr>
          <w:rFonts w:ascii="Times New Roman" w:eastAsia="Times New Roman" w:hAnsi="Times New Roman" w:cs="Times New Roman"/>
          <w:color w:val="000000" w:themeColor="text1"/>
          <w:sz w:val="24"/>
          <w:szCs w:val="24"/>
        </w:rPr>
        <w:t>savings, and facilitating transactions than financial systems that simply funnel credit to the government or state-owned enterprises.</w:t>
      </w:r>
      <w:r w:rsidR="00CD4770" w:rsidRPr="00357722">
        <w:rPr>
          <w:rFonts w:ascii="Times New Roman" w:eastAsia="Times New Roman" w:hAnsi="Times New Roman" w:cs="Times New Roman"/>
          <w:color w:val="000000" w:themeColor="text1"/>
          <w:sz w:val="24"/>
          <w:szCs w:val="24"/>
        </w:rPr>
        <w:t xml:space="preserve"> These two bank-based variables reflect credit provided to the private sector which helps the utilization of funds </w:t>
      </w:r>
      <w:r w:rsidR="00231739" w:rsidRPr="00357722">
        <w:rPr>
          <w:rFonts w:ascii="Times New Roman" w:eastAsia="Times New Roman" w:hAnsi="Times New Roman" w:cs="Times New Roman"/>
          <w:color w:val="000000" w:themeColor="text1"/>
          <w:sz w:val="24"/>
          <w:szCs w:val="24"/>
        </w:rPr>
        <w:t>to the most productive sector of the economy. The construction of these variables exempt</w:t>
      </w:r>
      <w:r w:rsidR="00E30532">
        <w:rPr>
          <w:rFonts w:ascii="Times New Roman" w:eastAsia="Times New Roman" w:hAnsi="Times New Roman" w:cs="Times New Roman"/>
          <w:color w:val="000000" w:themeColor="text1"/>
          <w:sz w:val="24"/>
          <w:szCs w:val="24"/>
        </w:rPr>
        <w:t>s</w:t>
      </w:r>
      <w:r w:rsidR="00231739" w:rsidRPr="00357722">
        <w:rPr>
          <w:rFonts w:ascii="Times New Roman" w:eastAsia="Times New Roman" w:hAnsi="Times New Roman" w:cs="Times New Roman"/>
          <w:color w:val="000000" w:themeColor="text1"/>
          <w:sz w:val="24"/>
          <w:szCs w:val="24"/>
        </w:rPr>
        <w:t xml:space="preserve"> credit provided by the central bank.</w:t>
      </w:r>
    </w:p>
    <w:p w14:paraId="4E2D2C5B" w14:textId="77777777" w:rsidR="00B373DF" w:rsidRPr="00357722" w:rsidRDefault="00B373DF" w:rsidP="00BA1BB1">
      <w:pPr>
        <w:spacing w:after="0" w:line="480" w:lineRule="auto"/>
        <w:jc w:val="both"/>
        <w:rPr>
          <w:rFonts w:ascii="Times New Roman" w:eastAsia="Times New Roman" w:hAnsi="Times New Roman" w:cs="Times New Roman"/>
          <w:color w:val="000000" w:themeColor="text1"/>
          <w:sz w:val="24"/>
          <w:szCs w:val="24"/>
        </w:rPr>
      </w:pPr>
    </w:p>
    <w:p w14:paraId="1BEB5D44" w14:textId="4D129064" w:rsidR="00FF2E55" w:rsidRPr="00357722" w:rsidRDefault="00FE7BE8" w:rsidP="00BA1BB1">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3.2</w:t>
      </w:r>
      <w:r w:rsidR="009E5A98"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r>
      <w:r w:rsidR="003C0752" w:rsidRPr="00357722">
        <w:rPr>
          <w:rFonts w:ascii="Times New Roman" w:eastAsia="Times New Roman" w:hAnsi="Times New Roman" w:cs="Times New Roman"/>
          <w:i/>
          <w:iCs/>
          <w:color w:val="000000" w:themeColor="text1"/>
          <w:sz w:val="24"/>
          <w:szCs w:val="24"/>
        </w:rPr>
        <w:t>Independent variable</w:t>
      </w:r>
      <w:r w:rsidR="00FF2E55" w:rsidRPr="00357722">
        <w:rPr>
          <w:rFonts w:ascii="Times New Roman" w:eastAsia="Times New Roman" w:hAnsi="Times New Roman" w:cs="Times New Roman"/>
          <w:i/>
          <w:iCs/>
          <w:color w:val="000000" w:themeColor="text1"/>
          <w:sz w:val="24"/>
          <w:szCs w:val="24"/>
        </w:rPr>
        <w:t>s</w:t>
      </w:r>
    </w:p>
    <w:p w14:paraId="6C131730" w14:textId="0C84432C" w:rsidR="00C809BE" w:rsidRPr="00357722" w:rsidRDefault="00C809BE" w:rsidP="00BA1BB1">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The three independent variables </w:t>
      </w:r>
      <w:r w:rsidR="00321041" w:rsidRPr="00357722">
        <w:rPr>
          <w:rFonts w:ascii="Times New Roman" w:eastAsia="Times New Roman" w:hAnsi="Times New Roman" w:cs="Times New Roman"/>
          <w:color w:val="000000" w:themeColor="text1"/>
          <w:sz w:val="24"/>
          <w:szCs w:val="24"/>
        </w:rPr>
        <w:t xml:space="preserve">of interest in our empirical analysis are </w:t>
      </w:r>
      <w:r w:rsidRPr="00357722">
        <w:rPr>
          <w:rFonts w:ascii="Times New Roman" w:eastAsia="Times New Roman" w:hAnsi="Times New Roman" w:cs="Times New Roman"/>
          <w:color w:val="000000" w:themeColor="text1"/>
          <w:sz w:val="24"/>
          <w:szCs w:val="24"/>
        </w:rPr>
        <w:t>international equity portfolio diversification (</w:t>
      </w:r>
      <w:r w:rsidR="00321041" w:rsidRPr="00357722">
        <w:rPr>
          <w:rFonts w:ascii="Times New Roman" w:eastAsia="Times New Roman" w:hAnsi="Times New Roman" w:cs="Times New Roman"/>
          <w:i/>
          <w:color w:val="000000" w:themeColor="text1"/>
          <w:sz w:val="24"/>
          <w:szCs w:val="24"/>
        </w:rPr>
        <w:t>IEPD</w:t>
      </w:r>
      <w:r w:rsidRPr="00357722">
        <w:rPr>
          <w:rFonts w:ascii="Times New Roman" w:eastAsia="Times New Roman" w:hAnsi="Times New Roman" w:cs="Times New Roman"/>
          <w:color w:val="000000" w:themeColor="text1"/>
          <w:sz w:val="24"/>
          <w:szCs w:val="24"/>
        </w:rPr>
        <w:t>), central bank transparency (</w:t>
      </w:r>
      <w:r w:rsidRPr="00357722">
        <w:rPr>
          <w:rFonts w:ascii="Times New Roman" w:eastAsia="Times New Roman" w:hAnsi="Times New Roman" w:cs="Times New Roman"/>
          <w:i/>
          <w:color w:val="000000" w:themeColor="text1"/>
          <w:sz w:val="24"/>
          <w:szCs w:val="24"/>
        </w:rPr>
        <w:t>CBT</w:t>
      </w:r>
      <w:r w:rsidRPr="00357722">
        <w:rPr>
          <w:rFonts w:ascii="Times New Roman" w:eastAsia="Times New Roman" w:hAnsi="Times New Roman" w:cs="Times New Roman"/>
          <w:color w:val="000000" w:themeColor="text1"/>
          <w:sz w:val="24"/>
          <w:szCs w:val="24"/>
        </w:rPr>
        <w:t>)</w:t>
      </w:r>
      <w:r w:rsidR="00E30532">
        <w:rPr>
          <w:rFonts w:ascii="Times New Roman" w:eastAsia="Times New Roman" w:hAnsi="Times New Roman" w:cs="Times New Roman"/>
          <w:color w:val="000000" w:themeColor="text1"/>
          <w:sz w:val="24"/>
          <w:szCs w:val="24"/>
        </w:rPr>
        <w:t>,</w:t>
      </w:r>
      <w:r w:rsidRPr="00357722">
        <w:rPr>
          <w:rFonts w:ascii="Times New Roman" w:eastAsia="Times New Roman" w:hAnsi="Times New Roman" w:cs="Times New Roman"/>
          <w:color w:val="000000" w:themeColor="text1"/>
          <w:sz w:val="24"/>
          <w:szCs w:val="24"/>
        </w:rPr>
        <w:t xml:space="preserve"> and </w:t>
      </w:r>
      <w:r w:rsidR="005B6FFF" w:rsidRPr="00357722">
        <w:rPr>
          <w:rFonts w:ascii="Times New Roman" w:eastAsia="Times New Roman" w:hAnsi="Times New Roman" w:cs="Times New Roman"/>
          <w:color w:val="000000" w:themeColor="text1"/>
          <w:sz w:val="24"/>
          <w:szCs w:val="24"/>
        </w:rPr>
        <w:t>economic freedom</w:t>
      </w:r>
      <w:r w:rsidRPr="00357722">
        <w:rPr>
          <w:rFonts w:ascii="Times New Roman" w:eastAsia="Times New Roman" w:hAnsi="Times New Roman" w:cs="Times New Roman"/>
          <w:color w:val="000000" w:themeColor="text1"/>
          <w:sz w:val="24"/>
          <w:szCs w:val="24"/>
        </w:rPr>
        <w:t xml:space="preserve"> (</w:t>
      </w:r>
      <w:r w:rsidR="005B6FFF" w:rsidRPr="00357722">
        <w:rPr>
          <w:rFonts w:ascii="Times New Roman" w:eastAsia="Times New Roman" w:hAnsi="Times New Roman" w:cs="Times New Roman"/>
          <w:i/>
          <w:color w:val="000000" w:themeColor="text1"/>
          <w:sz w:val="24"/>
          <w:szCs w:val="24"/>
        </w:rPr>
        <w:t>EF</w:t>
      </w:r>
      <w:r w:rsidRPr="00357722">
        <w:rPr>
          <w:rFonts w:ascii="Times New Roman" w:eastAsia="Times New Roman" w:hAnsi="Times New Roman" w:cs="Times New Roman"/>
          <w:color w:val="000000" w:themeColor="text1"/>
          <w:sz w:val="24"/>
          <w:szCs w:val="24"/>
        </w:rPr>
        <w:t xml:space="preserve">). </w:t>
      </w:r>
    </w:p>
    <w:p w14:paraId="11122E30" w14:textId="77777777" w:rsidR="000E4389" w:rsidRPr="00357722" w:rsidRDefault="000E4389" w:rsidP="005636E8">
      <w:pPr>
        <w:spacing w:after="0" w:line="480" w:lineRule="auto"/>
        <w:jc w:val="both"/>
        <w:rPr>
          <w:rFonts w:ascii="Times New Roman" w:eastAsia="Times New Roman" w:hAnsi="Times New Roman" w:cs="Times New Roman"/>
          <w:color w:val="000000" w:themeColor="text1"/>
          <w:sz w:val="24"/>
          <w:szCs w:val="24"/>
        </w:rPr>
      </w:pPr>
    </w:p>
    <w:p w14:paraId="56721264" w14:textId="25D94879" w:rsidR="00B3161D" w:rsidRPr="00357722" w:rsidRDefault="00E80538" w:rsidP="005636E8">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lastRenderedPageBreak/>
        <w:t>3.2.1</w:t>
      </w:r>
      <w:r w:rsidR="00060098" w:rsidRPr="00357722">
        <w:rPr>
          <w:rFonts w:ascii="Times New Roman" w:eastAsia="Times New Roman" w:hAnsi="Times New Roman" w:cs="Times New Roman"/>
          <w:i/>
          <w:iCs/>
          <w:color w:val="000000" w:themeColor="text1"/>
          <w:sz w:val="24"/>
          <w:szCs w:val="24"/>
        </w:rPr>
        <w:t>.</w:t>
      </w:r>
      <w:r w:rsidR="00FE7BE8" w:rsidRPr="00357722">
        <w:rPr>
          <w:rFonts w:ascii="Times New Roman" w:eastAsia="Times New Roman" w:hAnsi="Times New Roman" w:cs="Times New Roman"/>
          <w:i/>
          <w:iCs/>
          <w:color w:val="000000" w:themeColor="text1"/>
          <w:sz w:val="24"/>
          <w:szCs w:val="24"/>
        </w:rPr>
        <w:tab/>
      </w:r>
      <w:r w:rsidR="0084001A" w:rsidRPr="00357722">
        <w:rPr>
          <w:rFonts w:ascii="Times New Roman" w:eastAsia="Times New Roman" w:hAnsi="Times New Roman" w:cs="Times New Roman"/>
          <w:i/>
          <w:iCs/>
          <w:color w:val="000000" w:themeColor="text1"/>
          <w:sz w:val="24"/>
          <w:szCs w:val="24"/>
        </w:rPr>
        <w:t xml:space="preserve">International </w:t>
      </w:r>
      <w:r w:rsidR="00560AF1" w:rsidRPr="00357722">
        <w:rPr>
          <w:rFonts w:ascii="Times New Roman" w:eastAsia="Times New Roman" w:hAnsi="Times New Roman" w:cs="Times New Roman"/>
          <w:i/>
          <w:iCs/>
          <w:color w:val="000000" w:themeColor="text1"/>
          <w:sz w:val="24"/>
          <w:szCs w:val="24"/>
        </w:rPr>
        <w:t xml:space="preserve">equity </w:t>
      </w:r>
      <w:r w:rsidR="0084001A" w:rsidRPr="00357722">
        <w:rPr>
          <w:rFonts w:ascii="Times New Roman" w:eastAsia="Times New Roman" w:hAnsi="Times New Roman" w:cs="Times New Roman"/>
          <w:i/>
          <w:iCs/>
          <w:color w:val="000000" w:themeColor="text1"/>
          <w:sz w:val="24"/>
          <w:szCs w:val="24"/>
        </w:rPr>
        <w:t>portfolio diversification</w:t>
      </w:r>
    </w:p>
    <w:p w14:paraId="425E8E7C" w14:textId="0BAEB5EC" w:rsidR="00700F46" w:rsidRPr="00357722" w:rsidRDefault="00556A99" w:rsidP="00BA1BB1">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We use the Coordinated Portfolio International Investment Survey data to construct international equity portfolio diversification (</w:t>
      </w:r>
      <w:r w:rsidRPr="00357722">
        <w:rPr>
          <w:rFonts w:ascii="Times New Roman" w:eastAsia="Times New Roman" w:hAnsi="Times New Roman" w:cs="Times New Roman"/>
          <w:i/>
          <w:color w:val="000000" w:themeColor="text1"/>
          <w:sz w:val="24"/>
          <w:szCs w:val="24"/>
        </w:rPr>
        <w:t>IEPD</w:t>
      </w:r>
      <w:r w:rsidRPr="00357722">
        <w:rPr>
          <w:rFonts w:ascii="Times New Roman" w:eastAsia="Times New Roman" w:hAnsi="Times New Roman" w:cs="Times New Roman"/>
          <w:color w:val="000000" w:themeColor="text1"/>
          <w:sz w:val="24"/>
          <w:szCs w:val="24"/>
        </w:rPr>
        <w:t>). The CPIS data has been provided by the Internationa</w:t>
      </w:r>
      <w:r w:rsidR="007E07F7" w:rsidRPr="00357722">
        <w:rPr>
          <w:rFonts w:ascii="Times New Roman" w:eastAsia="Times New Roman" w:hAnsi="Times New Roman" w:cs="Times New Roman"/>
          <w:color w:val="000000" w:themeColor="text1"/>
          <w:sz w:val="24"/>
          <w:szCs w:val="24"/>
        </w:rPr>
        <w:t>l</w:t>
      </w:r>
      <w:r w:rsidRPr="00357722">
        <w:rPr>
          <w:rFonts w:ascii="Times New Roman" w:eastAsia="Times New Roman" w:hAnsi="Times New Roman" w:cs="Times New Roman"/>
          <w:color w:val="000000" w:themeColor="text1"/>
          <w:sz w:val="24"/>
          <w:szCs w:val="24"/>
        </w:rPr>
        <w:t xml:space="preserve"> Monetary Fund since 1997. The data consist of </w:t>
      </w:r>
      <w:r w:rsidR="00E30532">
        <w:rPr>
          <w:rFonts w:ascii="Times New Roman" w:eastAsia="Times New Roman" w:hAnsi="Times New Roman" w:cs="Times New Roman"/>
          <w:color w:val="000000" w:themeColor="text1"/>
          <w:sz w:val="24"/>
          <w:szCs w:val="24"/>
        </w:rPr>
        <w:t>the</w:t>
      </w:r>
      <w:r w:rsidR="00E30532" w:rsidRPr="00357722">
        <w:rPr>
          <w:rFonts w:ascii="Times New Roman" w:eastAsia="Times New Roman" w:hAnsi="Times New Roman" w:cs="Times New Roman"/>
          <w:color w:val="000000" w:themeColor="text1"/>
          <w:sz w:val="24"/>
          <w:szCs w:val="24"/>
        </w:rPr>
        <w:t xml:space="preserve"> </w:t>
      </w:r>
      <w:r w:rsidRPr="00357722">
        <w:rPr>
          <w:rFonts w:ascii="Times New Roman" w:eastAsia="Times New Roman" w:hAnsi="Times New Roman" w:cs="Times New Roman"/>
          <w:color w:val="000000" w:themeColor="text1"/>
          <w:sz w:val="24"/>
          <w:szCs w:val="24"/>
        </w:rPr>
        <w:t xml:space="preserve">total value of all foreign equity portfolio investment in the domestic stock market for each year which </w:t>
      </w:r>
      <w:r w:rsidR="00E30532">
        <w:rPr>
          <w:rFonts w:ascii="Times New Roman" w:eastAsia="Times New Roman" w:hAnsi="Times New Roman" w:cs="Times New Roman"/>
          <w:color w:val="000000" w:themeColor="text1"/>
          <w:sz w:val="24"/>
          <w:szCs w:val="24"/>
        </w:rPr>
        <w:t>is</w:t>
      </w:r>
      <w:r w:rsidR="00E30532" w:rsidRPr="00357722">
        <w:rPr>
          <w:rFonts w:ascii="Times New Roman" w:eastAsia="Times New Roman" w:hAnsi="Times New Roman" w:cs="Times New Roman"/>
          <w:color w:val="000000" w:themeColor="text1"/>
          <w:sz w:val="24"/>
          <w:szCs w:val="24"/>
        </w:rPr>
        <w:t xml:space="preserve"> </w:t>
      </w:r>
      <w:r w:rsidRPr="00357722">
        <w:rPr>
          <w:rFonts w:ascii="Times New Roman" w:eastAsia="Times New Roman" w:hAnsi="Times New Roman" w:cs="Times New Roman"/>
          <w:color w:val="000000" w:themeColor="text1"/>
          <w:sz w:val="24"/>
          <w:szCs w:val="24"/>
        </w:rPr>
        <w:t>expressed in US dollars. The CPIS data has been used in existing finance literature (see Lau et al.</w:t>
      </w:r>
      <w:r w:rsidR="009C595B">
        <w:rPr>
          <w:rFonts w:ascii="Times New Roman" w:eastAsia="Times New Roman" w:hAnsi="Times New Roman" w:cs="Times New Roman"/>
          <w:color w:val="000000" w:themeColor="text1"/>
          <w:sz w:val="24"/>
          <w:szCs w:val="24"/>
        </w:rPr>
        <w:t>,</w:t>
      </w:r>
      <w:r w:rsidRPr="00357722">
        <w:rPr>
          <w:rFonts w:ascii="Times New Roman" w:eastAsia="Times New Roman" w:hAnsi="Times New Roman" w:cs="Times New Roman"/>
          <w:color w:val="000000" w:themeColor="text1"/>
          <w:sz w:val="24"/>
          <w:szCs w:val="24"/>
        </w:rPr>
        <w:t xml:space="preserve"> 2010; Thapa and Poshakwale, 201</w:t>
      </w:r>
      <w:r w:rsidR="002B7026">
        <w:rPr>
          <w:rFonts w:ascii="Times New Roman" w:eastAsia="Times New Roman" w:hAnsi="Times New Roman" w:cs="Times New Roman"/>
          <w:color w:val="000000" w:themeColor="text1"/>
          <w:sz w:val="24"/>
          <w:szCs w:val="24"/>
        </w:rPr>
        <w:t>3</w:t>
      </w:r>
      <w:r w:rsidRPr="00357722">
        <w:rPr>
          <w:rFonts w:ascii="Times New Roman" w:eastAsia="Times New Roman" w:hAnsi="Times New Roman" w:cs="Times New Roman"/>
          <w:color w:val="000000" w:themeColor="text1"/>
          <w:sz w:val="24"/>
          <w:szCs w:val="24"/>
        </w:rPr>
        <w:t xml:space="preserve">). Vermeulen (2013) posit that the CPIS data is reliable and of high quality. </w:t>
      </w:r>
      <w:r w:rsidR="00C109E1" w:rsidRPr="00357722">
        <w:rPr>
          <w:rFonts w:ascii="Times New Roman" w:eastAsia="Times New Roman" w:hAnsi="Times New Roman" w:cs="Times New Roman"/>
          <w:color w:val="000000" w:themeColor="text1"/>
          <w:sz w:val="24"/>
          <w:szCs w:val="24"/>
        </w:rPr>
        <w:t>W</w:t>
      </w:r>
      <w:r w:rsidR="006F3C1C" w:rsidRPr="00357722">
        <w:rPr>
          <w:rFonts w:ascii="Times New Roman" w:eastAsia="Times New Roman" w:hAnsi="Times New Roman" w:cs="Times New Roman"/>
          <w:color w:val="000000" w:themeColor="text1"/>
          <w:sz w:val="24"/>
          <w:szCs w:val="24"/>
        </w:rPr>
        <w:t>e calculate</w:t>
      </w:r>
      <w:r w:rsidR="006B6D4B" w:rsidRPr="00357722">
        <w:rPr>
          <w:rFonts w:ascii="Times New Roman" w:eastAsia="Times New Roman" w:hAnsi="Times New Roman" w:cs="Times New Roman"/>
          <w:color w:val="000000" w:themeColor="text1"/>
          <w:sz w:val="24"/>
          <w:szCs w:val="24"/>
        </w:rPr>
        <w:t xml:space="preserve"> </w:t>
      </w:r>
      <w:r w:rsidR="001578C1" w:rsidRPr="00357722">
        <w:rPr>
          <w:rFonts w:ascii="Times New Roman" w:eastAsia="Times New Roman" w:hAnsi="Times New Roman" w:cs="Times New Roman"/>
          <w:color w:val="000000" w:themeColor="text1"/>
          <w:sz w:val="24"/>
          <w:szCs w:val="24"/>
        </w:rPr>
        <w:t>the international equity portfolio diversification as the logarithmic value of the weight of</w:t>
      </w:r>
      <w:r w:rsidR="006B6D4B" w:rsidRPr="00357722">
        <w:rPr>
          <w:rFonts w:ascii="Times New Roman" w:eastAsia="Times New Roman" w:hAnsi="Times New Roman" w:cs="Times New Roman"/>
          <w:color w:val="000000" w:themeColor="text1"/>
          <w:sz w:val="24"/>
          <w:szCs w:val="24"/>
        </w:rPr>
        <w:t xml:space="preserve"> </w:t>
      </w:r>
      <w:r w:rsidR="00916277" w:rsidRPr="00357722">
        <w:rPr>
          <w:rFonts w:ascii="Times New Roman" w:eastAsia="Times New Roman" w:hAnsi="Times New Roman" w:cs="Times New Roman"/>
          <w:color w:val="000000" w:themeColor="text1"/>
          <w:sz w:val="24"/>
          <w:szCs w:val="24"/>
        </w:rPr>
        <w:t>global</w:t>
      </w:r>
      <w:r w:rsidR="001578C1" w:rsidRPr="00357722">
        <w:rPr>
          <w:rFonts w:ascii="Times New Roman" w:eastAsia="Times New Roman" w:hAnsi="Times New Roman" w:cs="Times New Roman"/>
          <w:color w:val="000000" w:themeColor="text1"/>
          <w:sz w:val="24"/>
          <w:szCs w:val="24"/>
        </w:rPr>
        <w:t xml:space="preserve"> portfolio </w:t>
      </w:r>
      <w:r w:rsidR="006B6D4B" w:rsidRPr="00357722">
        <w:rPr>
          <w:rFonts w:ascii="Times New Roman" w:eastAsia="Times New Roman" w:hAnsi="Times New Roman" w:cs="Times New Roman"/>
          <w:color w:val="000000" w:themeColor="text1"/>
          <w:sz w:val="24"/>
          <w:szCs w:val="24"/>
        </w:rPr>
        <w:t>investment</w:t>
      </w:r>
      <w:r w:rsidR="001578C1" w:rsidRPr="00357722">
        <w:rPr>
          <w:rFonts w:ascii="Times New Roman" w:eastAsia="Times New Roman" w:hAnsi="Times New Roman" w:cs="Times New Roman"/>
          <w:color w:val="000000" w:themeColor="text1"/>
          <w:sz w:val="24"/>
          <w:szCs w:val="24"/>
        </w:rPr>
        <w:t xml:space="preserve"> of country</w:t>
      </w:r>
      <w:r w:rsidR="001578C1" w:rsidRPr="00357722">
        <w:rPr>
          <w:rFonts w:ascii="Times New Roman" w:eastAsia="Times New Roman" w:hAnsi="Times New Roman" w:cs="Times New Roman"/>
          <w:i/>
          <w:color w:val="000000" w:themeColor="text1"/>
          <w:sz w:val="24"/>
          <w:szCs w:val="24"/>
        </w:rPr>
        <w:t xml:space="preserve"> j</w:t>
      </w:r>
      <w:r w:rsidR="001578C1" w:rsidRPr="00357722">
        <w:rPr>
          <w:rFonts w:ascii="Times New Roman" w:eastAsia="Times New Roman" w:hAnsi="Times New Roman" w:cs="Times New Roman"/>
          <w:color w:val="000000" w:themeColor="text1"/>
          <w:sz w:val="24"/>
          <w:szCs w:val="24"/>
        </w:rPr>
        <w:t xml:space="preserve"> </w:t>
      </w:r>
      <w:r w:rsidR="006B6D4B" w:rsidRPr="00357722">
        <w:rPr>
          <w:rFonts w:ascii="Times New Roman" w:eastAsia="Times New Roman" w:hAnsi="Times New Roman" w:cs="Times New Roman"/>
          <w:color w:val="000000" w:themeColor="text1"/>
          <w:sz w:val="24"/>
          <w:szCs w:val="24"/>
        </w:rPr>
        <w:t xml:space="preserve">into equities in country </w:t>
      </w:r>
      <m:oMath>
        <m:r>
          <w:rPr>
            <w:rFonts w:ascii="Cambria Math" w:eastAsia="Times New Roman" w:hAnsi="Cambria Math" w:cs="Times New Roman"/>
            <w:color w:val="000000" w:themeColor="text1"/>
            <w:sz w:val="24"/>
            <w:szCs w:val="24"/>
          </w:rPr>
          <m:t>i</m:t>
        </m:r>
      </m:oMath>
      <w:r w:rsidR="0097755E" w:rsidRPr="00357722">
        <w:rPr>
          <w:rFonts w:ascii="Times New Roman" w:eastAsia="Times New Roman" w:hAnsi="Times New Roman" w:cs="Times New Roman"/>
          <w:color w:val="000000" w:themeColor="text1"/>
          <w:sz w:val="24"/>
          <w:szCs w:val="24"/>
        </w:rPr>
        <w:t>, as illustrated in equation (1) below:</w:t>
      </w:r>
    </w:p>
    <w:tbl>
      <w:tblPr>
        <w:tblpPr w:leftFromText="180" w:rightFromText="180" w:vertAnchor="text" w:tblpY="1"/>
        <w:tblOverlap w:val="never"/>
        <w:tblW w:w="4966" w:type="pct"/>
        <w:tblLook w:val="00A0" w:firstRow="1" w:lastRow="0" w:firstColumn="1" w:lastColumn="0" w:noHBand="0" w:noVBand="0"/>
      </w:tblPr>
      <w:tblGrid>
        <w:gridCol w:w="984"/>
        <w:gridCol w:w="7409"/>
        <w:gridCol w:w="1016"/>
      </w:tblGrid>
      <w:tr w:rsidR="00043AFB" w:rsidRPr="00357722" w14:paraId="107C4F57" w14:textId="77777777" w:rsidTr="001828C2">
        <w:tc>
          <w:tcPr>
            <w:tcW w:w="523" w:type="pct"/>
            <w:vAlign w:val="center"/>
          </w:tcPr>
          <w:p w14:paraId="7DCF8DBA" w14:textId="77777777" w:rsidR="00043AFB" w:rsidRPr="00357722" w:rsidRDefault="00043AFB" w:rsidP="001828C2">
            <w:pPr>
              <w:spacing w:after="0" w:line="480" w:lineRule="auto"/>
              <w:jc w:val="center"/>
              <w:rPr>
                <w:rFonts w:ascii="Times New Roman" w:hAnsi="Times New Roman"/>
                <w:i/>
                <w:sz w:val="24"/>
                <w:szCs w:val="24"/>
                <w:lang w:eastAsia="ko-KR"/>
              </w:rPr>
            </w:pPr>
          </w:p>
        </w:tc>
        <w:tc>
          <w:tcPr>
            <w:tcW w:w="3937" w:type="pct"/>
            <w:vAlign w:val="center"/>
          </w:tcPr>
          <w:p w14:paraId="1E7D22F7" w14:textId="5C61E389" w:rsidR="00043AFB" w:rsidRPr="00357722" w:rsidRDefault="00000000" w:rsidP="001828C2">
            <w:pPr>
              <w:spacing w:after="0" w:line="480" w:lineRule="auto"/>
              <w:jc w:val="both"/>
              <w:rPr>
                <w:rFonts w:ascii="Times New Roman" w:hAnsi="Times New Roman"/>
                <w:sz w:val="24"/>
                <w:szCs w:val="24"/>
                <w:lang w:eastAsia="ko-KR"/>
              </w:rPr>
            </w:pPr>
            <m:oMathPara>
              <m:oMathParaPr>
                <m:jc m:val="center"/>
              </m:oMathParaP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jkt</m:t>
                    </m:r>
                  </m:sub>
                </m:sSub>
                <m:r>
                  <w:rPr>
                    <w:rFonts w:ascii="Cambria Math" w:hAnsi="Cambria Math" w:cs="Times New Roman"/>
                    <w:color w:val="000000" w:themeColor="text1"/>
                  </w:rPr>
                  <m:t>=log</m:t>
                </m:r>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GPI</m:t>
                            </m:r>
                          </m:e>
                          <m:sub>
                            <m:r>
                              <w:rPr>
                                <w:rFonts w:ascii="Cambria Math" w:hAnsi="Cambria Math" w:cs="Times New Roman"/>
                                <w:color w:val="000000" w:themeColor="text1"/>
                              </w:rPr>
                              <m:t>jit</m:t>
                            </m:r>
                          </m:sub>
                        </m:sSub>
                      </m:num>
                      <m:den>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k=1</m:t>
                            </m:r>
                          </m:sub>
                          <m:sup>
                            <m:r>
                              <w:rPr>
                                <w:rFonts w:ascii="Cambria Math" w:hAnsi="Cambria Math" w:cs="Times New Roman"/>
                                <w:color w:val="000000" w:themeColor="text1"/>
                              </w:rPr>
                              <m:t>49</m:t>
                            </m:r>
                          </m:sup>
                          <m:e>
                            <m:sSub>
                              <m:sSubPr>
                                <m:ctrlPr>
                                  <w:rPr>
                                    <w:rFonts w:ascii="Cambria Math" w:hAnsi="Cambria Math" w:cs="Times New Roman"/>
                                    <w:i/>
                                    <w:color w:val="000000" w:themeColor="text1"/>
                                  </w:rPr>
                                </m:ctrlPr>
                              </m:sSubPr>
                              <m:e>
                                <m:r>
                                  <w:rPr>
                                    <w:rFonts w:ascii="Cambria Math" w:hAnsi="Cambria Math" w:cs="Times New Roman"/>
                                    <w:color w:val="000000" w:themeColor="text1"/>
                                  </w:rPr>
                                  <m:t>GPI</m:t>
                                </m:r>
                              </m:e>
                              <m:sub>
                                <m:r>
                                  <w:rPr>
                                    <w:rFonts w:ascii="Cambria Math" w:hAnsi="Cambria Math" w:cs="Times New Roman"/>
                                    <w:color w:val="000000" w:themeColor="text1"/>
                                  </w:rPr>
                                  <m:t>jit</m:t>
                                </m:r>
                              </m:sub>
                            </m:sSub>
                          </m:e>
                        </m:nary>
                      </m:den>
                    </m:f>
                  </m:e>
                </m:d>
              </m:oMath>
            </m:oMathPara>
          </w:p>
        </w:tc>
        <w:tc>
          <w:tcPr>
            <w:tcW w:w="540" w:type="pct"/>
            <w:vAlign w:val="center"/>
          </w:tcPr>
          <w:p w14:paraId="41B32417" w14:textId="77777777" w:rsidR="00043AFB" w:rsidRPr="00357722" w:rsidRDefault="00043AFB" w:rsidP="001828C2">
            <w:pPr>
              <w:numPr>
                <w:ilvl w:val="0"/>
                <w:numId w:val="31"/>
              </w:numPr>
              <w:spacing w:after="0" w:line="480" w:lineRule="auto"/>
              <w:jc w:val="right"/>
              <w:rPr>
                <w:rFonts w:ascii="Times New Roman" w:hAnsi="Times New Roman"/>
                <w:i/>
                <w:sz w:val="24"/>
                <w:szCs w:val="24"/>
                <w:lang w:eastAsia="ko-KR"/>
              </w:rPr>
            </w:pPr>
          </w:p>
        </w:tc>
      </w:tr>
    </w:tbl>
    <w:p w14:paraId="26119926" w14:textId="1519A7F2" w:rsidR="002663A9" w:rsidRPr="00357722" w:rsidRDefault="006F3C1C" w:rsidP="0078028D">
      <w:pPr>
        <w:spacing w:after="0" w:line="480" w:lineRule="auto"/>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jit</m:t>
            </m:r>
          </m:sub>
        </m:sSub>
      </m:oMath>
      <w:r w:rsidRPr="00357722">
        <w:rPr>
          <w:rFonts w:ascii="Times New Roman" w:hAnsi="Times New Roman" w:cs="Times New Roman"/>
          <w:color w:val="000000" w:themeColor="text1"/>
          <w:sz w:val="24"/>
          <w:szCs w:val="24"/>
        </w:rPr>
        <w:t xml:space="preserve"> is the weight of </w:t>
      </w:r>
      <w:r w:rsidR="00E54FFF" w:rsidRPr="00357722">
        <w:rPr>
          <w:rFonts w:ascii="Times New Roman" w:hAnsi="Times New Roman" w:cs="Times New Roman"/>
          <w:color w:val="000000" w:themeColor="text1"/>
          <w:sz w:val="24"/>
          <w:szCs w:val="24"/>
        </w:rPr>
        <w:t xml:space="preserve">international </w:t>
      </w:r>
      <w:r w:rsidRPr="00357722">
        <w:rPr>
          <w:rFonts w:ascii="Times New Roman" w:hAnsi="Times New Roman" w:cs="Times New Roman"/>
          <w:color w:val="000000" w:themeColor="text1"/>
          <w:sz w:val="24"/>
          <w:szCs w:val="24"/>
        </w:rPr>
        <w:t xml:space="preserve">equity portfolio </w:t>
      </w:r>
      <w:r w:rsidR="00E54FFF" w:rsidRPr="00357722">
        <w:rPr>
          <w:rFonts w:ascii="Times New Roman" w:hAnsi="Times New Roman" w:cs="Times New Roman"/>
          <w:color w:val="000000" w:themeColor="text1"/>
          <w:sz w:val="24"/>
          <w:szCs w:val="24"/>
        </w:rPr>
        <w:t>diversification</w:t>
      </w:r>
      <w:r w:rsidRPr="00357722">
        <w:rPr>
          <w:rFonts w:ascii="Times New Roman" w:hAnsi="Times New Roman" w:cs="Times New Roman"/>
          <w:color w:val="000000" w:themeColor="text1"/>
          <w:sz w:val="24"/>
          <w:szCs w:val="24"/>
        </w:rPr>
        <w:t xml:space="preserve"> from country </w:t>
      </w:r>
      <m:oMath>
        <m:r>
          <w:rPr>
            <w:rFonts w:ascii="Cambria Math" w:hAnsi="Cambria Math" w:cs="Times New Roman"/>
            <w:color w:val="000000" w:themeColor="text1"/>
            <w:sz w:val="24"/>
            <w:szCs w:val="24"/>
          </w:rPr>
          <m:t>j</m:t>
        </m:r>
      </m:oMath>
      <w:r w:rsidRPr="00357722">
        <w:rPr>
          <w:rFonts w:ascii="Times New Roman" w:hAnsi="Times New Roman" w:cs="Times New Roman"/>
          <w:color w:val="000000" w:themeColor="text1"/>
          <w:sz w:val="24"/>
          <w:szCs w:val="24"/>
        </w:rPr>
        <w:t xml:space="preserve"> into country </w:t>
      </w:r>
      <m:oMath>
        <m:r>
          <w:rPr>
            <w:rFonts w:ascii="Cambria Math" w:hAnsi="Cambria Math" w:cs="Times New Roman"/>
            <w:color w:val="000000" w:themeColor="text1"/>
            <w:sz w:val="24"/>
            <w:szCs w:val="24"/>
          </w:rPr>
          <m:t>i</m:t>
        </m:r>
      </m:oMath>
      <w:r w:rsidRPr="00357722">
        <w:rPr>
          <w:rFonts w:ascii="Times New Roman" w:hAnsi="Times New Roman" w:cs="Times New Roman"/>
          <w:color w:val="000000" w:themeColor="text1"/>
          <w:sz w:val="24"/>
          <w:szCs w:val="24"/>
        </w:rPr>
        <w:t xml:space="preserve"> </w:t>
      </w:r>
      <w:r w:rsidR="00136085" w:rsidRPr="00357722">
        <w:rPr>
          <w:rFonts w:ascii="Times New Roman" w:hAnsi="Times New Roman" w:cs="Times New Roman"/>
          <w:color w:val="000000" w:themeColor="text1"/>
          <w:sz w:val="24"/>
          <w:szCs w:val="24"/>
        </w:rPr>
        <w:t xml:space="preserve">at </w:t>
      </w:r>
      <w:r w:rsidR="00922088" w:rsidRPr="00357722">
        <w:rPr>
          <w:rFonts w:ascii="Times New Roman" w:hAnsi="Times New Roman" w:cs="Times New Roman"/>
          <w:color w:val="000000" w:themeColor="text1"/>
          <w:sz w:val="24"/>
          <w:szCs w:val="24"/>
        </w:rPr>
        <w:t>year</w:t>
      </w:r>
      <w:r w:rsidRPr="0035772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t;</m:t>
        </m:r>
      </m:oMath>
      <w:r w:rsidRPr="00357722">
        <w:rPr>
          <w:rFonts w:ascii="Times New Roman" w:hAnsi="Times New Roman" w:cs="Times New Roman"/>
          <w:color w:val="000000" w:themeColor="text1"/>
          <w:sz w:val="24"/>
          <w:szCs w:val="24"/>
        </w:rPr>
        <w:t xml:space="preserv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GPI</m:t>
            </m:r>
          </m:e>
          <m:sub>
            <m:r>
              <w:rPr>
                <w:rFonts w:ascii="Cambria Math" w:hAnsi="Cambria Math" w:cs="Times New Roman"/>
                <w:color w:val="000000" w:themeColor="text1"/>
                <w:sz w:val="24"/>
                <w:szCs w:val="24"/>
              </w:rPr>
              <m:t>jit</m:t>
            </m:r>
          </m:sub>
        </m:sSub>
      </m:oMath>
      <w:r w:rsidRPr="00357722">
        <w:rPr>
          <w:rFonts w:ascii="Times New Roman" w:hAnsi="Times New Roman" w:cs="Times New Roman"/>
          <w:color w:val="000000" w:themeColor="text1"/>
          <w:sz w:val="24"/>
          <w:szCs w:val="24"/>
        </w:rPr>
        <w:t xml:space="preserve"> is the actual</w:t>
      </w:r>
      <w:r w:rsidR="00F1084F" w:rsidRPr="00357722">
        <w:rPr>
          <w:rFonts w:ascii="Times New Roman" w:hAnsi="Times New Roman" w:cs="Times New Roman"/>
          <w:color w:val="000000" w:themeColor="text1"/>
          <w:sz w:val="24"/>
          <w:szCs w:val="24"/>
        </w:rPr>
        <w:t xml:space="preserve"> </w:t>
      </w:r>
      <w:r w:rsidR="00916277" w:rsidRPr="00357722">
        <w:rPr>
          <w:rFonts w:ascii="Times New Roman" w:hAnsi="Times New Roman" w:cs="Times New Roman"/>
          <w:color w:val="000000" w:themeColor="text1"/>
          <w:sz w:val="24"/>
          <w:szCs w:val="24"/>
        </w:rPr>
        <w:t>global</w:t>
      </w:r>
      <w:r w:rsidRPr="00357722">
        <w:rPr>
          <w:rFonts w:ascii="Times New Roman" w:hAnsi="Times New Roman" w:cs="Times New Roman"/>
          <w:color w:val="000000" w:themeColor="text1"/>
          <w:sz w:val="24"/>
          <w:szCs w:val="24"/>
        </w:rPr>
        <w:t xml:space="preserve"> investors</w:t>
      </w:r>
      <w:r w:rsidR="000A277D" w:rsidRPr="00357722">
        <w:rPr>
          <w:rFonts w:ascii="Times New Roman" w:hAnsi="Times New Roman" w:cs="Times New Roman"/>
          <w:color w:val="000000" w:themeColor="text1"/>
          <w:sz w:val="24"/>
          <w:szCs w:val="24"/>
        </w:rPr>
        <w:t>’</w:t>
      </w:r>
      <w:r w:rsidR="00E84BE9" w:rsidRPr="00357722">
        <w:rPr>
          <w:rFonts w:ascii="Times New Roman" w:hAnsi="Times New Roman" w:cs="Times New Roman"/>
          <w:color w:val="000000" w:themeColor="text1"/>
          <w:sz w:val="24"/>
          <w:szCs w:val="24"/>
        </w:rPr>
        <w:t xml:space="preserve"> portfolio investment</w:t>
      </w:r>
      <w:r w:rsidRPr="00357722">
        <w:rPr>
          <w:rFonts w:ascii="Times New Roman" w:hAnsi="Times New Roman" w:cs="Times New Roman"/>
          <w:color w:val="000000" w:themeColor="text1"/>
          <w:sz w:val="24"/>
          <w:szCs w:val="24"/>
        </w:rPr>
        <w:t xml:space="preserve"> in US dollars millions.</w:t>
      </w:r>
    </w:p>
    <w:p w14:paraId="24148B91" w14:textId="77777777" w:rsidR="004769A0" w:rsidRPr="00357722" w:rsidRDefault="004769A0" w:rsidP="0078028D">
      <w:pPr>
        <w:spacing w:after="0" w:line="480" w:lineRule="auto"/>
        <w:jc w:val="both"/>
        <w:rPr>
          <w:color w:val="000000" w:themeColor="text1"/>
          <w:sz w:val="24"/>
          <w:szCs w:val="24"/>
        </w:rPr>
      </w:pPr>
    </w:p>
    <w:p w14:paraId="564AABFE" w14:textId="1BBE05FA" w:rsidR="0084001A" w:rsidRPr="00357722" w:rsidRDefault="00A72DFF" w:rsidP="0078028D">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3.2.2</w:t>
      </w:r>
      <w:r w:rsidR="00E80538" w:rsidRPr="00357722">
        <w:rPr>
          <w:rFonts w:ascii="Times New Roman" w:eastAsia="Times New Roman" w:hAnsi="Times New Roman" w:cs="Times New Roman"/>
          <w:i/>
          <w:iCs/>
          <w:color w:val="000000" w:themeColor="text1"/>
          <w:sz w:val="24"/>
          <w:szCs w:val="24"/>
        </w:rPr>
        <w:t>.</w:t>
      </w:r>
      <w:r w:rsidR="00FE7BE8" w:rsidRPr="00357722">
        <w:rPr>
          <w:rFonts w:ascii="Times New Roman" w:eastAsia="Times New Roman" w:hAnsi="Times New Roman" w:cs="Times New Roman"/>
          <w:i/>
          <w:iCs/>
          <w:color w:val="000000" w:themeColor="text1"/>
          <w:sz w:val="24"/>
          <w:szCs w:val="24"/>
        </w:rPr>
        <w:tab/>
      </w:r>
      <w:r w:rsidR="0084001A" w:rsidRPr="00357722">
        <w:rPr>
          <w:rFonts w:ascii="Times New Roman" w:eastAsia="Times New Roman" w:hAnsi="Times New Roman" w:cs="Times New Roman"/>
          <w:i/>
          <w:iCs/>
          <w:color w:val="000000" w:themeColor="text1"/>
          <w:sz w:val="24"/>
          <w:szCs w:val="24"/>
        </w:rPr>
        <w:t>Central bank transparency</w:t>
      </w:r>
    </w:p>
    <w:p w14:paraId="0B0FCFCD" w14:textId="4885CD7D" w:rsidR="00B373DF" w:rsidRPr="00357722" w:rsidRDefault="002E5EAF" w:rsidP="00BA1BB1">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The central bank transparency (</w:t>
      </w:r>
      <w:r w:rsidRPr="00357722">
        <w:rPr>
          <w:rFonts w:ascii="Times New Roman" w:hAnsi="Times New Roman" w:cs="Times New Roman"/>
          <w:i/>
          <w:color w:val="000000" w:themeColor="text1"/>
          <w:sz w:val="24"/>
          <w:szCs w:val="24"/>
        </w:rPr>
        <w:t>CBT</w:t>
      </w:r>
      <w:r w:rsidRPr="00357722">
        <w:rPr>
          <w:rFonts w:ascii="Times New Roman" w:hAnsi="Times New Roman" w:cs="Times New Roman"/>
          <w:color w:val="000000" w:themeColor="text1"/>
          <w:sz w:val="24"/>
          <w:szCs w:val="24"/>
        </w:rPr>
        <w:t xml:space="preserve">) index we employ in our study was initially developed and maintained by Eijffinger and Geraats (2006) for 120 countries. Subsequently, the </w:t>
      </w:r>
      <w:r w:rsidRPr="00357722">
        <w:rPr>
          <w:rFonts w:ascii="Times New Roman" w:hAnsi="Times New Roman" w:cs="Times New Roman"/>
          <w:i/>
          <w:color w:val="000000" w:themeColor="text1"/>
          <w:sz w:val="24"/>
          <w:szCs w:val="24"/>
        </w:rPr>
        <w:t>CBT</w:t>
      </w:r>
      <w:r w:rsidRPr="00357722">
        <w:rPr>
          <w:rFonts w:ascii="Times New Roman" w:hAnsi="Times New Roman" w:cs="Times New Roman"/>
          <w:color w:val="000000" w:themeColor="text1"/>
          <w:sz w:val="24"/>
          <w:szCs w:val="24"/>
        </w:rPr>
        <w:t xml:space="preserve"> was later updated by Dincer and Eichengreen (2014). The </w:t>
      </w:r>
      <w:r w:rsidRPr="00357722">
        <w:rPr>
          <w:rFonts w:ascii="Times New Roman" w:hAnsi="Times New Roman" w:cs="Times New Roman"/>
          <w:i/>
          <w:color w:val="000000" w:themeColor="text1"/>
          <w:sz w:val="24"/>
          <w:szCs w:val="24"/>
        </w:rPr>
        <w:t>CBT</w:t>
      </w:r>
      <w:r w:rsidRPr="00357722">
        <w:rPr>
          <w:rFonts w:ascii="Times New Roman" w:hAnsi="Times New Roman" w:cs="Times New Roman"/>
          <w:color w:val="000000" w:themeColor="text1"/>
          <w:sz w:val="24"/>
          <w:szCs w:val="24"/>
        </w:rPr>
        <w:t xml:space="preserve"> index reflects the scope to which the national central bank offers information on monetary policy.</w:t>
      </w:r>
      <w:r w:rsidR="00A45466" w:rsidRPr="00357722">
        <w:rPr>
          <w:rFonts w:ascii="Times New Roman" w:hAnsi="Times New Roman" w:cs="Times New Roman"/>
          <w:color w:val="000000" w:themeColor="text1"/>
          <w:sz w:val="24"/>
          <w:szCs w:val="24"/>
        </w:rPr>
        <w:t xml:space="preserve"> The index is constructed using </w:t>
      </w:r>
      <w:r w:rsidR="009146B2" w:rsidRPr="00357722">
        <w:rPr>
          <w:rFonts w:ascii="Times New Roman" w:hAnsi="Times New Roman" w:cs="Times New Roman"/>
          <w:color w:val="000000" w:themeColor="text1"/>
          <w:sz w:val="24"/>
          <w:szCs w:val="24"/>
        </w:rPr>
        <w:t>15 questions</w:t>
      </w:r>
      <w:r w:rsidR="009848B6" w:rsidRPr="00357722">
        <w:rPr>
          <w:rFonts w:ascii="Times New Roman" w:hAnsi="Times New Roman" w:cs="Times New Roman"/>
          <w:color w:val="000000" w:themeColor="text1"/>
          <w:sz w:val="24"/>
          <w:szCs w:val="24"/>
        </w:rPr>
        <w:t xml:space="preserve"> </w:t>
      </w:r>
      <w:r w:rsidR="00A45466" w:rsidRPr="00357722">
        <w:rPr>
          <w:rFonts w:ascii="Times New Roman" w:hAnsi="Times New Roman" w:cs="Times New Roman"/>
          <w:color w:val="000000" w:themeColor="text1"/>
          <w:sz w:val="24"/>
          <w:szCs w:val="24"/>
        </w:rPr>
        <w:t xml:space="preserve">which </w:t>
      </w:r>
      <w:r w:rsidR="009146B2" w:rsidRPr="00357722">
        <w:rPr>
          <w:rFonts w:ascii="Times New Roman" w:hAnsi="Times New Roman" w:cs="Times New Roman"/>
          <w:color w:val="000000" w:themeColor="text1"/>
          <w:sz w:val="24"/>
          <w:szCs w:val="24"/>
        </w:rPr>
        <w:t xml:space="preserve">comprise </w:t>
      </w:r>
      <w:r w:rsidR="004A5D3F" w:rsidRPr="00357722">
        <w:rPr>
          <w:rFonts w:ascii="Times New Roman" w:hAnsi="Times New Roman" w:cs="Times New Roman"/>
          <w:color w:val="000000" w:themeColor="text1"/>
          <w:sz w:val="24"/>
          <w:szCs w:val="24"/>
        </w:rPr>
        <w:t xml:space="preserve">five dimensions, </w:t>
      </w:r>
      <w:r w:rsidR="00A45466" w:rsidRPr="00357722">
        <w:rPr>
          <w:rFonts w:ascii="Times New Roman" w:hAnsi="Times New Roman" w:cs="Times New Roman"/>
          <w:color w:val="000000" w:themeColor="text1"/>
          <w:sz w:val="24"/>
          <w:szCs w:val="24"/>
        </w:rPr>
        <w:t>including</w:t>
      </w:r>
      <w:r w:rsidR="004A5D3F" w:rsidRPr="00357722">
        <w:rPr>
          <w:rFonts w:ascii="Times New Roman" w:hAnsi="Times New Roman" w:cs="Times New Roman"/>
          <w:color w:val="000000" w:themeColor="text1"/>
          <w:sz w:val="24"/>
          <w:szCs w:val="24"/>
        </w:rPr>
        <w:t>; political transparency, economic transparency, procedural transparency, policy transparency</w:t>
      </w:r>
      <w:r w:rsidR="00E30532">
        <w:rPr>
          <w:rFonts w:ascii="Times New Roman" w:hAnsi="Times New Roman" w:cs="Times New Roman"/>
          <w:color w:val="000000" w:themeColor="text1"/>
          <w:sz w:val="24"/>
          <w:szCs w:val="24"/>
        </w:rPr>
        <w:t>,</w:t>
      </w:r>
      <w:r w:rsidR="004A5D3F" w:rsidRPr="00357722">
        <w:rPr>
          <w:rFonts w:ascii="Times New Roman" w:hAnsi="Times New Roman" w:cs="Times New Roman"/>
          <w:color w:val="000000" w:themeColor="text1"/>
          <w:sz w:val="24"/>
          <w:szCs w:val="24"/>
        </w:rPr>
        <w:t xml:space="preserve"> and operational transparency </w:t>
      </w:r>
      <w:r w:rsidR="00B923C2" w:rsidRPr="00357722">
        <w:rPr>
          <w:rFonts w:ascii="Times New Roman" w:hAnsi="Times New Roman" w:cs="Times New Roman"/>
          <w:color w:val="000000" w:themeColor="text1"/>
          <w:sz w:val="24"/>
          <w:szCs w:val="24"/>
        </w:rPr>
        <w:t>(</w:t>
      </w:r>
      <w:proofErr w:type="spellStart"/>
      <w:r w:rsidR="000768D7" w:rsidRPr="00357722">
        <w:rPr>
          <w:rFonts w:ascii="Times New Roman" w:hAnsi="Times New Roman" w:cs="Times New Roman"/>
          <w:color w:val="000000" w:themeColor="text1"/>
          <w:sz w:val="24"/>
          <w:szCs w:val="24"/>
        </w:rPr>
        <w:t>Naszodi</w:t>
      </w:r>
      <w:proofErr w:type="spellEnd"/>
      <w:r w:rsidR="009848B6" w:rsidRPr="00357722">
        <w:rPr>
          <w:rFonts w:ascii="Times New Roman" w:hAnsi="Times New Roman" w:cs="Times New Roman"/>
          <w:color w:val="000000" w:themeColor="text1"/>
          <w:sz w:val="24"/>
          <w:szCs w:val="24"/>
        </w:rPr>
        <w:t xml:space="preserve"> et a</w:t>
      </w:r>
      <w:r w:rsidR="00C109E1" w:rsidRPr="00357722">
        <w:rPr>
          <w:rFonts w:ascii="Times New Roman" w:hAnsi="Times New Roman" w:cs="Times New Roman"/>
          <w:color w:val="000000" w:themeColor="text1"/>
          <w:sz w:val="24"/>
          <w:szCs w:val="24"/>
        </w:rPr>
        <w:t>l.</w:t>
      </w:r>
      <w:r w:rsidR="000768D7" w:rsidRPr="00357722">
        <w:rPr>
          <w:rFonts w:ascii="Times New Roman" w:hAnsi="Times New Roman" w:cs="Times New Roman"/>
          <w:color w:val="000000" w:themeColor="text1"/>
          <w:sz w:val="24"/>
          <w:szCs w:val="24"/>
        </w:rPr>
        <w:t xml:space="preserve"> 2016)</w:t>
      </w:r>
      <w:r w:rsidR="004A5D3F" w:rsidRPr="00357722">
        <w:rPr>
          <w:rFonts w:ascii="Times New Roman" w:hAnsi="Times New Roman" w:cs="Times New Roman"/>
          <w:color w:val="000000" w:themeColor="text1"/>
          <w:sz w:val="24"/>
          <w:szCs w:val="24"/>
        </w:rPr>
        <w:t>.</w:t>
      </w:r>
      <w:r w:rsidR="00B373DF" w:rsidRPr="00357722">
        <w:rPr>
          <w:rFonts w:ascii="Times New Roman" w:hAnsi="Times New Roman" w:cs="Times New Roman"/>
          <w:color w:val="000000" w:themeColor="text1"/>
          <w:sz w:val="24"/>
          <w:szCs w:val="24"/>
        </w:rPr>
        <w:t xml:space="preserve"> </w:t>
      </w:r>
      <w:r w:rsidR="00054678" w:rsidRPr="00357722">
        <w:rPr>
          <w:rFonts w:ascii="Times New Roman" w:hAnsi="Times New Roman" w:cs="Times New Roman"/>
          <w:color w:val="000000" w:themeColor="text1"/>
          <w:sz w:val="24"/>
          <w:szCs w:val="24"/>
        </w:rPr>
        <w:t xml:space="preserve">The </w:t>
      </w:r>
      <w:r w:rsidR="00CD48AE" w:rsidRPr="00357722">
        <w:rPr>
          <w:rFonts w:ascii="Times New Roman" w:hAnsi="Times New Roman" w:cs="Times New Roman"/>
          <w:color w:val="000000" w:themeColor="text1"/>
          <w:sz w:val="24"/>
          <w:szCs w:val="24"/>
        </w:rPr>
        <w:t>Eijffinger-Geraats index</w:t>
      </w:r>
      <w:r w:rsidR="00054678" w:rsidRPr="00357722">
        <w:rPr>
          <w:rFonts w:ascii="Times New Roman" w:hAnsi="Times New Roman" w:cs="Times New Roman"/>
          <w:color w:val="000000" w:themeColor="text1"/>
          <w:sz w:val="24"/>
          <w:szCs w:val="24"/>
        </w:rPr>
        <w:t xml:space="preserve"> </w:t>
      </w:r>
      <w:r w:rsidR="009848B6" w:rsidRPr="00357722">
        <w:rPr>
          <w:rFonts w:ascii="Times New Roman" w:hAnsi="Times New Roman" w:cs="Times New Roman"/>
          <w:color w:val="000000" w:themeColor="text1"/>
          <w:sz w:val="24"/>
          <w:szCs w:val="24"/>
        </w:rPr>
        <w:t>ranges</w:t>
      </w:r>
      <w:r w:rsidR="00054678" w:rsidRPr="00357722">
        <w:rPr>
          <w:rFonts w:ascii="Times New Roman" w:hAnsi="Times New Roman" w:cs="Times New Roman"/>
          <w:color w:val="000000" w:themeColor="text1"/>
          <w:sz w:val="24"/>
          <w:szCs w:val="24"/>
        </w:rPr>
        <w:t xml:space="preserve"> between 0</w:t>
      </w:r>
      <w:r w:rsidR="00A45466" w:rsidRPr="00357722">
        <w:rPr>
          <w:rFonts w:ascii="Times New Roman" w:hAnsi="Times New Roman" w:cs="Times New Roman"/>
          <w:color w:val="000000" w:themeColor="text1"/>
          <w:sz w:val="24"/>
          <w:szCs w:val="24"/>
        </w:rPr>
        <w:t xml:space="preserve"> (low transparency)</w:t>
      </w:r>
      <w:r w:rsidR="00054678" w:rsidRPr="00357722">
        <w:rPr>
          <w:rFonts w:ascii="Times New Roman" w:hAnsi="Times New Roman" w:cs="Times New Roman"/>
          <w:color w:val="000000" w:themeColor="text1"/>
          <w:sz w:val="24"/>
          <w:szCs w:val="24"/>
        </w:rPr>
        <w:t xml:space="preserve"> and 15</w:t>
      </w:r>
      <w:r w:rsidR="00A45466" w:rsidRPr="00357722">
        <w:rPr>
          <w:rFonts w:ascii="Times New Roman" w:hAnsi="Times New Roman" w:cs="Times New Roman"/>
          <w:color w:val="000000" w:themeColor="text1"/>
          <w:sz w:val="24"/>
          <w:szCs w:val="24"/>
        </w:rPr>
        <w:t xml:space="preserve"> (high transparency)</w:t>
      </w:r>
      <w:r w:rsidR="009848B6" w:rsidRPr="00357722">
        <w:rPr>
          <w:rFonts w:ascii="Times New Roman" w:hAnsi="Times New Roman" w:cs="Times New Roman"/>
          <w:color w:val="000000" w:themeColor="text1"/>
          <w:sz w:val="24"/>
          <w:szCs w:val="24"/>
        </w:rPr>
        <w:t xml:space="preserve">. </w:t>
      </w:r>
    </w:p>
    <w:p w14:paraId="17E03EF2" w14:textId="77777777" w:rsidR="001552E2" w:rsidRPr="00357722" w:rsidRDefault="001552E2" w:rsidP="00BA1BB1">
      <w:pPr>
        <w:spacing w:after="0" w:line="480" w:lineRule="auto"/>
        <w:jc w:val="both"/>
        <w:rPr>
          <w:rFonts w:ascii="Times New Roman" w:eastAsia="Times New Roman" w:hAnsi="Times New Roman" w:cs="Times New Roman"/>
          <w:b/>
          <w:i/>
          <w:iCs/>
          <w:color w:val="000000" w:themeColor="text1"/>
          <w:sz w:val="24"/>
          <w:szCs w:val="24"/>
        </w:rPr>
      </w:pPr>
    </w:p>
    <w:p w14:paraId="09764ADD" w14:textId="3F92B572" w:rsidR="00AF1642" w:rsidRPr="00357722" w:rsidRDefault="00E80538" w:rsidP="00BA1BB1">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lastRenderedPageBreak/>
        <w:t>3.3</w:t>
      </w:r>
      <w:r w:rsidR="00FE7BE8" w:rsidRPr="00357722">
        <w:rPr>
          <w:rFonts w:ascii="Times New Roman" w:eastAsia="Times New Roman" w:hAnsi="Times New Roman" w:cs="Times New Roman"/>
          <w:i/>
          <w:iCs/>
          <w:color w:val="000000" w:themeColor="text1"/>
          <w:sz w:val="24"/>
          <w:szCs w:val="24"/>
        </w:rPr>
        <w:t>.3</w:t>
      </w:r>
      <w:r w:rsidR="00456753" w:rsidRPr="00357722">
        <w:rPr>
          <w:rFonts w:ascii="Times New Roman" w:eastAsia="Times New Roman" w:hAnsi="Times New Roman" w:cs="Times New Roman"/>
          <w:i/>
          <w:iCs/>
          <w:color w:val="000000" w:themeColor="text1"/>
          <w:sz w:val="24"/>
          <w:szCs w:val="24"/>
        </w:rPr>
        <w:t>.</w:t>
      </w:r>
      <w:r w:rsidR="00FE7BE8" w:rsidRPr="00357722">
        <w:rPr>
          <w:rFonts w:ascii="Times New Roman" w:eastAsia="Times New Roman" w:hAnsi="Times New Roman" w:cs="Times New Roman"/>
          <w:i/>
          <w:iCs/>
          <w:color w:val="000000" w:themeColor="text1"/>
          <w:sz w:val="24"/>
          <w:szCs w:val="24"/>
        </w:rPr>
        <w:tab/>
      </w:r>
      <w:r w:rsidR="00CF57F8" w:rsidRPr="00357722">
        <w:rPr>
          <w:rFonts w:ascii="Times New Roman" w:eastAsia="Times New Roman" w:hAnsi="Times New Roman" w:cs="Times New Roman"/>
          <w:i/>
          <w:iCs/>
          <w:color w:val="000000" w:themeColor="text1"/>
          <w:sz w:val="24"/>
          <w:szCs w:val="24"/>
        </w:rPr>
        <w:t>Economic freedom</w:t>
      </w:r>
    </w:p>
    <w:p w14:paraId="41FF68E1" w14:textId="48F060AA" w:rsidR="00AA4EEA" w:rsidRPr="00357722" w:rsidRDefault="00442FD2" w:rsidP="00AA4EEA">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 xml:space="preserve">There </w:t>
      </w:r>
      <w:r w:rsidR="00E30532">
        <w:rPr>
          <w:rFonts w:ascii="Times New Roman" w:hAnsi="Times New Roman" w:cs="Times New Roman"/>
          <w:color w:val="000000" w:themeColor="text1"/>
          <w:sz w:val="24"/>
          <w:szCs w:val="24"/>
        </w:rPr>
        <w:t>is</w:t>
      </w:r>
      <w:r w:rsidR="00E30532" w:rsidRPr="00357722">
        <w:rPr>
          <w:rFonts w:ascii="Times New Roman" w:hAnsi="Times New Roman" w:cs="Times New Roman"/>
          <w:color w:val="000000" w:themeColor="text1"/>
          <w:sz w:val="24"/>
          <w:szCs w:val="24"/>
        </w:rPr>
        <w:t xml:space="preserve"> </w:t>
      </w:r>
      <w:r w:rsidRPr="00357722">
        <w:rPr>
          <w:rFonts w:ascii="Times New Roman" w:hAnsi="Times New Roman" w:cs="Times New Roman"/>
          <w:color w:val="000000" w:themeColor="text1"/>
          <w:sz w:val="24"/>
          <w:szCs w:val="24"/>
        </w:rPr>
        <w:t>two economic freedom (</w:t>
      </w:r>
      <w:r w:rsidRPr="00357722">
        <w:rPr>
          <w:rFonts w:ascii="Times New Roman" w:hAnsi="Times New Roman" w:cs="Times New Roman"/>
          <w:i/>
          <w:color w:val="000000" w:themeColor="text1"/>
          <w:sz w:val="24"/>
          <w:szCs w:val="24"/>
        </w:rPr>
        <w:t>EF</w:t>
      </w:r>
      <w:r w:rsidRPr="00357722">
        <w:rPr>
          <w:rFonts w:ascii="Times New Roman" w:hAnsi="Times New Roman" w:cs="Times New Roman"/>
          <w:color w:val="000000" w:themeColor="text1"/>
          <w:sz w:val="24"/>
          <w:szCs w:val="24"/>
        </w:rPr>
        <w:t xml:space="preserve">) data, one provided by </w:t>
      </w:r>
      <w:r w:rsidR="00D36BF6">
        <w:rPr>
          <w:rFonts w:ascii="Times New Roman" w:hAnsi="Times New Roman" w:cs="Times New Roman"/>
          <w:color w:val="000000" w:themeColor="text1"/>
          <w:sz w:val="24"/>
          <w:szCs w:val="24"/>
        </w:rPr>
        <w:t xml:space="preserve">the </w:t>
      </w:r>
      <w:r w:rsidRPr="00357722">
        <w:rPr>
          <w:rFonts w:ascii="Times New Roman" w:hAnsi="Times New Roman" w:cs="Times New Roman"/>
          <w:color w:val="000000" w:themeColor="text1"/>
          <w:sz w:val="24"/>
          <w:szCs w:val="24"/>
        </w:rPr>
        <w:t xml:space="preserve">Heritage Foundation (2010) and the other by Economic Freedom of the World Reports provided and maintained by </w:t>
      </w:r>
      <w:r w:rsidR="00D36BF6">
        <w:rPr>
          <w:rFonts w:ascii="Times New Roman" w:hAnsi="Times New Roman" w:cs="Times New Roman"/>
          <w:color w:val="000000" w:themeColor="text1"/>
          <w:sz w:val="24"/>
          <w:szCs w:val="24"/>
        </w:rPr>
        <w:t xml:space="preserve">the </w:t>
      </w:r>
      <w:r w:rsidRPr="00357722">
        <w:rPr>
          <w:rFonts w:ascii="Times New Roman" w:hAnsi="Times New Roman" w:cs="Times New Roman"/>
          <w:color w:val="000000" w:themeColor="text1"/>
          <w:sz w:val="24"/>
          <w:szCs w:val="24"/>
        </w:rPr>
        <w:t xml:space="preserve">Fraser </w:t>
      </w:r>
      <w:r w:rsidR="00E30532" w:rsidRPr="00357722">
        <w:rPr>
          <w:rFonts w:ascii="Times New Roman" w:hAnsi="Times New Roman" w:cs="Times New Roman"/>
          <w:color w:val="000000" w:themeColor="text1"/>
          <w:sz w:val="24"/>
          <w:szCs w:val="24"/>
        </w:rPr>
        <w:t>Instit</w:t>
      </w:r>
      <w:r w:rsidR="00E30532">
        <w:rPr>
          <w:rFonts w:ascii="Times New Roman" w:hAnsi="Times New Roman" w:cs="Times New Roman"/>
          <w:color w:val="000000" w:themeColor="text1"/>
          <w:sz w:val="24"/>
          <w:szCs w:val="24"/>
        </w:rPr>
        <w:t>ut</w:t>
      </w:r>
      <w:r w:rsidR="00E30532" w:rsidRPr="00357722">
        <w:rPr>
          <w:rFonts w:ascii="Times New Roman" w:hAnsi="Times New Roman" w:cs="Times New Roman"/>
          <w:color w:val="000000" w:themeColor="text1"/>
          <w:sz w:val="24"/>
          <w:szCs w:val="24"/>
        </w:rPr>
        <w:t>e</w:t>
      </w:r>
      <w:r w:rsidRPr="00357722">
        <w:rPr>
          <w:rFonts w:ascii="Times New Roman" w:hAnsi="Times New Roman" w:cs="Times New Roman"/>
          <w:color w:val="000000" w:themeColor="text1"/>
          <w:sz w:val="24"/>
          <w:szCs w:val="24"/>
        </w:rPr>
        <w:t xml:space="preserve">. These </w:t>
      </w:r>
      <w:r w:rsidRPr="00357722">
        <w:rPr>
          <w:rFonts w:ascii="Times New Roman" w:hAnsi="Times New Roman" w:cs="Times New Roman"/>
          <w:i/>
          <w:color w:val="000000" w:themeColor="text1"/>
          <w:sz w:val="24"/>
          <w:szCs w:val="24"/>
        </w:rPr>
        <w:t>EF</w:t>
      </w:r>
      <w:r w:rsidRPr="00357722">
        <w:rPr>
          <w:rFonts w:ascii="Times New Roman" w:hAnsi="Times New Roman" w:cs="Times New Roman"/>
          <w:color w:val="000000" w:themeColor="text1"/>
          <w:sz w:val="24"/>
          <w:szCs w:val="24"/>
        </w:rPr>
        <w:t xml:space="preserve"> indexes have widely been used in the existing literature. De Haan and Sturm (2000) document that two economic freedom indexes provide </w:t>
      </w:r>
      <w:r w:rsidR="00E30532">
        <w:rPr>
          <w:rFonts w:ascii="Times New Roman" w:hAnsi="Times New Roman" w:cs="Times New Roman"/>
          <w:color w:val="000000" w:themeColor="text1"/>
          <w:sz w:val="24"/>
          <w:szCs w:val="24"/>
        </w:rPr>
        <w:t xml:space="preserve">a </w:t>
      </w:r>
      <w:r w:rsidRPr="00357722">
        <w:rPr>
          <w:rFonts w:ascii="Times New Roman" w:hAnsi="Times New Roman" w:cs="Times New Roman"/>
          <w:color w:val="000000" w:themeColor="text1"/>
          <w:sz w:val="24"/>
          <w:szCs w:val="24"/>
        </w:rPr>
        <w:t>consistent overall ranking. Consistent with Chortareas et al. (2013), we use the economic freedom index provided by Heritage Foundation</w:t>
      </w:r>
      <w:r w:rsidR="00BB471C" w:rsidRPr="00357722">
        <w:rPr>
          <w:rStyle w:val="FootnoteReference"/>
          <w:rFonts w:ascii="Times New Roman" w:hAnsi="Times New Roman" w:cs="Times New Roman"/>
          <w:color w:val="000000" w:themeColor="text1"/>
          <w:sz w:val="24"/>
          <w:szCs w:val="24"/>
        </w:rPr>
        <w:footnoteReference w:id="5"/>
      </w:r>
      <w:r w:rsidRPr="00357722">
        <w:rPr>
          <w:rFonts w:ascii="Times New Roman" w:hAnsi="Times New Roman" w:cs="Times New Roman"/>
          <w:color w:val="000000" w:themeColor="text1"/>
          <w:sz w:val="24"/>
          <w:szCs w:val="24"/>
        </w:rPr>
        <w:t>.</w:t>
      </w:r>
    </w:p>
    <w:p w14:paraId="261C8111" w14:textId="340D9209" w:rsidR="00852286" w:rsidRPr="00357722" w:rsidRDefault="00F45182" w:rsidP="00AA4EEA">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Th</w:t>
      </w:r>
      <w:r w:rsidR="00BB471C" w:rsidRPr="00357722">
        <w:rPr>
          <w:rFonts w:ascii="Times New Roman" w:hAnsi="Times New Roman" w:cs="Times New Roman"/>
          <w:color w:val="000000" w:themeColor="text1"/>
          <w:sz w:val="24"/>
          <w:szCs w:val="24"/>
        </w:rPr>
        <w:t>e economic freedom ind</w:t>
      </w:r>
      <w:r w:rsidR="007E07F7" w:rsidRPr="00357722">
        <w:rPr>
          <w:rFonts w:ascii="Times New Roman" w:hAnsi="Times New Roman" w:cs="Times New Roman"/>
          <w:color w:val="000000" w:themeColor="text1"/>
          <w:sz w:val="24"/>
          <w:szCs w:val="24"/>
        </w:rPr>
        <w:t>ex</w:t>
      </w:r>
      <w:r w:rsidRPr="00357722">
        <w:rPr>
          <w:rFonts w:ascii="Times New Roman" w:hAnsi="Times New Roman" w:cs="Times New Roman"/>
          <w:color w:val="000000" w:themeColor="text1"/>
          <w:sz w:val="24"/>
          <w:szCs w:val="24"/>
        </w:rPr>
        <w:t xml:space="preserve"> is constructed using four </w:t>
      </w:r>
      <w:r w:rsidR="00852286" w:rsidRPr="00357722">
        <w:rPr>
          <w:rFonts w:ascii="Times New Roman" w:hAnsi="Times New Roman" w:cs="Times New Roman"/>
          <w:color w:val="000000" w:themeColor="text1"/>
          <w:sz w:val="24"/>
          <w:szCs w:val="24"/>
        </w:rPr>
        <w:t>main categories; 1). Rule of law which reflects property rights, government integrity, and judicial effectiveness. 2). Government size includes government spending, tax burden, and fiscal health. 3). Regulatory efficiency captures business freedom, labour freedom</w:t>
      </w:r>
      <w:r w:rsidR="00E30532">
        <w:rPr>
          <w:rFonts w:ascii="Times New Roman" w:hAnsi="Times New Roman" w:cs="Times New Roman"/>
          <w:color w:val="000000" w:themeColor="text1"/>
          <w:sz w:val="24"/>
          <w:szCs w:val="24"/>
        </w:rPr>
        <w:t>,</w:t>
      </w:r>
      <w:r w:rsidR="00852286" w:rsidRPr="00357722">
        <w:rPr>
          <w:rFonts w:ascii="Times New Roman" w:hAnsi="Times New Roman" w:cs="Times New Roman"/>
          <w:color w:val="000000" w:themeColor="text1"/>
          <w:sz w:val="24"/>
          <w:szCs w:val="24"/>
        </w:rPr>
        <w:t xml:space="preserve"> and monetary freedom. 4). Open markets include trade </w:t>
      </w:r>
      <w:r w:rsidRPr="00357722">
        <w:rPr>
          <w:rFonts w:ascii="Times New Roman" w:hAnsi="Times New Roman" w:cs="Times New Roman"/>
          <w:color w:val="000000" w:themeColor="text1"/>
          <w:sz w:val="24"/>
          <w:szCs w:val="24"/>
        </w:rPr>
        <w:t xml:space="preserve">freedom, investment freedom, and financial freedom. </w:t>
      </w:r>
      <w:r w:rsidR="00CF57F8" w:rsidRPr="00357722">
        <w:rPr>
          <w:rFonts w:ascii="Times New Roman" w:hAnsi="Times New Roman" w:cs="Times New Roman"/>
          <w:color w:val="000000" w:themeColor="text1"/>
          <w:sz w:val="24"/>
          <w:szCs w:val="24"/>
        </w:rPr>
        <w:t xml:space="preserve">Because we seek to examine whether institutional quality interacts with </w:t>
      </w:r>
      <w:r w:rsidR="00874AD1" w:rsidRPr="00357722">
        <w:rPr>
          <w:rFonts w:ascii="Times New Roman" w:hAnsi="Times New Roman" w:cs="Times New Roman"/>
          <w:color w:val="000000" w:themeColor="text1"/>
          <w:sz w:val="24"/>
          <w:szCs w:val="24"/>
        </w:rPr>
        <w:t xml:space="preserve">international equity portfolio diversification, we used the average index of property rights, government integrity, and judicial effectiveness. </w:t>
      </w:r>
    </w:p>
    <w:p w14:paraId="6CA3B470" w14:textId="77777777" w:rsidR="00DB7EB0" w:rsidRPr="00357722" w:rsidRDefault="00DB7EB0" w:rsidP="00D61DE0">
      <w:pPr>
        <w:spacing w:after="0" w:line="480" w:lineRule="auto"/>
        <w:jc w:val="both"/>
        <w:rPr>
          <w:rFonts w:ascii="Times New Roman" w:hAnsi="Times New Roman" w:cs="Times New Roman"/>
          <w:color w:val="000000" w:themeColor="text1"/>
          <w:sz w:val="24"/>
          <w:szCs w:val="24"/>
        </w:rPr>
      </w:pPr>
    </w:p>
    <w:p w14:paraId="6B561D7E" w14:textId="7867C762" w:rsidR="003C0752" w:rsidRPr="00357722" w:rsidRDefault="00E80538" w:rsidP="005636E8">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3.4.</w:t>
      </w:r>
      <w:r w:rsidR="00AF4BFD" w:rsidRPr="00357722">
        <w:rPr>
          <w:rFonts w:ascii="Times New Roman" w:eastAsia="Times New Roman" w:hAnsi="Times New Roman" w:cs="Times New Roman"/>
          <w:i/>
          <w:iCs/>
          <w:color w:val="000000" w:themeColor="text1"/>
          <w:sz w:val="24"/>
          <w:szCs w:val="24"/>
        </w:rPr>
        <w:t xml:space="preserve"> </w:t>
      </w:r>
      <w:r w:rsidR="003C0752" w:rsidRPr="00357722">
        <w:rPr>
          <w:rFonts w:ascii="Times New Roman" w:eastAsia="Times New Roman" w:hAnsi="Times New Roman" w:cs="Times New Roman"/>
          <w:i/>
          <w:iCs/>
          <w:color w:val="000000" w:themeColor="text1"/>
          <w:sz w:val="24"/>
          <w:szCs w:val="24"/>
        </w:rPr>
        <w:t>Control variables</w:t>
      </w:r>
    </w:p>
    <w:p w14:paraId="2A38EE09" w14:textId="50291B70" w:rsidR="00AA4EEA" w:rsidRPr="00357722" w:rsidRDefault="000839E4" w:rsidP="00AA4EEA">
      <w:pPr>
        <w:pStyle w:val="Default"/>
        <w:spacing w:line="480" w:lineRule="auto"/>
        <w:ind w:firstLine="720"/>
        <w:jc w:val="both"/>
        <w:rPr>
          <w:color w:val="000000" w:themeColor="text1"/>
        </w:rPr>
      </w:pPr>
      <w:r w:rsidRPr="00357722">
        <w:rPr>
          <w:color w:val="000000" w:themeColor="text1"/>
        </w:rPr>
        <w:t xml:space="preserve">Drawing </w:t>
      </w:r>
      <w:r w:rsidR="00430E15" w:rsidRPr="00357722">
        <w:rPr>
          <w:color w:val="000000" w:themeColor="text1"/>
        </w:rPr>
        <w:t>on</w:t>
      </w:r>
      <w:r w:rsidRPr="00357722">
        <w:rPr>
          <w:color w:val="000000" w:themeColor="text1"/>
        </w:rPr>
        <w:t xml:space="preserve"> extant </w:t>
      </w:r>
      <w:r w:rsidR="000351BE" w:rsidRPr="00357722">
        <w:rPr>
          <w:color w:val="000000" w:themeColor="text1"/>
        </w:rPr>
        <w:t>literature</w:t>
      </w:r>
      <w:r w:rsidRPr="00357722">
        <w:rPr>
          <w:color w:val="000000" w:themeColor="text1"/>
        </w:rPr>
        <w:t xml:space="preserve"> (</w:t>
      </w:r>
      <w:r w:rsidR="00D55532" w:rsidRPr="00357722">
        <w:rPr>
          <w:color w:val="000000" w:themeColor="text1"/>
        </w:rPr>
        <w:t>Aggarwal et al.</w:t>
      </w:r>
      <w:r w:rsidR="009C595B">
        <w:rPr>
          <w:color w:val="000000" w:themeColor="text1"/>
        </w:rPr>
        <w:t>,</w:t>
      </w:r>
      <w:r w:rsidR="00AD2CDB" w:rsidRPr="00357722">
        <w:rPr>
          <w:color w:val="000000" w:themeColor="text1"/>
        </w:rPr>
        <w:t xml:space="preserve"> 2011; Huang, 2011; Huang and Temple, 2005; Huang, 2005; Do and Levchenko, 2004; Levine, </w:t>
      </w:r>
      <w:r w:rsidR="00D55532" w:rsidRPr="00357722">
        <w:rPr>
          <w:color w:val="000000" w:themeColor="text1"/>
        </w:rPr>
        <w:t>2003; Levine, 2005; Boyd et al.</w:t>
      </w:r>
      <w:r w:rsidR="009C595B">
        <w:rPr>
          <w:color w:val="000000" w:themeColor="text1"/>
        </w:rPr>
        <w:t>,</w:t>
      </w:r>
      <w:r w:rsidR="00AD2CDB" w:rsidRPr="00357722">
        <w:rPr>
          <w:color w:val="000000" w:themeColor="text1"/>
        </w:rPr>
        <w:t xml:space="preserve"> 2001; </w:t>
      </w:r>
      <w:proofErr w:type="spellStart"/>
      <w:r w:rsidR="002B7026" w:rsidRPr="002B7026">
        <w:rPr>
          <w:color w:val="000000" w:themeColor="text1"/>
        </w:rPr>
        <w:t>Nouriel</w:t>
      </w:r>
      <w:proofErr w:type="spellEnd"/>
      <w:r w:rsidR="002B7026" w:rsidRPr="002B7026">
        <w:rPr>
          <w:color w:val="000000" w:themeColor="text1"/>
        </w:rPr>
        <w:t xml:space="preserve"> and Sala-i-Martin,</w:t>
      </w:r>
      <w:r w:rsidR="00AD2CDB" w:rsidRPr="00357722">
        <w:rPr>
          <w:color w:val="000000" w:themeColor="text1"/>
        </w:rPr>
        <w:t xml:space="preserve">1992; </w:t>
      </w:r>
      <w:proofErr w:type="spellStart"/>
      <w:r w:rsidR="00AD2CDB" w:rsidRPr="00357722">
        <w:rPr>
          <w:color w:val="000000" w:themeColor="text1"/>
        </w:rPr>
        <w:t>Huybens</w:t>
      </w:r>
      <w:proofErr w:type="spellEnd"/>
      <w:r w:rsidR="00AD2CDB" w:rsidRPr="00357722">
        <w:rPr>
          <w:color w:val="000000" w:themeColor="text1"/>
        </w:rPr>
        <w:t xml:space="preserve"> and Smith, 1999; Fielding, 1994; Greenwood and Jovanovic, 1990</w:t>
      </w:r>
      <w:r w:rsidRPr="00357722">
        <w:rPr>
          <w:color w:val="000000" w:themeColor="text1"/>
        </w:rPr>
        <w:t xml:space="preserve">), </w:t>
      </w:r>
      <w:r w:rsidR="002E472D" w:rsidRPr="00357722">
        <w:rPr>
          <w:color w:val="000000" w:themeColor="text1"/>
        </w:rPr>
        <w:t xml:space="preserve">we include several variables </w:t>
      </w:r>
      <w:r w:rsidR="003C01F4" w:rsidRPr="00357722">
        <w:rPr>
          <w:color w:val="000000" w:themeColor="text1"/>
        </w:rPr>
        <w:t xml:space="preserve">to control for their potential effects on </w:t>
      </w:r>
      <w:r w:rsidRPr="00357722">
        <w:rPr>
          <w:color w:val="000000" w:themeColor="text1"/>
        </w:rPr>
        <w:t xml:space="preserve">financial </w:t>
      </w:r>
      <w:r w:rsidR="003C01F4" w:rsidRPr="00357722">
        <w:rPr>
          <w:color w:val="000000" w:themeColor="text1"/>
        </w:rPr>
        <w:t xml:space="preserve">market </w:t>
      </w:r>
      <w:r w:rsidRPr="00357722">
        <w:rPr>
          <w:color w:val="000000" w:themeColor="text1"/>
        </w:rPr>
        <w:t>development</w:t>
      </w:r>
      <w:r w:rsidR="001828C2" w:rsidRPr="00357722">
        <w:rPr>
          <w:color w:val="000000" w:themeColor="text1"/>
        </w:rPr>
        <w:t>.</w:t>
      </w:r>
      <w:r w:rsidRPr="00357722">
        <w:rPr>
          <w:color w:val="000000" w:themeColor="text1"/>
        </w:rPr>
        <w:t xml:space="preserve"> </w:t>
      </w:r>
      <w:r w:rsidR="00EB6DD4" w:rsidRPr="00357722">
        <w:rPr>
          <w:color w:val="000000" w:themeColor="text1"/>
        </w:rPr>
        <w:t>First</w:t>
      </w:r>
      <w:r w:rsidR="00732824" w:rsidRPr="00357722">
        <w:rPr>
          <w:color w:val="000000" w:themeColor="text1"/>
        </w:rPr>
        <w:t xml:space="preserve">, </w:t>
      </w:r>
      <w:r w:rsidR="00921C24" w:rsidRPr="00357722">
        <w:rPr>
          <w:color w:val="000000" w:themeColor="text1"/>
        </w:rPr>
        <w:t xml:space="preserve">in line with the </w:t>
      </w:r>
      <w:r w:rsidR="00D22282" w:rsidRPr="00357722">
        <w:rPr>
          <w:color w:val="000000" w:themeColor="text1"/>
        </w:rPr>
        <w:t>existing literature</w:t>
      </w:r>
      <w:r w:rsidR="00921C24" w:rsidRPr="00357722">
        <w:rPr>
          <w:color w:val="000000" w:themeColor="text1"/>
        </w:rPr>
        <w:t xml:space="preserve"> that </w:t>
      </w:r>
      <w:r w:rsidR="00D22282" w:rsidRPr="00357722">
        <w:rPr>
          <w:color w:val="000000" w:themeColor="text1"/>
        </w:rPr>
        <w:t>show</w:t>
      </w:r>
      <w:r w:rsidR="00E30532">
        <w:rPr>
          <w:color w:val="000000" w:themeColor="text1"/>
        </w:rPr>
        <w:t>s</w:t>
      </w:r>
      <w:r w:rsidR="00D22282" w:rsidRPr="00357722">
        <w:rPr>
          <w:color w:val="000000" w:themeColor="text1"/>
        </w:rPr>
        <w:t xml:space="preserve"> that </w:t>
      </w:r>
      <w:r w:rsidR="00921C24" w:rsidRPr="00357722">
        <w:rPr>
          <w:color w:val="000000" w:themeColor="text1"/>
        </w:rPr>
        <w:t>an integrated financial market will increase the participation of both domestic and foreign investor</w:t>
      </w:r>
      <w:r w:rsidR="00E30532">
        <w:rPr>
          <w:color w:val="000000" w:themeColor="text1"/>
        </w:rPr>
        <w:t>s</w:t>
      </w:r>
      <w:r w:rsidR="00921C24" w:rsidRPr="00357722">
        <w:rPr>
          <w:color w:val="000000" w:themeColor="text1"/>
        </w:rPr>
        <w:t xml:space="preserve"> in the financial mar</w:t>
      </w:r>
      <w:r w:rsidR="00D22282" w:rsidRPr="00357722">
        <w:rPr>
          <w:color w:val="000000" w:themeColor="text1"/>
        </w:rPr>
        <w:t>ket (</w:t>
      </w:r>
      <w:proofErr w:type="spellStart"/>
      <w:r w:rsidR="00D22282" w:rsidRPr="00357722">
        <w:rPr>
          <w:color w:val="000000" w:themeColor="text1"/>
        </w:rPr>
        <w:t>Baltagi</w:t>
      </w:r>
      <w:proofErr w:type="spellEnd"/>
      <w:r w:rsidR="00D22282" w:rsidRPr="00357722">
        <w:rPr>
          <w:color w:val="000000" w:themeColor="text1"/>
        </w:rPr>
        <w:t xml:space="preserve"> et al.,</w:t>
      </w:r>
      <w:r w:rsidR="009C595B">
        <w:rPr>
          <w:color w:val="000000" w:themeColor="text1"/>
        </w:rPr>
        <w:t xml:space="preserve"> </w:t>
      </w:r>
      <w:r w:rsidR="00D22282" w:rsidRPr="00357722">
        <w:rPr>
          <w:color w:val="000000" w:themeColor="text1"/>
        </w:rPr>
        <w:t xml:space="preserve">2009; Rajan and Zingales, 2003; </w:t>
      </w:r>
      <w:proofErr w:type="spellStart"/>
      <w:r w:rsidR="00D22282" w:rsidRPr="00357722">
        <w:rPr>
          <w:color w:val="000000" w:themeColor="text1"/>
        </w:rPr>
        <w:t>Svaleryd</w:t>
      </w:r>
      <w:proofErr w:type="spellEnd"/>
      <w:r w:rsidR="00D22282" w:rsidRPr="00357722">
        <w:rPr>
          <w:color w:val="000000" w:themeColor="text1"/>
        </w:rPr>
        <w:t xml:space="preserve"> and Vlachos, 2002). We</w:t>
      </w:r>
      <w:r w:rsidR="00921C24" w:rsidRPr="00357722">
        <w:rPr>
          <w:color w:val="000000" w:themeColor="text1"/>
        </w:rPr>
        <w:t xml:space="preserve"> include </w:t>
      </w:r>
      <w:r w:rsidRPr="00357722">
        <w:rPr>
          <w:color w:val="000000" w:themeColor="text1"/>
        </w:rPr>
        <w:t xml:space="preserve">financial openness </w:t>
      </w:r>
      <w:r w:rsidRPr="00357722">
        <w:rPr>
          <w:color w:val="000000" w:themeColor="text1"/>
        </w:rPr>
        <w:lastRenderedPageBreak/>
        <w:t>(</w:t>
      </w:r>
      <w:r w:rsidRPr="00357722">
        <w:rPr>
          <w:i/>
          <w:color w:val="000000" w:themeColor="text1"/>
        </w:rPr>
        <w:t>FINOPEN</w:t>
      </w:r>
      <w:r w:rsidRPr="00357722">
        <w:rPr>
          <w:color w:val="000000" w:themeColor="text1"/>
        </w:rPr>
        <w:t>)</w:t>
      </w:r>
      <w:r w:rsidR="00921C24" w:rsidRPr="00357722">
        <w:rPr>
          <w:color w:val="000000" w:themeColor="text1"/>
        </w:rPr>
        <w:t xml:space="preserve"> and</w:t>
      </w:r>
      <w:r w:rsidRPr="00357722">
        <w:rPr>
          <w:color w:val="000000" w:themeColor="text1"/>
        </w:rPr>
        <w:t xml:space="preserve"> trade openness (</w:t>
      </w:r>
      <w:r w:rsidRPr="00357722">
        <w:rPr>
          <w:i/>
          <w:color w:val="000000" w:themeColor="text1"/>
        </w:rPr>
        <w:t>TRDOPEN</w:t>
      </w:r>
      <w:r w:rsidRPr="00357722">
        <w:rPr>
          <w:color w:val="000000" w:themeColor="text1"/>
        </w:rPr>
        <w:t>)</w:t>
      </w:r>
      <w:r w:rsidR="00921C24" w:rsidRPr="00357722">
        <w:rPr>
          <w:color w:val="000000" w:themeColor="text1"/>
        </w:rPr>
        <w:t xml:space="preserve">. We expect financial and trade openness to </w:t>
      </w:r>
      <w:r w:rsidR="00D36BF6" w:rsidRPr="00357722">
        <w:rPr>
          <w:color w:val="000000" w:themeColor="text1"/>
        </w:rPr>
        <w:t>hav</w:t>
      </w:r>
      <w:r w:rsidR="00D36BF6">
        <w:rPr>
          <w:color w:val="000000" w:themeColor="text1"/>
        </w:rPr>
        <w:t>ing</w:t>
      </w:r>
      <w:r w:rsidR="00D36BF6" w:rsidRPr="00357722">
        <w:rPr>
          <w:color w:val="000000" w:themeColor="text1"/>
        </w:rPr>
        <w:t xml:space="preserve"> </w:t>
      </w:r>
      <w:r w:rsidR="00921C24" w:rsidRPr="00357722">
        <w:rPr>
          <w:color w:val="000000" w:themeColor="text1"/>
        </w:rPr>
        <w:t>a positive impact on financial market development.</w:t>
      </w:r>
      <w:r w:rsidR="002856E2" w:rsidRPr="00357722">
        <w:rPr>
          <w:color w:val="000000" w:themeColor="text1"/>
        </w:rPr>
        <w:t xml:space="preserve"> We obtained </w:t>
      </w:r>
      <w:r w:rsidR="002856E2" w:rsidRPr="00357722">
        <w:rPr>
          <w:i/>
          <w:color w:val="000000" w:themeColor="text1"/>
        </w:rPr>
        <w:t>FINOPEN</w:t>
      </w:r>
      <w:r w:rsidR="002856E2" w:rsidRPr="00357722">
        <w:rPr>
          <w:color w:val="000000" w:themeColor="text1"/>
        </w:rPr>
        <w:t xml:space="preserve"> data from Chinn-Ito index of financial openness. We construct </w:t>
      </w:r>
      <w:r w:rsidR="002856E2" w:rsidRPr="00357722">
        <w:rPr>
          <w:i/>
          <w:color w:val="000000" w:themeColor="text1"/>
        </w:rPr>
        <w:t>TRDOPEN</w:t>
      </w:r>
      <w:r w:rsidR="002856E2" w:rsidRPr="00357722">
        <w:rPr>
          <w:color w:val="000000" w:themeColor="text1"/>
        </w:rPr>
        <w:t xml:space="preserve"> as the sum of exports and imports of goods and services scaled by GDP.</w:t>
      </w:r>
    </w:p>
    <w:p w14:paraId="3EA5E89B" w14:textId="587481E3" w:rsidR="00AA4EEA" w:rsidRPr="00357722" w:rsidRDefault="002856E2" w:rsidP="00AA4EEA">
      <w:pPr>
        <w:pStyle w:val="Default"/>
        <w:spacing w:line="480" w:lineRule="auto"/>
        <w:ind w:firstLine="720"/>
        <w:jc w:val="both"/>
        <w:rPr>
          <w:color w:val="000000" w:themeColor="text1"/>
        </w:rPr>
      </w:pPr>
      <w:r w:rsidRPr="00357722">
        <w:rPr>
          <w:color w:val="000000" w:themeColor="text1"/>
        </w:rPr>
        <w:t xml:space="preserve">Next, we control the effect </w:t>
      </w:r>
      <w:r w:rsidR="00E30532">
        <w:rPr>
          <w:color w:val="000000" w:themeColor="text1"/>
        </w:rPr>
        <w:t xml:space="preserve">of </w:t>
      </w:r>
      <w:r w:rsidRPr="00357722">
        <w:rPr>
          <w:color w:val="000000" w:themeColor="text1"/>
        </w:rPr>
        <w:t xml:space="preserve">economic </w:t>
      </w:r>
      <w:r w:rsidR="00CF1CDC" w:rsidRPr="00357722">
        <w:rPr>
          <w:color w:val="000000" w:themeColor="text1"/>
        </w:rPr>
        <w:t>growth</w:t>
      </w:r>
      <w:r w:rsidRPr="00357722">
        <w:rPr>
          <w:color w:val="000000" w:themeColor="text1"/>
        </w:rPr>
        <w:t xml:space="preserve"> on financial market developme</w:t>
      </w:r>
      <w:r w:rsidR="007E07F7" w:rsidRPr="00357722">
        <w:rPr>
          <w:color w:val="000000" w:themeColor="text1"/>
        </w:rPr>
        <w:t>n</w:t>
      </w:r>
      <w:r w:rsidRPr="00357722">
        <w:rPr>
          <w:color w:val="000000" w:themeColor="text1"/>
        </w:rPr>
        <w:t xml:space="preserve">t using GDP </w:t>
      </w:r>
      <w:r w:rsidR="00CF1CDC" w:rsidRPr="00357722">
        <w:rPr>
          <w:color w:val="000000" w:themeColor="text1"/>
        </w:rPr>
        <w:t xml:space="preserve">growth </w:t>
      </w:r>
      <w:r w:rsidRPr="00357722">
        <w:rPr>
          <w:color w:val="000000" w:themeColor="text1"/>
        </w:rPr>
        <w:t>(</w:t>
      </w:r>
      <w:r w:rsidR="00CF1CDC" w:rsidRPr="00357722">
        <w:rPr>
          <w:i/>
          <w:color w:val="000000" w:themeColor="text1"/>
        </w:rPr>
        <w:t>GDPG)</w:t>
      </w:r>
      <w:r w:rsidRPr="00357722">
        <w:rPr>
          <w:color w:val="000000" w:themeColor="text1"/>
        </w:rPr>
        <w:t>. There will be greater participation in the financial market when a country experience</w:t>
      </w:r>
      <w:r w:rsidR="00E30532">
        <w:rPr>
          <w:color w:val="000000" w:themeColor="text1"/>
        </w:rPr>
        <w:t>s</w:t>
      </w:r>
      <w:r w:rsidRPr="00357722">
        <w:rPr>
          <w:color w:val="000000" w:themeColor="text1"/>
        </w:rPr>
        <w:t xml:space="preserve"> </w:t>
      </w:r>
      <w:r w:rsidR="00E30532">
        <w:rPr>
          <w:color w:val="000000" w:themeColor="text1"/>
        </w:rPr>
        <w:t xml:space="preserve">an </w:t>
      </w:r>
      <w:r w:rsidRPr="00357722">
        <w:rPr>
          <w:color w:val="000000" w:themeColor="text1"/>
        </w:rPr>
        <w:t xml:space="preserve">increase in wealth. We sourced </w:t>
      </w:r>
      <w:r w:rsidR="00CA1364" w:rsidRPr="00357722">
        <w:rPr>
          <w:i/>
          <w:color w:val="000000" w:themeColor="text1"/>
        </w:rPr>
        <w:t>GDPG</w:t>
      </w:r>
      <w:r w:rsidRPr="00357722">
        <w:rPr>
          <w:color w:val="000000" w:themeColor="text1"/>
        </w:rPr>
        <w:t xml:space="preserve"> from </w:t>
      </w:r>
      <w:r w:rsidR="00D36BF6">
        <w:rPr>
          <w:color w:val="000000" w:themeColor="text1"/>
        </w:rPr>
        <w:t>the W</w:t>
      </w:r>
      <w:r w:rsidRPr="00357722">
        <w:rPr>
          <w:color w:val="000000" w:themeColor="text1"/>
        </w:rPr>
        <w:t xml:space="preserve">orld </w:t>
      </w:r>
      <w:r w:rsidR="00D36BF6">
        <w:rPr>
          <w:color w:val="000000" w:themeColor="text1"/>
        </w:rPr>
        <w:t>D</w:t>
      </w:r>
      <w:r w:rsidRPr="00357722">
        <w:rPr>
          <w:color w:val="000000" w:themeColor="text1"/>
        </w:rPr>
        <w:t xml:space="preserve">evelopment </w:t>
      </w:r>
      <w:r w:rsidR="00D36BF6">
        <w:rPr>
          <w:color w:val="000000" w:themeColor="text1"/>
        </w:rPr>
        <w:t>I</w:t>
      </w:r>
      <w:r w:rsidRPr="00357722">
        <w:rPr>
          <w:color w:val="000000" w:themeColor="text1"/>
        </w:rPr>
        <w:t>ndicators (WDI)</w:t>
      </w:r>
      <w:r w:rsidR="00CF5B3A" w:rsidRPr="00357722">
        <w:rPr>
          <w:color w:val="000000" w:themeColor="text1"/>
        </w:rPr>
        <w:t xml:space="preserve"> of the World Bank</w:t>
      </w:r>
      <w:r w:rsidRPr="00357722">
        <w:rPr>
          <w:color w:val="000000" w:themeColor="text1"/>
        </w:rPr>
        <w:t>.</w:t>
      </w:r>
      <w:r w:rsidR="00D647DB" w:rsidRPr="00357722">
        <w:rPr>
          <w:color w:val="000000" w:themeColor="text1"/>
        </w:rPr>
        <w:t xml:space="preserve"> </w:t>
      </w:r>
      <w:r w:rsidR="00D22282" w:rsidRPr="00357722">
        <w:rPr>
          <w:color w:val="000000" w:themeColor="text1"/>
        </w:rPr>
        <w:t>Following Boyd et al. (2001), we</w:t>
      </w:r>
      <w:r w:rsidR="00D647DB" w:rsidRPr="00357722">
        <w:rPr>
          <w:color w:val="000000" w:themeColor="text1"/>
        </w:rPr>
        <w:t xml:space="preserve"> also control for the effects of inflation on financial market development. This is consistent with the fact that inflation (</w:t>
      </w:r>
      <w:r w:rsidR="00D647DB" w:rsidRPr="00357722">
        <w:rPr>
          <w:i/>
          <w:color w:val="000000" w:themeColor="text1"/>
        </w:rPr>
        <w:t>INFL</w:t>
      </w:r>
      <w:r w:rsidR="00D647DB" w:rsidRPr="00357722">
        <w:rPr>
          <w:color w:val="000000" w:themeColor="text1"/>
        </w:rPr>
        <w:t>) reduces returns and may inhibit inves</w:t>
      </w:r>
      <w:r w:rsidR="00B96E08" w:rsidRPr="00357722">
        <w:rPr>
          <w:color w:val="000000" w:themeColor="text1"/>
        </w:rPr>
        <w:t>tor</w:t>
      </w:r>
      <w:r w:rsidR="00D647DB" w:rsidRPr="00357722">
        <w:rPr>
          <w:color w:val="000000" w:themeColor="text1"/>
        </w:rPr>
        <w:t xml:space="preserve"> participation in the financial market. We obtained </w:t>
      </w:r>
      <w:r w:rsidR="00D647DB" w:rsidRPr="00357722">
        <w:rPr>
          <w:i/>
          <w:color w:val="000000" w:themeColor="text1"/>
        </w:rPr>
        <w:t>INFL</w:t>
      </w:r>
      <w:r w:rsidR="00D647DB" w:rsidRPr="00357722">
        <w:rPr>
          <w:color w:val="000000" w:themeColor="text1"/>
        </w:rPr>
        <w:t xml:space="preserve"> from the International Financial Statistics of the IMF.</w:t>
      </w:r>
    </w:p>
    <w:p w14:paraId="170C2B7D" w14:textId="4D6A93E4" w:rsidR="00AA4EEA" w:rsidRPr="00357722" w:rsidRDefault="004E339E" w:rsidP="00AA4EEA">
      <w:pPr>
        <w:pStyle w:val="Default"/>
        <w:spacing w:line="480" w:lineRule="auto"/>
        <w:ind w:firstLine="720"/>
        <w:jc w:val="both"/>
        <w:rPr>
          <w:color w:val="000000" w:themeColor="text1"/>
        </w:rPr>
      </w:pPr>
      <w:r w:rsidRPr="00357722">
        <w:rPr>
          <w:color w:val="000000" w:themeColor="text1"/>
        </w:rPr>
        <w:t>Although we</w:t>
      </w:r>
      <w:r w:rsidR="00326E30" w:rsidRPr="00357722">
        <w:rPr>
          <w:color w:val="000000" w:themeColor="text1"/>
        </w:rPr>
        <w:t xml:space="preserve"> had wanted to keep our regression analysis as parsimonious as possible, w</w:t>
      </w:r>
      <w:r w:rsidR="00D647DB" w:rsidRPr="00357722">
        <w:rPr>
          <w:color w:val="000000" w:themeColor="text1"/>
        </w:rPr>
        <w:t xml:space="preserve">e further control variations in country characteristics by including </w:t>
      </w:r>
      <w:r w:rsidR="00CF5B3A" w:rsidRPr="00357722">
        <w:rPr>
          <w:color w:val="000000" w:themeColor="text1"/>
        </w:rPr>
        <w:t>population growth (</w:t>
      </w:r>
      <w:r w:rsidR="00CF5B3A" w:rsidRPr="00357722">
        <w:rPr>
          <w:i/>
          <w:color w:val="000000" w:themeColor="text1"/>
        </w:rPr>
        <w:t>POPG</w:t>
      </w:r>
      <w:r w:rsidR="00CF5B3A" w:rsidRPr="00357722">
        <w:rPr>
          <w:color w:val="000000" w:themeColor="text1"/>
        </w:rPr>
        <w:t xml:space="preserve">). We </w:t>
      </w:r>
      <w:r w:rsidR="005E1FFA" w:rsidRPr="00357722">
        <w:rPr>
          <w:color w:val="000000" w:themeColor="text1"/>
        </w:rPr>
        <w:t>sourced</w:t>
      </w:r>
      <w:r w:rsidR="00CF5B3A" w:rsidRPr="00357722">
        <w:rPr>
          <w:color w:val="000000" w:themeColor="text1"/>
        </w:rPr>
        <w:t xml:space="preserve"> data from </w:t>
      </w:r>
      <w:r w:rsidR="00D36BF6">
        <w:rPr>
          <w:color w:val="000000" w:themeColor="text1"/>
        </w:rPr>
        <w:t xml:space="preserve">the </w:t>
      </w:r>
      <w:r w:rsidR="00CF5B3A" w:rsidRPr="00357722">
        <w:rPr>
          <w:color w:val="000000" w:themeColor="text1"/>
        </w:rPr>
        <w:t xml:space="preserve">World </w:t>
      </w:r>
      <w:r w:rsidR="00D36BF6">
        <w:rPr>
          <w:color w:val="000000" w:themeColor="text1"/>
        </w:rPr>
        <w:t>D</w:t>
      </w:r>
      <w:r w:rsidR="00CF5B3A" w:rsidRPr="00357722">
        <w:rPr>
          <w:color w:val="000000" w:themeColor="text1"/>
        </w:rPr>
        <w:t xml:space="preserve">evelopment </w:t>
      </w:r>
      <w:r w:rsidR="00D36BF6">
        <w:rPr>
          <w:color w:val="000000" w:themeColor="text1"/>
        </w:rPr>
        <w:t>I</w:t>
      </w:r>
      <w:r w:rsidR="00CF5B3A" w:rsidRPr="00357722">
        <w:rPr>
          <w:color w:val="000000" w:themeColor="text1"/>
        </w:rPr>
        <w:t>ndicators of the World Bank.</w:t>
      </w:r>
    </w:p>
    <w:p w14:paraId="69301DBA" w14:textId="011EF0AD" w:rsidR="00377EFF" w:rsidRPr="00357722" w:rsidRDefault="005E1FFA" w:rsidP="009D7941">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Next, we control the effects of institutional quality on financial mark</w:t>
      </w:r>
      <w:r w:rsidR="004261A1" w:rsidRPr="00357722">
        <w:rPr>
          <w:rFonts w:ascii="Times New Roman" w:hAnsi="Times New Roman" w:cs="Times New Roman"/>
          <w:color w:val="000000" w:themeColor="text1"/>
          <w:sz w:val="24"/>
          <w:szCs w:val="24"/>
        </w:rPr>
        <w:t>et development using law and order</w:t>
      </w:r>
      <w:r w:rsidRPr="00357722">
        <w:rPr>
          <w:rFonts w:ascii="Times New Roman" w:hAnsi="Times New Roman" w:cs="Times New Roman"/>
          <w:color w:val="000000" w:themeColor="text1"/>
          <w:sz w:val="24"/>
          <w:szCs w:val="24"/>
        </w:rPr>
        <w:t xml:space="preserve"> (</w:t>
      </w:r>
      <w:r w:rsidR="004261A1" w:rsidRPr="00357722">
        <w:rPr>
          <w:rFonts w:ascii="Times New Roman" w:hAnsi="Times New Roman" w:cs="Times New Roman"/>
          <w:i/>
          <w:color w:val="000000" w:themeColor="text1"/>
          <w:sz w:val="24"/>
          <w:szCs w:val="24"/>
        </w:rPr>
        <w:t>LAWNO</w:t>
      </w:r>
      <w:r w:rsidRPr="00357722">
        <w:rPr>
          <w:rFonts w:ascii="Times New Roman" w:hAnsi="Times New Roman" w:cs="Times New Roman"/>
          <w:color w:val="000000" w:themeColor="text1"/>
          <w:sz w:val="24"/>
          <w:szCs w:val="24"/>
        </w:rPr>
        <w:t xml:space="preserve">), </w:t>
      </w:r>
      <w:r w:rsidR="00D36BF6">
        <w:rPr>
          <w:rFonts w:ascii="Times New Roman" w:hAnsi="Times New Roman" w:cs="Times New Roman"/>
          <w:color w:val="000000" w:themeColor="text1"/>
          <w:sz w:val="24"/>
          <w:szCs w:val="24"/>
        </w:rPr>
        <w:t xml:space="preserve">and </w:t>
      </w:r>
      <w:r w:rsidRPr="00357722">
        <w:rPr>
          <w:rFonts w:ascii="Times New Roman" w:hAnsi="Times New Roman" w:cs="Times New Roman"/>
          <w:color w:val="000000" w:themeColor="text1"/>
          <w:sz w:val="24"/>
          <w:szCs w:val="24"/>
        </w:rPr>
        <w:t>legal origin (</w:t>
      </w:r>
      <w:r w:rsidRPr="00357722">
        <w:rPr>
          <w:rFonts w:ascii="Times New Roman" w:hAnsi="Times New Roman" w:cs="Times New Roman"/>
          <w:i/>
          <w:color w:val="000000" w:themeColor="text1"/>
          <w:sz w:val="24"/>
          <w:szCs w:val="24"/>
        </w:rPr>
        <w:t>LEGORI</w:t>
      </w:r>
      <w:r w:rsidRPr="00357722">
        <w:rPr>
          <w:rFonts w:ascii="Times New Roman" w:hAnsi="Times New Roman" w:cs="Times New Roman"/>
          <w:color w:val="000000" w:themeColor="text1"/>
          <w:sz w:val="24"/>
          <w:szCs w:val="24"/>
        </w:rPr>
        <w:t>)</w:t>
      </w:r>
      <w:r w:rsidR="00D73EDB" w:rsidRPr="00357722">
        <w:rPr>
          <w:rFonts w:ascii="Times New Roman" w:hAnsi="Times New Roman" w:cs="Times New Roman"/>
          <w:color w:val="000000" w:themeColor="text1"/>
          <w:sz w:val="24"/>
          <w:szCs w:val="24"/>
        </w:rPr>
        <w:t xml:space="preserve">. </w:t>
      </w:r>
      <w:r w:rsidR="00D22282" w:rsidRPr="00357722">
        <w:rPr>
          <w:rFonts w:ascii="Times New Roman" w:hAnsi="Times New Roman" w:cs="Times New Roman"/>
          <w:color w:val="000000" w:themeColor="text1"/>
          <w:sz w:val="24"/>
          <w:szCs w:val="24"/>
        </w:rPr>
        <w:t xml:space="preserve">For instance, prior studies (see La Porta et al., 1997, 1998; Mahoney, 2001) show that </w:t>
      </w:r>
      <w:r w:rsidR="00D22282" w:rsidRPr="00357722">
        <w:rPr>
          <w:rFonts w:ascii="Times New Roman" w:hAnsi="Times New Roman" w:cs="Times New Roman"/>
          <w:i/>
          <w:color w:val="000000" w:themeColor="text1"/>
          <w:sz w:val="24"/>
          <w:szCs w:val="24"/>
        </w:rPr>
        <w:t>LEGORI</w:t>
      </w:r>
      <w:r w:rsidR="00D22282" w:rsidRPr="00357722">
        <w:rPr>
          <w:rFonts w:ascii="Times New Roman" w:hAnsi="Times New Roman" w:cs="Times New Roman"/>
          <w:color w:val="000000" w:themeColor="text1"/>
          <w:sz w:val="24"/>
          <w:szCs w:val="24"/>
        </w:rPr>
        <w:t xml:space="preserve"> impacts financial market development. </w:t>
      </w:r>
      <w:r w:rsidR="00D73EDB" w:rsidRPr="00357722">
        <w:rPr>
          <w:rFonts w:ascii="Times New Roman" w:hAnsi="Times New Roman" w:cs="Times New Roman"/>
          <w:color w:val="000000" w:themeColor="text1"/>
          <w:sz w:val="24"/>
          <w:szCs w:val="24"/>
        </w:rPr>
        <w:t xml:space="preserve">We measure </w:t>
      </w:r>
      <w:r w:rsidR="00D73EDB" w:rsidRPr="00357722">
        <w:rPr>
          <w:rFonts w:ascii="Times New Roman" w:hAnsi="Times New Roman" w:cs="Times New Roman"/>
          <w:i/>
          <w:color w:val="000000" w:themeColor="text1"/>
          <w:sz w:val="24"/>
          <w:szCs w:val="24"/>
        </w:rPr>
        <w:t>LEGORI</w:t>
      </w:r>
      <w:r w:rsidR="00D73EDB" w:rsidRPr="00357722">
        <w:rPr>
          <w:rFonts w:ascii="Times New Roman" w:hAnsi="Times New Roman" w:cs="Times New Roman"/>
          <w:color w:val="000000" w:themeColor="text1"/>
          <w:sz w:val="24"/>
          <w:szCs w:val="24"/>
        </w:rPr>
        <w:t xml:space="preserve"> as a dummy variable </w:t>
      </w:r>
      <w:r w:rsidR="00E30532">
        <w:rPr>
          <w:rFonts w:ascii="Times New Roman" w:hAnsi="Times New Roman" w:cs="Times New Roman"/>
          <w:color w:val="000000" w:themeColor="text1"/>
          <w:sz w:val="24"/>
          <w:szCs w:val="24"/>
        </w:rPr>
        <w:t>that</w:t>
      </w:r>
      <w:r w:rsidR="00E30532" w:rsidRPr="00357722">
        <w:rPr>
          <w:rFonts w:ascii="Times New Roman" w:hAnsi="Times New Roman" w:cs="Times New Roman"/>
          <w:color w:val="000000" w:themeColor="text1"/>
          <w:sz w:val="24"/>
          <w:szCs w:val="24"/>
        </w:rPr>
        <w:t xml:space="preserve"> </w:t>
      </w:r>
      <w:r w:rsidR="00D73EDB" w:rsidRPr="00357722">
        <w:rPr>
          <w:rFonts w:ascii="Times New Roman" w:hAnsi="Times New Roman" w:cs="Times New Roman"/>
          <w:color w:val="000000" w:themeColor="text1"/>
          <w:sz w:val="24"/>
          <w:szCs w:val="24"/>
        </w:rPr>
        <w:t>takes a value of 1 if a common law country and 0 if otherwise.</w:t>
      </w:r>
      <w:r w:rsidRPr="00357722">
        <w:rPr>
          <w:rFonts w:ascii="Times New Roman" w:hAnsi="Times New Roman" w:cs="Times New Roman"/>
          <w:color w:val="000000" w:themeColor="text1"/>
          <w:sz w:val="24"/>
          <w:szCs w:val="24"/>
        </w:rPr>
        <w:t xml:space="preserve"> </w:t>
      </w:r>
      <w:r w:rsidR="00377EFF" w:rsidRPr="00357722">
        <w:rPr>
          <w:rFonts w:ascii="Times New Roman" w:hAnsi="Times New Roman" w:cs="Times New Roman"/>
          <w:color w:val="000000" w:themeColor="text1"/>
          <w:sz w:val="24"/>
          <w:szCs w:val="24"/>
        </w:rPr>
        <w:t>Next, we control the effects of bond market development using outstanding total international debt securities scaled by GDP</w:t>
      </w:r>
      <w:r w:rsidR="009D7941" w:rsidRPr="00357722">
        <w:rPr>
          <w:rFonts w:ascii="Times New Roman" w:hAnsi="Times New Roman" w:cs="Times New Roman"/>
          <w:color w:val="000000" w:themeColor="text1"/>
          <w:sz w:val="24"/>
          <w:szCs w:val="24"/>
        </w:rPr>
        <w:t xml:space="preserve"> </w:t>
      </w:r>
      <w:r w:rsidR="00377EFF" w:rsidRPr="00357722">
        <w:rPr>
          <w:rFonts w:ascii="Times New Roman" w:hAnsi="Times New Roman" w:cs="Times New Roman"/>
          <w:color w:val="000000" w:themeColor="text1"/>
          <w:sz w:val="24"/>
          <w:szCs w:val="24"/>
        </w:rPr>
        <w:t>(</w:t>
      </w:r>
      <w:r w:rsidR="009D7941" w:rsidRPr="00357722">
        <w:rPr>
          <w:rFonts w:ascii="Times New Roman" w:hAnsi="Times New Roman" w:cs="Times New Roman"/>
          <w:i/>
          <w:color w:val="000000" w:themeColor="text1"/>
          <w:sz w:val="24"/>
          <w:szCs w:val="24"/>
        </w:rPr>
        <w:t>OTIDSGDP</w:t>
      </w:r>
      <w:r w:rsidR="009D7941" w:rsidRPr="00357722">
        <w:rPr>
          <w:rFonts w:ascii="Times New Roman" w:hAnsi="Times New Roman" w:cs="Times New Roman"/>
          <w:color w:val="000000" w:themeColor="text1"/>
          <w:sz w:val="24"/>
          <w:szCs w:val="24"/>
        </w:rPr>
        <w:t>).</w:t>
      </w:r>
      <w:r w:rsidR="00377EFF" w:rsidRPr="00357722">
        <w:rPr>
          <w:rFonts w:ascii="Times New Roman" w:hAnsi="Times New Roman" w:cs="Times New Roman"/>
          <w:color w:val="000000" w:themeColor="text1"/>
          <w:sz w:val="24"/>
          <w:szCs w:val="24"/>
        </w:rPr>
        <w:t xml:space="preserve"> We obtained data from World Bank’s global financial development database. Following Beck et al. (2010) we control the effects of savings depository using financial system deposits scaled by GDP (</w:t>
      </w:r>
      <w:r w:rsidR="00377EFF" w:rsidRPr="00357722">
        <w:rPr>
          <w:rFonts w:ascii="Times New Roman" w:hAnsi="Times New Roman" w:cs="Times New Roman"/>
          <w:i/>
          <w:color w:val="000000" w:themeColor="text1"/>
          <w:sz w:val="24"/>
          <w:szCs w:val="24"/>
        </w:rPr>
        <w:t>FSDSGDP</w:t>
      </w:r>
      <w:r w:rsidR="00377EFF" w:rsidRPr="00357722">
        <w:rPr>
          <w:rFonts w:ascii="Times New Roman" w:hAnsi="Times New Roman" w:cs="Times New Roman"/>
          <w:color w:val="000000" w:themeColor="text1"/>
          <w:sz w:val="24"/>
          <w:szCs w:val="24"/>
        </w:rPr>
        <w:t xml:space="preserve">). </w:t>
      </w:r>
      <w:proofErr w:type="spellStart"/>
      <w:r w:rsidR="00377EFF" w:rsidRPr="00357722">
        <w:rPr>
          <w:rFonts w:ascii="Times New Roman" w:hAnsi="Times New Roman" w:cs="Times New Roman"/>
          <w:color w:val="000000" w:themeColor="text1"/>
          <w:sz w:val="24"/>
          <w:szCs w:val="24"/>
        </w:rPr>
        <w:t>Nitescu</w:t>
      </w:r>
      <w:proofErr w:type="spellEnd"/>
      <w:r w:rsidR="00377EFF" w:rsidRPr="00357722">
        <w:rPr>
          <w:rFonts w:ascii="Times New Roman" w:hAnsi="Times New Roman" w:cs="Times New Roman"/>
          <w:color w:val="000000" w:themeColor="text1"/>
          <w:sz w:val="24"/>
          <w:szCs w:val="24"/>
        </w:rPr>
        <w:t xml:space="preserve"> et al. (2020) find that FSDSGDP increases financial system liquidity.</w:t>
      </w:r>
      <w:r w:rsidR="009D7941" w:rsidRPr="00357722">
        <w:rPr>
          <w:rFonts w:ascii="Times New Roman" w:hAnsi="Times New Roman" w:cs="Times New Roman"/>
          <w:color w:val="000000" w:themeColor="text1"/>
          <w:sz w:val="24"/>
          <w:szCs w:val="24"/>
        </w:rPr>
        <w:t xml:space="preserve"> </w:t>
      </w:r>
      <w:r w:rsidR="009D7941" w:rsidRPr="00357722">
        <w:rPr>
          <w:rFonts w:ascii="Times New Roman" w:hAnsi="Times New Roman" w:cs="Times New Roman"/>
          <w:sz w:val="24"/>
          <w:szCs w:val="24"/>
        </w:rPr>
        <w:t xml:space="preserve">We expect </w:t>
      </w:r>
      <w:r w:rsidR="009D7941" w:rsidRPr="00357722">
        <w:rPr>
          <w:rFonts w:ascii="Times New Roman" w:hAnsi="Times New Roman" w:cs="Times New Roman"/>
          <w:i/>
          <w:color w:val="000000" w:themeColor="text1"/>
          <w:sz w:val="24"/>
          <w:szCs w:val="24"/>
        </w:rPr>
        <w:t>FSDGDP</w:t>
      </w:r>
      <w:r w:rsidR="009D7941" w:rsidRPr="00357722">
        <w:rPr>
          <w:rFonts w:ascii="Times New Roman" w:hAnsi="Times New Roman" w:cs="Times New Roman"/>
          <w:color w:val="000000" w:themeColor="text1"/>
          <w:sz w:val="24"/>
          <w:szCs w:val="24"/>
        </w:rPr>
        <w:t xml:space="preserve"> to have a positive influence on financial development.</w:t>
      </w:r>
    </w:p>
    <w:p w14:paraId="049813C4" w14:textId="035F4004" w:rsidR="005E1FFA" w:rsidRPr="00357722" w:rsidRDefault="005E1FFA" w:rsidP="0078028D">
      <w:pPr>
        <w:pStyle w:val="Default"/>
        <w:spacing w:line="480" w:lineRule="auto"/>
        <w:ind w:firstLine="720"/>
        <w:jc w:val="both"/>
        <w:rPr>
          <w:color w:val="000000" w:themeColor="text1"/>
        </w:rPr>
      </w:pPr>
      <w:r w:rsidRPr="00357722">
        <w:rPr>
          <w:color w:val="000000" w:themeColor="text1"/>
        </w:rPr>
        <w:lastRenderedPageBreak/>
        <w:t>Finally, we control f</w:t>
      </w:r>
      <w:r w:rsidR="00D73EDB" w:rsidRPr="00357722">
        <w:rPr>
          <w:color w:val="000000" w:themeColor="text1"/>
        </w:rPr>
        <w:t>or remittance (</w:t>
      </w:r>
      <w:r w:rsidR="00D73EDB" w:rsidRPr="00357722">
        <w:rPr>
          <w:i/>
          <w:color w:val="000000" w:themeColor="text1"/>
        </w:rPr>
        <w:t>REMIT</w:t>
      </w:r>
      <w:r w:rsidR="00D73EDB" w:rsidRPr="00357722">
        <w:rPr>
          <w:color w:val="000000" w:themeColor="text1"/>
        </w:rPr>
        <w:t xml:space="preserve">) on stock market development. This is consistent with the view that greater remittances suggest </w:t>
      </w:r>
      <w:r w:rsidR="00E30532">
        <w:rPr>
          <w:color w:val="000000" w:themeColor="text1"/>
        </w:rPr>
        <w:t xml:space="preserve">an </w:t>
      </w:r>
      <w:r w:rsidR="00D73EDB" w:rsidRPr="00357722">
        <w:rPr>
          <w:color w:val="000000" w:themeColor="text1"/>
        </w:rPr>
        <w:t xml:space="preserve">increase in </w:t>
      </w:r>
      <w:r w:rsidR="00E30532">
        <w:rPr>
          <w:color w:val="000000" w:themeColor="text1"/>
        </w:rPr>
        <w:t xml:space="preserve">the </w:t>
      </w:r>
      <w:r w:rsidR="00D73EDB" w:rsidRPr="00357722">
        <w:rPr>
          <w:color w:val="000000" w:themeColor="text1"/>
        </w:rPr>
        <w:t>wealth of the diaspora. Studies suggest diaspora contributes to the financial development of their mother countries by engaging in diaspora bonds and particip</w:t>
      </w:r>
      <w:r w:rsidR="00D61DE0" w:rsidRPr="00357722">
        <w:rPr>
          <w:color w:val="000000" w:themeColor="text1"/>
        </w:rPr>
        <w:t>ating in the stock markets</w:t>
      </w:r>
      <w:r w:rsidR="00D73EDB" w:rsidRPr="00357722">
        <w:rPr>
          <w:color w:val="000000" w:themeColor="text1"/>
        </w:rPr>
        <w:t xml:space="preserve">. We </w:t>
      </w:r>
      <w:r w:rsidR="009D7941" w:rsidRPr="00357722">
        <w:rPr>
          <w:color w:val="000000" w:themeColor="text1"/>
        </w:rPr>
        <w:t xml:space="preserve">sourced </w:t>
      </w:r>
      <w:r w:rsidR="00D73EDB" w:rsidRPr="00357722">
        <w:rPr>
          <w:color w:val="000000" w:themeColor="text1"/>
        </w:rPr>
        <w:t>data from World Development Indicators.</w:t>
      </w:r>
      <w:r w:rsidR="00686B81" w:rsidRPr="00357722">
        <w:rPr>
          <w:color w:val="000000" w:themeColor="text1"/>
        </w:rPr>
        <w:t xml:space="preserve"> </w:t>
      </w:r>
    </w:p>
    <w:p w14:paraId="4DC0C9E4" w14:textId="77777777" w:rsidR="009D7941" w:rsidRPr="00357722" w:rsidRDefault="009D7941" w:rsidP="0078028D">
      <w:pPr>
        <w:pStyle w:val="Default"/>
        <w:spacing w:line="480" w:lineRule="auto"/>
        <w:ind w:firstLine="720"/>
        <w:jc w:val="both"/>
        <w:rPr>
          <w:color w:val="000000" w:themeColor="text1"/>
        </w:rPr>
      </w:pPr>
    </w:p>
    <w:p w14:paraId="3A3130BF" w14:textId="0345892D" w:rsidR="00281C6C" w:rsidRPr="00357722" w:rsidRDefault="00F30097" w:rsidP="0078028D">
      <w:pPr>
        <w:spacing w:after="0" w:line="480" w:lineRule="auto"/>
        <w:jc w:val="both"/>
        <w:rPr>
          <w:rFonts w:ascii="Times New Roman" w:hAnsi="Times New Roman" w:cs="Times New Roman"/>
          <w:b/>
          <w:bCs/>
          <w:iCs/>
          <w:color w:val="000000" w:themeColor="text1"/>
          <w:sz w:val="24"/>
          <w:szCs w:val="24"/>
        </w:rPr>
      </w:pPr>
      <w:r w:rsidRPr="00357722">
        <w:rPr>
          <w:rFonts w:ascii="Times New Roman" w:hAnsi="Times New Roman" w:cs="Times New Roman"/>
          <w:b/>
          <w:bCs/>
          <w:iCs/>
          <w:color w:val="000000" w:themeColor="text1"/>
          <w:sz w:val="24"/>
          <w:szCs w:val="24"/>
        </w:rPr>
        <w:t>4.</w:t>
      </w:r>
      <w:r w:rsidRPr="00357722">
        <w:rPr>
          <w:rFonts w:ascii="Times New Roman" w:hAnsi="Times New Roman" w:cs="Times New Roman"/>
          <w:b/>
          <w:bCs/>
          <w:iCs/>
          <w:color w:val="000000" w:themeColor="text1"/>
          <w:sz w:val="24"/>
          <w:szCs w:val="24"/>
        </w:rPr>
        <w:tab/>
      </w:r>
      <w:r w:rsidR="00281C6C" w:rsidRPr="00357722">
        <w:rPr>
          <w:rFonts w:ascii="Times New Roman" w:hAnsi="Times New Roman" w:cs="Times New Roman"/>
          <w:b/>
          <w:bCs/>
          <w:iCs/>
          <w:color w:val="000000" w:themeColor="text1"/>
          <w:sz w:val="24"/>
          <w:szCs w:val="24"/>
        </w:rPr>
        <w:t xml:space="preserve">Empirical </w:t>
      </w:r>
      <w:r w:rsidR="00706014" w:rsidRPr="00357722">
        <w:rPr>
          <w:rFonts w:ascii="Times New Roman" w:hAnsi="Times New Roman" w:cs="Times New Roman"/>
          <w:b/>
          <w:bCs/>
          <w:iCs/>
          <w:color w:val="000000" w:themeColor="text1"/>
          <w:sz w:val="24"/>
          <w:szCs w:val="24"/>
        </w:rPr>
        <w:t>analysis</w:t>
      </w:r>
    </w:p>
    <w:p w14:paraId="0D45B05E" w14:textId="09C6D4D9" w:rsidR="00373680" w:rsidRPr="00357722" w:rsidRDefault="00F00D51" w:rsidP="0078028D">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This section provides </w:t>
      </w:r>
      <w:r w:rsidR="00E30532">
        <w:rPr>
          <w:rFonts w:ascii="Times New Roman" w:eastAsia="Times New Roman" w:hAnsi="Times New Roman" w:cs="Times New Roman"/>
          <w:iCs/>
          <w:color w:val="000000" w:themeColor="text1"/>
          <w:sz w:val="24"/>
          <w:szCs w:val="24"/>
        </w:rPr>
        <w:t xml:space="preserve">an </w:t>
      </w:r>
      <w:r w:rsidRPr="00357722">
        <w:rPr>
          <w:rFonts w:ascii="Times New Roman" w:eastAsia="Times New Roman" w:hAnsi="Times New Roman" w:cs="Times New Roman"/>
          <w:iCs/>
          <w:color w:val="000000" w:themeColor="text1"/>
          <w:sz w:val="24"/>
          <w:szCs w:val="24"/>
        </w:rPr>
        <w:t xml:space="preserve">empirical analysis of our study. First, we present a summary </w:t>
      </w:r>
      <w:r w:rsidR="00E30532">
        <w:rPr>
          <w:rFonts w:ascii="Times New Roman" w:eastAsia="Times New Roman" w:hAnsi="Times New Roman" w:cs="Times New Roman"/>
          <w:iCs/>
          <w:color w:val="000000" w:themeColor="text1"/>
          <w:sz w:val="24"/>
          <w:szCs w:val="24"/>
        </w:rPr>
        <w:t xml:space="preserve">of </w:t>
      </w:r>
      <w:r w:rsidRPr="00357722">
        <w:rPr>
          <w:rFonts w:ascii="Times New Roman" w:eastAsia="Times New Roman" w:hAnsi="Times New Roman" w:cs="Times New Roman"/>
          <w:iCs/>
          <w:color w:val="000000" w:themeColor="text1"/>
          <w:sz w:val="24"/>
          <w:szCs w:val="24"/>
        </w:rPr>
        <w:t xml:space="preserve">statistics of the variables we used in </w:t>
      </w:r>
      <w:r w:rsidR="00E30532">
        <w:rPr>
          <w:rFonts w:ascii="Times New Roman" w:eastAsia="Times New Roman" w:hAnsi="Times New Roman" w:cs="Times New Roman"/>
          <w:iCs/>
          <w:color w:val="000000" w:themeColor="text1"/>
          <w:sz w:val="24"/>
          <w:szCs w:val="24"/>
        </w:rPr>
        <w:t xml:space="preserve">the </w:t>
      </w:r>
      <w:r w:rsidRPr="00357722">
        <w:rPr>
          <w:rFonts w:ascii="Times New Roman" w:eastAsia="Times New Roman" w:hAnsi="Times New Roman" w:cs="Times New Roman"/>
          <w:iCs/>
          <w:color w:val="000000" w:themeColor="text1"/>
          <w:sz w:val="24"/>
          <w:szCs w:val="24"/>
        </w:rPr>
        <w:t xml:space="preserve">analysis. We then produce a cross-country correlation matrix </w:t>
      </w:r>
      <w:r w:rsidR="00E30532">
        <w:rPr>
          <w:rFonts w:ascii="Times New Roman" w:eastAsia="Times New Roman" w:hAnsi="Times New Roman" w:cs="Times New Roman"/>
          <w:iCs/>
          <w:color w:val="000000" w:themeColor="text1"/>
          <w:sz w:val="24"/>
          <w:szCs w:val="24"/>
        </w:rPr>
        <w:t xml:space="preserve">of </w:t>
      </w:r>
      <w:r w:rsidRPr="00357722">
        <w:rPr>
          <w:rFonts w:ascii="Times New Roman" w:eastAsia="Times New Roman" w:hAnsi="Times New Roman" w:cs="Times New Roman"/>
          <w:iCs/>
          <w:color w:val="000000" w:themeColor="text1"/>
          <w:sz w:val="24"/>
          <w:szCs w:val="24"/>
        </w:rPr>
        <w:t xml:space="preserve">all the variables. Next, we examine whether international equity portfolio diversification </w:t>
      </w:r>
      <w:r w:rsidR="00E30532" w:rsidRPr="00357722">
        <w:rPr>
          <w:rFonts w:ascii="Times New Roman" w:eastAsia="Times New Roman" w:hAnsi="Times New Roman" w:cs="Times New Roman"/>
          <w:iCs/>
          <w:color w:val="000000" w:themeColor="text1"/>
          <w:sz w:val="24"/>
          <w:szCs w:val="24"/>
        </w:rPr>
        <w:t>ha</w:t>
      </w:r>
      <w:r w:rsidR="00E30532">
        <w:rPr>
          <w:rFonts w:ascii="Times New Roman" w:eastAsia="Times New Roman" w:hAnsi="Times New Roman" w:cs="Times New Roman"/>
          <w:iCs/>
          <w:color w:val="000000" w:themeColor="text1"/>
          <w:sz w:val="24"/>
          <w:szCs w:val="24"/>
        </w:rPr>
        <w:t>s</w:t>
      </w:r>
      <w:r w:rsidR="00E30532" w:rsidRPr="00357722">
        <w:rPr>
          <w:rFonts w:ascii="Times New Roman" w:eastAsia="Times New Roman" w:hAnsi="Times New Roman" w:cs="Times New Roman"/>
          <w:iCs/>
          <w:color w:val="000000" w:themeColor="text1"/>
          <w:sz w:val="24"/>
          <w:szCs w:val="24"/>
        </w:rPr>
        <w:t xml:space="preserve"> </w:t>
      </w:r>
      <w:r w:rsidR="00E30532">
        <w:rPr>
          <w:rFonts w:ascii="Times New Roman" w:eastAsia="Times New Roman" w:hAnsi="Times New Roman" w:cs="Times New Roman"/>
          <w:iCs/>
          <w:color w:val="000000" w:themeColor="text1"/>
          <w:sz w:val="24"/>
          <w:szCs w:val="24"/>
        </w:rPr>
        <w:t xml:space="preserve">a </w:t>
      </w:r>
      <w:r w:rsidRPr="00357722">
        <w:rPr>
          <w:rFonts w:ascii="Times New Roman" w:eastAsia="Times New Roman" w:hAnsi="Times New Roman" w:cs="Times New Roman"/>
          <w:iCs/>
          <w:color w:val="000000" w:themeColor="text1"/>
          <w:sz w:val="24"/>
          <w:szCs w:val="24"/>
        </w:rPr>
        <w:t xml:space="preserve">varying impact on financial market development. We further investigate if the relationship between international finance and financial market development is sensitive to central bank transparency and </w:t>
      </w:r>
      <w:r w:rsidR="0060532F" w:rsidRPr="00357722">
        <w:rPr>
          <w:rFonts w:ascii="Times New Roman" w:eastAsia="Times New Roman" w:hAnsi="Times New Roman" w:cs="Times New Roman"/>
          <w:iCs/>
          <w:color w:val="000000" w:themeColor="text1"/>
          <w:sz w:val="24"/>
          <w:szCs w:val="24"/>
        </w:rPr>
        <w:t>economic freedom</w:t>
      </w:r>
      <w:r w:rsidRPr="00357722">
        <w:rPr>
          <w:rFonts w:ascii="Times New Roman" w:eastAsia="Times New Roman" w:hAnsi="Times New Roman" w:cs="Times New Roman"/>
          <w:iCs/>
          <w:color w:val="000000" w:themeColor="text1"/>
          <w:sz w:val="24"/>
          <w:szCs w:val="24"/>
        </w:rPr>
        <w:t xml:space="preserve"> which are linked to greater info</w:t>
      </w:r>
      <w:r w:rsidR="0060532F" w:rsidRPr="00357722">
        <w:rPr>
          <w:rFonts w:ascii="Times New Roman" w:eastAsia="Times New Roman" w:hAnsi="Times New Roman" w:cs="Times New Roman"/>
          <w:iCs/>
          <w:color w:val="000000" w:themeColor="text1"/>
          <w:sz w:val="24"/>
          <w:szCs w:val="24"/>
        </w:rPr>
        <w:t>rmation flow and institutional quality</w:t>
      </w:r>
      <w:r w:rsidRPr="00357722">
        <w:rPr>
          <w:rFonts w:ascii="Times New Roman" w:eastAsia="Times New Roman" w:hAnsi="Times New Roman" w:cs="Times New Roman"/>
          <w:iCs/>
          <w:color w:val="000000" w:themeColor="text1"/>
          <w:sz w:val="24"/>
          <w:szCs w:val="24"/>
        </w:rPr>
        <w:t>.</w:t>
      </w:r>
    </w:p>
    <w:p w14:paraId="3161ED4E" w14:textId="77777777" w:rsidR="00EF59FE" w:rsidRPr="00357722" w:rsidRDefault="00EF59FE" w:rsidP="005636E8">
      <w:pPr>
        <w:spacing w:after="0" w:line="480" w:lineRule="auto"/>
        <w:jc w:val="both"/>
        <w:rPr>
          <w:rFonts w:ascii="Times New Roman" w:eastAsia="Times New Roman" w:hAnsi="Times New Roman" w:cs="Times New Roman"/>
          <w:b/>
          <w:iCs/>
          <w:color w:val="000000" w:themeColor="text1"/>
          <w:sz w:val="24"/>
          <w:szCs w:val="24"/>
        </w:rPr>
      </w:pPr>
    </w:p>
    <w:p w14:paraId="4989227B" w14:textId="0282338F" w:rsidR="00403064" w:rsidRPr="00357722" w:rsidRDefault="00403064" w:rsidP="005636E8">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4.1</w:t>
      </w:r>
      <w:r w:rsidR="00842C2A"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r>
      <w:r w:rsidR="003B7C28" w:rsidRPr="00357722">
        <w:rPr>
          <w:rFonts w:ascii="Times New Roman" w:eastAsia="Times New Roman" w:hAnsi="Times New Roman" w:cs="Times New Roman"/>
          <w:i/>
          <w:iCs/>
          <w:color w:val="000000" w:themeColor="text1"/>
          <w:sz w:val="24"/>
          <w:szCs w:val="24"/>
        </w:rPr>
        <w:t xml:space="preserve">Summary </w:t>
      </w:r>
      <w:r w:rsidRPr="00357722">
        <w:rPr>
          <w:rFonts w:ascii="Times New Roman" w:eastAsia="Times New Roman" w:hAnsi="Times New Roman" w:cs="Times New Roman"/>
          <w:i/>
          <w:iCs/>
          <w:color w:val="000000" w:themeColor="text1"/>
          <w:sz w:val="24"/>
          <w:szCs w:val="24"/>
        </w:rPr>
        <w:t>statistics</w:t>
      </w:r>
    </w:p>
    <w:p w14:paraId="21BAA479" w14:textId="28A2C674" w:rsidR="00C2321A" w:rsidRPr="00357722" w:rsidRDefault="00C2321A" w:rsidP="00B94C82">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iCs/>
          <w:color w:val="000000" w:themeColor="text1"/>
          <w:sz w:val="24"/>
          <w:szCs w:val="24"/>
        </w:rPr>
        <w:t xml:space="preserve">Table </w:t>
      </w:r>
      <w:r w:rsidR="00CB172D" w:rsidRPr="00357722">
        <w:rPr>
          <w:rFonts w:ascii="Times New Roman" w:eastAsia="Times New Roman" w:hAnsi="Times New Roman" w:cs="Times New Roman"/>
          <w:iCs/>
          <w:color w:val="000000" w:themeColor="text1"/>
          <w:sz w:val="24"/>
          <w:szCs w:val="24"/>
        </w:rPr>
        <w:t>1</w:t>
      </w:r>
      <w:r w:rsidR="00F056F0" w:rsidRPr="00357722">
        <w:rPr>
          <w:rFonts w:ascii="Times New Roman" w:eastAsia="Times New Roman" w:hAnsi="Times New Roman" w:cs="Times New Roman"/>
          <w:iCs/>
          <w:color w:val="000000" w:themeColor="text1"/>
          <w:sz w:val="24"/>
          <w:szCs w:val="24"/>
        </w:rPr>
        <w:t xml:space="preserve"> </w:t>
      </w:r>
      <w:r w:rsidR="008E7CA7" w:rsidRPr="00357722">
        <w:rPr>
          <w:rFonts w:ascii="Times New Roman" w:eastAsia="Times New Roman" w:hAnsi="Times New Roman" w:cs="Times New Roman"/>
          <w:iCs/>
          <w:color w:val="000000" w:themeColor="text1"/>
          <w:sz w:val="24"/>
          <w:szCs w:val="24"/>
        </w:rPr>
        <w:t xml:space="preserve">presents </w:t>
      </w:r>
      <w:r w:rsidR="00EB3EDF" w:rsidRPr="00357722">
        <w:rPr>
          <w:rFonts w:ascii="Times New Roman" w:eastAsia="Times New Roman" w:hAnsi="Times New Roman" w:cs="Times New Roman"/>
          <w:iCs/>
          <w:color w:val="000000" w:themeColor="text1"/>
          <w:sz w:val="24"/>
          <w:szCs w:val="24"/>
        </w:rPr>
        <w:t xml:space="preserve">country-level </w:t>
      </w:r>
      <w:r w:rsidR="00C91CB7" w:rsidRPr="00357722">
        <w:rPr>
          <w:rFonts w:ascii="Times New Roman" w:eastAsia="Times New Roman" w:hAnsi="Times New Roman" w:cs="Times New Roman"/>
          <w:iCs/>
          <w:color w:val="000000" w:themeColor="text1"/>
          <w:sz w:val="24"/>
          <w:szCs w:val="24"/>
        </w:rPr>
        <w:t xml:space="preserve">univariate </w:t>
      </w:r>
      <w:r w:rsidR="003B7C28" w:rsidRPr="00357722">
        <w:rPr>
          <w:rFonts w:ascii="Times New Roman" w:eastAsia="Times New Roman" w:hAnsi="Times New Roman" w:cs="Times New Roman"/>
          <w:iCs/>
          <w:color w:val="000000" w:themeColor="text1"/>
          <w:sz w:val="24"/>
          <w:szCs w:val="24"/>
        </w:rPr>
        <w:t xml:space="preserve">summary </w:t>
      </w:r>
      <w:r w:rsidR="00943514" w:rsidRPr="00357722">
        <w:rPr>
          <w:rFonts w:ascii="Times New Roman" w:eastAsia="Times New Roman" w:hAnsi="Times New Roman" w:cs="Times New Roman"/>
          <w:iCs/>
          <w:color w:val="000000" w:themeColor="text1"/>
          <w:sz w:val="24"/>
          <w:szCs w:val="24"/>
        </w:rPr>
        <w:t xml:space="preserve">statistics of </w:t>
      </w:r>
      <w:r w:rsidR="00CB172D" w:rsidRPr="00357722">
        <w:rPr>
          <w:rFonts w:ascii="Times New Roman" w:eastAsia="Times New Roman" w:hAnsi="Times New Roman" w:cs="Times New Roman"/>
          <w:iCs/>
          <w:color w:val="000000" w:themeColor="text1"/>
          <w:sz w:val="24"/>
          <w:szCs w:val="24"/>
        </w:rPr>
        <w:t>the dependen</w:t>
      </w:r>
      <w:r w:rsidR="00B96E08" w:rsidRPr="00357722">
        <w:rPr>
          <w:rFonts w:ascii="Times New Roman" w:eastAsia="Times New Roman" w:hAnsi="Times New Roman" w:cs="Times New Roman"/>
          <w:iCs/>
          <w:color w:val="000000" w:themeColor="text1"/>
          <w:sz w:val="24"/>
          <w:szCs w:val="24"/>
        </w:rPr>
        <w:t>t</w:t>
      </w:r>
      <w:r w:rsidR="00CB172D" w:rsidRPr="00357722">
        <w:rPr>
          <w:rFonts w:ascii="Times New Roman" w:eastAsia="Times New Roman" w:hAnsi="Times New Roman" w:cs="Times New Roman"/>
          <w:iCs/>
          <w:color w:val="000000" w:themeColor="text1"/>
          <w:sz w:val="24"/>
          <w:szCs w:val="24"/>
        </w:rPr>
        <w:t xml:space="preserve"> and key independent variables employed in our analysis. To ensure </w:t>
      </w:r>
      <w:r w:rsidR="00E30532">
        <w:rPr>
          <w:rFonts w:ascii="Times New Roman" w:eastAsia="Times New Roman" w:hAnsi="Times New Roman" w:cs="Times New Roman"/>
          <w:iCs/>
          <w:color w:val="000000" w:themeColor="text1"/>
          <w:sz w:val="24"/>
          <w:szCs w:val="24"/>
        </w:rPr>
        <w:t xml:space="preserve">a </w:t>
      </w:r>
      <w:r w:rsidR="00CB172D" w:rsidRPr="00357722">
        <w:rPr>
          <w:rFonts w:ascii="Times New Roman" w:eastAsia="Times New Roman" w:hAnsi="Times New Roman" w:cs="Times New Roman"/>
          <w:iCs/>
          <w:color w:val="000000" w:themeColor="text1"/>
          <w:sz w:val="24"/>
          <w:szCs w:val="24"/>
        </w:rPr>
        <w:t xml:space="preserve">better understanding of the variables, we </w:t>
      </w:r>
      <w:r w:rsidR="00E30532" w:rsidRPr="00357722">
        <w:rPr>
          <w:rFonts w:ascii="Times New Roman" w:eastAsia="Times New Roman" w:hAnsi="Times New Roman" w:cs="Times New Roman"/>
          <w:iCs/>
          <w:color w:val="000000" w:themeColor="text1"/>
          <w:sz w:val="24"/>
          <w:szCs w:val="24"/>
        </w:rPr>
        <w:t>categori</w:t>
      </w:r>
      <w:r w:rsidR="00E30532">
        <w:rPr>
          <w:rFonts w:ascii="Times New Roman" w:eastAsia="Times New Roman" w:hAnsi="Times New Roman" w:cs="Times New Roman"/>
          <w:iCs/>
          <w:color w:val="000000" w:themeColor="text1"/>
          <w:sz w:val="24"/>
          <w:szCs w:val="24"/>
        </w:rPr>
        <w:t>z</w:t>
      </w:r>
      <w:r w:rsidR="00E30532" w:rsidRPr="00357722">
        <w:rPr>
          <w:rFonts w:ascii="Times New Roman" w:eastAsia="Times New Roman" w:hAnsi="Times New Roman" w:cs="Times New Roman"/>
          <w:iCs/>
          <w:color w:val="000000" w:themeColor="text1"/>
          <w:sz w:val="24"/>
          <w:szCs w:val="24"/>
        </w:rPr>
        <w:t xml:space="preserve">e </w:t>
      </w:r>
      <w:r w:rsidR="00CB172D" w:rsidRPr="00357722">
        <w:rPr>
          <w:rFonts w:ascii="Times New Roman" w:eastAsia="Times New Roman" w:hAnsi="Times New Roman" w:cs="Times New Roman"/>
          <w:iCs/>
          <w:color w:val="000000" w:themeColor="text1"/>
          <w:sz w:val="24"/>
          <w:szCs w:val="24"/>
        </w:rPr>
        <w:t>Table 1 into Panel A for developed</w:t>
      </w:r>
      <w:r w:rsidR="00706014" w:rsidRPr="00357722">
        <w:rPr>
          <w:rFonts w:ascii="Times New Roman" w:eastAsia="Times New Roman" w:hAnsi="Times New Roman" w:cs="Times New Roman"/>
          <w:iCs/>
          <w:color w:val="000000" w:themeColor="text1"/>
          <w:sz w:val="24"/>
          <w:szCs w:val="24"/>
        </w:rPr>
        <w:t xml:space="preserve"> countries and Panel B for emerging countries. </w:t>
      </w:r>
      <w:r w:rsidR="00555324" w:rsidRPr="00357722">
        <w:rPr>
          <w:rFonts w:ascii="Times New Roman" w:eastAsia="Times New Roman" w:hAnsi="Times New Roman" w:cs="Times New Roman"/>
          <w:iCs/>
          <w:color w:val="000000" w:themeColor="text1"/>
          <w:sz w:val="24"/>
          <w:szCs w:val="24"/>
        </w:rPr>
        <w:t xml:space="preserve">In Panel A of Table 1, the mean values for the three financial development measures are </w:t>
      </w:r>
      <w:r w:rsidR="00555324" w:rsidRPr="00357722">
        <w:rPr>
          <w:rFonts w:ascii="Times New Roman" w:eastAsia="Times New Roman" w:hAnsi="Times New Roman" w:cs="Times New Roman"/>
          <w:i/>
          <w:color w:val="000000" w:themeColor="text1"/>
          <w:sz w:val="24"/>
          <w:szCs w:val="24"/>
        </w:rPr>
        <w:t xml:space="preserve">MCGDP </w:t>
      </w:r>
      <w:r w:rsidR="00132AA5" w:rsidRPr="00357722">
        <w:rPr>
          <w:rFonts w:ascii="Times New Roman" w:eastAsia="Times New Roman" w:hAnsi="Times New Roman" w:cs="Times New Roman"/>
          <w:i/>
          <w:color w:val="000000" w:themeColor="text1"/>
          <w:sz w:val="24"/>
          <w:szCs w:val="24"/>
        </w:rPr>
        <w:t xml:space="preserve">(4.3), </w:t>
      </w:r>
      <w:r w:rsidR="00555324" w:rsidRPr="00357722">
        <w:rPr>
          <w:rFonts w:ascii="Times New Roman" w:eastAsia="Times New Roman" w:hAnsi="Times New Roman" w:cs="Times New Roman"/>
          <w:i/>
          <w:color w:val="000000" w:themeColor="text1"/>
          <w:sz w:val="24"/>
          <w:szCs w:val="24"/>
        </w:rPr>
        <w:t xml:space="preserve">PSCGDP </w:t>
      </w:r>
      <w:r w:rsidR="00132AA5" w:rsidRPr="00357722">
        <w:rPr>
          <w:rFonts w:ascii="Times New Roman" w:eastAsia="Times New Roman" w:hAnsi="Times New Roman" w:cs="Times New Roman"/>
          <w:i/>
          <w:color w:val="000000" w:themeColor="text1"/>
          <w:sz w:val="24"/>
          <w:szCs w:val="24"/>
        </w:rPr>
        <w:t xml:space="preserve">(4.7), </w:t>
      </w:r>
      <w:r w:rsidR="00132AA5" w:rsidRPr="00357722">
        <w:rPr>
          <w:rFonts w:ascii="Times New Roman" w:eastAsia="Times New Roman" w:hAnsi="Times New Roman" w:cs="Times New Roman"/>
          <w:color w:val="000000" w:themeColor="text1"/>
          <w:sz w:val="24"/>
          <w:szCs w:val="24"/>
        </w:rPr>
        <w:t>and</w:t>
      </w:r>
      <w:r w:rsidR="00132AA5" w:rsidRPr="00357722">
        <w:rPr>
          <w:rFonts w:ascii="Times New Roman" w:eastAsia="Times New Roman" w:hAnsi="Times New Roman" w:cs="Times New Roman"/>
          <w:i/>
          <w:color w:val="000000" w:themeColor="text1"/>
          <w:sz w:val="24"/>
          <w:szCs w:val="24"/>
        </w:rPr>
        <w:t xml:space="preserve"> </w:t>
      </w:r>
      <w:r w:rsidR="00555324" w:rsidRPr="00357722">
        <w:rPr>
          <w:rFonts w:ascii="Times New Roman" w:eastAsia="Times New Roman" w:hAnsi="Times New Roman" w:cs="Times New Roman"/>
          <w:i/>
          <w:color w:val="000000" w:themeColor="text1"/>
          <w:sz w:val="24"/>
          <w:szCs w:val="24"/>
        </w:rPr>
        <w:t xml:space="preserve">DCPGDP </w:t>
      </w:r>
      <w:r w:rsidR="00132AA5" w:rsidRPr="00357722">
        <w:rPr>
          <w:rFonts w:ascii="Times New Roman" w:eastAsia="Times New Roman" w:hAnsi="Times New Roman" w:cs="Times New Roman"/>
          <w:i/>
          <w:color w:val="000000" w:themeColor="text1"/>
          <w:sz w:val="24"/>
          <w:szCs w:val="24"/>
        </w:rPr>
        <w:t xml:space="preserve">(4.7) </w:t>
      </w:r>
      <w:r w:rsidR="008170FD" w:rsidRPr="00357722">
        <w:rPr>
          <w:rFonts w:ascii="Times New Roman" w:eastAsia="Times New Roman" w:hAnsi="Times New Roman" w:cs="Times New Roman"/>
          <w:color w:val="000000" w:themeColor="text1"/>
          <w:sz w:val="24"/>
          <w:szCs w:val="24"/>
        </w:rPr>
        <w:t xml:space="preserve">are relatively </w:t>
      </w:r>
      <w:r w:rsidR="00132AA5" w:rsidRPr="00357722">
        <w:rPr>
          <w:rFonts w:ascii="Times New Roman" w:eastAsia="Times New Roman" w:hAnsi="Times New Roman" w:cs="Times New Roman"/>
          <w:color w:val="000000" w:themeColor="text1"/>
          <w:sz w:val="24"/>
          <w:szCs w:val="24"/>
        </w:rPr>
        <w:t xml:space="preserve">higher </w:t>
      </w:r>
      <w:r w:rsidR="00555324" w:rsidRPr="00357722">
        <w:rPr>
          <w:rFonts w:ascii="Times New Roman" w:eastAsia="Times New Roman" w:hAnsi="Times New Roman" w:cs="Times New Roman"/>
          <w:color w:val="000000" w:themeColor="text1"/>
          <w:sz w:val="24"/>
          <w:szCs w:val="24"/>
        </w:rPr>
        <w:t xml:space="preserve">relative to the mean values of emerging countries in Panel B of Table 1 </w:t>
      </w:r>
      <w:r w:rsidR="00555324" w:rsidRPr="00357722">
        <w:rPr>
          <w:rFonts w:ascii="Times New Roman" w:eastAsia="Times New Roman" w:hAnsi="Times New Roman" w:cs="Times New Roman"/>
          <w:i/>
          <w:color w:val="000000" w:themeColor="text1"/>
          <w:sz w:val="24"/>
          <w:szCs w:val="24"/>
        </w:rPr>
        <w:t>MCGDP</w:t>
      </w:r>
      <w:r w:rsidR="00555324" w:rsidRPr="00357722">
        <w:rPr>
          <w:rFonts w:ascii="Times New Roman" w:eastAsia="Times New Roman" w:hAnsi="Times New Roman" w:cs="Times New Roman"/>
          <w:color w:val="000000" w:themeColor="text1"/>
          <w:sz w:val="24"/>
          <w:szCs w:val="24"/>
        </w:rPr>
        <w:t xml:space="preserve"> (3.5), </w:t>
      </w:r>
      <w:r w:rsidR="00555324" w:rsidRPr="00357722">
        <w:rPr>
          <w:rFonts w:ascii="Times New Roman" w:eastAsia="Times New Roman" w:hAnsi="Times New Roman" w:cs="Times New Roman"/>
          <w:i/>
          <w:color w:val="000000" w:themeColor="text1"/>
          <w:sz w:val="24"/>
          <w:szCs w:val="24"/>
        </w:rPr>
        <w:t>PSCGDP</w:t>
      </w:r>
      <w:r w:rsidR="00555324" w:rsidRPr="00357722">
        <w:rPr>
          <w:rFonts w:ascii="Times New Roman" w:eastAsia="Times New Roman" w:hAnsi="Times New Roman" w:cs="Times New Roman"/>
          <w:color w:val="000000" w:themeColor="text1"/>
          <w:sz w:val="24"/>
          <w:szCs w:val="24"/>
        </w:rPr>
        <w:t xml:space="preserve"> (3.8), and </w:t>
      </w:r>
      <w:r w:rsidR="00555324" w:rsidRPr="00357722">
        <w:rPr>
          <w:rFonts w:ascii="Times New Roman" w:eastAsia="Times New Roman" w:hAnsi="Times New Roman" w:cs="Times New Roman"/>
          <w:i/>
          <w:color w:val="000000" w:themeColor="text1"/>
          <w:sz w:val="24"/>
          <w:szCs w:val="24"/>
        </w:rPr>
        <w:t>DCPGDP</w:t>
      </w:r>
      <w:r w:rsidR="00B8524C" w:rsidRPr="00357722">
        <w:rPr>
          <w:rFonts w:ascii="Times New Roman" w:eastAsia="Times New Roman" w:hAnsi="Times New Roman" w:cs="Times New Roman"/>
          <w:color w:val="000000" w:themeColor="text1"/>
          <w:sz w:val="24"/>
          <w:szCs w:val="24"/>
        </w:rPr>
        <w:t xml:space="preserve"> (3.7)</w:t>
      </w:r>
      <w:r w:rsidR="00132AA5" w:rsidRPr="00357722">
        <w:rPr>
          <w:rFonts w:ascii="Times New Roman" w:eastAsia="Times New Roman" w:hAnsi="Times New Roman" w:cs="Times New Roman"/>
          <w:color w:val="000000" w:themeColor="text1"/>
          <w:sz w:val="24"/>
          <w:szCs w:val="24"/>
        </w:rPr>
        <w:t xml:space="preserve">. </w:t>
      </w:r>
      <w:r w:rsidR="00B8524C" w:rsidRPr="00357722">
        <w:rPr>
          <w:rFonts w:ascii="Times New Roman" w:eastAsia="Times New Roman" w:hAnsi="Times New Roman" w:cs="Times New Roman"/>
          <w:color w:val="000000" w:themeColor="text1"/>
          <w:sz w:val="24"/>
          <w:szCs w:val="24"/>
        </w:rPr>
        <w:t>Interestingly</w:t>
      </w:r>
      <w:r w:rsidR="001B29AB" w:rsidRPr="00357722">
        <w:rPr>
          <w:rFonts w:ascii="Times New Roman" w:eastAsia="Times New Roman" w:hAnsi="Times New Roman" w:cs="Times New Roman"/>
          <w:color w:val="000000" w:themeColor="text1"/>
          <w:sz w:val="24"/>
          <w:szCs w:val="24"/>
        </w:rPr>
        <w:t xml:space="preserve">, </w:t>
      </w:r>
      <w:bookmarkStart w:id="0" w:name="_Hlk39721536"/>
      <w:r w:rsidR="001B29AB" w:rsidRPr="00357722">
        <w:rPr>
          <w:rFonts w:ascii="Times New Roman" w:eastAsia="Times New Roman" w:hAnsi="Times New Roman" w:cs="Times New Roman"/>
          <w:color w:val="000000" w:themeColor="text1"/>
          <w:sz w:val="24"/>
          <w:szCs w:val="24"/>
        </w:rPr>
        <w:t xml:space="preserve">the mean value of the international equity portfolio diversification in advanced </w:t>
      </w:r>
      <w:r w:rsidR="0008704A" w:rsidRPr="00357722">
        <w:rPr>
          <w:rFonts w:ascii="Times New Roman" w:eastAsia="Times New Roman" w:hAnsi="Times New Roman" w:cs="Times New Roman"/>
          <w:color w:val="000000" w:themeColor="text1"/>
          <w:sz w:val="24"/>
          <w:szCs w:val="24"/>
        </w:rPr>
        <w:t>economies</w:t>
      </w:r>
      <w:r w:rsidR="001B29AB" w:rsidRPr="00357722">
        <w:rPr>
          <w:rFonts w:ascii="Times New Roman" w:eastAsia="Times New Roman" w:hAnsi="Times New Roman" w:cs="Times New Roman"/>
          <w:color w:val="000000" w:themeColor="text1"/>
          <w:sz w:val="24"/>
          <w:szCs w:val="24"/>
        </w:rPr>
        <w:t xml:space="preserve"> (</w:t>
      </w:r>
      <w:r w:rsidR="00B8524C" w:rsidRPr="00357722">
        <w:rPr>
          <w:rFonts w:ascii="Times New Roman" w:eastAsia="Times New Roman" w:hAnsi="Times New Roman" w:cs="Times New Roman"/>
          <w:i/>
          <w:color w:val="000000" w:themeColor="text1"/>
          <w:sz w:val="24"/>
          <w:szCs w:val="24"/>
        </w:rPr>
        <w:t>IEPD</w:t>
      </w:r>
      <w:r w:rsidR="00B8524C" w:rsidRPr="00357722">
        <w:rPr>
          <w:rFonts w:ascii="Times New Roman" w:eastAsia="Times New Roman" w:hAnsi="Times New Roman" w:cs="Times New Roman"/>
          <w:color w:val="000000" w:themeColor="text1"/>
          <w:sz w:val="24"/>
          <w:szCs w:val="24"/>
        </w:rPr>
        <w:t xml:space="preserve"> </w:t>
      </w:r>
      <w:r w:rsidR="001B29AB" w:rsidRPr="00357722">
        <w:rPr>
          <w:rFonts w:ascii="Times New Roman" w:eastAsia="Times New Roman" w:hAnsi="Times New Roman" w:cs="Times New Roman"/>
          <w:color w:val="000000" w:themeColor="text1"/>
          <w:sz w:val="24"/>
          <w:szCs w:val="24"/>
        </w:rPr>
        <w:t xml:space="preserve">= -2.9) is </w:t>
      </w:r>
      <w:bookmarkEnd w:id="0"/>
      <w:r w:rsidR="00B8524C" w:rsidRPr="00357722">
        <w:rPr>
          <w:rFonts w:ascii="Times New Roman" w:eastAsia="Times New Roman" w:hAnsi="Times New Roman" w:cs="Times New Roman"/>
          <w:color w:val="000000" w:themeColor="text1"/>
          <w:sz w:val="24"/>
          <w:szCs w:val="24"/>
        </w:rPr>
        <w:t xml:space="preserve">higher than the mean of emerging countries of -4.8. This provides </w:t>
      </w:r>
      <w:r w:rsidR="00E30532">
        <w:rPr>
          <w:rFonts w:ascii="Times New Roman" w:eastAsia="Times New Roman" w:hAnsi="Times New Roman" w:cs="Times New Roman"/>
          <w:color w:val="000000" w:themeColor="text1"/>
          <w:sz w:val="24"/>
          <w:szCs w:val="24"/>
        </w:rPr>
        <w:t xml:space="preserve">an </w:t>
      </w:r>
      <w:r w:rsidR="00B8524C" w:rsidRPr="00357722">
        <w:rPr>
          <w:rFonts w:ascii="Times New Roman" w:eastAsia="Times New Roman" w:hAnsi="Times New Roman" w:cs="Times New Roman"/>
          <w:color w:val="000000" w:themeColor="text1"/>
          <w:sz w:val="24"/>
          <w:szCs w:val="24"/>
        </w:rPr>
        <w:t xml:space="preserve">early indication that ceteris </w:t>
      </w:r>
      <w:r w:rsidR="00B96E08" w:rsidRPr="00357722">
        <w:rPr>
          <w:rFonts w:ascii="Times New Roman" w:eastAsia="Times New Roman" w:hAnsi="Times New Roman" w:cs="Times New Roman"/>
          <w:color w:val="000000" w:themeColor="text1"/>
          <w:sz w:val="24"/>
          <w:szCs w:val="24"/>
        </w:rPr>
        <w:t>paribus</w:t>
      </w:r>
      <w:r w:rsidR="00B8524C" w:rsidRPr="00357722">
        <w:rPr>
          <w:rFonts w:ascii="Times New Roman" w:eastAsia="Times New Roman" w:hAnsi="Times New Roman" w:cs="Times New Roman"/>
          <w:color w:val="000000" w:themeColor="text1"/>
          <w:sz w:val="24"/>
          <w:szCs w:val="24"/>
        </w:rPr>
        <w:t xml:space="preserve">, countries that attract higher international capital experience </w:t>
      </w:r>
      <w:r w:rsidR="00B8524C" w:rsidRPr="00357722">
        <w:rPr>
          <w:rFonts w:ascii="Times New Roman" w:eastAsia="Times New Roman" w:hAnsi="Times New Roman" w:cs="Times New Roman"/>
          <w:color w:val="000000" w:themeColor="text1"/>
          <w:sz w:val="24"/>
          <w:szCs w:val="24"/>
        </w:rPr>
        <w:lastRenderedPageBreak/>
        <w:t>better financial development. Further analysis shows that developed countries on average have the most</w:t>
      </w:r>
      <w:r w:rsidR="0008704A" w:rsidRPr="00357722">
        <w:rPr>
          <w:rFonts w:ascii="Times New Roman" w:eastAsia="Times New Roman" w:hAnsi="Times New Roman" w:cs="Times New Roman"/>
          <w:color w:val="000000" w:themeColor="text1"/>
          <w:sz w:val="24"/>
          <w:szCs w:val="24"/>
        </w:rPr>
        <w:t xml:space="preserve"> </w:t>
      </w:r>
      <w:r w:rsidR="001B29AB" w:rsidRPr="00357722">
        <w:rPr>
          <w:rFonts w:ascii="Times New Roman" w:eastAsia="Times New Roman" w:hAnsi="Times New Roman" w:cs="Times New Roman"/>
          <w:color w:val="000000" w:themeColor="text1"/>
          <w:sz w:val="24"/>
          <w:szCs w:val="24"/>
        </w:rPr>
        <w:t xml:space="preserve">transparent </w:t>
      </w:r>
      <w:r w:rsidR="00BF5598" w:rsidRPr="00357722">
        <w:rPr>
          <w:rFonts w:ascii="Times New Roman" w:eastAsia="Times New Roman" w:hAnsi="Times New Roman" w:cs="Times New Roman"/>
          <w:color w:val="000000" w:themeColor="text1"/>
          <w:sz w:val="24"/>
          <w:szCs w:val="24"/>
        </w:rPr>
        <w:t>central banks</w:t>
      </w:r>
      <w:r w:rsidR="001B29AB" w:rsidRPr="00357722">
        <w:rPr>
          <w:rFonts w:ascii="Times New Roman" w:eastAsia="Times New Roman" w:hAnsi="Times New Roman" w:cs="Times New Roman"/>
          <w:color w:val="000000" w:themeColor="text1"/>
          <w:sz w:val="24"/>
          <w:szCs w:val="24"/>
        </w:rPr>
        <w:t xml:space="preserve"> </w:t>
      </w:r>
      <w:r w:rsidR="0008704A" w:rsidRPr="00357722">
        <w:rPr>
          <w:rFonts w:ascii="Times New Roman" w:eastAsia="Times New Roman" w:hAnsi="Times New Roman" w:cs="Times New Roman"/>
          <w:color w:val="000000" w:themeColor="text1"/>
          <w:sz w:val="24"/>
          <w:szCs w:val="24"/>
        </w:rPr>
        <w:t>(</w:t>
      </w:r>
      <w:r w:rsidR="001B29AB" w:rsidRPr="00357722">
        <w:rPr>
          <w:rFonts w:ascii="Times New Roman" w:eastAsia="Times New Roman" w:hAnsi="Times New Roman" w:cs="Times New Roman"/>
          <w:color w:val="000000" w:themeColor="text1"/>
          <w:sz w:val="24"/>
          <w:szCs w:val="24"/>
        </w:rPr>
        <w:t xml:space="preserve">with </w:t>
      </w:r>
      <w:r w:rsidR="00E30532">
        <w:rPr>
          <w:rFonts w:ascii="Times New Roman" w:eastAsia="Times New Roman" w:hAnsi="Times New Roman" w:cs="Times New Roman"/>
          <w:color w:val="000000" w:themeColor="text1"/>
          <w:sz w:val="24"/>
          <w:szCs w:val="24"/>
        </w:rPr>
        <w:t xml:space="preserve">a </w:t>
      </w:r>
      <w:r w:rsidR="001B29AB" w:rsidRPr="00357722">
        <w:rPr>
          <w:rFonts w:ascii="Times New Roman" w:eastAsia="Times New Roman" w:hAnsi="Times New Roman" w:cs="Times New Roman"/>
          <w:color w:val="000000" w:themeColor="text1"/>
          <w:sz w:val="24"/>
          <w:szCs w:val="24"/>
        </w:rPr>
        <w:t xml:space="preserve">mean </w:t>
      </w:r>
      <w:r w:rsidR="001B29AB" w:rsidRPr="00357722">
        <w:rPr>
          <w:rFonts w:ascii="Times New Roman" w:eastAsia="Times New Roman" w:hAnsi="Times New Roman" w:cs="Times New Roman"/>
          <w:i/>
          <w:color w:val="000000" w:themeColor="text1"/>
          <w:sz w:val="24"/>
          <w:szCs w:val="24"/>
        </w:rPr>
        <w:t>CBT</w:t>
      </w:r>
      <w:r w:rsidR="001B29AB" w:rsidRPr="00357722">
        <w:rPr>
          <w:rFonts w:ascii="Times New Roman" w:eastAsia="Times New Roman" w:hAnsi="Times New Roman" w:cs="Times New Roman"/>
          <w:color w:val="000000" w:themeColor="text1"/>
          <w:sz w:val="24"/>
          <w:szCs w:val="24"/>
        </w:rPr>
        <w:t xml:space="preserve"> value of 10.2</w:t>
      </w:r>
      <w:r w:rsidR="0008704A" w:rsidRPr="00357722">
        <w:rPr>
          <w:rFonts w:ascii="Times New Roman" w:eastAsia="Times New Roman" w:hAnsi="Times New Roman" w:cs="Times New Roman"/>
          <w:color w:val="000000" w:themeColor="text1"/>
          <w:sz w:val="24"/>
          <w:szCs w:val="24"/>
        </w:rPr>
        <w:t>)</w:t>
      </w:r>
      <w:r w:rsidR="00BF5598" w:rsidRPr="00357722">
        <w:rPr>
          <w:rFonts w:ascii="Times New Roman" w:eastAsia="Times New Roman" w:hAnsi="Times New Roman" w:cs="Times New Roman"/>
          <w:color w:val="000000" w:themeColor="text1"/>
          <w:sz w:val="24"/>
          <w:szCs w:val="24"/>
        </w:rPr>
        <w:t xml:space="preserve">, </w:t>
      </w:r>
      <w:r w:rsidR="001B29AB" w:rsidRPr="00357722">
        <w:rPr>
          <w:rFonts w:ascii="Times New Roman" w:eastAsia="Times New Roman" w:hAnsi="Times New Roman" w:cs="Times New Roman"/>
          <w:color w:val="000000" w:themeColor="text1"/>
          <w:sz w:val="24"/>
          <w:szCs w:val="24"/>
        </w:rPr>
        <w:t xml:space="preserve">compared </w:t>
      </w:r>
      <w:r w:rsidR="0008704A" w:rsidRPr="00357722">
        <w:rPr>
          <w:rFonts w:ascii="Times New Roman" w:eastAsia="Times New Roman" w:hAnsi="Times New Roman" w:cs="Times New Roman"/>
          <w:color w:val="000000" w:themeColor="text1"/>
          <w:sz w:val="24"/>
          <w:szCs w:val="24"/>
        </w:rPr>
        <w:t>to</w:t>
      </w:r>
      <w:r w:rsidR="001B29AB" w:rsidRPr="00357722">
        <w:rPr>
          <w:rFonts w:ascii="Times New Roman" w:eastAsia="Times New Roman" w:hAnsi="Times New Roman" w:cs="Times New Roman"/>
          <w:color w:val="000000" w:themeColor="text1"/>
          <w:sz w:val="24"/>
          <w:szCs w:val="24"/>
        </w:rPr>
        <w:t xml:space="preserve"> </w:t>
      </w:r>
      <w:r w:rsidR="00BF5598" w:rsidRPr="00357722">
        <w:rPr>
          <w:rFonts w:ascii="Times New Roman" w:eastAsia="Times New Roman" w:hAnsi="Times New Roman" w:cs="Times New Roman"/>
          <w:color w:val="000000" w:themeColor="text1"/>
          <w:sz w:val="24"/>
          <w:szCs w:val="24"/>
        </w:rPr>
        <w:t>emerging countries</w:t>
      </w:r>
      <w:r w:rsidR="001B29AB" w:rsidRPr="00357722">
        <w:rPr>
          <w:rFonts w:ascii="Times New Roman" w:eastAsia="Times New Roman" w:hAnsi="Times New Roman" w:cs="Times New Roman"/>
          <w:color w:val="000000" w:themeColor="text1"/>
          <w:sz w:val="24"/>
          <w:szCs w:val="24"/>
        </w:rPr>
        <w:t xml:space="preserve"> </w:t>
      </w:r>
      <w:r w:rsidR="0008704A" w:rsidRPr="00357722">
        <w:rPr>
          <w:rFonts w:ascii="Times New Roman" w:eastAsia="Times New Roman" w:hAnsi="Times New Roman" w:cs="Times New Roman"/>
          <w:color w:val="000000" w:themeColor="text1"/>
          <w:sz w:val="24"/>
          <w:szCs w:val="24"/>
        </w:rPr>
        <w:t>(</w:t>
      </w:r>
      <w:r w:rsidR="001B29AB" w:rsidRPr="00357722">
        <w:rPr>
          <w:rFonts w:ascii="Times New Roman" w:eastAsia="Times New Roman" w:hAnsi="Times New Roman" w:cs="Times New Roman"/>
          <w:color w:val="000000" w:themeColor="text1"/>
          <w:sz w:val="24"/>
          <w:szCs w:val="24"/>
        </w:rPr>
        <w:t xml:space="preserve">with </w:t>
      </w:r>
      <w:r w:rsidR="00E469EF" w:rsidRPr="00357722">
        <w:rPr>
          <w:rFonts w:ascii="Times New Roman" w:eastAsia="Times New Roman" w:hAnsi="Times New Roman" w:cs="Times New Roman"/>
          <w:color w:val="000000" w:themeColor="text1"/>
          <w:sz w:val="24"/>
          <w:szCs w:val="24"/>
        </w:rPr>
        <w:t xml:space="preserve">a </w:t>
      </w:r>
      <w:r w:rsidR="001B29AB" w:rsidRPr="00357722">
        <w:rPr>
          <w:rFonts w:ascii="Times New Roman" w:eastAsia="Times New Roman" w:hAnsi="Times New Roman" w:cs="Times New Roman"/>
          <w:color w:val="000000" w:themeColor="text1"/>
          <w:sz w:val="24"/>
          <w:szCs w:val="24"/>
        </w:rPr>
        <w:t xml:space="preserve">mean </w:t>
      </w:r>
      <w:r w:rsidR="001B29AB" w:rsidRPr="00357722">
        <w:rPr>
          <w:rFonts w:ascii="Times New Roman" w:eastAsia="Times New Roman" w:hAnsi="Times New Roman" w:cs="Times New Roman"/>
          <w:i/>
          <w:color w:val="000000" w:themeColor="text1"/>
          <w:sz w:val="24"/>
          <w:szCs w:val="24"/>
        </w:rPr>
        <w:t>CBT</w:t>
      </w:r>
      <w:r w:rsidR="001B29AB" w:rsidRPr="00357722">
        <w:rPr>
          <w:rFonts w:ascii="Times New Roman" w:eastAsia="Times New Roman" w:hAnsi="Times New Roman" w:cs="Times New Roman"/>
          <w:color w:val="000000" w:themeColor="text1"/>
          <w:sz w:val="24"/>
          <w:szCs w:val="24"/>
        </w:rPr>
        <w:t xml:space="preserve"> value of 6.8</w:t>
      </w:r>
      <w:r w:rsidR="0008704A" w:rsidRPr="00357722">
        <w:rPr>
          <w:rFonts w:ascii="Times New Roman" w:eastAsia="Times New Roman" w:hAnsi="Times New Roman" w:cs="Times New Roman"/>
          <w:color w:val="000000" w:themeColor="text1"/>
          <w:sz w:val="24"/>
          <w:szCs w:val="24"/>
        </w:rPr>
        <w:t>)</w:t>
      </w:r>
      <w:r w:rsidR="001B29AB" w:rsidRPr="00357722">
        <w:rPr>
          <w:rFonts w:ascii="Times New Roman" w:eastAsia="Times New Roman" w:hAnsi="Times New Roman" w:cs="Times New Roman"/>
          <w:color w:val="000000" w:themeColor="text1"/>
          <w:sz w:val="24"/>
          <w:szCs w:val="24"/>
        </w:rPr>
        <w:t>.</w:t>
      </w:r>
      <w:r w:rsidR="00586761" w:rsidRPr="00357722">
        <w:rPr>
          <w:rFonts w:ascii="Times New Roman" w:eastAsia="Times New Roman" w:hAnsi="Times New Roman" w:cs="Times New Roman"/>
          <w:color w:val="000000" w:themeColor="text1"/>
          <w:sz w:val="24"/>
          <w:szCs w:val="24"/>
        </w:rPr>
        <w:t xml:space="preserve"> </w:t>
      </w:r>
      <w:bookmarkStart w:id="1" w:name="_Hlk39721752"/>
      <w:r w:rsidR="00BF5598" w:rsidRPr="00357722">
        <w:rPr>
          <w:rFonts w:ascii="Times New Roman" w:eastAsia="Times New Roman" w:hAnsi="Times New Roman" w:cs="Times New Roman"/>
          <w:color w:val="000000" w:themeColor="text1"/>
          <w:sz w:val="24"/>
          <w:szCs w:val="24"/>
        </w:rPr>
        <w:t>Government integrity is higher in developed countries (</w:t>
      </w:r>
      <w:r w:rsidR="005B6FFF" w:rsidRPr="00357722">
        <w:rPr>
          <w:rFonts w:ascii="Times New Roman" w:eastAsia="Times New Roman" w:hAnsi="Times New Roman" w:cs="Times New Roman"/>
          <w:i/>
          <w:color w:val="000000" w:themeColor="text1"/>
          <w:sz w:val="24"/>
          <w:szCs w:val="24"/>
        </w:rPr>
        <w:t>EF</w:t>
      </w:r>
      <w:r w:rsidR="00A96FCC" w:rsidRPr="00357722">
        <w:rPr>
          <w:rFonts w:ascii="Times New Roman" w:eastAsia="Times New Roman" w:hAnsi="Times New Roman" w:cs="Times New Roman"/>
          <w:i/>
          <w:color w:val="000000" w:themeColor="text1"/>
          <w:sz w:val="24"/>
          <w:szCs w:val="24"/>
        </w:rPr>
        <w:t xml:space="preserve"> </w:t>
      </w:r>
      <w:r w:rsidR="00BF5598" w:rsidRPr="00357722">
        <w:rPr>
          <w:rFonts w:ascii="Times New Roman" w:eastAsia="Times New Roman" w:hAnsi="Times New Roman" w:cs="Times New Roman"/>
          <w:color w:val="000000" w:themeColor="text1"/>
          <w:sz w:val="24"/>
          <w:szCs w:val="24"/>
        </w:rPr>
        <w:t>=</w:t>
      </w:r>
      <w:r w:rsidR="00A96FCC" w:rsidRPr="00357722">
        <w:rPr>
          <w:rFonts w:ascii="Times New Roman" w:eastAsia="Times New Roman" w:hAnsi="Times New Roman" w:cs="Times New Roman"/>
          <w:color w:val="000000" w:themeColor="text1"/>
          <w:sz w:val="24"/>
          <w:szCs w:val="24"/>
        </w:rPr>
        <w:t xml:space="preserve"> </w:t>
      </w:r>
      <w:r w:rsidR="00BF5598" w:rsidRPr="00357722">
        <w:rPr>
          <w:rFonts w:ascii="Times New Roman" w:eastAsia="Times New Roman" w:hAnsi="Times New Roman" w:cs="Times New Roman"/>
          <w:color w:val="000000" w:themeColor="text1"/>
          <w:sz w:val="24"/>
          <w:szCs w:val="24"/>
        </w:rPr>
        <w:t>77.7) re</w:t>
      </w:r>
      <w:r w:rsidR="005B6FFF" w:rsidRPr="00357722">
        <w:rPr>
          <w:rFonts w:ascii="Times New Roman" w:eastAsia="Times New Roman" w:hAnsi="Times New Roman" w:cs="Times New Roman"/>
          <w:color w:val="000000" w:themeColor="text1"/>
          <w:sz w:val="24"/>
          <w:szCs w:val="24"/>
        </w:rPr>
        <w:t>lative to emerging countries (</w:t>
      </w:r>
      <w:r w:rsidR="005B6FFF" w:rsidRPr="00357722">
        <w:rPr>
          <w:rFonts w:ascii="Times New Roman" w:eastAsia="Times New Roman" w:hAnsi="Times New Roman" w:cs="Times New Roman"/>
          <w:i/>
          <w:color w:val="000000" w:themeColor="text1"/>
          <w:sz w:val="24"/>
          <w:szCs w:val="24"/>
        </w:rPr>
        <w:t>EF</w:t>
      </w:r>
      <w:r w:rsidR="00A96FCC" w:rsidRPr="00357722">
        <w:rPr>
          <w:rFonts w:ascii="Times New Roman" w:eastAsia="Times New Roman" w:hAnsi="Times New Roman" w:cs="Times New Roman"/>
          <w:i/>
          <w:color w:val="000000" w:themeColor="text1"/>
          <w:sz w:val="24"/>
          <w:szCs w:val="24"/>
        </w:rPr>
        <w:t xml:space="preserve"> </w:t>
      </w:r>
      <w:r w:rsidR="00BF5598" w:rsidRPr="00357722">
        <w:rPr>
          <w:rFonts w:ascii="Times New Roman" w:eastAsia="Times New Roman" w:hAnsi="Times New Roman" w:cs="Times New Roman"/>
          <w:color w:val="000000" w:themeColor="text1"/>
          <w:sz w:val="24"/>
          <w:szCs w:val="24"/>
        </w:rPr>
        <w:t>=</w:t>
      </w:r>
      <w:r w:rsidR="00A96FCC" w:rsidRPr="00357722">
        <w:rPr>
          <w:rFonts w:ascii="Times New Roman" w:eastAsia="Times New Roman" w:hAnsi="Times New Roman" w:cs="Times New Roman"/>
          <w:color w:val="000000" w:themeColor="text1"/>
          <w:sz w:val="24"/>
          <w:szCs w:val="24"/>
        </w:rPr>
        <w:t xml:space="preserve"> </w:t>
      </w:r>
      <w:r w:rsidR="00BF5598" w:rsidRPr="00357722">
        <w:rPr>
          <w:rFonts w:ascii="Times New Roman" w:eastAsia="Times New Roman" w:hAnsi="Times New Roman" w:cs="Times New Roman"/>
          <w:color w:val="000000" w:themeColor="text1"/>
          <w:sz w:val="24"/>
          <w:szCs w:val="24"/>
        </w:rPr>
        <w:t>38.5).</w:t>
      </w:r>
      <w:r w:rsidR="00B94C82" w:rsidRPr="00357722">
        <w:rPr>
          <w:rFonts w:ascii="Times New Roman" w:eastAsia="Times New Roman" w:hAnsi="Times New Roman" w:cs="Times New Roman"/>
          <w:color w:val="000000" w:themeColor="text1"/>
          <w:sz w:val="24"/>
          <w:szCs w:val="24"/>
        </w:rPr>
        <w:t xml:space="preserve"> </w:t>
      </w:r>
      <w:r w:rsidR="00BF5598" w:rsidRPr="00357722">
        <w:rPr>
          <w:rFonts w:ascii="Times New Roman" w:eastAsia="Times New Roman" w:hAnsi="Times New Roman" w:cs="Times New Roman"/>
          <w:color w:val="000000" w:themeColor="text1"/>
          <w:sz w:val="24"/>
          <w:szCs w:val="24"/>
        </w:rPr>
        <w:t xml:space="preserve">There </w:t>
      </w:r>
      <w:r w:rsidR="00E30532">
        <w:rPr>
          <w:rFonts w:ascii="Times New Roman" w:eastAsia="Times New Roman" w:hAnsi="Times New Roman" w:cs="Times New Roman"/>
          <w:color w:val="000000" w:themeColor="text1"/>
          <w:sz w:val="24"/>
          <w:szCs w:val="24"/>
        </w:rPr>
        <w:t>are</w:t>
      </w:r>
      <w:r w:rsidR="00E30532" w:rsidRPr="00357722">
        <w:rPr>
          <w:rFonts w:ascii="Times New Roman" w:eastAsia="Times New Roman" w:hAnsi="Times New Roman" w:cs="Times New Roman"/>
          <w:color w:val="000000" w:themeColor="text1"/>
          <w:sz w:val="24"/>
          <w:szCs w:val="24"/>
        </w:rPr>
        <w:t xml:space="preserve"> </w:t>
      </w:r>
      <w:r w:rsidR="00BF5598" w:rsidRPr="00357722">
        <w:rPr>
          <w:rFonts w:ascii="Times New Roman" w:eastAsia="Times New Roman" w:hAnsi="Times New Roman" w:cs="Times New Roman"/>
          <w:color w:val="000000" w:themeColor="text1"/>
          <w:sz w:val="24"/>
          <w:szCs w:val="24"/>
        </w:rPr>
        <w:t>significant cr</w:t>
      </w:r>
      <w:r w:rsidR="005B6FFF" w:rsidRPr="00357722">
        <w:rPr>
          <w:rFonts w:ascii="Times New Roman" w:eastAsia="Times New Roman" w:hAnsi="Times New Roman" w:cs="Times New Roman"/>
          <w:color w:val="000000" w:themeColor="text1"/>
          <w:sz w:val="24"/>
          <w:szCs w:val="24"/>
        </w:rPr>
        <w:t xml:space="preserve">oss-country variations in the </w:t>
      </w:r>
      <w:r w:rsidR="005B6FFF" w:rsidRPr="00357722">
        <w:rPr>
          <w:rFonts w:ascii="Times New Roman" w:eastAsia="Times New Roman" w:hAnsi="Times New Roman" w:cs="Times New Roman"/>
          <w:i/>
          <w:color w:val="000000" w:themeColor="text1"/>
          <w:sz w:val="24"/>
          <w:szCs w:val="24"/>
        </w:rPr>
        <w:t>EF</w:t>
      </w:r>
      <w:r w:rsidR="00BF5598" w:rsidRPr="00357722">
        <w:rPr>
          <w:rFonts w:ascii="Times New Roman" w:eastAsia="Times New Roman" w:hAnsi="Times New Roman" w:cs="Times New Roman"/>
          <w:color w:val="000000" w:themeColor="text1"/>
          <w:sz w:val="24"/>
          <w:szCs w:val="24"/>
        </w:rPr>
        <w:t xml:space="preserve"> </w:t>
      </w:r>
      <w:bookmarkEnd w:id="1"/>
      <w:r w:rsidR="00BF5598" w:rsidRPr="00357722">
        <w:rPr>
          <w:rFonts w:ascii="Times New Roman" w:eastAsia="Times New Roman" w:hAnsi="Times New Roman" w:cs="Times New Roman"/>
          <w:color w:val="000000" w:themeColor="text1"/>
          <w:sz w:val="24"/>
          <w:szCs w:val="24"/>
        </w:rPr>
        <w:t xml:space="preserve">ranging from </w:t>
      </w:r>
      <w:r w:rsidR="00512FDA" w:rsidRPr="00357722">
        <w:rPr>
          <w:rFonts w:ascii="Times New Roman" w:eastAsia="Times New Roman" w:hAnsi="Times New Roman" w:cs="Times New Roman"/>
          <w:color w:val="000000" w:themeColor="text1"/>
          <w:sz w:val="24"/>
          <w:szCs w:val="24"/>
        </w:rPr>
        <w:t xml:space="preserve">Denmark </w:t>
      </w:r>
      <w:r w:rsidR="00C404C7" w:rsidRPr="00357722">
        <w:rPr>
          <w:rFonts w:ascii="Times New Roman" w:eastAsia="Times New Roman" w:hAnsi="Times New Roman" w:cs="Times New Roman"/>
          <w:color w:val="000000" w:themeColor="text1"/>
          <w:sz w:val="24"/>
          <w:szCs w:val="24"/>
        </w:rPr>
        <w:t xml:space="preserve">94.48 </w:t>
      </w:r>
      <w:r w:rsidR="00BF5598" w:rsidRPr="00357722">
        <w:rPr>
          <w:rFonts w:ascii="Times New Roman" w:eastAsia="Times New Roman" w:hAnsi="Times New Roman" w:cs="Times New Roman"/>
          <w:color w:val="000000" w:themeColor="text1"/>
          <w:sz w:val="24"/>
          <w:szCs w:val="24"/>
        </w:rPr>
        <w:t>to Ukrain</w:t>
      </w:r>
      <w:r w:rsidR="00B96E08" w:rsidRPr="00357722">
        <w:rPr>
          <w:rFonts w:ascii="Times New Roman" w:eastAsia="Times New Roman" w:hAnsi="Times New Roman" w:cs="Times New Roman"/>
          <w:color w:val="000000" w:themeColor="text1"/>
          <w:sz w:val="24"/>
          <w:szCs w:val="24"/>
        </w:rPr>
        <w:t>e</w:t>
      </w:r>
      <w:r w:rsidR="005B01F6" w:rsidRPr="00357722">
        <w:rPr>
          <w:rFonts w:ascii="Times New Roman" w:eastAsia="Times New Roman" w:hAnsi="Times New Roman" w:cs="Times New Roman"/>
          <w:color w:val="000000" w:themeColor="text1"/>
          <w:sz w:val="24"/>
          <w:szCs w:val="24"/>
        </w:rPr>
        <w:t xml:space="preserve"> 23.68.</w:t>
      </w:r>
      <w:r w:rsidR="00C404C7" w:rsidRPr="00357722">
        <w:rPr>
          <w:rFonts w:ascii="Times New Roman" w:eastAsia="Times New Roman" w:hAnsi="Times New Roman" w:cs="Times New Roman"/>
          <w:color w:val="000000" w:themeColor="text1"/>
          <w:sz w:val="24"/>
          <w:szCs w:val="24"/>
        </w:rPr>
        <w:t xml:space="preserve"> </w:t>
      </w:r>
    </w:p>
    <w:p w14:paraId="3B9D65E2" w14:textId="186D5097" w:rsidR="000B0B60" w:rsidRPr="00357722" w:rsidRDefault="008F4EC8" w:rsidP="008F4EC8">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1 about here..............</w:t>
      </w:r>
    </w:p>
    <w:p w14:paraId="73524652" w14:textId="1B03CBC1" w:rsidR="00B94C82" w:rsidRPr="00357722" w:rsidRDefault="00BF5598" w:rsidP="00B94C82">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Table 2</w:t>
      </w:r>
      <w:r w:rsidR="00C6720D" w:rsidRPr="00357722">
        <w:rPr>
          <w:rFonts w:ascii="Times New Roman" w:eastAsia="Times New Roman" w:hAnsi="Times New Roman" w:cs="Times New Roman"/>
          <w:color w:val="000000" w:themeColor="text1"/>
          <w:sz w:val="24"/>
          <w:szCs w:val="24"/>
        </w:rPr>
        <w:t xml:space="preserve"> report</w:t>
      </w:r>
      <w:r w:rsidRPr="00357722">
        <w:rPr>
          <w:rFonts w:ascii="Times New Roman" w:eastAsia="Times New Roman" w:hAnsi="Times New Roman" w:cs="Times New Roman"/>
          <w:color w:val="000000" w:themeColor="text1"/>
          <w:sz w:val="24"/>
          <w:szCs w:val="24"/>
        </w:rPr>
        <w:t>s</w:t>
      </w:r>
      <w:r w:rsidR="00C6720D" w:rsidRPr="00357722">
        <w:rPr>
          <w:rFonts w:ascii="Times New Roman" w:eastAsia="Times New Roman" w:hAnsi="Times New Roman" w:cs="Times New Roman"/>
          <w:color w:val="000000" w:themeColor="text1"/>
          <w:sz w:val="24"/>
          <w:szCs w:val="24"/>
        </w:rPr>
        <w:t xml:space="preserve"> </w:t>
      </w:r>
      <w:r w:rsidR="00ED03A2" w:rsidRPr="00357722">
        <w:rPr>
          <w:rFonts w:ascii="Times New Roman" w:eastAsia="Times New Roman" w:hAnsi="Times New Roman" w:cs="Times New Roman"/>
          <w:color w:val="000000" w:themeColor="text1"/>
          <w:sz w:val="24"/>
          <w:szCs w:val="24"/>
        </w:rPr>
        <w:t>the summary statistics of the control variables</w:t>
      </w:r>
      <w:r w:rsidR="00C6720D" w:rsidRPr="00357722">
        <w:rPr>
          <w:rFonts w:ascii="Times New Roman" w:eastAsia="Times New Roman" w:hAnsi="Times New Roman" w:cs="Times New Roman"/>
          <w:color w:val="000000" w:themeColor="text1"/>
          <w:sz w:val="24"/>
          <w:szCs w:val="24"/>
        </w:rPr>
        <w:t xml:space="preserve"> </w:t>
      </w:r>
      <w:r w:rsidR="00FC3903" w:rsidRPr="00357722">
        <w:rPr>
          <w:rFonts w:ascii="Times New Roman" w:eastAsia="Times New Roman" w:hAnsi="Times New Roman" w:cs="Times New Roman"/>
          <w:color w:val="000000" w:themeColor="text1"/>
          <w:sz w:val="24"/>
          <w:szCs w:val="24"/>
        </w:rPr>
        <w:t xml:space="preserve">at </w:t>
      </w:r>
      <w:r w:rsidR="00E30532">
        <w:rPr>
          <w:rFonts w:ascii="Times New Roman" w:eastAsia="Times New Roman" w:hAnsi="Times New Roman" w:cs="Times New Roman"/>
          <w:color w:val="000000" w:themeColor="text1"/>
          <w:sz w:val="24"/>
          <w:szCs w:val="24"/>
        </w:rPr>
        <w:t xml:space="preserve">the </w:t>
      </w:r>
      <w:r w:rsidR="00FC3903" w:rsidRPr="00357722">
        <w:rPr>
          <w:rFonts w:ascii="Times New Roman" w:eastAsia="Times New Roman" w:hAnsi="Times New Roman" w:cs="Times New Roman"/>
          <w:color w:val="000000" w:themeColor="text1"/>
          <w:sz w:val="24"/>
          <w:szCs w:val="24"/>
        </w:rPr>
        <w:t>country-level in Panel A (developed countries) and Panel B (emerging countries)</w:t>
      </w:r>
      <w:r w:rsidR="00B94C82" w:rsidRPr="00357722">
        <w:rPr>
          <w:rFonts w:ascii="Times New Roman" w:eastAsia="Times New Roman" w:hAnsi="Times New Roman" w:cs="Times New Roman"/>
          <w:color w:val="000000" w:themeColor="text1"/>
          <w:sz w:val="24"/>
          <w:szCs w:val="24"/>
        </w:rPr>
        <w:t xml:space="preserve"> </w:t>
      </w:r>
      <w:r w:rsidR="000B0B60" w:rsidRPr="00357722">
        <w:rPr>
          <w:rFonts w:ascii="Times New Roman" w:eastAsia="Times New Roman" w:hAnsi="Times New Roman" w:cs="Times New Roman"/>
          <w:color w:val="000000" w:themeColor="text1"/>
          <w:sz w:val="24"/>
          <w:szCs w:val="24"/>
        </w:rPr>
        <w:t>use</w:t>
      </w:r>
      <w:r w:rsidR="00D36BF6">
        <w:rPr>
          <w:rFonts w:ascii="Times New Roman" w:eastAsia="Times New Roman" w:hAnsi="Times New Roman" w:cs="Times New Roman"/>
          <w:color w:val="000000" w:themeColor="text1"/>
          <w:sz w:val="24"/>
          <w:szCs w:val="24"/>
        </w:rPr>
        <w:t>d</w:t>
      </w:r>
      <w:r w:rsidR="000B0B60" w:rsidRPr="00357722">
        <w:rPr>
          <w:rFonts w:ascii="Times New Roman" w:eastAsia="Times New Roman" w:hAnsi="Times New Roman" w:cs="Times New Roman"/>
          <w:color w:val="000000" w:themeColor="text1"/>
          <w:sz w:val="24"/>
          <w:szCs w:val="24"/>
        </w:rPr>
        <w:t xml:space="preserve"> in the study</w:t>
      </w:r>
      <w:r w:rsidR="00C6720D" w:rsidRPr="00357722">
        <w:rPr>
          <w:rFonts w:ascii="Times New Roman" w:eastAsia="Times New Roman" w:hAnsi="Times New Roman" w:cs="Times New Roman"/>
          <w:color w:val="000000" w:themeColor="text1"/>
          <w:sz w:val="24"/>
          <w:szCs w:val="24"/>
        </w:rPr>
        <w:t>.</w:t>
      </w:r>
      <w:r w:rsidR="00ED03A2" w:rsidRPr="00357722">
        <w:rPr>
          <w:rFonts w:ascii="Times New Roman" w:eastAsia="Times New Roman" w:hAnsi="Times New Roman" w:cs="Times New Roman"/>
          <w:color w:val="000000" w:themeColor="text1"/>
          <w:sz w:val="24"/>
          <w:szCs w:val="24"/>
        </w:rPr>
        <w:t xml:space="preserve"> </w:t>
      </w:r>
      <w:r w:rsidR="000B0B60" w:rsidRPr="00357722">
        <w:rPr>
          <w:rFonts w:ascii="Times New Roman" w:eastAsia="Times New Roman" w:hAnsi="Times New Roman" w:cs="Times New Roman"/>
          <w:color w:val="000000" w:themeColor="text1"/>
          <w:sz w:val="24"/>
          <w:szCs w:val="24"/>
        </w:rPr>
        <w:t xml:space="preserve">There </w:t>
      </w:r>
      <w:r w:rsidR="00653201" w:rsidRPr="00357722">
        <w:rPr>
          <w:rFonts w:ascii="Times New Roman" w:eastAsia="Times New Roman" w:hAnsi="Times New Roman" w:cs="Times New Roman"/>
          <w:color w:val="000000" w:themeColor="text1"/>
          <w:sz w:val="24"/>
          <w:szCs w:val="24"/>
        </w:rPr>
        <w:t xml:space="preserve">are </w:t>
      </w:r>
      <w:r w:rsidR="000B0B60" w:rsidRPr="00357722">
        <w:rPr>
          <w:rFonts w:ascii="Times New Roman" w:eastAsia="Times New Roman" w:hAnsi="Times New Roman" w:cs="Times New Roman"/>
          <w:color w:val="000000" w:themeColor="text1"/>
          <w:sz w:val="24"/>
          <w:szCs w:val="24"/>
        </w:rPr>
        <w:t xml:space="preserve">significant cross-country variations in the control variables across developed countries and emerging countries. </w:t>
      </w:r>
      <w:r w:rsidR="009920CF" w:rsidRPr="00357722">
        <w:rPr>
          <w:rFonts w:ascii="Times New Roman" w:eastAsia="Times New Roman" w:hAnsi="Times New Roman" w:cs="Times New Roman"/>
          <w:i/>
          <w:color w:val="000000" w:themeColor="text1"/>
          <w:sz w:val="24"/>
          <w:szCs w:val="24"/>
        </w:rPr>
        <w:t>GDPG, INFL</w:t>
      </w:r>
      <w:r w:rsidR="00E30532">
        <w:rPr>
          <w:rFonts w:ascii="Times New Roman" w:eastAsia="Times New Roman" w:hAnsi="Times New Roman" w:cs="Times New Roman"/>
          <w:i/>
          <w:color w:val="000000" w:themeColor="text1"/>
          <w:sz w:val="24"/>
          <w:szCs w:val="24"/>
        </w:rPr>
        <w:t>,</w:t>
      </w:r>
      <w:r w:rsidR="009920CF" w:rsidRPr="00357722">
        <w:rPr>
          <w:rFonts w:ascii="Times New Roman" w:eastAsia="Times New Roman" w:hAnsi="Times New Roman" w:cs="Times New Roman"/>
          <w:i/>
          <w:color w:val="000000" w:themeColor="text1"/>
          <w:sz w:val="24"/>
          <w:szCs w:val="24"/>
        </w:rPr>
        <w:t xml:space="preserve"> </w:t>
      </w:r>
      <w:r w:rsidR="009920CF" w:rsidRPr="00357722">
        <w:rPr>
          <w:rFonts w:ascii="Times New Roman" w:eastAsia="Times New Roman" w:hAnsi="Times New Roman" w:cs="Times New Roman"/>
          <w:color w:val="000000" w:themeColor="text1"/>
          <w:sz w:val="24"/>
          <w:szCs w:val="24"/>
        </w:rPr>
        <w:t>and</w:t>
      </w:r>
      <w:r w:rsidR="009920CF" w:rsidRPr="00357722">
        <w:rPr>
          <w:rFonts w:ascii="Times New Roman" w:eastAsia="Times New Roman" w:hAnsi="Times New Roman" w:cs="Times New Roman"/>
          <w:i/>
          <w:color w:val="000000" w:themeColor="text1"/>
          <w:sz w:val="24"/>
          <w:szCs w:val="24"/>
        </w:rPr>
        <w:t xml:space="preserve"> REMITT</w:t>
      </w:r>
      <w:r w:rsidR="009920CF" w:rsidRPr="00357722">
        <w:rPr>
          <w:rFonts w:ascii="Times New Roman" w:eastAsia="Times New Roman" w:hAnsi="Times New Roman" w:cs="Times New Roman"/>
          <w:color w:val="000000" w:themeColor="text1"/>
          <w:sz w:val="24"/>
          <w:szCs w:val="24"/>
        </w:rPr>
        <w:t xml:space="preserve"> </w:t>
      </w:r>
      <w:r w:rsidR="000B0B60" w:rsidRPr="00357722">
        <w:rPr>
          <w:rFonts w:ascii="Times New Roman" w:eastAsia="Times New Roman" w:hAnsi="Times New Roman" w:cs="Times New Roman"/>
          <w:color w:val="000000" w:themeColor="text1"/>
          <w:sz w:val="24"/>
          <w:szCs w:val="24"/>
        </w:rPr>
        <w:t xml:space="preserve">are generally higher in emerging countries compared to developed countries. </w:t>
      </w:r>
      <w:r w:rsidR="00FC3903" w:rsidRPr="00357722">
        <w:rPr>
          <w:rFonts w:ascii="Times New Roman" w:eastAsia="Times New Roman" w:hAnsi="Times New Roman" w:cs="Times New Roman"/>
          <w:color w:val="000000" w:themeColor="text1"/>
          <w:sz w:val="24"/>
          <w:szCs w:val="24"/>
        </w:rPr>
        <w:t xml:space="preserve">For instance, </w:t>
      </w:r>
      <w:r w:rsidR="00FC3903" w:rsidRPr="00357722">
        <w:rPr>
          <w:rFonts w:ascii="Times New Roman" w:eastAsia="Times New Roman" w:hAnsi="Times New Roman" w:cs="Times New Roman"/>
          <w:i/>
          <w:color w:val="000000" w:themeColor="text1"/>
          <w:sz w:val="24"/>
          <w:szCs w:val="24"/>
        </w:rPr>
        <w:t>INFL</w:t>
      </w:r>
      <w:r w:rsidR="00FC3903" w:rsidRPr="00357722">
        <w:rPr>
          <w:rFonts w:ascii="Times New Roman" w:eastAsia="Times New Roman" w:hAnsi="Times New Roman" w:cs="Times New Roman"/>
          <w:color w:val="000000" w:themeColor="text1"/>
          <w:sz w:val="24"/>
          <w:szCs w:val="24"/>
        </w:rPr>
        <w:t xml:space="preserve"> varies significantly between developed countries 1.7 and emerging countries 5.8. </w:t>
      </w:r>
    </w:p>
    <w:p w14:paraId="170A6848" w14:textId="07A42018" w:rsidR="00ED03A2" w:rsidRPr="00357722" w:rsidRDefault="00682B34" w:rsidP="00B94C82">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Previous studies have documented that remittance </w:t>
      </w:r>
      <w:r w:rsidR="00653201" w:rsidRPr="00357722">
        <w:rPr>
          <w:rFonts w:ascii="Times New Roman" w:eastAsia="Times New Roman" w:hAnsi="Times New Roman" w:cs="Times New Roman"/>
          <w:color w:val="000000" w:themeColor="text1"/>
          <w:sz w:val="24"/>
          <w:szCs w:val="24"/>
        </w:rPr>
        <w:t xml:space="preserve">by citizens in the </w:t>
      </w:r>
      <w:r w:rsidR="0005045F" w:rsidRPr="00357722">
        <w:rPr>
          <w:rFonts w:ascii="Times New Roman" w:eastAsia="Times New Roman" w:hAnsi="Times New Roman" w:cs="Times New Roman"/>
          <w:color w:val="000000" w:themeColor="text1"/>
          <w:sz w:val="24"/>
          <w:szCs w:val="24"/>
        </w:rPr>
        <w:t xml:space="preserve">diaspora </w:t>
      </w:r>
      <w:r w:rsidRPr="00357722">
        <w:rPr>
          <w:rFonts w:ascii="Times New Roman" w:eastAsia="Times New Roman" w:hAnsi="Times New Roman" w:cs="Times New Roman"/>
          <w:color w:val="000000" w:themeColor="text1"/>
          <w:sz w:val="24"/>
          <w:szCs w:val="24"/>
        </w:rPr>
        <w:t>is next</w:t>
      </w:r>
      <w:r w:rsidR="00E30532">
        <w:rPr>
          <w:rFonts w:ascii="Times New Roman" w:eastAsia="Times New Roman" w:hAnsi="Times New Roman" w:cs="Times New Roman"/>
          <w:color w:val="000000" w:themeColor="text1"/>
          <w:sz w:val="24"/>
          <w:szCs w:val="24"/>
        </w:rPr>
        <w:t xml:space="preserve"> to</w:t>
      </w:r>
      <w:r w:rsidRPr="00357722">
        <w:rPr>
          <w:rFonts w:ascii="Times New Roman" w:eastAsia="Times New Roman" w:hAnsi="Times New Roman" w:cs="Times New Roman"/>
          <w:color w:val="000000" w:themeColor="text1"/>
          <w:sz w:val="24"/>
          <w:szCs w:val="24"/>
        </w:rPr>
        <w:t xml:space="preserve"> </w:t>
      </w:r>
      <w:r w:rsidR="0005045F" w:rsidRPr="00357722">
        <w:rPr>
          <w:rFonts w:ascii="Times New Roman" w:eastAsia="Times New Roman" w:hAnsi="Times New Roman" w:cs="Times New Roman"/>
          <w:color w:val="000000" w:themeColor="text1"/>
          <w:sz w:val="24"/>
          <w:szCs w:val="24"/>
        </w:rPr>
        <w:t xml:space="preserve">the highest form of investment flow after </w:t>
      </w:r>
      <w:r w:rsidRPr="00357722">
        <w:rPr>
          <w:rFonts w:ascii="Times New Roman" w:eastAsia="Times New Roman" w:hAnsi="Times New Roman" w:cs="Times New Roman"/>
          <w:color w:val="000000" w:themeColor="text1"/>
          <w:sz w:val="24"/>
          <w:szCs w:val="24"/>
        </w:rPr>
        <w:t xml:space="preserve">foreign direct investment </w:t>
      </w:r>
      <w:r w:rsidR="0005045F" w:rsidRPr="00357722">
        <w:rPr>
          <w:rFonts w:ascii="Times New Roman" w:eastAsia="Times New Roman" w:hAnsi="Times New Roman" w:cs="Times New Roman"/>
          <w:color w:val="000000" w:themeColor="text1"/>
          <w:sz w:val="24"/>
          <w:szCs w:val="24"/>
        </w:rPr>
        <w:t xml:space="preserve">and </w:t>
      </w:r>
      <w:r w:rsidRPr="00357722">
        <w:rPr>
          <w:rFonts w:ascii="Times New Roman" w:eastAsia="Times New Roman" w:hAnsi="Times New Roman" w:cs="Times New Roman"/>
          <w:color w:val="000000" w:themeColor="text1"/>
          <w:sz w:val="24"/>
          <w:szCs w:val="24"/>
        </w:rPr>
        <w:t>contributes to economic growth and poverty decline in developing countries (</w:t>
      </w:r>
      <w:r w:rsidR="00F811C4" w:rsidRPr="00357722">
        <w:rPr>
          <w:rFonts w:ascii="Times New Roman" w:eastAsia="Times New Roman" w:hAnsi="Times New Roman" w:cs="Times New Roman"/>
          <w:color w:val="000000" w:themeColor="text1"/>
          <w:sz w:val="24"/>
          <w:szCs w:val="24"/>
        </w:rPr>
        <w:t>Agg</w:t>
      </w:r>
      <w:r w:rsidR="00D55532" w:rsidRPr="00357722">
        <w:rPr>
          <w:rFonts w:ascii="Times New Roman" w:eastAsia="Times New Roman" w:hAnsi="Times New Roman" w:cs="Times New Roman"/>
          <w:color w:val="000000" w:themeColor="text1"/>
          <w:sz w:val="24"/>
          <w:szCs w:val="24"/>
        </w:rPr>
        <w:t xml:space="preserve">arwal et al. </w:t>
      </w:r>
      <w:r w:rsidR="00F811C4" w:rsidRPr="00357722">
        <w:rPr>
          <w:rFonts w:ascii="Times New Roman" w:eastAsia="Times New Roman" w:hAnsi="Times New Roman" w:cs="Times New Roman"/>
          <w:color w:val="000000" w:themeColor="text1"/>
          <w:sz w:val="24"/>
          <w:szCs w:val="24"/>
        </w:rPr>
        <w:t>2011</w:t>
      </w:r>
      <w:r w:rsidR="00767A53" w:rsidRPr="00357722">
        <w:rPr>
          <w:rFonts w:ascii="Times New Roman" w:eastAsia="Times New Roman" w:hAnsi="Times New Roman" w:cs="Times New Roman"/>
          <w:color w:val="000000" w:themeColor="text1"/>
          <w:sz w:val="24"/>
          <w:szCs w:val="24"/>
        </w:rPr>
        <w:t>; Sobiech, 2019</w:t>
      </w:r>
      <w:r w:rsidRPr="00357722">
        <w:rPr>
          <w:rFonts w:ascii="Times New Roman" w:eastAsia="Times New Roman" w:hAnsi="Times New Roman" w:cs="Times New Roman"/>
          <w:color w:val="000000" w:themeColor="text1"/>
          <w:sz w:val="24"/>
          <w:szCs w:val="24"/>
        </w:rPr>
        <w:t xml:space="preserve">). </w:t>
      </w:r>
      <w:r w:rsidR="00E265E0" w:rsidRPr="00357722">
        <w:rPr>
          <w:rFonts w:ascii="Times New Roman" w:eastAsia="Times New Roman" w:hAnsi="Times New Roman" w:cs="Times New Roman"/>
          <w:color w:val="000000" w:themeColor="text1"/>
          <w:sz w:val="24"/>
          <w:szCs w:val="24"/>
        </w:rPr>
        <w:t xml:space="preserve">Consistent with these studies, we </w:t>
      </w:r>
      <w:r w:rsidR="00A86FCD" w:rsidRPr="00357722">
        <w:rPr>
          <w:rFonts w:ascii="Times New Roman" w:eastAsia="Times New Roman" w:hAnsi="Times New Roman" w:cs="Times New Roman"/>
          <w:color w:val="000000" w:themeColor="text1"/>
          <w:sz w:val="24"/>
          <w:szCs w:val="24"/>
        </w:rPr>
        <w:t xml:space="preserve">find a </w:t>
      </w:r>
      <w:r w:rsidR="009F2777" w:rsidRPr="00357722">
        <w:rPr>
          <w:rFonts w:ascii="Times New Roman" w:eastAsia="Times New Roman" w:hAnsi="Times New Roman" w:cs="Times New Roman"/>
          <w:color w:val="000000" w:themeColor="text1"/>
          <w:sz w:val="24"/>
          <w:szCs w:val="24"/>
        </w:rPr>
        <w:t xml:space="preserve">relative </w:t>
      </w:r>
      <w:r w:rsidR="00342BC3" w:rsidRPr="00357722">
        <w:rPr>
          <w:rFonts w:ascii="Times New Roman" w:eastAsia="Times New Roman" w:hAnsi="Times New Roman" w:cs="Times New Roman"/>
          <w:color w:val="000000" w:themeColor="text1"/>
          <w:sz w:val="24"/>
          <w:szCs w:val="24"/>
        </w:rPr>
        <w:t>degree</w:t>
      </w:r>
      <w:r w:rsidR="00A86FCD" w:rsidRPr="00357722">
        <w:rPr>
          <w:rFonts w:ascii="Times New Roman" w:eastAsia="Times New Roman" w:hAnsi="Times New Roman" w:cs="Times New Roman"/>
          <w:color w:val="000000" w:themeColor="text1"/>
          <w:sz w:val="24"/>
          <w:szCs w:val="24"/>
        </w:rPr>
        <w:t xml:space="preserve"> of variability </w:t>
      </w:r>
      <w:r w:rsidR="00E265E0" w:rsidRPr="00357722">
        <w:rPr>
          <w:rFonts w:ascii="Times New Roman" w:eastAsia="Times New Roman" w:hAnsi="Times New Roman" w:cs="Times New Roman"/>
          <w:color w:val="000000" w:themeColor="text1"/>
          <w:sz w:val="24"/>
          <w:szCs w:val="24"/>
        </w:rPr>
        <w:t>between the mean value of remittance</w:t>
      </w:r>
      <w:r w:rsidR="00A90B35" w:rsidRPr="00357722">
        <w:rPr>
          <w:rFonts w:ascii="Times New Roman" w:eastAsia="Times New Roman" w:hAnsi="Times New Roman" w:cs="Times New Roman"/>
          <w:color w:val="000000" w:themeColor="text1"/>
          <w:sz w:val="24"/>
          <w:szCs w:val="24"/>
        </w:rPr>
        <w:t xml:space="preserve"> (</w:t>
      </w:r>
      <w:r w:rsidR="00A90B35" w:rsidRPr="00357722">
        <w:rPr>
          <w:rFonts w:ascii="Times New Roman" w:eastAsia="Times New Roman" w:hAnsi="Times New Roman" w:cs="Times New Roman"/>
          <w:i/>
          <w:color w:val="000000" w:themeColor="text1"/>
          <w:sz w:val="24"/>
          <w:szCs w:val="24"/>
        </w:rPr>
        <w:t>REMITT</w:t>
      </w:r>
      <w:r w:rsidR="00A90B35" w:rsidRPr="00357722">
        <w:rPr>
          <w:rFonts w:ascii="Times New Roman" w:eastAsia="Times New Roman" w:hAnsi="Times New Roman" w:cs="Times New Roman"/>
          <w:color w:val="000000" w:themeColor="text1"/>
          <w:sz w:val="24"/>
          <w:szCs w:val="24"/>
        </w:rPr>
        <w:t>)</w:t>
      </w:r>
      <w:r w:rsidR="00E265E0" w:rsidRPr="00357722">
        <w:rPr>
          <w:rFonts w:ascii="Times New Roman" w:eastAsia="Times New Roman" w:hAnsi="Times New Roman" w:cs="Times New Roman"/>
          <w:color w:val="000000" w:themeColor="text1"/>
          <w:sz w:val="24"/>
          <w:szCs w:val="24"/>
        </w:rPr>
        <w:t xml:space="preserve"> </w:t>
      </w:r>
      <w:r w:rsidR="00A86FCD" w:rsidRPr="00357722">
        <w:rPr>
          <w:rFonts w:ascii="Times New Roman" w:eastAsia="Times New Roman" w:hAnsi="Times New Roman" w:cs="Times New Roman"/>
          <w:color w:val="000000" w:themeColor="text1"/>
          <w:sz w:val="24"/>
          <w:szCs w:val="24"/>
        </w:rPr>
        <w:t xml:space="preserve">for </w:t>
      </w:r>
      <w:r w:rsidR="00E469EF" w:rsidRPr="00357722">
        <w:rPr>
          <w:rFonts w:ascii="Times New Roman" w:eastAsia="Times New Roman" w:hAnsi="Times New Roman" w:cs="Times New Roman"/>
          <w:color w:val="000000" w:themeColor="text1"/>
          <w:sz w:val="24"/>
          <w:szCs w:val="24"/>
        </w:rPr>
        <w:t xml:space="preserve">a </w:t>
      </w:r>
      <w:r w:rsidR="00A86FCD" w:rsidRPr="00357722">
        <w:rPr>
          <w:rFonts w:ascii="Times New Roman" w:eastAsia="Times New Roman" w:hAnsi="Times New Roman" w:cs="Times New Roman"/>
          <w:color w:val="000000" w:themeColor="text1"/>
          <w:sz w:val="24"/>
          <w:szCs w:val="24"/>
        </w:rPr>
        <w:t>developed country and emerging economies as 0.4 and 2.0 respectively.</w:t>
      </w:r>
      <w:r w:rsidR="00A90B35" w:rsidRPr="00357722">
        <w:rPr>
          <w:rFonts w:ascii="Times New Roman" w:eastAsia="Times New Roman" w:hAnsi="Times New Roman" w:cs="Times New Roman"/>
          <w:color w:val="000000" w:themeColor="text1"/>
          <w:sz w:val="24"/>
          <w:szCs w:val="24"/>
        </w:rPr>
        <w:t xml:space="preserve"> </w:t>
      </w:r>
      <w:r w:rsidR="005E76E6" w:rsidRPr="00357722">
        <w:rPr>
          <w:rFonts w:ascii="Times New Roman" w:eastAsia="Times New Roman" w:hAnsi="Times New Roman" w:cs="Times New Roman"/>
          <w:color w:val="000000" w:themeColor="text1"/>
          <w:sz w:val="24"/>
          <w:szCs w:val="24"/>
        </w:rPr>
        <w:t>Overall, the descriptive statistics for the con</w:t>
      </w:r>
      <w:r w:rsidR="00494C5F" w:rsidRPr="00357722">
        <w:rPr>
          <w:rFonts w:ascii="Times New Roman" w:eastAsia="Times New Roman" w:hAnsi="Times New Roman" w:cs="Times New Roman"/>
          <w:color w:val="000000" w:themeColor="text1"/>
          <w:sz w:val="24"/>
          <w:szCs w:val="24"/>
        </w:rPr>
        <w:t>trol variables</w:t>
      </w:r>
      <w:r w:rsidR="005E76E6" w:rsidRPr="00357722">
        <w:rPr>
          <w:rFonts w:ascii="Times New Roman" w:eastAsia="Times New Roman" w:hAnsi="Times New Roman" w:cs="Times New Roman"/>
          <w:color w:val="000000" w:themeColor="text1"/>
          <w:sz w:val="24"/>
          <w:szCs w:val="24"/>
        </w:rPr>
        <w:t xml:space="preserve"> signify a high degree of heterogeneity </w:t>
      </w:r>
      <w:r w:rsidR="00134A69" w:rsidRPr="00357722">
        <w:rPr>
          <w:rFonts w:ascii="Times New Roman" w:eastAsia="Times New Roman" w:hAnsi="Times New Roman" w:cs="Times New Roman"/>
          <w:color w:val="000000" w:themeColor="text1"/>
          <w:sz w:val="24"/>
          <w:szCs w:val="24"/>
        </w:rPr>
        <w:t>across</w:t>
      </w:r>
      <w:r w:rsidR="005E76E6" w:rsidRPr="00357722">
        <w:rPr>
          <w:rFonts w:ascii="Times New Roman" w:eastAsia="Times New Roman" w:hAnsi="Times New Roman" w:cs="Times New Roman"/>
          <w:color w:val="000000" w:themeColor="text1"/>
          <w:sz w:val="24"/>
          <w:szCs w:val="24"/>
        </w:rPr>
        <w:t xml:space="preserve"> </w:t>
      </w:r>
      <w:r w:rsidR="00FC3903" w:rsidRPr="00357722">
        <w:rPr>
          <w:rFonts w:ascii="Times New Roman" w:eastAsia="Times New Roman" w:hAnsi="Times New Roman" w:cs="Times New Roman"/>
          <w:color w:val="000000" w:themeColor="text1"/>
          <w:sz w:val="24"/>
          <w:szCs w:val="24"/>
        </w:rPr>
        <w:t xml:space="preserve">our sample </w:t>
      </w:r>
      <w:r w:rsidR="005E76E6" w:rsidRPr="00357722">
        <w:rPr>
          <w:rFonts w:ascii="Times New Roman" w:eastAsia="Times New Roman" w:hAnsi="Times New Roman" w:cs="Times New Roman"/>
          <w:color w:val="000000" w:themeColor="text1"/>
          <w:sz w:val="24"/>
          <w:szCs w:val="24"/>
        </w:rPr>
        <w:t>countries</w:t>
      </w:r>
      <w:r w:rsidR="00134A69" w:rsidRPr="00357722">
        <w:rPr>
          <w:rFonts w:ascii="Times New Roman" w:eastAsia="Times New Roman" w:hAnsi="Times New Roman" w:cs="Times New Roman"/>
          <w:color w:val="000000" w:themeColor="text1"/>
          <w:sz w:val="24"/>
          <w:szCs w:val="24"/>
        </w:rPr>
        <w:t>.</w:t>
      </w:r>
    </w:p>
    <w:p w14:paraId="22332605" w14:textId="7BAC79B6" w:rsidR="0060532F" w:rsidRPr="00D36BF6" w:rsidRDefault="008F4EC8" w:rsidP="00D36BF6">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2 about here..............</w:t>
      </w:r>
    </w:p>
    <w:p w14:paraId="61D6FD47" w14:textId="7D574B68" w:rsidR="00052531" w:rsidRPr="00357722" w:rsidRDefault="00052531" w:rsidP="00373680">
      <w:pPr>
        <w:spacing w:after="0" w:line="480" w:lineRule="auto"/>
        <w:jc w:val="both"/>
        <w:rPr>
          <w:rFonts w:ascii="Times New Roman" w:eastAsia="Calibri" w:hAnsi="Times New Roman" w:cs="Times New Roman"/>
          <w:i/>
          <w:sz w:val="24"/>
          <w:szCs w:val="24"/>
          <w:lang w:eastAsia="en-US"/>
        </w:rPr>
      </w:pPr>
      <w:r w:rsidRPr="00357722">
        <w:rPr>
          <w:rFonts w:ascii="Times New Roman" w:eastAsia="Calibri" w:hAnsi="Times New Roman" w:cs="Times New Roman"/>
          <w:i/>
          <w:sz w:val="24"/>
          <w:szCs w:val="24"/>
          <w:lang w:eastAsia="en-US"/>
        </w:rPr>
        <w:t>4.2.</w:t>
      </w:r>
      <w:r w:rsidRPr="00357722">
        <w:rPr>
          <w:rFonts w:ascii="Times New Roman" w:eastAsia="Calibri" w:hAnsi="Times New Roman" w:cs="Times New Roman"/>
          <w:sz w:val="24"/>
          <w:szCs w:val="24"/>
          <w:lang w:eastAsia="en-US"/>
        </w:rPr>
        <w:tab/>
      </w:r>
      <w:r w:rsidRPr="00357722">
        <w:rPr>
          <w:rFonts w:ascii="Times New Roman" w:eastAsia="Calibri" w:hAnsi="Times New Roman" w:cs="Times New Roman"/>
          <w:i/>
          <w:sz w:val="24"/>
          <w:szCs w:val="24"/>
          <w:lang w:eastAsia="en-US"/>
        </w:rPr>
        <w:t>Correlation matrix</w:t>
      </w:r>
    </w:p>
    <w:p w14:paraId="396B5D23" w14:textId="3E6FE4ED" w:rsidR="0016323E" w:rsidRPr="00357722" w:rsidRDefault="00AD4F68" w:rsidP="0016323E">
      <w:pPr>
        <w:spacing w:after="0" w:line="480" w:lineRule="auto"/>
        <w:ind w:firstLine="720"/>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Table 3 presents the cross-country correlation matrix of all the variables employ</w:t>
      </w:r>
      <w:r w:rsidR="00E30532">
        <w:rPr>
          <w:rFonts w:ascii="Times New Roman" w:hAnsi="Times New Roman" w:cs="Times New Roman"/>
          <w:color w:val="000000" w:themeColor="text1"/>
          <w:sz w:val="24"/>
          <w:szCs w:val="24"/>
        </w:rPr>
        <w:t>ed</w:t>
      </w:r>
      <w:r w:rsidRPr="00357722">
        <w:rPr>
          <w:rFonts w:ascii="Times New Roman" w:hAnsi="Times New Roman" w:cs="Times New Roman"/>
          <w:color w:val="000000" w:themeColor="text1"/>
          <w:sz w:val="24"/>
          <w:szCs w:val="24"/>
        </w:rPr>
        <w:t xml:space="preserve"> in our empirical analysis. Consistent with existing studies, the three financial development measures positively and highly correlate</w:t>
      </w:r>
      <w:r w:rsidR="00E30532">
        <w:rPr>
          <w:rFonts w:ascii="Times New Roman" w:hAnsi="Times New Roman" w:cs="Times New Roman"/>
          <w:color w:val="000000" w:themeColor="text1"/>
          <w:sz w:val="24"/>
          <w:szCs w:val="24"/>
        </w:rPr>
        <w:t>d</w:t>
      </w:r>
      <w:r w:rsidRPr="00357722">
        <w:rPr>
          <w:rFonts w:ascii="Times New Roman" w:hAnsi="Times New Roman" w:cs="Times New Roman"/>
          <w:color w:val="000000" w:themeColor="text1"/>
          <w:sz w:val="24"/>
          <w:szCs w:val="24"/>
        </w:rPr>
        <w:t xml:space="preserve"> with each other. The strongest correlation is between </w:t>
      </w:r>
      <w:r w:rsidRPr="00357722">
        <w:rPr>
          <w:rFonts w:ascii="Times New Roman" w:hAnsi="Times New Roman" w:cs="Times New Roman"/>
          <w:i/>
          <w:color w:val="000000" w:themeColor="text1"/>
          <w:sz w:val="24"/>
          <w:szCs w:val="24"/>
        </w:rPr>
        <w:t>MCGDP</w:t>
      </w:r>
      <w:r w:rsidRPr="00357722">
        <w:rPr>
          <w:rFonts w:ascii="Times New Roman" w:hAnsi="Times New Roman" w:cs="Times New Roman"/>
          <w:color w:val="000000" w:themeColor="text1"/>
          <w:sz w:val="24"/>
          <w:szCs w:val="24"/>
        </w:rPr>
        <w:t xml:space="preserve"> and </w:t>
      </w:r>
      <w:r w:rsidRPr="00357722">
        <w:rPr>
          <w:rFonts w:ascii="Times New Roman" w:hAnsi="Times New Roman" w:cs="Times New Roman"/>
          <w:i/>
          <w:color w:val="000000" w:themeColor="text1"/>
          <w:sz w:val="24"/>
          <w:szCs w:val="24"/>
        </w:rPr>
        <w:t>DCPGDP</w:t>
      </w:r>
      <w:r w:rsidR="001B07D9" w:rsidRPr="00357722">
        <w:rPr>
          <w:rFonts w:ascii="Times New Roman" w:hAnsi="Times New Roman" w:cs="Times New Roman"/>
          <w:color w:val="000000" w:themeColor="text1"/>
          <w:sz w:val="24"/>
          <w:szCs w:val="24"/>
        </w:rPr>
        <w:t xml:space="preserve"> (0.96). This suggests that as the domestic stock market develops, it prom</w:t>
      </w:r>
      <w:r w:rsidR="00B96E08" w:rsidRPr="00357722">
        <w:rPr>
          <w:rFonts w:ascii="Times New Roman" w:hAnsi="Times New Roman" w:cs="Times New Roman"/>
          <w:color w:val="000000" w:themeColor="text1"/>
          <w:sz w:val="24"/>
          <w:szCs w:val="24"/>
        </w:rPr>
        <w:t>p</w:t>
      </w:r>
      <w:r w:rsidR="001B07D9" w:rsidRPr="00357722">
        <w:rPr>
          <w:rFonts w:ascii="Times New Roman" w:hAnsi="Times New Roman" w:cs="Times New Roman"/>
          <w:color w:val="000000" w:themeColor="text1"/>
          <w:sz w:val="24"/>
          <w:szCs w:val="24"/>
        </w:rPr>
        <w:t xml:space="preserve">ts also the </w:t>
      </w:r>
      <w:r w:rsidR="001B07D9" w:rsidRPr="00357722">
        <w:rPr>
          <w:rFonts w:ascii="Times New Roman" w:hAnsi="Times New Roman" w:cs="Times New Roman"/>
          <w:color w:val="000000" w:themeColor="text1"/>
          <w:sz w:val="24"/>
          <w:szCs w:val="24"/>
        </w:rPr>
        <w:lastRenderedPageBreak/>
        <w:t xml:space="preserve">development of the local financial sector. Further, in line with theoretical predictions, </w:t>
      </w:r>
      <w:r w:rsidR="001B07D9" w:rsidRPr="00357722">
        <w:rPr>
          <w:rFonts w:ascii="Times New Roman" w:hAnsi="Times New Roman" w:cs="Times New Roman"/>
          <w:i/>
          <w:color w:val="000000" w:themeColor="text1"/>
          <w:sz w:val="24"/>
          <w:szCs w:val="24"/>
        </w:rPr>
        <w:t>IEPD</w:t>
      </w:r>
      <w:r w:rsidR="001B07D9" w:rsidRPr="00357722">
        <w:rPr>
          <w:rFonts w:ascii="Times New Roman" w:hAnsi="Times New Roman" w:cs="Times New Roman"/>
          <w:color w:val="000000" w:themeColor="text1"/>
          <w:sz w:val="24"/>
          <w:szCs w:val="24"/>
        </w:rPr>
        <w:t xml:space="preserve">, </w:t>
      </w:r>
      <w:r w:rsidR="001B07D9" w:rsidRPr="00357722">
        <w:rPr>
          <w:rFonts w:ascii="Times New Roman" w:hAnsi="Times New Roman" w:cs="Times New Roman"/>
          <w:i/>
          <w:color w:val="000000" w:themeColor="text1"/>
          <w:sz w:val="24"/>
          <w:szCs w:val="24"/>
        </w:rPr>
        <w:t>CBT</w:t>
      </w:r>
      <w:r w:rsidR="00E30532">
        <w:rPr>
          <w:rFonts w:ascii="Times New Roman" w:hAnsi="Times New Roman" w:cs="Times New Roman"/>
          <w:i/>
          <w:color w:val="000000" w:themeColor="text1"/>
          <w:sz w:val="24"/>
          <w:szCs w:val="24"/>
        </w:rPr>
        <w:t>,</w:t>
      </w:r>
      <w:r w:rsidR="001B07D9" w:rsidRPr="00357722">
        <w:rPr>
          <w:rFonts w:ascii="Times New Roman" w:hAnsi="Times New Roman" w:cs="Times New Roman"/>
          <w:color w:val="000000" w:themeColor="text1"/>
          <w:sz w:val="24"/>
          <w:szCs w:val="24"/>
        </w:rPr>
        <w:t xml:space="preserve"> and </w:t>
      </w:r>
      <w:r w:rsidR="00543A5A" w:rsidRPr="00357722">
        <w:rPr>
          <w:rFonts w:ascii="Times New Roman" w:hAnsi="Times New Roman" w:cs="Times New Roman"/>
          <w:i/>
          <w:color w:val="000000" w:themeColor="text1"/>
          <w:sz w:val="24"/>
          <w:szCs w:val="24"/>
        </w:rPr>
        <w:t>EF</w:t>
      </w:r>
      <w:r w:rsidR="001B07D9" w:rsidRPr="00357722">
        <w:rPr>
          <w:rFonts w:ascii="Times New Roman" w:hAnsi="Times New Roman" w:cs="Times New Roman"/>
          <w:color w:val="000000" w:themeColor="text1"/>
          <w:sz w:val="24"/>
          <w:szCs w:val="24"/>
        </w:rPr>
        <w:t xml:space="preserve"> positively correlate with all three measures of financial development.</w:t>
      </w:r>
      <w:r w:rsidR="009B1C70" w:rsidRPr="00357722">
        <w:rPr>
          <w:rFonts w:ascii="Times New Roman" w:hAnsi="Times New Roman" w:cs="Times New Roman"/>
          <w:color w:val="000000" w:themeColor="text1"/>
          <w:sz w:val="24"/>
          <w:szCs w:val="24"/>
        </w:rPr>
        <w:t xml:space="preserve"> </w:t>
      </w:r>
    </w:p>
    <w:p w14:paraId="7C30FE6D" w14:textId="34AE33A8" w:rsidR="00854D2E" w:rsidRPr="00357722" w:rsidRDefault="00E30532" w:rsidP="0016323E">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Concerning</w:t>
      </w:r>
      <w:r w:rsidR="002111A9" w:rsidRPr="00357722">
        <w:rPr>
          <w:rFonts w:ascii="Times New Roman" w:hAnsi="Times New Roman" w:cs="Times New Roman"/>
          <w:color w:val="000000" w:themeColor="text1"/>
          <w:sz w:val="24"/>
          <w:szCs w:val="24"/>
        </w:rPr>
        <w:t xml:space="preserve"> the control variables, we </w:t>
      </w:r>
      <w:r w:rsidR="00C41382" w:rsidRPr="00357722">
        <w:rPr>
          <w:rFonts w:ascii="Times New Roman" w:hAnsi="Times New Roman" w:cs="Times New Roman"/>
          <w:color w:val="000000" w:themeColor="text1"/>
          <w:sz w:val="24"/>
          <w:szCs w:val="24"/>
        </w:rPr>
        <w:t>find</w:t>
      </w:r>
      <w:r w:rsidR="002111A9" w:rsidRPr="00357722">
        <w:rPr>
          <w:rFonts w:ascii="Times New Roman" w:hAnsi="Times New Roman" w:cs="Times New Roman"/>
          <w:color w:val="000000" w:themeColor="text1"/>
          <w:sz w:val="24"/>
          <w:szCs w:val="24"/>
        </w:rPr>
        <w:t xml:space="preserve"> that they all possess the expected signs and effects. </w:t>
      </w:r>
      <w:r w:rsidR="00213024" w:rsidRPr="00357722">
        <w:rPr>
          <w:rFonts w:ascii="Times New Roman" w:hAnsi="Times New Roman" w:cs="Times New Roman"/>
          <w:color w:val="000000" w:themeColor="text1"/>
          <w:sz w:val="24"/>
          <w:szCs w:val="24"/>
        </w:rPr>
        <w:t>However, t</w:t>
      </w:r>
      <w:r w:rsidR="00855829" w:rsidRPr="00357722">
        <w:rPr>
          <w:rFonts w:ascii="Times New Roman" w:hAnsi="Times New Roman" w:cs="Times New Roman"/>
          <w:color w:val="000000" w:themeColor="text1"/>
          <w:sz w:val="24"/>
          <w:szCs w:val="24"/>
        </w:rPr>
        <w:t xml:space="preserve">o ensure that </w:t>
      </w:r>
      <w:r w:rsidR="00213024" w:rsidRPr="00357722">
        <w:rPr>
          <w:rFonts w:ascii="Times New Roman" w:hAnsi="Times New Roman" w:cs="Times New Roman"/>
          <w:color w:val="000000" w:themeColor="text1"/>
          <w:sz w:val="24"/>
          <w:szCs w:val="24"/>
        </w:rPr>
        <w:t xml:space="preserve">there is no </w:t>
      </w:r>
      <w:r w:rsidR="00855829" w:rsidRPr="00357722">
        <w:rPr>
          <w:rFonts w:ascii="Times New Roman" w:hAnsi="Times New Roman" w:cs="Times New Roman"/>
          <w:color w:val="000000" w:themeColor="text1"/>
          <w:sz w:val="24"/>
          <w:szCs w:val="24"/>
        </w:rPr>
        <w:t>potential multicoll</w:t>
      </w:r>
      <w:r w:rsidR="00E469EF" w:rsidRPr="00357722">
        <w:rPr>
          <w:rFonts w:ascii="Times New Roman" w:hAnsi="Times New Roman" w:cs="Times New Roman"/>
          <w:color w:val="000000" w:themeColor="text1"/>
          <w:sz w:val="24"/>
          <w:szCs w:val="24"/>
        </w:rPr>
        <w:t>in</w:t>
      </w:r>
      <w:r w:rsidR="00855829" w:rsidRPr="00357722">
        <w:rPr>
          <w:rFonts w:ascii="Times New Roman" w:hAnsi="Times New Roman" w:cs="Times New Roman"/>
          <w:color w:val="000000" w:themeColor="text1"/>
          <w:sz w:val="24"/>
          <w:szCs w:val="24"/>
        </w:rPr>
        <w:t xml:space="preserve">earity </w:t>
      </w:r>
      <w:r w:rsidR="00E67493" w:rsidRPr="00357722">
        <w:rPr>
          <w:rFonts w:ascii="Times New Roman" w:hAnsi="Times New Roman" w:cs="Times New Roman"/>
          <w:color w:val="000000" w:themeColor="text1"/>
          <w:sz w:val="24"/>
          <w:szCs w:val="24"/>
        </w:rPr>
        <w:t>problem</w:t>
      </w:r>
      <w:r w:rsidR="00855829" w:rsidRPr="00357722">
        <w:rPr>
          <w:rFonts w:ascii="Times New Roman" w:hAnsi="Times New Roman" w:cs="Times New Roman"/>
          <w:color w:val="000000" w:themeColor="text1"/>
          <w:sz w:val="24"/>
          <w:szCs w:val="24"/>
        </w:rPr>
        <w:t xml:space="preserve"> in our study, </w:t>
      </w:r>
      <w:r w:rsidR="00973BCA" w:rsidRPr="00357722">
        <w:rPr>
          <w:rFonts w:ascii="Times New Roman" w:hAnsi="Times New Roman" w:cs="Times New Roman"/>
          <w:color w:val="000000" w:themeColor="text1"/>
          <w:sz w:val="24"/>
          <w:szCs w:val="24"/>
        </w:rPr>
        <w:t xml:space="preserve">we compute and found the </w:t>
      </w:r>
      <w:r w:rsidR="0083450B" w:rsidRPr="00357722">
        <w:rPr>
          <w:rFonts w:ascii="Times New Roman" w:hAnsi="Times New Roman" w:cs="Times New Roman"/>
          <w:color w:val="000000" w:themeColor="text1"/>
          <w:sz w:val="24"/>
          <w:szCs w:val="24"/>
        </w:rPr>
        <w:t>maximum</w:t>
      </w:r>
      <w:r w:rsidR="00973BCA" w:rsidRPr="00357722">
        <w:rPr>
          <w:rFonts w:ascii="Times New Roman" w:hAnsi="Times New Roman" w:cs="Times New Roman"/>
          <w:color w:val="000000" w:themeColor="text1"/>
          <w:sz w:val="24"/>
          <w:szCs w:val="24"/>
        </w:rPr>
        <w:t xml:space="preserve"> variance inflation factor (VIF) of 5.3, which is well below the </w:t>
      </w:r>
      <w:r w:rsidR="0083450B" w:rsidRPr="00357722">
        <w:rPr>
          <w:rFonts w:ascii="Times New Roman" w:hAnsi="Times New Roman" w:cs="Times New Roman"/>
          <w:color w:val="000000" w:themeColor="text1"/>
          <w:sz w:val="24"/>
          <w:szCs w:val="24"/>
        </w:rPr>
        <w:t xml:space="preserve">VIF </w:t>
      </w:r>
      <w:r w:rsidR="00973BCA" w:rsidRPr="00357722">
        <w:rPr>
          <w:rFonts w:ascii="Times New Roman" w:hAnsi="Times New Roman" w:cs="Times New Roman"/>
          <w:color w:val="000000" w:themeColor="text1"/>
          <w:sz w:val="24"/>
          <w:szCs w:val="24"/>
        </w:rPr>
        <w:t>threshold of 10</w:t>
      </w:r>
      <w:r w:rsidR="007054A8" w:rsidRPr="00357722">
        <w:rPr>
          <w:rFonts w:ascii="Times New Roman" w:hAnsi="Times New Roman" w:cs="Times New Roman"/>
          <w:color w:val="000000" w:themeColor="text1"/>
          <w:sz w:val="24"/>
          <w:szCs w:val="24"/>
        </w:rPr>
        <w:t xml:space="preserve"> </w:t>
      </w:r>
      <w:r w:rsidR="0083450B" w:rsidRPr="00357722">
        <w:rPr>
          <w:rFonts w:ascii="Times New Roman" w:hAnsi="Times New Roman" w:cs="Times New Roman"/>
          <w:color w:val="000000" w:themeColor="text1"/>
          <w:sz w:val="24"/>
          <w:szCs w:val="24"/>
        </w:rPr>
        <w:t>(</w:t>
      </w:r>
      <w:proofErr w:type="spellStart"/>
      <w:r w:rsidR="00BA7678" w:rsidRPr="00357722">
        <w:rPr>
          <w:rFonts w:ascii="Times New Roman" w:hAnsi="Times New Roman" w:cs="Times New Roman"/>
          <w:color w:val="000000" w:themeColor="text1"/>
          <w:sz w:val="24"/>
          <w:szCs w:val="24"/>
        </w:rPr>
        <w:t>Neter</w:t>
      </w:r>
      <w:proofErr w:type="spellEnd"/>
      <w:r w:rsidR="00D55532" w:rsidRPr="00357722">
        <w:rPr>
          <w:rFonts w:ascii="Times New Roman" w:hAnsi="Times New Roman" w:cs="Times New Roman"/>
          <w:color w:val="000000" w:themeColor="text1"/>
          <w:sz w:val="24"/>
          <w:szCs w:val="24"/>
        </w:rPr>
        <w:t xml:space="preserve"> et al.</w:t>
      </w:r>
      <w:r w:rsidR="009C595B">
        <w:rPr>
          <w:rFonts w:ascii="Times New Roman" w:hAnsi="Times New Roman" w:cs="Times New Roman"/>
          <w:color w:val="000000" w:themeColor="text1"/>
          <w:sz w:val="24"/>
          <w:szCs w:val="24"/>
        </w:rPr>
        <w:t>,</w:t>
      </w:r>
      <w:r w:rsidR="003F3B1D" w:rsidRPr="00357722">
        <w:rPr>
          <w:rFonts w:ascii="Times New Roman" w:hAnsi="Times New Roman" w:cs="Times New Roman"/>
          <w:color w:val="000000" w:themeColor="text1"/>
          <w:sz w:val="24"/>
          <w:szCs w:val="24"/>
        </w:rPr>
        <w:t xml:space="preserve"> </w:t>
      </w:r>
      <w:r w:rsidR="00BA7678" w:rsidRPr="00357722">
        <w:rPr>
          <w:rFonts w:ascii="Times New Roman" w:hAnsi="Times New Roman" w:cs="Times New Roman"/>
          <w:color w:val="000000" w:themeColor="text1"/>
          <w:sz w:val="24"/>
          <w:szCs w:val="24"/>
        </w:rPr>
        <w:t xml:space="preserve">1990; </w:t>
      </w:r>
      <w:r w:rsidR="00562582" w:rsidRPr="00357722">
        <w:rPr>
          <w:rFonts w:ascii="Times New Roman" w:hAnsi="Times New Roman" w:cs="Times New Roman"/>
          <w:color w:val="000000" w:themeColor="text1"/>
          <w:sz w:val="24"/>
          <w:szCs w:val="24"/>
        </w:rPr>
        <w:t>Gujarati</w:t>
      </w:r>
      <w:r w:rsidR="0083450B" w:rsidRPr="00357722">
        <w:rPr>
          <w:rFonts w:ascii="Times New Roman" w:hAnsi="Times New Roman" w:cs="Times New Roman"/>
          <w:color w:val="000000" w:themeColor="text1"/>
          <w:sz w:val="24"/>
          <w:szCs w:val="24"/>
        </w:rPr>
        <w:t xml:space="preserve">, </w:t>
      </w:r>
      <w:r w:rsidR="00562582" w:rsidRPr="00357722">
        <w:rPr>
          <w:rFonts w:ascii="Times New Roman" w:hAnsi="Times New Roman" w:cs="Times New Roman"/>
          <w:color w:val="000000" w:themeColor="text1"/>
          <w:sz w:val="24"/>
          <w:szCs w:val="24"/>
        </w:rPr>
        <w:t>2003</w:t>
      </w:r>
      <w:r w:rsidR="0083450B" w:rsidRPr="00357722">
        <w:rPr>
          <w:rFonts w:ascii="Times New Roman" w:hAnsi="Times New Roman" w:cs="Times New Roman"/>
          <w:color w:val="000000" w:themeColor="text1"/>
          <w:sz w:val="24"/>
          <w:szCs w:val="24"/>
        </w:rPr>
        <w:t xml:space="preserve">; </w:t>
      </w:r>
      <w:r w:rsidR="00973BCA" w:rsidRPr="00357722">
        <w:rPr>
          <w:rFonts w:ascii="Times New Roman" w:hAnsi="Times New Roman" w:cs="Times New Roman"/>
          <w:color w:val="000000" w:themeColor="text1"/>
          <w:sz w:val="24"/>
          <w:szCs w:val="24"/>
        </w:rPr>
        <w:t>Hair et al.</w:t>
      </w:r>
      <w:r w:rsidR="0083450B" w:rsidRPr="00357722">
        <w:rPr>
          <w:rFonts w:ascii="Times New Roman" w:hAnsi="Times New Roman" w:cs="Times New Roman"/>
          <w:color w:val="000000" w:themeColor="text1"/>
          <w:sz w:val="24"/>
          <w:szCs w:val="24"/>
        </w:rPr>
        <w:t xml:space="preserve">, </w:t>
      </w:r>
      <w:r w:rsidR="00973BCA" w:rsidRPr="00357722">
        <w:rPr>
          <w:rFonts w:ascii="Times New Roman" w:hAnsi="Times New Roman" w:cs="Times New Roman"/>
          <w:color w:val="000000" w:themeColor="text1"/>
          <w:sz w:val="24"/>
          <w:szCs w:val="24"/>
        </w:rPr>
        <w:t>2010</w:t>
      </w:r>
      <w:r w:rsidR="007054A8" w:rsidRPr="00357722">
        <w:rPr>
          <w:rFonts w:ascii="Times New Roman" w:hAnsi="Times New Roman" w:cs="Times New Roman"/>
          <w:color w:val="000000" w:themeColor="text1"/>
          <w:sz w:val="24"/>
          <w:szCs w:val="24"/>
        </w:rPr>
        <w:t>)</w:t>
      </w:r>
      <w:r w:rsidR="00FD3D5B" w:rsidRPr="00357722">
        <w:rPr>
          <w:rFonts w:ascii="Times New Roman" w:hAnsi="Times New Roman" w:cs="Times New Roman"/>
          <w:color w:val="000000" w:themeColor="text1"/>
          <w:sz w:val="24"/>
          <w:szCs w:val="24"/>
        </w:rPr>
        <w:t xml:space="preserve">. </w:t>
      </w:r>
      <w:r w:rsidR="00566748" w:rsidRPr="00357722">
        <w:rPr>
          <w:rFonts w:ascii="Times New Roman" w:hAnsi="Times New Roman" w:cs="Times New Roman"/>
          <w:color w:val="000000" w:themeColor="text1"/>
          <w:sz w:val="24"/>
          <w:szCs w:val="24"/>
        </w:rPr>
        <w:t>Generally, the bivariate correlation analysis</w:t>
      </w:r>
      <w:r w:rsidR="00137A63" w:rsidRPr="00357722">
        <w:rPr>
          <w:rFonts w:ascii="Times New Roman" w:hAnsi="Times New Roman" w:cs="Times New Roman"/>
          <w:color w:val="000000" w:themeColor="text1"/>
          <w:sz w:val="24"/>
          <w:szCs w:val="24"/>
        </w:rPr>
        <w:t xml:space="preserve"> results and the VIF estimations</w:t>
      </w:r>
      <w:r w:rsidR="00566748" w:rsidRPr="00357722">
        <w:rPr>
          <w:rFonts w:ascii="Times New Roman" w:hAnsi="Times New Roman" w:cs="Times New Roman"/>
          <w:color w:val="000000" w:themeColor="text1"/>
          <w:sz w:val="24"/>
          <w:szCs w:val="24"/>
        </w:rPr>
        <w:t xml:space="preserve"> confirm that our </w:t>
      </w:r>
      <w:r w:rsidR="00137A63" w:rsidRPr="00357722">
        <w:rPr>
          <w:rFonts w:ascii="Times New Roman" w:hAnsi="Times New Roman" w:cs="Times New Roman"/>
          <w:color w:val="000000" w:themeColor="text1"/>
          <w:sz w:val="24"/>
          <w:szCs w:val="24"/>
        </w:rPr>
        <w:t>study</w:t>
      </w:r>
      <w:r w:rsidR="00566748" w:rsidRPr="00357722">
        <w:rPr>
          <w:rFonts w:ascii="Times New Roman" w:hAnsi="Times New Roman" w:cs="Times New Roman"/>
          <w:color w:val="000000" w:themeColor="text1"/>
          <w:sz w:val="24"/>
          <w:szCs w:val="24"/>
        </w:rPr>
        <w:t xml:space="preserve"> </w:t>
      </w:r>
      <w:r w:rsidR="000019DE" w:rsidRPr="00357722">
        <w:rPr>
          <w:rFonts w:ascii="Times New Roman" w:hAnsi="Times New Roman" w:cs="Times New Roman"/>
          <w:color w:val="000000" w:themeColor="text1"/>
          <w:sz w:val="24"/>
          <w:szCs w:val="24"/>
        </w:rPr>
        <w:t xml:space="preserve">does not suffer </w:t>
      </w:r>
      <w:r w:rsidR="00566748" w:rsidRPr="00357722">
        <w:rPr>
          <w:rFonts w:ascii="Times New Roman" w:hAnsi="Times New Roman" w:cs="Times New Roman"/>
          <w:color w:val="000000" w:themeColor="text1"/>
          <w:sz w:val="24"/>
          <w:szCs w:val="24"/>
        </w:rPr>
        <w:t>multicollinearity</w:t>
      </w:r>
      <w:r w:rsidR="00137A63" w:rsidRPr="00357722">
        <w:rPr>
          <w:rFonts w:ascii="Times New Roman" w:hAnsi="Times New Roman" w:cs="Times New Roman"/>
          <w:color w:val="000000" w:themeColor="text1"/>
          <w:sz w:val="24"/>
          <w:szCs w:val="24"/>
        </w:rPr>
        <w:t xml:space="preserve"> issues</w:t>
      </w:r>
      <w:r w:rsidR="00566748" w:rsidRPr="00357722">
        <w:rPr>
          <w:rFonts w:ascii="Times New Roman" w:hAnsi="Times New Roman" w:cs="Times New Roman"/>
          <w:color w:val="000000" w:themeColor="text1"/>
          <w:sz w:val="24"/>
          <w:szCs w:val="24"/>
        </w:rPr>
        <w:t>.</w:t>
      </w:r>
      <w:r w:rsidR="00137A63" w:rsidRPr="00357722">
        <w:rPr>
          <w:rFonts w:ascii="Times New Roman" w:hAnsi="Times New Roman" w:cs="Times New Roman"/>
          <w:color w:val="000000" w:themeColor="text1"/>
          <w:sz w:val="24"/>
          <w:szCs w:val="24"/>
        </w:rPr>
        <w:t xml:space="preserve"> </w:t>
      </w:r>
    </w:p>
    <w:p w14:paraId="4C5726CD" w14:textId="7D8AF862" w:rsidR="0016323E" w:rsidRPr="00357722" w:rsidRDefault="008F4EC8" w:rsidP="00BF6160">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3 about here..............</w:t>
      </w:r>
    </w:p>
    <w:p w14:paraId="220BD928" w14:textId="1F4647BD" w:rsidR="00403064" w:rsidRPr="00357722" w:rsidRDefault="00403064" w:rsidP="0016323E">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w:t>
      </w:r>
      <w:r w:rsidR="0060532F" w:rsidRPr="00357722">
        <w:rPr>
          <w:rFonts w:ascii="Times New Roman" w:eastAsia="Times New Roman" w:hAnsi="Times New Roman" w:cs="Times New Roman"/>
          <w:i/>
          <w:iCs/>
          <w:color w:val="000000" w:themeColor="text1"/>
          <w:sz w:val="24"/>
          <w:szCs w:val="24"/>
        </w:rPr>
        <w:t>3.</w:t>
      </w:r>
      <w:r w:rsidRPr="00357722">
        <w:rPr>
          <w:rFonts w:ascii="Times New Roman" w:eastAsia="Times New Roman" w:hAnsi="Times New Roman" w:cs="Times New Roman"/>
          <w:i/>
          <w:iCs/>
          <w:color w:val="000000" w:themeColor="text1"/>
          <w:sz w:val="24"/>
          <w:szCs w:val="24"/>
        </w:rPr>
        <w:tab/>
      </w:r>
      <w:r w:rsidR="00AB3F6A" w:rsidRPr="00357722">
        <w:rPr>
          <w:rFonts w:ascii="Times New Roman" w:hAnsi="Times New Roman" w:cs="Times New Roman"/>
          <w:bCs/>
          <w:i/>
          <w:iCs/>
          <w:color w:val="000000" w:themeColor="text1"/>
          <w:sz w:val="24"/>
          <w:szCs w:val="24"/>
        </w:rPr>
        <w:t xml:space="preserve">Multivariate </w:t>
      </w:r>
      <w:r w:rsidR="00C1444A" w:rsidRPr="00357722">
        <w:rPr>
          <w:rFonts w:ascii="Times New Roman" w:hAnsi="Times New Roman" w:cs="Times New Roman"/>
          <w:bCs/>
          <w:i/>
          <w:iCs/>
          <w:color w:val="000000" w:themeColor="text1"/>
          <w:sz w:val="24"/>
          <w:szCs w:val="24"/>
        </w:rPr>
        <w:t>r</w:t>
      </w:r>
      <w:r w:rsidRPr="00357722">
        <w:rPr>
          <w:rFonts w:ascii="Times New Roman" w:eastAsia="Times New Roman" w:hAnsi="Times New Roman" w:cs="Times New Roman"/>
          <w:i/>
          <w:iCs/>
          <w:color w:val="000000" w:themeColor="text1"/>
          <w:sz w:val="24"/>
          <w:szCs w:val="24"/>
        </w:rPr>
        <w:t xml:space="preserve">egression </w:t>
      </w:r>
      <w:r w:rsidR="00C1444A" w:rsidRPr="00357722">
        <w:rPr>
          <w:rFonts w:ascii="Times New Roman" w:eastAsia="Times New Roman" w:hAnsi="Times New Roman" w:cs="Times New Roman"/>
          <w:i/>
          <w:iCs/>
          <w:color w:val="000000" w:themeColor="text1"/>
          <w:sz w:val="24"/>
          <w:szCs w:val="24"/>
        </w:rPr>
        <w:t>a</w:t>
      </w:r>
      <w:r w:rsidRPr="00357722">
        <w:rPr>
          <w:rFonts w:ascii="Times New Roman" w:eastAsia="Times New Roman" w:hAnsi="Times New Roman" w:cs="Times New Roman"/>
          <w:i/>
          <w:iCs/>
          <w:color w:val="000000" w:themeColor="text1"/>
          <w:sz w:val="24"/>
          <w:szCs w:val="24"/>
        </w:rPr>
        <w:t>nalysis</w:t>
      </w:r>
    </w:p>
    <w:p w14:paraId="5F2AD144" w14:textId="67B5CABC" w:rsidR="0078028D" w:rsidRPr="00357722" w:rsidRDefault="003070C3" w:rsidP="007C748F">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Following the univariate analysis of the three financial development measures and our key independent variables of interest </w:t>
      </w:r>
      <w:r w:rsidR="00B93705" w:rsidRPr="00357722">
        <w:rPr>
          <w:rFonts w:ascii="Times New Roman" w:eastAsia="Times New Roman" w:hAnsi="Times New Roman" w:cs="Times New Roman"/>
          <w:iCs/>
          <w:color w:val="000000" w:themeColor="text1"/>
          <w:sz w:val="24"/>
          <w:szCs w:val="24"/>
        </w:rPr>
        <w:t>have</w:t>
      </w:r>
      <w:r w:rsidRPr="00357722">
        <w:rPr>
          <w:rFonts w:ascii="Times New Roman" w:eastAsia="Times New Roman" w:hAnsi="Times New Roman" w:cs="Times New Roman"/>
          <w:iCs/>
          <w:color w:val="000000" w:themeColor="text1"/>
          <w:sz w:val="24"/>
          <w:szCs w:val="24"/>
        </w:rPr>
        <w:t xml:space="preserve"> positive correlation</w:t>
      </w:r>
      <w:r w:rsidR="00B93705" w:rsidRPr="00357722">
        <w:rPr>
          <w:rFonts w:ascii="Times New Roman" w:eastAsia="Times New Roman" w:hAnsi="Times New Roman" w:cs="Times New Roman"/>
          <w:iCs/>
          <w:color w:val="000000" w:themeColor="text1"/>
          <w:sz w:val="24"/>
          <w:szCs w:val="24"/>
        </w:rPr>
        <w:t>s</w:t>
      </w:r>
      <w:r w:rsidRPr="00357722">
        <w:rPr>
          <w:rFonts w:ascii="Times New Roman" w:eastAsia="Times New Roman" w:hAnsi="Times New Roman" w:cs="Times New Roman"/>
          <w:iCs/>
          <w:color w:val="000000" w:themeColor="text1"/>
          <w:sz w:val="24"/>
          <w:szCs w:val="24"/>
        </w:rPr>
        <w:t>. This empirical test whether cross-country financial development is impacted by</w:t>
      </w:r>
      <w:r w:rsidR="00664598" w:rsidRPr="00357722">
        <w:rPr>
          <w:rFonts w:ascii="Times New Roman" w:eastAsia="Times New Roman" w:hAnsi="Times New Roman" w:cs="Times New Roman"/>
          <w:iCs/>
          <w:color w:val="000000" w:themeColor="text1"/>
          <w:sz w:val="24"/>
          <w:szCs w:val="24"/>
        </w:rPr>
        <w:t xml:space="preserve"> international equity portfolio </w:t>
      </w:r>
      <w:r w:rsidRPr="00357722">
        <w:rPr>
          <w:rFonts w:ascii="Times New Roman" w:eastAsia="Times New Roman" w:hAnsi="Times New Roman" w:cs="Times New Roman"/>
          <w:iCs/>
          <w:color w:val="000000" w:themeColor="text1"/>
          <w:sz w:val="24"/>
          <w:szCs w:val="24"/>
        </w:rPr>
        <w:t>diversification</w:t>
      </w:r>
      <w:r w:rsidR="00B93705" w:rsidRPr="00357722">
        <w:rPr>
          <w:rFonts w:ascii="Times New Roman" w:eastAsia="Times New Roman" w:hAnsi="Times New Roman" w:cs="Times New Roman"/>
          <w:iCs/>
          <w:color w:val="000000" w:themeColor="text1"/>
          <w:sz w:val="24"/>
          <w:szCs w:val="24"/>
        </w:rPr>
        <w:t>, central bank transparency</w:t>
      </w:r>
      <w:r w:rsidR="00E30532">
        <w:rPr>
          <w:rFonts w:ascii="Times New Roman" w:eastAsia="Times New Roman" w:hAnsi="Times New Roman" w:cs="Times New Roman"/>
          <w:iCs/>
          <w:color w:val="000000" w:themeColor="text1"/>
          <w:sz w:val="24"/>
          <w:szCs w:val="24"/>
        </w:rPr>
        <w:t>,</w:t>
      </w:r>
      <w:r w:rsidR="00B93705" w:rsidRPr="00357722">
        <w:rPr>
          <w:rFonts w:ascii="Times New Roman" w:eastAsia="Times New Roman" w:hAnsi="Times New Roman" w:cs="Times New Roman"/>
          <w:iCs/>
          <w:color w:val="000000" w:themeColor="text1"/>
          <w:sz w:val="24"/>
          <w:szCs w:val="24"/>
        </w:rPr>
        <w:t xml:space="preserve"> and economic freedom</w:t>
      </w:r>
      <w:r w:rsidR="00664598" w:rsidRPr="00357722">
        <w:rPr>
          <w:rFonts w:ascii="Times New Roman" w:eastAsia="Times New Roman" w:hAnsi="Times New Roman" w:cs="Times New Roman"/>
          <w:iCs/>
          <w:color w:val="000000" w:themeColor="text1"/>
          <w:sz w:val="24"/>
          <w:szCs w:val="24"/>
        </w:rPr>
        <w:t xml:space="preserve">. </w:t>
      </w:r>
    </w:p>
    <w:p w14:paraId="2EE51145" w14:textId="77777777" w:rsidR="00842C2A" w:rsidRPr="00357722" w:rsidRDefault="00842C2A" w:rsidP="0060532F">
      <w:pPr>
        <w:spacing w:after="0" w:line="480" w:lineRule="auto"/>
        <w:jc w:val="both"/>
        <w:rPr>
          <w:rFonts w:ascii="Times New Roman" w:eastAsia="Times New Roman" w:hAnsi="Times New Roman" w:cs="Times New Roman"/>
          <w:iCs/>
          <w:color w:val="000000" w:themeColor="text1"/>
          <w:sz w:val="24"/>
          <w:szCs w:val="24"/>
        </w:rPr>
      </w:pPr>
    </w:p>
    <w:p w14:paraId="66AD8568" w14:textId="5800B9CF" w:rsidR="007D2196" w:rsidRPr="00357722" w:rsidRDefault="007D2196" w:rsidP="005636E8">
      <w:pPr>
        <w:spacing w:after="0" w:line="480" w:lineRule="auto"/>
        <w:jc w:val="both"/>
        <w:rPr>
          <w:rFonts w:ascii="Times New Roman" w:hAnsi="Times New Roman" w:cs="Times New Roman"/>
          <w:bCs/>
          <w:i/>
          <w:iCs/>
          <w:color w:val="000000" w:themeColor="text1"/>
          <w:sz w:val="24"/>
          <w:szCs w:val="24"/>
        </w:rPr>
      </w:pPr>
      <w:r w:rsidRPr="00357722">
        <w:rPr>
          <w:rFonts w:ascii="Times New Roman" w:hAnsi="Times New Roman" w:cs="Times New Roman"/>
          <w:bCs/>
          <w:i/>
          <w:iCs/>
          <w:color w:val="000000" w:themeColor="text1"/>
          <w:sz w:val="24"/>
          <w:szCs w:val="24"/>
        </w:rPr>
        <w:t>4.3.1</w:t>
      </w:r>
      <w:r w:rsidR="00842C2A" w:rsidRPr="00357722">
        <w:rPr>
          <w:rFonts w:ascii="Times New Roman" w:hAnsi="Times New Roman" w:cs="Times New Roman"/>
          <w:bCs/>
          <w:i/>
          <w:iCs/>
          <w:color w:val="000000" w:themeColor="text1"/>
          <w:sz w:val="24"/>
          <w:szCs w:val="24"/>
        </w:rPr>
        <w:t>.</w:t>
      </w:r>
      <w:r w:rsidRPr="00357722">
        <w:rPr>
          <w:rFonts w:ascii="Times New Roman" w:hAnsi="Times New Roman" w:cs="Times New Roman"/>
          <w:bCs/>
          <w:i/>
          <w:iCs/>
          <w:color w:val="000000" w:themeColor="text1"/>
          <w:sz w:val="24"/>
          <w:szCs w:val="24"/>
        </w:rPr>
        <w:tab/>
        <w:t>International equity portfolio diversification and financial development</w:t>
      </w:r>
      <w:r w:rsidR="001E0BEF" w:rsidRPr="00357722">
        <w:rPr>
          <w:rFonts w:ascii="Times New Roman" w:hAnsi="Times New Roman" w:cs="Times New Roman"/>
          <w:bCs/>
          <w:i/>
          <w:iCs/>
          <w:color w:val="000000" w:themeColor="text1"/>
          <w:sz w:val="24"/>
          <w:szCs w:val="24"/>
        </w:rPr>
        <w:t xml:space="preserve"> </w:t>
      </w:r>
    </w:p>
    <w:p w14:paraId="64D15093" w14:textId="1FC6EA39" w:rsidR="00546E97" w:rsidRPr="00357722" w:rsidRDefault="00E63A57" w:rsidP="000058F3">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This section test whether international capital prompt</w:t>
      </w:r>
      <w:r w:rsidR="00E30532">
        <w:rPr>
          <w:rFonts w:ascii="Times New Roman" w:eastAsia="Times New Roman" w:hAnsi="Times New Roman" w:cs="Times New Roman"/>
          <w:color w:val="000000" w:themeColor="text1"/>
          <w:sz w:val="24"/>
          <w:szCs w:val="24"/>
        </w:rPr>
        <w:t>s</w:t>
      </w:r>
      <w:r w:rsidRPr="00357722">
        <w:rPr>
          <w:rFonts w:ascii="Times New Roman" w:eastAsia="Times New Roman" w:hAnsi="Times New Roman" w:cs="Times New Roman"/>
          <w:color w:val="000000" w:themeColor="text1"/>
          <w:sz w:val="24"/>
          <w:szCs w:val="24"/>
        </w:rPr>
        <w:t xml:space="preserve"> financial market development. </w:t>
      </w:r>
      <w:r w:rsidR="00B93705" w:rsidRPr="00357722">
        <w:rPr>
          <w:rFonts w:ascii="Times New Roman" w:eastAsia="Times New Roman" w:hAnsi="Times New Roman" w:cs="Times New Roman"/>
          <w:color w:val="000000" w:themeColor="text1"/>
          <w:sz w:val="24"/>
          <w:szCs w:val="24"/>
        </w:rPr>
        <w:t xml:space="preserve">The </w:t>
      </w:r>
      <w:r w:rsidR="00E30532" w:rsidRPr="00357722">
        <w:rPr>
          <w:rFonts w:ascii="Times New Roman" w:eastAsia="Times New Roman" w:hAnsi="Times New Roman" w:cs="Times New Roman"/>
          <w:color w:val="000000" w:themeColor="text1"/>
          <w:sz w:val="24"/>
          <w:szCs w:val="24"/>
        </w:rPr>
        <w:t>cross</w:t>
      </w:r>
      <w:r w:rsidR="00E30532">
        <w:rPr>
          <w:rFonts w:ascii="Times New Roman" w:eastAsia="Times New Roman" w:hAnsi="Times New Roman" w:cs="Times New Roman"/>
          <w:color w:val="000000" w:themeColor="text1"/>
          <w:sz w:val="24"/>
          <w:szCs w:val="24"/>
        </w:rPr>
        <w:t>-</w:t>
      </w:r>
      <w:r w:rsidR="00B93705" w:rsidRPr="00357722">
        <w:rPr>
          <w:rFonts w:ascii="Times New Roman" w:eastAsia="Times New Roman" w:hAnsi="Times New Roman" w:cs="Times New Roman"/>
          <w:color w:val="000000" w:themeColor="text1"/>
          <w:sz w:val="24"/>
          <w:szCs w:val="24"/>
        </w:rPr>
        <w:t xml:space="preserve">country correlation </w:t>
      </w:r>
      <w:r w:rsidR="00D5648B" w:rsidRPr="00357722">
        <w:rPr>
          <w:rFonts w:ascii="Times New Roman" w:eastAsia="Times New Roman" w:hAnsi="Times New Roman" w:cs="Times New Roman"/>
          <w:color w:val="000000" w:themeColor="text1"/>
          <w:sz w:val="24"/>
          <w:szCs w:val="24"/>
        </w:rPr>
        <w:t>suggest</w:t>
      </w:r>
      <w:r w:rsidR="00E30532">
        <w:rPr>
          <w:rFonts w:ascii="Times New Roman" w:eastAsia="Times New Roman" w:hAnsi="Times New Roman" w:cs="Times New Roman"/>
          <w:color w:val="000000" w:themeColor="text1"/>
          <w:sz w:val="24"/>
          <w:szCs w:val="24"/>
        </w:rPr>
        <w:t>s</w:t>
      </w:r>
      <w:r w:rsidR="00D5648B" w:rsidRPr="00357722">
        <w:rPr>
          <w:rFonts w:ascii="Times New Roman" w:eastAsia="Times New Roman" w:hAnsi="Times New Roman" w:cs="Times New Roman"/>
          <w:color w:val="000000" w:themeColor="text1"/>
          <w:sz w:val="24"/>
          <w:szCs w:val="24"/>
        </w:rPr>
        <w:t xml:space="preserve"> that </w:t>
      </w:r>
      <w:r w:rsidR="00B93705" w:rsidRPr="00357722">
        <w:rPr>
          <w:rFonts w:ascii="Times New Roman" w:eastAsia="Times New Roman" w:hAnsi="Times New Roman" w:cs="Times New Roman"/>
          <w:color w:val="000000" w:themeColor="text1"/>
          <w:sz w:val="24"/>
          <w:szCs w:val="24"/>
        </w:rPr>
        <w:t>international equity p</w:t>
      </w:r>
      <w:r w:rsidR="00D5648B" w:rsidRPr="00357722">
        <w:rPr>
          <w:rFonts w:ascii="Times New Roman" w:eastAsia="Times New Roman" w:hAnsi="Times New Roman" w:cs="Times New Roman"/>
          <w:color w:val="000000" w:themeColor="text1"/>
          <w:sz w:val="24"/>
          <w:szCs w:val="24"/>
        </w:rPr>
        <w:t xml:space="preserve">ortfolio diversification impacts </w:t>
      </w:r>
      <w:r w:rsidR="00B93705" w:rsidRPr="00357722">
        <w:rPr>
          <w:rFonts w:ascii="Times New Roman" w:eastAsia="Times New Roman" w:hAnsi="Times New Roman" w:cs="Times New Roman"/>
          <w:color w:val="000000" w:themeColor="text1"/>
          <w:sz w:val="24"/>
          <w:szCs w:val="24"/>
        </w:rPr>
        <w:t>financial de</w:t>
      </w:r>
      <w:r w:rsidR="00D5648B" w:rsidRPr="00357722">
        <w:rPr>
          <w:rFonts w:ascii="Times New Roman" w:eastAsia="Times New Roman" w:hAnsi="Times New Roman" w:cs="Times New Roman"/>
          <w:color w:val="000000" w:themeColor="text1"/>
          <w:sz w:val="24"/>
          <w:szCs w:val="24"/>
        </w:rPr>
        <w:t xml:space="preserve">velopment measures. </w:t>
      </w:r>
      <w:r w:rsidR="00546E97" w:rsidRPr="00357722">
        <w:rPr>
          <w:rFonts w:ascii="Times New Roman" w:eastAsia="Times New Roman" w:hAnsi="Times New Roman" w:cs="Times New Roman"/>
          <w:color w:val="000000" w:themeColor="text1"/>
          <w:sz w:val="24"/>
          <w:szCs w:val="24"/>
        </w:rPr>
        <w:t>We test</w:t>
      </w:r>
      <w:r w:rsidR="00D5648B" w:rsidRPr="00357722">
        <w:rPr>
          <w:rFonts w:ascii="Times New Roman" w:eastAsia="Times New Roman" w:hAnsi="Times New Roman" w:cs="Times New Roman"/>
          <w:color w:val="000000" w:themeColor="text1"/>
          <w:sz w:val="24"/>
          <w:szCs w:val="24"/>
        </w:rPr>
        <w:t xml:space="preserve"> whether cross-country variations in international equity portfolio </w:t>
      </w:r>
      <w:r w:rsidR="00B838B7" w:rsidRPr="00357722">
        <w:rPr>
          <w:rFonts w:ascii="Times New Roman" w:eastAsia="Times New Roman" w:hAnsi="Times New Roman" w:cs="Times New Roman"/>
          <w:color w:val="000000" w:themeColor="text1"/>
          <w:sz w:val="24"/>
          <w:szCs w:val="24"/>
        </w:rPr>
        <w:t xml:space="preserve">diversification </w:t>
      </w:r>
      <w:r w:rsidR="00D5648B" w:rsidRPr="00357722">
        <w:rPr>
          <w:rFonts w:ascii="Times New Roman" w:eastAsia="Times New Roman" w:hAnsi="Times New Roman" w:cs="Times New Roman"/>
          <w:color w:val="000000" w:themeColor="text1"/>
          <w:sz w:val="24"/>
          <w:szCs w:val="24"/>
        </w:rPr>
        <w:t>explain variations in financial market development</w:t>
      </w:r>
      <w:r w:rsidR="00546E97" w:rsidRPr="00357722">
        <w:rPr>
          <w:rFonts w:ascii="Times New Roman" w:eastAsia="Times New Roman" w:hAnsi="Times New Roman" w:cs="Times New Roman"/>
          <w:color w:val="000000" w:themeColor="text1"/>
          <w:sz w:val="24"/>
          <w:szCs w:val="24"/>
        </w:rPr>
        <w:t xml:space="preserve"> using equation (2)</w:t>
      </w:r>
      <w:r w:rsidR="00D5648B" w:rsidRPr="00357722">
        <w:rPr>
          <w:rFonts w:ascii="Times New Roman" w:eastAsia="Times New Roman" w:hAnsi="Times New Roman" w:cs="Times New Roman"/>
          <w:color w:val="000000" w:themeColor="text1"/>
          <w:sz w:val="24"/>
          <w:szCs w:val="24"/>
        </w:rPr>
        <w:t xml:space="preserve">. </w:t>
      </w:r>
    </w:p>
    <w:tbl>
      <w:tblPr>
        <w:tblpPr w:leftFromText="180" w:rightFromText="180" w:vertAnchor="text" w:tblpY="1"/>
        <w:tblOverlap w:val="never"/>
        <w:tblW w:w="4966" w:type="pct"/>
        <w:tblLook w:val="00A0" w:firstRow="1" w:lastRow="0" w:firstColumn="1" w:lastColumn="0" w:noHBand="0" w:noVBand="0"/>
      </w:tblPr>
      <w:tblGrid>
        <w:gridCol w:w="984"/>
        <w:gridCol w:w="7409"/>
        <w:gridCol w:w="1016"/>
      </w:tblGrid>
      <w:tr w:rsidR="00546E97" w:rsidRPr="00357722" w14:paraId="2A6E6E29" w14:textId="77777777" w:rsidTr="001828C2">
        <w:tc>
          <w:tcPr>
            <w:tcW w:w="523" w:type="pct"/>
            <w:vAlign w:val="center"/>
          </w:tcPr>
          <w:p w14:paraId="1C61F26B" w14:textId="77777777" w:rsidR="00546E97" w:rsidRPr="00357722" w:rsidRDefault="00546E97" w:rsidP="000058F3">
            <w:pPr>
              <w:spacing w:after="0" w:line="480" w:lineRule="auto"/>
              <w:jc w:val="both"/>
              <w:rPr>
                <w:rFonts w:ascii="Times New Roman" w:hAnsi="Times New Roman"/>
                <w:i/>
                <w:sz w:val="24"/>
                <w:szCs w:val="24"/>
                <w:lang w:eastAsia="ko-KR"/>
              </w:rPr>
            </w:pPr>
          </w:p>
        </w:tc>
        <w:tc>
          <w:tcPr>
            <w:tcW w:w="3937" w:type="pct"/>
            <w:vAlign w:val="center"/>
          </w:tcPr>
          <w:p w14:paraId="749DB122" w14:textId="7E1A28B1" w:rsidR="00546E97" w:rsidRPr="00357722" w:rsidRDefault="00000000" w:rsidP="000058F3">
            <w:pPr>
              <w:spacing w:after="0" w:line="480" w:lineRule="auto"/>
              <w:jc w:val="both"/>
              <w:rPr>
                <w:rFonts w:ascii="Times New Roman" w:hAnsi="Times New Roman"/>
                <w:sz w:val="24"/>
                <w:szCs w:val="24"/>
                <w:lang w:eastAsia="ko-KR"/>
              </w:rPr>
            </w:pPr>
            <m:oMathPara>
              <m:oMathParaPr>
                <m:jc m:val="center"/>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FD</m:t>
                    </m:r>
                  </m:e>
                  <m:sub>
                    <m:r>
                      <w:rPr>
                        <w:rFonts w:ascii="Cambria Math" w:hAnsi="Cambria Math" w:cs="Times New Roman"/>
                        <w:color w:val="000000" w:themeColor="text1"/>
                        <w:sz w:val="24"/>
                        <w:szCs w:val="24"/>
                      </w:rPr>
                      <m:t>it</m:t>
                    </m:r>
                  </m:sub>
                </m:sSub>
                <m:r>
                  <w:rPr>
                    <w:rFonts w:ascii="Cambria Math" w:hAnsi="Cambria Math"/>
                    <w:sz w:val="24"/>
                    <w:szCs w:val="24"/>
                  </w:rPr>
                  <m:t xml:space="preserve">=α+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IEPD</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r>
                  <w:rPr>
                    <w:rFonts w:ascii="Cambria Math" w:hAnsi="Cambria Math"/>
                    <w:sz w:val="24"/>
                    <w:szCs w:val="24"/>
                  </w:rPr>
                  <m:t>.Ct</m:t>
                </m:r>
                <m:sSub>
                  <m:sSubPr>
                    <m:ctrlPr>
                      <w:rPr>
                        <w:rFonts w:ascii="Cambria Math" w:hAnsi="Cambria Math"/>
                        <w:i/>
                        <w:sz w:val="24"/>
                        <w:szCs w:val="24"/>
                      </w:rPr>
                    </m:ctrlPr>
                  </m:sSubPr>
                  <m:e>
                    <m:r>
                      <w:rPr>
                        <w:rFonts w:ascii="Cambria Math" w:hAnsi="Cambria Math"/>
                        <w:sz w:val="24"/>
                        <w:szCs w:val="24"/>
                      </w:rPr>
                      <m:t>ls</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r>
                  <w:rPr>
                    <w:rFonts w:ascii="Cambria Math" w:hAnsi="Cambria Math"/>
                    <w:sz w:val="24"/>
                    <w:szCs w:val="24"/>
                  </w:rPr>
                  <m:t>.TF</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r>
                  <w:rPr>
                    <w:rFonts w:ascii="Cambria Math" w:hAnsi="Cambria Math"/>
                    <w:sz w:val="24"/>
                    <w:szCs w:val="24"/>
                  </w:rPr>
                  <m:t>.CF</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it</m:t>
                    </m:r>
                  </m:sub>
                </m:sSub>
              </m:oMath>
            </m:oMathPara>
          </w:p>
        </w:tc>
        <w:tc>
          <w:tcPr>
            <w:tcW w:w="540" w:type="pct"/>
            <w:vAlign w:val="center"/>
          </w:tcPr>
          <w:p w14:paraId="60A16361" w14:textId="77777777" w:rsidR="00546E97" w:rsidRPr="00357722" w:rsidRDefault="00546E97" w:rsidP="000058F3">
            <w:pPr>
              <w:numPr>
                <w:ilvl w:val="0"/>
                <w:numId w:val="31"/>
              </w:numPr>
              <w:spacing w:after="0" w:line="480" w:lineRule="auto"/>
              <w:jc w:val="both"/>
              <w:rPr>
                <w:rFonts w:ascii="Times New Roman" w:hAnsi="Times New Roman"/>
                <w:i/>
                <w:sz w:val="24"/>
                <w:szCs w:val="24"/>
                <w:lang w:eastAsia="ko-KR"/>
              </w:rPr>
            </w:pPr>
          </w:p>
        </w:tc>
      </w:tr>
    </w:tbl>
    <w:p w14:paraId="3717B034" w14:textId="540E6829" w:rsidR="0016323E" w:rsidRPr="00357722" w:rsidRDefault="00B838B7" w:rsidP="000058F3">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FD</m:t>
            </m:r>
          </m:e>
          <m:sub>
            <m:r>
              <w:rPr>
                <w:rFonts w:ascii="Cambria Math" w:hAnsi="Cambria Math" w:cs="Times New Roman"/>
                <w:color w:val="000000" w:themeColor="text1"/>
                <w:sz w:val="24"/>
                <w:szCs w:val="24"/>
              </w:rPr>
              <m:t>it</m:t>
            </m:r>
          </m:sub>
        </m:sSub>
      </m:oMath>
      <w:r w:rsidR="00FE442D"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 xml:space="preserve">represents </w:t>
      </w:r>
      <w:r w:rsidR="00C70802" w:rsidRPr="00357722">
        <w:rPr>
          <w:rFonts w:ascii="Times New Roman" w:eastAsia="Times New Roman" w:hAnsi="Times New Roman" w:cs="Times New Roman"/>
          <w:iCs/>
          <w:color w:val="000000" w:themeColor="text1"/>
          <w:sz w:val="24"/>
          <w:szCs w:val="24"/>
        </w:rPr>
        <w:t xml:space="preserve">the three </w:t>
      </w:r>
      <w:r w:rsidRPr="00357722">
        <w:rPr>
          <w:rFonts w:ascii="Times New Roman" w:eastAsia="Times New Roman" w:hAnsi="Times New Roman" w:cs="Times New Roman"/>
          <w:iCs/>
          <w:color w:val="000000" w:themeColor="text1"/>
          <w:sz w:val="24"/>
          <w:szCs w:val="24"/>
        </w:rPr>
        <w:t xml:space="preserve">financial development </w:t>
      </w:r>
      <w:r w:rsidR="00C70802" w:rsidRPr="00357722">
        <w:rPr>
          <w:rFonts w:ascii="Times New Roman" w:eastAsia="Times New Roman" w:hAnsi="Times New Roman" w:cs="Times New Roman"/>
          <w:iCs/>
          <w:color w:val="000000" w:themeColor="text1"/>
          <w:sz w:val="24"/>
          <w:szCs w:val="24"/>
        </w:rPr>
        <w:t xml:space="preserve">measures </w:t>
      </w:r>
      <w:r w:rsidRPr="00357722">
        <w:rPr>
          <w:rFonts w:ascii="Times New Roman" w:eastAsia="Times New Roman" w:hAnsi="Times New Roman" w:cs="Times New Roman"/>
          <w:iCs/>
          <w:color w:val="000000" w:themeColor="text1"/>
          <w:sz w:val="24"/>
          <w:szCs w:val="24"/>
        </w:rPr>
        <w:t>(</w:t>
      </w:r>
      <w:r w:rsidR="00494D2F" w:rsidRPr="00357722">
        <w:rPr>
          <w:rFonts w:ascii="Times New Roman" w:eastAsia="Times New Roman" w:hAnsi="Times New Roman" w:cs="Times New Roman"/>
          <w:i/>
          <w:color w:val="000000"/>
          <w:sz w:val="24"/>
          <w:szCs w:val="24"/>
          <w:lang w:val="en-US"/>
        </w:rPr>
        <w:t>MCGDP</w:t>
      </w:r>
      <w:r w:rsidRPr="00357722">
        <w:rPr>
          <w:rFonts w:ascii="Times New Roman" w:eastAsia="Times New Roman" w:hAnsi="Times New Roman" w:cs="Times New Roman"/>
          <w:i/>
          <w:iCs/>
          <w:color w:val="000000" w:themeColor="text1"/>
          <w:sz w:val="24"/>
          <w:szCs w:val="24"/>
        </w:rPr>
        <w:t xml:space="preserve">, </w:t>
      </w:r>
      <w:r w:rsidR="00494D2F" w:rsidRPr="00357722">
        <w:rPr>
          <w:rFonts w:ascii="Times New Roman" w:eastAsia="Times New Roman" w:hAnsi="Times New Roman" w:cs="Times New Roman"/>
          <w:i/>
          <w:color w:val="000000"/>
          <w:sz w:val="24"/>
          <w:szCs w:val="24"/>
          <w:lang w:val="en-US"/>
        </w:rPr>
        <w:t>PSCGDP</w:t>
      </w:r>
      <w:r w:rsidRPr="00357722">
        <w:rPr>
          <w:rFonts w:ascii="Times New Roman" w:eastAsia="Times New Roman" w:hAnsi="Times New Roman" w:cs="Times New Roman"/>
          <w:i/>
          <w:iCs/>
          <w:color w:val="000000" w:themeColor="text1"/>
          <w:sz w:val="24"/>
          <w:szCs w:val="24"/>
        </w:rPr>
        <w:t xml:space="preserve">, and </w:t>
      </w:r>
      <w:r w:rsidR="00494D2F" w:rsidRPr="00357722">
        <w:rPr>
          <w:rFonts w:ascii="Times New Roman" w:eastAsia="Times New Roman" w:hAnsi="Times New Roman" w:cs="Times New Roman"/>
          <w:i/>
          <w:color w:val="000000"/>
          <w:sz w:val="24"/>
          <w:szCs w:val="24"/>
          <w:lang w:val="en-US"/>
        </w:rPr>
        <w:t>DCPGDP</w:t>
      </w:r>
      <w:r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for country </w:t>
      </w:r>
      <m:oMath>
        <m:r>
          <w:rPr>
            <w:rFonts w:ascii="Cambria Math" w:eastAsia="Times New Roman" w:hAnsi="Cambria Math" w:cs="Times New Roman"/>
            <w:color w:val="000000" w:themeColor="text1"/>
            <w:sz w:val="24"/>
            <w:szCs w:val="24"/>
          </w:rPr>
          <m:t>i</m:t>
        </m:r>
      </m:oMath>
      <w:r w:rsidR="00494D2F"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00494D2F" w:rsidRPr="00357722">
        <w:rPr>
          <w:rFonts w:ascii="Times New Roman" w:eastAsia="Times New Roman" w:hAnsi="Times New Roman" w:cs="Times New Roman"/>
          <w:iCs/>
          <w:color w:val="000000" w:themeColor="text1"/>
          <w:sz w:val="24"/>
          <w:szCs w:val="24"/>
        </w:rPr>
        <w:t>.</w:t>
      </w:r>
      <w:r w:rsidR="00FE442D" w:rsidRPr="00357722">
        <w:rPr>
          <w:rFonts w:ascii="Times New Roman" w:eastAsia="Times New Roman" w:hAnsi="Times New Roman" w:cs="Times New Roman"/>
          <w:iCs/>
          <w:color w:val="000000" w:themeColor="text1"/>
          <w:sz w:val="24"/>
          <w:szCs w:val="24"/>
        </w:rPr>
        <w:t xml:space="preserve"> </w:t>
      </w:r>
      <m:oMath>
        <m:sSub>
          <m:sSubPr>
            <m:ctrlPr>
              <w:rPr>
                <w:rFonts w:ascii="Cambria Math" w:hAnsi="Cambria Math"/>
                <w:i/>
                <w:sz w:val="24"/>
                <w:szCs w:val="24"/>
              </w:rPr>
            </m:ctrlPr>
          </m:sSubPr>
          <m:e>
            <m:r>
              <w:rPr>
                <w:rFonts w:ascii="Cambria Math" w:hAnsi="Cambria Math"/>
                <w:sz w:val="24"/>
                <w:szCs w:val="24"/>
              </w:rPr>
              <m:t>IEPD</m:t>
            </m:r>
          </m:e>
          <m:sub>
            <m:r>
              <w:rPr>
                <w:rFonts w:ascii="Cambria Math" w:hAnsi="Cambria Math"/>
                <w:sz w:val="24"/>
                <w:szCs w:val="24"/>
              </w:rPr>
              <m:t>it</m:t>
            </m:r>
          </m:sub>
        </m:sSub>
      </m:oMath>
      <w:r w:rsidR="00FE442D" w:rsidRPr="00357722">
        <w:rPr>
          <w:rFonts w:ascii="Times New Roman" w:eastAsia="Times New Roman" w:hAnsi="Times New Roman" w:cs="Times New Roman"/>
          <w:sz w:val="24"/>
          <w:szCs w:val="24"/>
        </w:rPr>
        <w:t xml:space="preserve"> represents </w:t>
      </w:r>
      <w:r w:rsidR="00F41F5E" w:rsidRPr="00357722">
        <w:rPr>
          <w:rFonts w:ascii="Times New Roman" w:eastAsia="Times New Roman" w:hAnsi="Times New Roman" w:cs="Times New Roman"/>
          <w:sz w:val="24"/>
          <w:szCs w:val="24"/>
        </w:rPr>
        <w:t xml:space="preserve">international equity portfolio diversification. </w:t>
      </w:r>
      <m:oMath>
        <m:r>
          <w:rPr>
            <w:rFonts w:ascii="Cambria Math" w:eastAsia="Calibri" w:hAnsi="Cambria Math" w:cs="Times New Roman"/>
            <w:sz w:val="24"/>
            <w:szCs w:val="24"/>
            <w:lang w:eastAsia="en-US"/>
          </w:rPr>
          <m:t>Ct</m:t>
        </m:r>
        <m:sSub>
          <m:sSubPr>
            <m:ctrlPr>
              <w:rPr>
                <w:rFonts w:ascii="Cambria Math" w:eastAsia="Calibri" w:hAnsi="Cambria Math" w:cs="Times New Roman"/>
                <w:i/>
                <w:sz w:val="24"/>
                <w:szCs w:val="24"/>
                <w:lang w:eastAsia="en-US"/>
              </w:rPr>
            </m:ctrlPr>
          </m:sSubPr>
          <m:e>
            <m:r>
              <w:rPr>
                <w:rFonts w:ascii="Cambria Math" w:eastAsia="Calibri" w:hAnsi="Cambria Math" w:cs="Times New Roman"/>
                <w:sz w:val="24"/>
                <w:szCs w:val="24"/>
                <w:lang w:eastAsia="en-US"/>
              </w:rPr>
              <m:t>ls</m:t>
            </m:r>
          </m:e>
          <m:sub>
            <m:r>
              <w:rPr>
                <w:rFonts w:ascii="Cambria Math" w:eastAsia="Calibri" w:hAnsi="Cambria Math" w:cs="Times New Roman"/>
                <w:sz w:val="24"/>
                <w:szCs w:val="24"/>
                <w:lang w:eastAsia="en-US"/>
              </w:rPr>
              <m:t>jt</m:t>
            </m:r>
          </m:sub>
        </m:sSub>
      </m:oMath>
      <w:r w:rsidR="00F41F5E" w:rsidRPr="00357722">
        <w:rPr>
          <w:rFonts w:ascii="Times New Roman" w:eastAsia="Calibri" w:hAnsi="Times New Roman" w:cs="Times New Roman"/>
          <w:sz w:val="24"/>
          <w:szCs w:val="24"/>
          <w:lang w:eastAsia="en-US"/>
        </w:rPr>
        <w:t xml:space="preserve"> represents a vector of the control variables of country </w:t>
      </w:r>
      <m:oMath>
        <m:r>
          <w:rPr>
            <w:rFonts w:ascii="Cambria Math" w:eastAsia="Calibri" w:hAnsi="Cambria Math" w:cs="Times New Roman"/>
            <w:sz w:val="24"/>
            <w:szCs w:val="24"/>
            <w:lang w:eastAsia="en-US"/>
          </w:rPr>
          <m:t>i</m:t>
        </m:r>
      </m:oMath>
      <w:r w:rsidR="00F41F5E" w:rsidRPr="00357722">
        <w:rPr>
          <w:rFonts w:ascii="Times New Roman" w:eastAsia="Calibri" w:hAnsi="Times New Roman" w:cs="Times New Roman"/>
          <w:sz w:val="24"/>
          <w:szCs w:val="24"/>
          <w:lang w:eastAsia="en-US"/>
        </w:rPr>
        <w:t xml:space="preserve"> at time </w:t>
      </w:r>
      <m:oMath>
        <m:r>
          <w:rPr>
            <w:rFonts w:ascii="Cambria Math" w:eastAsia="Calibri" w:hAnsi="Cambria Math" w:cs="Times New Roman"/>
            <w:sz w:val="24"/>
            <w:szCs w:val="24"/>
            <w:lang w:eastAsia="en-US"/>
          </w:rPr>
          <m:t>t</m:t>
        </m:r>
      </m:oMath>
      <w:r w:rsidR="00F41F5E" w:rsidRPr="00357722">
        <w:rPr>
          <w:rFonts w:ascii="Times New Roman" w:eastAsia="Calibri" w:hAnsi="Times New Roman" w:cs="Times New Roman"/>
          <w:sz w:val="24"/>
          <w:szCs w:val="24"/>
          <w:lang w:eastAsia="en-US"/>
        </w:rPr>
        <w:t xml:space="preserve">. </w:t>
      </w:r>
      <w:r w:rsidR="00F41F5E" w:rsidRPr="00357722">
        <w:rPr>
          <w:rFonts w:ascii="Times New Roman" w:eastAsia="Calibri" w:hAnsi="Times New Roman" w:cs="Times New Roman"/>
          <w:i/>
          <w:sz w:val="24"/>
          <w:szCs w:val="24"/>
          <w:lang w:eastAsia="en-US"/>
        </w:rPr>
        <w:t>TFE</w:t>
      </w:r>
      <w:r w:rsidR="00F41F5E" w:rsidRPr="00357722">
        <w:rPr>
          <w:rFonts w:ascii="Times New Roman" w:eastAsia="Calibri" w:hAnsi="Times New Roman" w:cs="Times New Roman"/>
          <w:sz w:val="24"/>
          <w:szCs w:val="24"/>
          <w:lang w:eastAsia="en-US"/>
        </w:rPr>
        <w:t xml:space="preserve"> represents time effects. </w:t>
      </w:r>
      <w:r w:rsidR="00F41F5E" w:rsidRPr="00357722">
        <w:rPr>
          <w:rFonts w:ascii="Times New Roman" w:eastAsia="Calibri" w:hAnsi="Times New Roman" w:cs="Times New Roman"/>
          <w:i/>
          <w:sz w:val="24"/>
          <w:szCs w:val="24"/>
          <w:lang w:eastAsia="en-US"/>
        </w:rPr>
        <w:t>CFE</w:t>
      </w:r>
      <w:r w:rsidR="00F41F5E" w:rsidRPr="00357722">
        <w:rPr>
          <w:rFonts w:ascii="Times New Roman" w:eastAsia="Calibri" w:hAnsi="Times New Roman" w:cs="Times New Roman"/>
          <w:sz w:val="24"/>
          <w:szCs w:val="24"/>
          <w:lang w:eastAsia="en-US"/>
        </w:rPr>
        <w:t xml:space="preserve"> represent</w:t>
      </w:r>
      <w:r w:rsidR="00E30532">
        <w:rPr>
          <w:rFonts w:ascii="Times New Roman" w:eastAsia="Calibri" w:hAnsi="Times New Roman" w:cs="Times New Roman"/>
          <w:sz w:val="24"/>
          <w:szCs w:val="24"/>
          <w:lang w:eastAsia="en-US"/>
        </w:rPr>
        <w:t>s</w:t>
      </w:r>
      <w:r w:rsidR="00F41F5E" w:rsidRPr="00357722">
        <w:rPr>
          <w:rFonts w:ascii="Times New Roman" w:eastAsia="Calibri" w:hAnsi="Times New Roman" w:cs="Times New Roman"/>
          <w:sz w:val="24"/>
          <w:szCs w:val="24"/>
          <w:lang w:eastAsia="en-US"/>
        </w:rPr>
        <w:t xml:space="preserve"> </w:t>
      </w:r>
      <w:r w:rsidR="00D36BF6" w:rsidRPr="00357722">
        <w:rPr>
          <w:rFonts w:ascii="Times New Roman" w:eastAsia="Calibri" w:hAnsi="Times New Roman" w:cs="Times New Roman"/>
          <w:sz w:val="24"/>
          <w:szCs w:val="24"/>
          <w:lang w:eastAsia="en-US"/>
        </w:rPr>
        <w:t>country</w:t>
      </w:r>
      <w:r w:rsidR="00D36BF6">
        <w:rPr>
          <w:rFonts w:ascii="Times New Roman" w:eastAsia="Calibri" w:hAnsi="Times New Roman" w:cs="Times New Roman"/>
          <w:sz w:val="24"/>
          <w:szCs w:val="24"/>
          <w:lang w:eastAsia="en-US"/>
        </w:rPr>
        <w:t>-</w:t>
      </w:r>
      <w:r w:rsidR="00F41F5E" w:rsidRPr="00357722">
        <w:rPr>
          <w:rFonts w:ascii="Times New Roman" w:eastAsia="Calibri" w:hAnsi="Times New Roman" w:cs="Times New Roman"/>
          <w:sz w:val="24"/>
          <w:szCs w:val="24"/>
          <w:lang w:eastAsia="en-US"/>
        </w:rPr>
        <w:t>fixed effects.</w:t>
      </w:r>
    </w:p>
    <w:p w14:paraId="2141E1EF" w14:textId="77777777" w:rsidR="000058F3" w:rsidRDefault="00615CAB" w:rsidP="000058F3">
      <w:pPr>
        <w:autoSpaceDN w:val="0"/>
        <w:spacing w:after="0" w:line="480" w:lineRule="auto"/>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lastRenderedPageBreak/>
        <w:t xml:space="preserve">Table 3 presents the results </w:t>
      </w:r>
      <w:r w:rsidR="00544F34" w:rsidRPr="00357722">
        <w:rPr>
          <w:rFonts w:ascii="Times New Roman" w:eastAsia="Times New Roman" w:hAnsi="Times New Roman" w:cs="Times New Roman"/>
          <w:color w:val="000000" w:themeColor="text1"/>
          <w:sz w:val="24"/>
          <w:szCs w:val="24"/>
        </w:rPr>
        <w:t xml:space="preserve">of equation (2) </w:t>
      </w:r>
      <w:r w:rsidRPr="00357722">
        <w:rPr>
          <w:rFonts w:ascii="Times New Roman" w:eastAsia="Times New Roman" w:hAnsi="Times New Roman" w:cs="Times New Roman"/>
          <w:color w:val="000000" w:themeColor="text1"/>
          <w:sz w:val="24"/>
          <w:szCs w:val="24"/>
        </w:rPr>
        <w:t xml:space="preserve">using a panel OLS. </w:t>
      </w:r>
      <w:r w:rsidR="00E63A57" w:rsidRPr="00357722">
        <w:rPr>
          <w:rFonts w:ascii="Times New Roman" w:eastAsia="Times New Roman" w:hAnsi="Times New Roman" w:cs="Times New Roman"/>
          <w:color w:val="000000" w:themeColor="text1"/>
          <w:sz w:val="24"/>
          <w:szCs w:val="24"/>
        </w:rPr>
        <w:t xml:space="preserve">In </w:t>
      </w:r>
      <w:r w:rsidR="00E17280" w:rsidRPr="00357722">
        <w:rPr>
          <w:rFonts w:ascii="Times New Roman" w:eastAsia="Times New Roman" w:hAnsi="Times New Roman" w:cs="Times New Roman"/>
          <w:color w:val="000000" w:themeColor="text1"/>
          <w:sz w:val="24"/>
          <w:szCs w:val="24"/>
        </w:rPr>
        <w:t xml:space="preserve">model </w:t>
      </w:r>
      <w:r w:rsidR="00E63A57" w:rsidRPr="00357722">
        <w:rPr>
          <w:rFonts w:ascii="Times New Roman" w:eastAsia="Times New Roman" w:hAnsi="Times New Roman" w:cs="Times New Roman"/>
          <w:color w:val="000000" w:themeColor="text1"/>
          <w:sz w:val="24"/>
          <w:szCs w:val="24"/>
        </w:rPr>
        <w:t xml:space="preserve">1 where </w:t>
      </w:r>
      <w:r w:rsidR="00E30532">
        <w:rPr>
          <w:rFonts w:ascii="Times New Roman" w:eastAsia="Times New Roman" w:hAnsi="Times New Roman" w:cs="Times New Roman"/>
          <w:color w:val="000000" w:themeColor="text1"/>
          <w:sz w:val="24"/>
          <w:szCs w:val="24"/>
        </w:rPr>
        <w:t xml:space="preserve">the </w:t>
      </w:r>
      <w:r w:rsidR="00E63A57" w:rsidRPr="00357722">
        <w:rPr>
          <w:rFonts w:ascii="Times New Roman" w:eastAsia="Times New Roman" w:hAnsi="Times New Roman" w:cs="Times New Roman"/>
          <w:color w:val="000000" w:themeColor="text1"/>
          <w:sz w:val="24"/>
          <w:szCs w:val="24"/>
        </w:rPr>
        <w:t xml:space="preserve">financial development measure is stock market capitalization scaled by GDP, The coefficient </w:t>
      </w:r>
      <w:r w:rsidR="00A5289A" w:rsidRPr="00357722">
        <w:rPr>
          <w:rFonts w:ascii="Times New Roman" w:eastAsia="Times New Roman" w:hAnsi="Times New Roman" w:cs="Times New Roman"/>
          <w:color w:val="000000" w:themeColor="text1"/>
          <w:sz w:val="24"/>
          <w:szCs w:val="24"/>
        </w:rPr>
        <w:t xml:space="preserve">on </w:t>
      </w:r>
      <w:r w:rsidR="00A5289A" w:rsidRPr="00357722">
        <w:rPr>
          <w:rFonts w:ascii="Times New Roman" w:eastAsia="Times New Roman" w:hAnsi="Times New Roman" w:cs="Times New Roman"/>
          <w:i/>
          <w:color w:val="000000" w:themeColor="text1"/>
          <w:sz w:val="24"/>
          <w:szCs w:val="24"/>
        </w:rPr>
        <w:t>IEPD</w:t>
      </w:r>
      <w:r w:rsidR="00A5289A" w:rsidRPr="00357722">
        <w:rPr>
          <w:rFonts w:ascii="Times New Roman" w:eastAsia="Times New Roman" w:hAnsi="Times New Roman" w:cs="Times New Roman"/>
          <w:color w:val="000000" w:themeColor="text1"/>
          <w:sz w:val="24"/>
          <w:szCs w:val="24"/>
        </w:rPr>
        <w:t xml:space="preserve"> </w:t>
      </w:r>
      <w:r w:rsidR="00E63A57" w:rsidRPr="00357722">
        <w:rPr>
          <w:rFonts w:ascii="Times New Roman" w:eastAsia="Times New Roman" w:hAnsi="Times New Roman" w:cs="Times New Roman"/>
          <w:color w:val="000000" w:themeColor="text1"/>
          <w:sz w:val="24"/>
          <w:szCs w:val="24"/>
        </w:rPr>
        <w:t xml:space="preserve">is positive and statistically significant at the 1% level. In </w:t>
      </w:r>
      <w:r w:rsidR="00E17280" w:rsidRPr="00357722">
        <w:rPr>
          <w:rFonts w:ascii="Times New Roman" w:eastAsia="Times New Roman" w:hAnsi="Times New Roman" w:cs="Times New Roman"/>
          <w:color w:val="000000" w:themeColor="text1"/>
          <w:sz w:val="24"/>
          <w:szCs w:val="24"/>
        </w:rPr>
        <w:t xml:space="preserve">model </w:t>
      </w:r>
      <w:r w:rsidR="00E63A57" w:rsidRPr="00357722">
        <w:rPr>
          <w:rFonts w:ascii="Times New Roman" w:eastAsia="Times New Roman" w:hAnsi="Times New Roman" w:cs="Times New Roman"/>
          <w:color w:val="000000" w:themeColor="text1"/>
          <w:sz w:val="24"/>
          <w:szCs w:val="24"/>
        </w:rPr>
        <w:t xml:space="preserve">2, we report a repeated analysis where </w:t>
      </w:r>
      <w:r w:rsidR="00D36BF6">
        <w:rPr>
          <w:rFonts w:ascii="Times New Roman" w:eastAsia="Times New Roman" w:hAnsi="Times New Roman" w:cs="Times New Roman"/>
          <w:color w:val="000000" w:themeColor="text1"/>
          <w:sz w:val="24"/>
          <w:szCs w:val="24"/>
        </w:rPr>
        <w:t xml:space="preserve">the </w:t>
      </w:r>
      <w:r w:rsidR="0092495A" w:rsidRPr="00357722">
        <w:rPr>
          <w:rFonts w:ascii="Times New Roman" w:eastAsia="Times New Roman" w:hAnsi="Times New Roman" w:cs="Times New Roman"/>
          <w:color w:val="000000" w:themeColor="text1"/>
          <w:sz w:val="24"/>
          <w:szCs w:val="24"/>
        </w:rPr>
        <w:t xml:space="preserve">financial development measure is private sector credit scaled by GDP. The estimated coefficient </w:t>
      </w:r>
      <w:r w:rsidR="00A5289A" w:rsidRPr="00357722">
        <w:rPr>
          <w:rFonts w:ascii="Times New Roman" w:eastAsia="Times New Roman" w:hAnsi="Times New Roman" w:cs="Times New Roman"/>
          <w:color w:val="000000" w:themeColor="text1"/>
          <w:sz w:val="24"/>
          <w:szCs w:val="24"/>
        </w:rPr>
        <w:t xml:space="preserve">on </w:t>
      </w:r>
      <w:r w:rsidR="00A5289A" w:rsidRPr="00357722">
        <w:rPr>
          <w:rFonts w:ascii="Times New Roman" w:eastAsia="Times New Roman" w:hAnsi="Times New Roman" w:cs="Times New Roman"/>
          <w:i/>
          <w:color w:val="000000" w:themeColor="text1"/>
          <w:sz w:val="24"/>
          <w:szCs w:val="24"/>
        </w:rPr>
        <w:t>IEPD</w:t>
      </w:r>
      <w:r w:rsidR="00A5289A" w:rsidRPr="00357722">
        <w:rPr>
          <w:rFonts w:ascii="Times New Roman" w:eastAsia="Times New Roman" w:hAnsi="Times New Roman" w:cs="Times New Roman"/>
          <w:color w:val="000000" w:themeColor="text1"/>
          <w:sz w:val="24"/>
          <w:szCs w:val="24"/>
        </w:rPr>
        <w:t xml:space="preserve"> is</w:t>
      </w:r>
      <w:r w:rsidR="0092495A" w:rsidRPr="00357722">
        <w:rPr>
          <w:rFonts w:ascii="Times New Roman" w:eastAsia="Times New Roman" w:hAnsi="Times New Roman" w:cs="Times New Roman"/>
          <w:color w:val="000000" w:themeColor="text1"/>
          <w:sz w:val="24"/>
          <w:szCs w:val="24"/>
        </w:rPr>
        <w:t xml:space="preserve"> again positive and statistically significant at the 1% level. </w:t>
      </w:r>
      <w:r w:rsidR="003D54C2" w:rsidRPr="00357722">
        <w:rPr>
          <w:rFonts w:ascii="Times New Roman" w:eastAsia="Times New Roman" w:hAnsi="Times New Roman" w:cs="Times New Roman"/>
          <w:color w:val="000000" w:themeColor="text1"/>
          <w:sz w:val="24"/>
          <w:szCs w:val="24"/>
        </w:rPr>
        <w:t>Adding to the existing literature on the salient role of foreign investors via financial liberalization in enhancing financial system development (Claessens et al.</w:t>
      </w:r>
      <w:r w:rsidR="009C595B">
        <w:rPr>
          <w:rFonts w:ascii="Times New Roman" w:eastAsia="Times New Roman" w:hAnsi="Times New Roman" w:cs="Times New Roman"/>
          <w:color w:val="000000" w:themeColor="text1"/>
          <w:sz w:val="24"/>
          <w:szCs w:val="24"/>
        </w:rPr>
        <w:t>,</w:t>
      </w:r>
      <w:r w:rsidR="003D54C2" w:rsidRPr="00357722">
        <w:rPr>
          <w:rFonts w:ascii="Times New Roman" w:eastAsia="Times New Roman" w:hAnsi="Times New Roman" w:cs="Times New Roman"/>
          <w:color w:val="000000" w:themeColor="text1"/>
          <w:sz w:val="24"/>
          <w:szCs w:val="24"/>
        </w:rPr>
        <w:t xml:space="preserve"> 2001; Stultz, 1999; Stiglitz, 2000). </w:t>
      </w:r>
      <w:r w:rsidR="0092495A" w:rsidRPr="00357722">
        <w:rPr>
          <w:rFonts w:ascii="Times New Roman" w:eastAsia="Times New Roman" w:hAnsi="Times New Roman" w:cs="Times New Roman"/>
          <w:color w:val="000000" w:themeColor="text1"/>
          <w:sz w:val="24"/>
          <w:szCs w:val="24"/>
        </w:rPr>
        <w:t xml:space="preserve">Finally, turning to </w:t>
      </w:r>
      <w:r w:rsidR="00E17280" w:rsidRPr="00357722">
        <w:rPr>
          <w:rFonts w:ascii="Times New Roman" w:eastAsia="Times New Roman" w:hAnsi="Times New Roman" w:cs="Times New Roman"/>
          <w:color w:val="000000" w:themeColor="text1"/>
          <w:sz w:val="24"/>
          <w:szCs w:val="24"/>
        </w:rPr>
        <w:t xml:space="preserve">model </w:t>
      </w:r>
      <w:r w:rsidR="0092495A" w:rsidRPr="00357722">
        <w:rPr>
          <w:rFonts w:ascii="Times New Roman" w:eastAsia="Times New Roman" w:hAnsi="Times New Roman" w:cs="Times New Roman"/>
          <w:color w:val="000000" w:themeColor="text1"/>
          <w:sz w:val="24"/>
          <w:szCs w:val="24"/>
        </w:rPr>
        <w:t xml:space="preserve">3 where we use domestic credit to the private sector scaled by GDP, the estimated coefficient </w:t>
      </w:r>
      <w:r w:rsidR="00A5289A" w:rsidRPr="00357722">
        <w:rPr>
          <w:rFonts w:ascii="Times New Roman" w:eastAsia="Times New Roman" w:hAnsi="Times New Roman" w:cs="Times New Roman"/>
          <w:color w:val="000000" w:themeColor="text1"/>
          <w:sz w:val="24"/>
          <w:szCs w:val="24"/>
        </w:rPr>
        <w:t xml:space="preserve">on </w:t>
      </w:r>
      <w:r w:rsidR="00A5289A" w:rsidRPr="00357722">
        <w:rPr>
          <w:rFonts w:ascii="Times New Roman" w:eastAsia="Times New Roman" w:hAnsi="Times New Roman" w:cs="Times New Roman"/>
          <w:i/>
          <w:color w:val="000000" w:themeColor="text1"/>
          <w:sz w:val="24"/>
          <w:szCs w:val="24"/>
        </w:rPr>
        <w:t>IEPD</w:t>
      </w:r>
      <w:r w:rsidR="00A5289A" w:rsidRPr="00357722">
        <w:rPr>
          <w:rFonts w:ascii="Times New Roman" w:eastAsia="Times New Roman" w:hAnsi="Times New Roman" w:cs="Times New Roman"/>
          <w:color w:val="000000" w:themeColor="text1"/>
          <w:sz w:val="24"/>
          <w:szCs w:val="24"/>
        </w:rPr>
        <w:t xml:space="preserve"> </w:t>
      </w:r>
      <w:r w:rsidR="0092495A" w:rsidRPr="00357722">
        <w:rPr>
          <w:rFonts w:ascii="Times New Roman" w:eastAsia="Times New Roman" w:hAnsi="Times New Roman" w:cs="Times New Roman"/>
          <w:color w:val="000000" w:themeColor="text1"/>
          <w:sz w:val="24"/>
          <w:szCs w:val="24"/>
        </w:rPr>
        <w:t>is lower but positive and statistically significant at the 1% level.</w:t>
      </w:r>
      <w:r w:rsidR="00A5289A" w:rsidRPr="00357722">
        <w:rPr>
          <w:rFonts w:ascii="Times New Roman" w:eastAsia="Times New Roman" w:hAnsi="Times New Roman" w:cs="Times New Roman"/>
          <w:color w:val="000000" w:themeColor="text1"/>
          <w:sz w:val="24"/>
          <w:szCs w:val="24"/>
        </w:rPr>
        <w:t xml:space="preserve"> </w:t>
      </w:r>
      <w:r w:rsidR="0092495A" w:rsidRPr="00357722">
        <w:rPr>
          <w:rFonts w:ascii="Times New Roman" w:eastAsia="Times New Roman" w:hAnsi="Times New Roman" w:cs="Times New Roman"/>
          <w:color w:val="000000" w:themeColor="text1"/>
          <w:sz w:val="24"/>
          <w:szCs w:val="24"/>
        </w:rPr>
        <w:t>The results suggest that foreign investors contribute to not only the development of the domestic stock ma</w:t>
      </w:r>
      <w:r w:rsidR="004F60A2" w:rsidRPr="00357722">
        <w:rPr>
          <w:rFonts w:ascii="Times New Roman" w:eastAsia="Times New Roman" w:hAnsi="Times New Roman" w:cs="Times New Roman"/>
          <w:color w:val="000000" w:themeColor="text1"/>
          <w:sz w:val="24"/>
          <w:szCs w:val="24"/>
        </w:rPr>
        <w:t>r</w:t>
      </w:r>
      <w:r w:rsidR="0092495A" w:rsidRPr="00357722">
        <w:rPr>
          <w:rFonts w:ascii="Times New Roman" w:eastAsia="Times New Roman" w:hAnsi="Times New Roman" w:cs="Times New Roman"/>
          <w:color w:val="000000" w:themeColor="text1"/>
          <w:sz w:val="24"/>
          <w:szCs w:val="24"/>
        </w:rPr>
        <w:t>ket but also the development of banking institutions by providing credit to the private sector.</w:t>
      </w:r>
      <w:r w:rsidR="00B3723A" w:rsidRPr="00357722">
        <w:rPr>
          <w:rFonts w:ascii="Times New Roman" w:eastAsia="Times New Roman" w:hAnsi="Times New Roman" w:cs="Times New Roman"/>
          <w:color w:val="000000" w:themeColor="text1"/>
          <w:sz w:val="24"/>
          <w:szCs w:val="24"/>
        </w:rPr>
        <w:t xml:space="preserve"> </w:t>
      </w:r>
      <w:r w:rsidR="00291AE1" w:rsidRPr="00357722">
        <w:rPr>
          <w:rFonts w:ascii="Times New Roman" w:eastAsia="Times New Roman" w:hAnsi="Times New Roman" w:cs="Times New Roman"/>
          <w:color w:val="000000" w:themeColor="text1"/>
          <w:sz w:val="24"/>
          <w:szCs w:val="24"/>
        </w:rPr>
        <w:t>The estimated coefficients on financial development range from 0.047 in model 3 to 0.477 in model 1. These indicate that one standard increase in international equity portfolio diversification will increase financial development ranging from 0.06%</w:t>
      </w:r>
      <w:r w:rsidR="00DF7E9D" w:rsidRPr="00357722">
        <w:rPr>
          <w:rFonts w:ascii="Times New Roman" w:eastAsia="Times New Roman" w:hAnsi="Times New Roman" w:cs="Times New Roman"/>
          <w:color w:val="000000" w:themeColor="text1"/>
          <w:sz w:val="24"/>
          <w:szCs w:val="24"/>
        </w:rPr>
        <w:t xml:space="preserve"> in model 3</w:t>
      </w:r>
      <w:r w:rsidR="00291AE1" w:rsidRPr="00357722">
        <w:rPr>
          <w:rFonts w:ascii="Times New Roman" w:eastAsia="Times New Roman" w:hAnsi="Times New Roman" w:cs="Times New Roman"/>
          <w:color w:val="000000" w:themeColor="text1"/>
          <w:sz w:val="24"/>
          <w:szCs w:val="24"/>
        </w:rPr>
        <w:t xml:space="preserve"> to 0.57%</w:t>
      </w:r>
      <w:r w:rsidR="00DF7E9D" w:rsidRPr="00357722">
        <w:rPr>
          <w:rFonts w:ascii="Times New Roman" w:eastAsia="Times New Roman" w:hAnsi="Times New Roman" w:cs="Times New Roman"/>
          <w:color w:val="000000" w:themeColor="text1"/>
          <w:sz w:val="24"/>
          <w:szCs w:val="24"/>
        </w:rPr>
        <w:t xml:space="preserve"> in model 1</w:t>
      </w:r>
      <w:r w:rsidR="00291AE1" w:rsidRPr="00357722">
        <w:rPr>
          <w:rFonts w:ascii="Times New Roman" w:eastAsia="Times New Roman" w:hAnsi="Times New Roman" w:cs="Times New Roman"/>
          <w:color w:val="000000" w:themeColor="text1"/>
          <w:sz w:val="24"/>
          <w:szCs w:val="24"/>
        </w:rPr>
        <w:t xml:space="preserve">. These are </w:t>
      </w:r>
      <w:r w:rsidR="004A16BC" w:rsidRPr="00357722">
        <w:rPr>
          <w:rFonts w:ascii="Times New Roman" w:eastAsia="Times New Roman" w:hAnsi="Times New Roman" w:cs="Times New Roman"/>
          <w:color w:val="000000" w:themeColor="text1"/>
          <w:sz w:val="24"/>
          <w:szCs w:val="24"/>
        </w:rPr>
        <w:t xml:space="preserve">economically significant since the mean (median) levels of </w:t>
      </w:r>
      <w:r w:rsidR="004A16BC" w:rsidRPr="00357722">
        <w:rPr>
          <w:rFonts w:ascii="Times New Roman" w:eastAsia="Times New Roman" w:hAnsi="Times New Roman" w:cs="Times New Roman"/>
          <w:i/>
          <w:color w:val="000000" w:themeColor="text1"/>
          <w:sz w:val="24"/>
          <w:szCs w:val="24"/>
        </w:rPr>
        <w:t>MCGDP</w:t>
      </w:r>
      <w:r w:rsidR="004A16BC" w:rsidRPr="00357722">
        <w:rPr>
          <w:rFonts w:ascii="Times New Roman" w:eastAsia="Times New Roman" w:hAnsi="Times New Roman" w:cs="Times New Roman"/>
          <w:color w:val="000000" w:themeColor="text1"/>
          <w:sz w:val="24"/>
          <w:szCs w:val="24"/>
        </w:rPr>
        <w:t xml:space="preserve"> and </w:t>
      </w:r>
      <w:r w:rsidR="004A16BC" w:rsidRPr="00357722">
        <w:rPr>
          <w:rFonts w:ascii="Times New Roman" w:eastAsia="Times New Roman" w:hAnsi="Times New Roman" w:cs="Times New Roman"/>
          <w:i/>
          <w:color w:val="000000" w:themeColor="text1"/>
          <w:sz w:val="24"/>
          <w:szCs w:val="24"/>
        </w:rPr>
        <w:t>DCPGDP</w:t>
      </w:r>
      <w:r w:rsidR="004A16BC" w:rsidRPr="00357722">
        <w:rPr>
          <w:rFonts w:ascii="Times New Roman" w:eastAsia="Times New Roman" w:hAnsi="Times New Roman" w:cs="Times New Roman"/>
          <w:color w:val="000000" w:themeColor="text1"/>
          <w:sz w:val="24"/>
          <w:szCs w:val="24"/>
        </w:rPr>
        <w:t xml:space="preserve"> in our sample are 3.9 (3.9) and 4.2 (4.4) respectively. </w:t>
      </w:r>
      <w:r w:rsidR="00B3723A" w:rsidRPr="00357722">
        <w:rPr>
          <w:rFonts w:ascii="Times New Roman" w:eastAsia="Times New Roman" w:hAnsi="Times New Roman" w:cs="Times New Roman"/>
          <w:color w:val="000000" w:themeColor="text1"/>
          <w:sz w:val="24"/>
          <w:szCs w:val="24"/>
        </w:rPr>
        <w:t xml:space="preserve">These results </w:t>
      </w:r>
      <w:r w:rsidR="00142376" w:rsidRPr="00357722">
        <w:rPr>
          <w:rFonts w:ascii="Times New Roman" w:eastAsia="Times New Roman" w:hAnsi="Times New Roman" w:cs="Times New Roman"/>
          <w:color w:val="000000" w:themeColor="text1"/>
          <w:sz w:val="24"/>
          <w:szCs w:val="24"/>
        </w:rPr>
        <w:t>add to</w:t>
      </w:r>
      <w:r w:rsidR="00B3723A" w:rsidRPr="00357722">
        <w:rPr>
          <w:rFonts w:ascii="Times New Roman" w:eastAsia="Times New Roman" w:hAnsi="Times New Roman" w:cs="Times New Roman"/>
          <w:color w:val="000000" w:themeColor="text1"/>
          <w:sz w:val="24"/>
          <w:szCs w:val="24"/>
        </w:rPr>
        <w:t xml:space="preserve"> Chinn and Ito’s (2006) finding that financial openness enhances financial development. </w:t>
      </w:r>
      <w:r w:rsidR="007C6E9B" w:rsidRPr="00357722">
        <w:rPr>
          <w:rFonts w:ascii="Times New Roman" w:eastAsia="Times New Roman" w:hAnsi="Times New Roman" w:cs="Times New Roman"/>
          <w:i/>
          <w:color w:val="000000" w:themeColor="text1"/>
          <w:sz w:val="24"/>
          <w:szCs w:val="24"/>
        </w:rPr>
        <w:t>FINOPEN</w:t>
      </w:r>
      <w:r w:rsidR="007C6E9B" w:rsidRPr="00357722">
        <w:rPr>
          <w:rFonts w:ascii="Times New Roman" w:eastAsia="Times New Roman" w:hAnsi="Times New Roman" w:cs="Times New Roman"/>
          <w:color w:val="000000" w:themeColor="text1"/>
          <w:sz w:val="24"/>
          <w:szCs w:val="24"/>
        </w:rPr>
        <w:t xml:space="preserve"> and </w:t>
      </w:r>
      <w:r w:rsidR="007C6E9B" w:rsidRPr="00357722">
        <w:rPr>
          <w:rFonts w:ascii="Times New Roman" w:eastAsia="Times New Roman" w:hAnsi="Times New Roman" w:cs="Times New Roman"/>
          <w:i/>
          <w:color w:val="000000" w:themeColor="text1"/>
          <w:sz w:val="24"/>
          <w:szCs w:val="24"/>
        </w:rPr>
        <w:t>POPG</w:t>
      </w:r>
      <w:r w:rsidR="007C6E9B" w:rsidRPr="00357722">
        <w:rPr>
          <w:rFonts w:ascii="Times New Roman" w:eastAsia="Times New Roman" w:hAnsi="Times New Roman" w:cs="Times New Roman"/>
          <w:color w:val="000000" w:themeColor="text1"/>
          <w:sz w:val="24"/>
          <w:szCs w:val="24"/>
        </w:rPr>
        <w:t xml:space="preserve"> have </w:t>
      </w:r>
      <w:r w:rsidR="00E30532">
        <w:rPr>
          <w:rFonts w:ascii="Times New Roman" w:eastAsia="Times New Roman" w:hAnsi="Times New Roman" w:cs="Times New Roman"/>
          <w:color w:val="000000" w:themeColor="text1"/>
          <w:sz w:val="24"/>
          <w:szCs w:val="24"/>
        </w:rPr>
        <w:t xml:space="preserve">a </w:t>
      </w:r>
      <w:r w:rsidR="007C6E9B" w:rsidRPr="00357722">
        <w:rPr>
          <w:rFonts w:ascii="Times New Roman" w:eastAsia="Times New Roman" w:hAnsi="Times New Roman" w:cs="Times New Roman"/>
          <w:color w:val="000000" w:themeColor="text1"/>
          <w:sz w:val="24"/>
          <w:szCs w:val="24"/>
        </w:rPr>
        <w:t>positive effect on financial development. Other control variables have the expected signs as reported in previous studies (see</w:t>
      </w:r>
      <w:r w:rsidR="00AF4FB3">
        <w:rPr>
          <w:rFonts w:ascii="Times New Roman" w:eastAsia="Times New Roman" w:hAnsi="Times New Roman" w:cs="Times New Roman"/>
          <w:color w:val="000000" w:themeColor="text1"/>
          <w:sz w:val="24"/>
          <w:szCs w:val="24"/>
        </w:rPr>
        <w:t xml:space="preserve"> </w:t>
      </w:r>
      <w:r w:rsidR="009E1B5C" w:rsidRPr="00357722">
        <w:rPr>
          <w:rFonts w:ascii="Times New Roman" w:eastAsia="Times New Roman" w:hAnsi="Times New Roman" w:cs="Times New Roman"/>
          <w:color w:val="000000" w:themeColor="text1"/>
          <w:sz w:val="24"/>
          <w:szCs w:val="24"/>
        </w:rPr>
        <w:t xml:space="preserve">Arcand et al. 2012; Greenwood and </w:t>
      </w:r>
      <w:proofErr w:type="spellStart"/>
      <w:r w:rsidR="009E1B5C" w:rsidRPr="00357722">
        <w:rPr>
          <w:rFonts w:ascii="Times New Roman" w:eastAsia="Times New Roman" w:hAnsi="Times New Roman" w:cs="Times New Roman"/>
          <w:color w:val="000000" w:themeColor="text1"/>
          <w:sz w:val="24"/>
          <w:szCs w:val="24"/>
        </w:rPr>
        <w:t>Javanovic</w:t>
      </w:r>
      <w:proofErr w:type="spellEnd"/>
      <w:r w:rsidR="009E1B5C" w:rsidRPr="00357722">
        <w:rPr>
          <w:rFonts w:ascii="Times New Roman" w:eastAsia="Times New Roman" w:hAnsi="Times New Roman" w:cs="Times New Roman"/>
          <w:color w:val="000000" w:themeColor="text1"/>
          <w:sz w:val="24"/>
          <w:szCs w:val="24"/>
        </w:rPr>
        <w:t>, 1990).</w:t>
      </w:r>
      <w:r w:rsidR="00D86E39">
        <w:rPr>
          <w:rFonts w:ascii="Times New Roman" w:eastAsia="Times New Roman" w:hAnsi="Times New Roman" w:cs="Times New Roman"/>
          <w:color w:val="000000" w:themeColor="text1"/>
          <w:sz w:val="24"/>
          <w:szCs w:val="24"/>
        </w:rPr>
        <w:t xml:space="preserve"> </w:t>
      </w:r>
      <w:r w:rsidR="00D86E39" w:rsidRPr="003C5F47">
        <w:rPr>
          <w:rFonts w:ascii="Times New Roman" w:eastAsia="Times New Roman" w:hAnsi="Times New Roman" w:cs="Times New Roman"/>
          <w:i/>
          <w:color w:val="000000" w:themeColor="text1"/>
          <w:sz w:val="24"/>
          <w:szCs w:val="24"/>
        </w:rPr>
        <w:t>GDPG</w:t>
      </w:r>
      <w:r w:rsidR="00D86E39">
        <w:rPr>
          <w:rFonts w:ascii="Times New Roman" w:eastAsia="Times New Roman" w:hAnsi="Times New Roman" w:cs="Times New Roman"/>
          <w:color w:val="000000" w:themeColor="text1"/>
          <w:sz w:val="24"/>
          <w:szCs w:val="24"/>
        </w:rPr>
        <w:t xml:space="preserve"> and </w:t>
      </w:r>
      <w:r w:rsidR="00D86E39" w:rsidRPr="003C5F47">
        <w:rPr>
          <w:rFonts w:ascii="Times New Roman" w:eastAsia="Times New Roman" w:hAnsi="Times New Roman" w:cs="Times New Roman"/>
          <w:i/>
          <w:color w:val="000000" w:themeColor="text1"/>
          <w:sz w:val="24"/>
          <w:szCs w:val="24"/>
        </w:rPr>
        <w:t>I</w:t>
      </w:r>
      <w:r w:rsidR="003C5F47">
        <w:rPr>
          <w:rFonts w:ascii="Times New Roman" w:eastAsia="Times New Roman" w:hAnsi="Times New Roman" w:cs="Times New Roman"/>
          <w:i/>
          <w:color w:val="000000" w:themeColor="text1"/>
          <w:sz w:val="24"/>
          <w:szCs w:val="24"/>
        </w:rPr>
        <w:t>NFL</w:t>
      </w:r>
      <w:r w:rsidR="00D86E39">
        <w:rPr>
          <w:rFonts w:ascii="Times New Roman" w:eastAsia="Times New Roman" w:hAnsi="Times New Roman" w:cs="Times New Roman"/>
          <w:color w:val="000000" w:themeColor="text1"/>
          <w:sz w:val="24"/>
          <w:szCs w:val="24"/>
        </w:rPr>
        <w:t xml:space="preserve"> ha</w:t>
      </w:r>
      <w:r w:rsidR="00D36BF6">
        <w:rPr>
          <w:rFonts w:ascii="Times New Roman" w:eastAsia="Times New Roman" w:hAnsi="Times New Roman" w:cs="Times New Roman"/>
          <w:color w:val="000000" w:themeColor="text1"/>
          <w:sz w:val="24"/>
          <w:szCs w:val="24"/>
        </w:rPr>
        <w:t>ve</w:t>
      </w:r>
      <w:r w:rsidR="00D86E39">
        <w:rPr>
          <w:rFonts w:ascii="Times New Roman" w:eastAsia="Times New Roman" w:hAnsi="Times New Roman" w:cs="Times New Roman"/>
          <w:color w:val="000000" w:themeColor="text1"/>
          <w:sz w:val="24"/>
          <w:szCs w:val="24"/>
        </w:rPr>
        <w:t xml:space="preserve"> inconsistent signs on </w:t>
      </w:r>
      <w:r w:rsidR="00D36BF6">
        <w:rPr>
          <w:rFonts w:ascii="Times New Roman" w:eastAsia="Times New Roman" w:hAnsi="Times New Roman" w:cs="Times New Roman"/>
          <w:color w:val="000000" w:themeColor="text1"/>
          <w:sz w:val="24"/>
          <w:szCs w:val="24"/>
        </w:rPr>
        <w:t xml:space="preserve">the </w:t>
      </w:r>
      <w:r w:rsidR="00D86E39">
        <w:rPr>
          <w:rFonts w:ascii="Times New Roman" w:eastAsia="Times New Roman" w:hAnsi="Times New Roman" w:cs="Times New Roman"/>
          <w:color w:val="000000" w:themeColor="text1"/>
          <w:sz w:val="24"/>
          <w:szCs w:val="24"/>
        </w:rPr>
        <w:t xml:space="preserve">stock market and banking sector development. The negative coefficient of inflation on banking sector development suggests that inflation has </w:t>
      </w:r>
      <w:r w:rsidR="00D36BF6">
        <w:rPr>
          <w:rFonts w:ascii="Times New Roman" w:eastAsia="Times New Roman" w:hAnsi="Times New Roman" w:cs="Times New Roman"/>
          <w:color w:val="000000" w:themeColor="text1"/>
          <w:sz w:val="24"/>
          <w:szCs w:val="24"/>
        </w:rPr>
        <w:t xml:space="preserve">an </w:t>
      </w:r>
      <w:r w:rsidR="00D86E39">
        <w:rPr>
          <w:rFonts w:ascii="Times New Roman" w:eastAsia="Times New Roman" w:hAnsi="Times New Roman" w:cs="Times New Roman"/>
          <w:color w:val="000000" w:themeColor="text1"/>
          <w:sz w:val="24"/>
          <w:szCs w:val="24"/>
        </w:rPr>
        <w:t>adverse effect on savings. This is consistent with the view that inflation makes investors reluctant to increase their savings</w:t>
      </w:r>
    </w:p>
    <w:p w14:paraId="113A43C8" w14:textId="560DE3FF" w:rsidR="000058F3" w:rsidRPr="00357722" w:rsidRDefault="000058F3" w:rsidP="000058F3">
      <w:pPr>
        <w:autoSpaceDN w:val="0"/>
        <w:spacing w:after="0" w:line="48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………......Insert Table 4</w:t>
      </w:r>
      <w:r w:rsidRPr="00357722">
        <w:rPr>
          <w:rFonts w:ascii="Times New Roman" w:eastAsia="Calibri" w:hAnsi="Times New Roman" w:cs="Times New Roman"/>
          <w:b/>
          <w:sz w:val="24"/>
          <w:szCs w:val="24"/>
          <w:lang w:eastAsia="en-US"/>
        </w:rPr>
        <w:t xml:space="preserve"> about here..............</w:t>
      </w:r>
    </w:p>
    <w:p w14:paraId="34FCF313" w14:textId="77777777" w:rsidR="00D36BF6" w:rsidRDefault="00D36BF6" w:rsidP="009E78CC">
      <w:pPr>
        <w:spacing w:after="0" w:line="480" w:lineRule="auto"/>
        <w:ind w:left="720" w:hanging="720"/>
        <w:jc w:val="both"/>
        <w:rPr>
          <w:rFonts w:ascii="Times New Roman" w:eastAsia="Times New Roman" w:hAnsi="Times New Roman" w:cs="Times New Roman"/>
          <w:i/>
          <w:iCs/>
          <w:color w:val="000000" w:themeColor="text1"/>
          <w:sz w:val="24"/>
          <w:szCs w:val="24"/>
        </w:rPr>
      </w:pPr>
    </w:p>
    <w:p w14:paraId="6705FB9D" w14:textId="77777777" w:rsidR="00D36BF6" w:rsidRDefault="00D36BF6" w:rsidP="009E78CC">
      <w:pPr>
        <w:spacing w:after="0" w:line="480" w:lineRule="auto"/>
        <w:ind w:left="720" w:hanging="720"/>
        <w:jc w:val="both"/>
        <w:rPr>
          <w:rFonts w:ascii="Times New Roman" w:eastAsia="Times New Roman" w:hAnsi="Times New Roman" w:cs="Times New Roman"/>
          <w:i/>
          <w:iCs/>
          <w:color w:val="000000" w:themeColor="text1"/>
          <w:sz w:val="24"/>
          <w:szCs w:val="24"/>
        </w:rPr>
      </w:pPr>
    </w:p>
    <w:p w14:paraId="43673A83" w14:textId="31F2BE9A" w:rsidR="009E78CC" w:rsidRPr="00357722" w:rsidRDefault="009E78CC" w:rsidP="009E78CC">
      <w:pPr>
        <w:spacing w:after="0" w:line="480" w:lineRule="auto"/>
        <w:ind w:left="720" w:hanging="720"/>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lastRenderedPageBreak/>
        <w:t>4.3.2</w:t>
      </w:r>
      <w:r w:rsidR="00F21C52"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t>The role of central bank transparency</w:t>
      </w:r>
    </w:p>
    <w:p w14:paraId="1CA0482E" w14:textId="281EC77E" w:rsidR="001D50F1" w:rsidRDefault="009E78CC" w:rsidP="0016323E">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In this section, we examine whether central bank transparency interacts with international equity portfolio flow to enhance </w:t>
      </w:r>
      <w:r w:rsidR="00E30532">
        <w:rPr>
          <w:rFonts w:ascii="Times New Roman" w:eastAsia="Times New Roman" w:hAnsi="Times New Roman" w:cs="Times New Roman"/>
          <w:iCs/>
          <w:color w:val="000000" w:themeColor="text1"/>
          <w:sz w:val="24"/>
          <w:szCs w:val="24"/>
        </w:rPr>
        <w:t xml:space="preserve">the </w:t>
      </w:r>
      <w:r w:rsidRPr="00357722">
        <w:rPr>
          <w:rFonts w:ascii="Times New Roman" w:eastAsia="Times New Roman" w:hAnsi="Times New Roman" w:cs="Times New Roman"/>
          <w:iCs/>
          <w:color w:val="000000" w:themeColor="text1"/>
          <w:sz w:val="24"/>
          <w:szCs w:val="24"/>
        </w:rPr>
        <w:t xml:space="preserve">financial market development. </w:t>
      </w:r>
      <w:r w:rsidR="001D50F1">
        <w:rPr>
          <w:rFonts w:ascii="Times New Roman" w:eastAsia="Times New Roman" w:hAnsi="Times New Roman" w:cs="Times New Roman"/>
          <w:iCs/>
          <w:color w:val="000000" w:themeColor="text1"/>
          <w:sz w:val="24"/>
          <w:szCs w:val="24"/>
        </w:rPr>
        <w:t xml:space="preserve">We expect central bank transparency </w:t>
      </w:r>
      <w:r w:rsidR="00E30532">
        <w:rPr>
          <w:rFonts w:ascii="Times New Roman" w:eastAsia="Times New Roman" w:hAnsi="Times New Roman" w:cs="Times New Roman"/>
          <w:iCs/>
          <w:color w:val="000000" w:themeColor="text1"/>
          <w:sz w:val="24"/>
          <w:szCs w:val="24"/>
        </w:rPr>
        <w:t xml:space="preserve">to </w:t>
      </w:r>
      <w:r w:rsidR="001D50F1">
        <w:rPr>
          <w:rFonts w:ascii="Times New Roman" w:eastAsia="Times New Roman" w:hAnsi="Times New Roman" w:cs="Times New Roman"/>
          <w:iCs/>
          <w:color w:val="000000" w:themeColor="text1"/>
          <w:sz w:val="24"/>
          <w:szCs w:val="24"/>
        </w:rPr>
        <w:t xml:space="preserve">boost international equity portfolio flow. This is consistent with the view that investors will consider a transparent central bank to be an institutional quality. Further investors will be aware of </w:t>
      </w:r>
      <w:r w:rsidR="00E30532">
        <w:rPr>
          <w:rFonts w:ascii="Times New Roman" w:eastAsia="Times New Roman" w:hAnsi="Times New Roman" w:cs="Times New Roman"/>
          <w:iCs/>
          <w:color w:val="000000" w:themeColor="text1"/>
          <w:sz w:val="24"/>
          <w:szCs w:val="24"/>
        </w:rPr>
        <w:t xml:space="preserve">the </w:t>
      </w:r>
      <w:r w:rsidR="001D50F1">
        <w:rPr>
          <w:rFonts w:ascii="Times New Roman" w:eastAsia="Times New Roman" w:hAnsi="Times New Roman" w:cs="Times New Roman"/>
          <w:iCs/>
          <w:color w:val="000000" w:themeColor="text1"/>
          <w:sz w:val="24"/>
          <w:szCs w:val="24"/>
        </w:rPr>
        <w:t xml:space="preserve">monetary policies of the central bank. The greater participation of foreign investors in the domestic financial market will spur up stock prices and better trading technologies. </w:t>
      </w:r>
    </w:p>
    <w:p w14:paraId="6058A086" w14:textId="4BFDDAC9" w:rsidR="00725EEC" w:rsidRPr="00357722" w:rsidRDefault="00725EEC" w:rsidP="0016323E">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We estimate the results using </w:t>
      </w:r>
      <w:proofErr w:type="spellStart"/>
      <w:r w:rsidRPr="00357722">
        <w:rPr>
          <w:rFonts w:ascii="Times New Roman" w:eastAsia="Times New Roman" w:hAnsi="Times New Roman" w:cs="Times New Roman"/>
          <w:iCs/>
          <w:color w:val="000000" w:themeColor="text1"/>
          <w:sz w:val="24"/>
          <w:szCs w:val="24"/>
        </w:rPr>
        <w:t>Eqn</w:t>
      </w:r>
      <w:proofErr w:type="spellEnd"/>
      <w:r w:rsidRPr="00357722">
        <w:rPr>
          <w:rFonts w:ascii="Times New Roman" w:eastAsia="Times New Roman" w:hAnsi="Times New Roman" w:cs="Times New Roman"/>
          <w:iCs/>
          <w:color w:val="000000" w:themeColor="text1"/>
          <w:sz w:val="24"/>
          <w:szCs w:val="24"/>
        </w:rPr>
        <w:t xml:space="preserve"> (3).</w:t>
      </w:r>
    </w:p>
    <w:tbl>
      <w:tblPr>
        <w:tblpPr w:leftFromText="180" w:rightFromText="180" w:vertAnchor="text" w:tblpY="1"/>
        <w:tblOverlap w:val="never"/>
        <w:tblW w:w="4966" w:type="pct"/>
        <w:tblLook w:val="00A0" w:firstRow="1" w:lastRow="0" w:firstColumn="1" w:lastColumn="0" w:noHBand="0" w:noVBand="0"/>
      </w:tblPr>
      <w:tblGrid>
        <w:gridCol w:w="984"/>
        <w:gridCol w:w="7409"/>
        <w:gridCol w:w="1016"/>
      </w:tblGrid>
      <w:tr w:rsidR="00691D82" w:rsidRPr="00357722" w14:paraId="208AC79A" w14:textId="77777777" w:rsidTr="001828C2">
        <w:tc>
          <w:tcPr>
            <w:tcW w:w="523" w:type="pct"/>
            <w:vAlign w:val="center"/>
          </w:tcPr>
          <w:p w14:paraId="3DFAB02E" w14:textId="77777777" w:rsidR="00691D82" w:rsidRPr="00357722" w:rsidRDefault="00691D82" w:rsidP="001828C2">
            <w:pPr>
              <w:spacing w:after="0" w:line="480" w:lineRule="auto"/>
              <w:jc w:val="center"/>
              <w:rPr>
                <w:rFonts w:ascii="Times New Roman" w:hAnsi="Times New Roman"/>
                <w:i/>
                <w:sz w:val="24"/>
                <w:szCs w:val="24"/>
                <w:lang w:eastAsia="ko-KR"/>
              </w:rPr>
            </w:pPr>
          </w:p>
        </w:tc>
        <w:tc>
          <w:tcPr>
            <w:tcW w:w="3937" w:type="pct"/>
            <w:vAlign w:val="center"/>
          </w:tcPr>
          <w:p w14:paraId="554597EC" w14:textId="712AEF7F" w:rsidR="00691D82" w:rsidRPr="00357722" w:rsidRDefault="00000000" w:rsidP="00691D82">
            <w:pPr>
              <w:spacing w:after="0" w:line="480" w:lineRule="auto"/>
              <w:jc w:val="both"/>
              <w:rPr>
                <w:rFonts w:ascii="Times New Roman" w:hAnsi="Times New Roman"/>
                <w:sz w:val="24"/>
                <w:szCs w:val="24"/>
                <w:lang w:eastAsia="ko-KR"/>
              </w:rPr>
            </w:pPr>
            <m:oMathPara>
              <m:oMathParaPr>
                <m:jc m:val="center"/>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FD</m:t>
                    </m:r>
                  </m:e>
                  <m:sub>
                    <m:r>
                      <w:rPr>
                        <w:rFonts w:ascii="Cambria Math" w:hAnsi="Cambria Math" w:cs="Times New Roman"/>
                        <w:color w:val="000000" w:themeColor="text1"/>
                        <w:sz w:val="24"/>
                        <w:szCs w:val="24"/>
                      </w:rPr>
                      <m:t>it</m:t>
                    </m:r>
                  </m:sub>
                </m:sSub>
                <m:r>
                  <w:rPr>
                    <w:rFonts w:ascii="Cambria Math" w:hAnsi="Cambria Math"/>
                    <w:sz w:val="24"/>
                    <w:szCs w:val="24"/>
                  </w:rPr>
                  <m:t xml:space="preserve">=α+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IEPD</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CBT</m:t>
                    </m:r>
                  </m:e>
                  <m:sub>
                    <m:r>
                      <w:rPr>
                        <w:rFonts w:ascii="Cambria Math" w:hAnsi="Cambria Math"/>
                        <w:sz w:val="24"/>
                        <w:szCs w:val="24"/>
                      </w:rPr>
                      <m:t>it</m:t>
                    </m:r>
                  </m:sub>
                </m:sSub>
                <m:r>
                  <w:rPr>
                    <w:rFonts w:ascii="Cambria Math" w:hAnsi="Cambria Math"/>
                    <w:sz w:val="24"/>
                    <w:szCs w:val="24"/>
                  </w:rPr>
                  <m:t>×IEP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r>
                  <w:rPr>
                    <w:rFonts w:ascii="Cambria Math" w:hAnsi="Cambria Math"/>
                    <w:sz w:val="24"/>
                    <w:szCs w:val="24"/>
                  </w:rPr>
                  <m:t>.Ct</m:t>
                </m:r>
                <m:sSub>
                  <m:sSubPr>
                    <m:ctrlPr>
                      <w:rPr>
                        <w:rFonts w:ascii="Cambria Math" w:hAnsi="Cambria Math"/>
                        <w:i/>
                        <w:sz w:val="24"/>
                        <w:szCs w:val="24"/>
                      </w:rPr>
                    </m:ctrlPr>
                  </m:sSubPr>
                  <m:e>
                    <m:r>
                      <w:rPr>
                        <w:rFonts w:ascii="Cambria Math" w:hAnsi="Cambria Math"/>
                        <w:sz w:val="24"/>
                        <w:szCs w:val="24"/>
                      </w:rPr>
                      <m:t>ls</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r>
                  <w:rPr>
                    <w:rFonts w:ascii="Cambria Math" w:hAnsi="Cambria Math"/>
                    <w:sz w:val="24"/>
                    <w:szCs w:val="24"/>
                  </w:rPr>
                  <m:t>.TF</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.CF</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it</m:t>
                    </m:r>
                  </m:sub>
                </m:sSub>
              </m:oMath>
            </m:oMathPara>
          </w:p>
        </w:tc>
        <w:tc>
          <w:tcPr>
            <w:tcW w:w="540" w:type="pct"/>
            <w:vAlign w:val="center"/>
          </w:tcPr>
          <w:p w14:paraId="69E20FF3" w14:textId="77777777" w:rsidR="00691D82" w:rsidRPr="00357722" w:rsidRDefault="00691D82" w:rsidP="001828C2">
            <w:pPr>
              <w:numPr>
                <w:ilvl w:val="0"/>
                <w:numId w:val="31"/>
              </w:numPr>
              <w:spacing w:after="0" w:line="480" w:lineRule="auto"/>
              <w:jc w:val="right"/>
              <w:rPr>
                <w:rFonts w:ascii="Times New Roman" w:hAnsi="Times New Roman"/>
                <w:i/>
                <w:sz w:val="24"/>
                <w:szCs w:val="24"/>
                <w:lang w:eastAsia="ko-KR"/>
              </w:rPr>
            </w:pPr>
          </w:p>
        </w:tc>
      </w:tr>
    </w:tbl>
    <w:p w14:paraId="66C069E5" w14:textId="7D53A689" w:rsidR="0016323E" w:rsidRPr="00357722" w:rsidRDefault="00691D82" w:rsidP="0016323E">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FD</m:t>
            </m:r>
          </m:e>
          <m:sub>
            <m:r>
              <w:rPr>
                <w:rFonts w:ascii="Cambria Math"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the three financial development measures (</w:t>
      </w:r>
      <w:r w:rsidRPr="00357722">
        <w:rPr>
          <w:rFonts w:ascii="Times New Roman" w:eastAsia="Times New Roman" w:hAnsi="Times New Roman" w:cs="Times New Roman"/>
          <w:i/>
          <w:color w:val="000000"/>
          <w:sz w:val="24"/>
          <w:szCs w:val="24"/>
          <w:lang w:val="en-US"/>
        </w:rPr>
        <w:t>MCGDP</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
          <w:color w:val="000000"/>
          <w:sz w:val="24"/>
          <w:szCs w:val="24"/>
          <w:lang w:val="en-US"/>
        </w:rPr>
        <w:t>PSCGDP</w:t>
      </w:r>
      <w:r w:rsidRPr="00357722">
        <w:rPr>
          <w:rFonts w:ascii="Times New Roman" w:eastAsia="Times New Roman" w:hAnsi="Times New Roman" w:cs="Times New Roman"/>
          <w:i/>
          <w:iCs/>
          <w:color w:val="000000" w:themeColor="text1"/>
          <w:sz w:val="24"/>
          <w:szCs w:val="24"/>
        </w:rPr>
        <w:t xml:space="preserve">, and </w:t>
      </w:r>
      <w:r w:rsidRPr="00357722">
        <w:rPr>
          <w:rFonts w:ascii="Times New Roman" w:eastAsia="Times New Roman" w:hAnsi="Times New Roman" w:cs="Times New Roman"/>
          <w:i/>
          <w:color w:val="000000"/>
          <w:sz w:val="24"/>
          <w:szCs w:val="24"/>
          <w:lang w:val="en-US"/>
        </w:rPr>
        <w:t>DCPGDP</w:t>
      </w:r>
      <w:r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for country </w:t>
      </w:r>
      <m:oMath>
        <m:r>
          <w:rPr>
            <w:rFonts w:ascii="Cambria Math" w:eastAsia="Times New Roman" w:hAnsi="Cambria Math" w:cs="Times New Roman"/>
            <w:color w:val="000000" w:themeColor="text1"/>
            <w:sz w:val="24"/>
            <w:szCs w:val="24"/>
          </w:rPr>
          <m:t>i</m:t>
        </m:r>
      </m:oMath>
      <w:r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iCs/>
          <w:color w:val="000000" w:themeColor="text1"/>
          <w:sz w:val="24"/>
          <w:szCs w:val="24"/>
        </w:rPr>
        <w:t xml:space="preserve">. </w:t>
      </w:r>
      <m:oMath>
        <m:sSub>
          <m:sSubPr>
            <m:ctrlPr>
              <w:rPr>
                <w:rFonts w:ascii="Cambria Math" w:hAnsi="Cambria Math"/>
                <w:i/>
                <w:sz w:val="24"/>
                <w:szCs w:val="24"/>
              </w:rPr>
            </m:ctrlPr>
          </m:sSubPr>
          <m:e>
            <m:r>
              <w:rPr>
                <w:rFonts w:ascii="Cambria Math" w:hAnsi="Cambria Math"/>
                <w:sz w:val="24"/>
                <w:szCs w:val="24"/>
              </w:rPr>
              <m:t>IEPD</m:t>
            </m:r>
          </m:e>
          <m:sub>
            <m:r>
              <w:rPr>
                <w:rFonts w:ascii="Cambria Math" w:hAnsi="Cambria Math"/>
                <w:sz w:val="24"/>
                <w:szCs w:val="24"/>
              </w:rPr>
              <m:t>it</m:t>
            </m:r>
          </m:sub>
        </m:sSub>
      </m:oMath>
      <w:r w:rsidRPr="00357722">
        <w:rPr>
          <w:rFonts w:ascii="Times New Roman" w:eastAsia="Times New Roman" w:hAnsi="Times New Roman" w:cs="Times New Roman"/>
          <w:sz w:val="24"/>
          <w:szCs w:val="24"/>
        </w:rPr>
        <w:t xml:space="preserve"> represents international equity portfolio diversification. </w:t>
      </w:r>
      <m:oMath>
        <m:sSub>
          <m:sSubPr>
            <m:ctrlPr>
              <w:rPr>
                <w:rFonts w:ascii="Cambria Math" w:hAnsi="Cambria Math"/>
                <w:i/>
                <w:sz w:val="24"/>
                <w:szCs w:val="24"/>
              </w:rPr>
            </m:ctrlPr>
          </m:sSubPr>
          <m:e>
            <m:r>
              <w:rPr>
                <w:rFonts w:ascii="Cambria Math" w:hAnsi="Cambria Math"/>
                <w:sz w:val="24"/>
                <w:szCs w:val="24"/>
              </w:rPr>
              <m:t>CBT</m:t>
            </m:r>
          </m:e>
          <m:sub>
            <m:r>
              <w:rPr>
                <w:rFonts w:ascii="Cambria Math" w:hAnsi="Cambria Math"/>
                <w:sz w:val="24"/>
                <w:szCs w:val="24"/>
              </w:rPr>
              <m:t>it</m:t>
            </m:r>
          </m:sub>
        </m:sSub>
      </m:oMath>
      <w:r w:rsidRPr="00357722">
        <w:rPr>
          <w:rFonts w:ascii="Times New Roman" w:eastAsia="Times New Roman" w:hAnsi="Times New Roman" w:cs="Times New Roman"/>
          <w:sz w:val="24"/>
          <w:szCs w:val="24"/>
        </w:rPr>
        <w:t xml:space="preserve"> represents central bank transparency</w:t>
      </w:r>
      <w:r w:rsidR="005F0703" w:rsidRPr="00357722">
        <w:rPr>
          <w:rFonts w:ascii="Times New Roman" w:eastAsia="Times New Roman" w:hAnsi="Times New Roman" w:cs="Times New Roman"/>
          <w:iCs/>
          <w:color w:val="000000" w:themeColor="text1"/>
          <w:sz w:val="24"/>
          <w:szCs w:val="24"/>
        </w:rPr>
        <w:t xml:space="preserve"> country </w:t>
      </w:r>
      <m:oMath>
        <m:r>
          <w:rPr>
            <w:rFonts w:ascii="Cambria Math" w:eastAsia="Times New Roman" w:hAnsi="Cambria Math" w:cs="Times New Roman"/>
            <w:color w:val="000000" w:themeColor="text1"/>
            <w:sz w:val="24"/>
            <w:szCs w:val="24"/>
          </w:rPr>
          <m:t>i</m:t>
        </m:r>
      </m:oMath>
      <w:r w:rsidR="005F0703"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CBT</m:t>
            </m:r>
          </m:e>
          <m:sub>
            <m:r>
              <w:rPr>
                <w:rFonts w:ascii="Cambria Math" w:hAnsi="Cambria Math"/>
                <w:sz w:val="24"/>
                <w:szCs w:val="24"/>
              </w:rPr>
              <m:t>it</m:t>
            </m:r>
          </m:sub>
        </m:sSub>
        <m:r>
          <w:rPr>
            <w:rFonts w:ascii="Cambria Math" w:hAnsi="Cambria Math"/>
            <w:sz w:val="24"/>
            <w:szCs w:val="24"/>
          </w:rPr>
          <m:t>×IEP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it</m:t>
            </m:r>
          </m:sub>
        </m:sSub>
      </m:oMath>
      <w:r w:rsidRPr="00357722">
        <w:rPr>
          <w:rFonts w:ascii="Times New Roman" w:eastAsia="Times New Roman" w:hAnsi="Times New Roman" w:cs="Times New Roman"/>
          <w:sz w:val="24"/>
          <w:szCs w:val="24"/>
        </w:rPr>
        <w:t>represents the interaction term between central bank transparency and international equity portfolio diversification</w:t>
      </w:r>
      <w:r w:rsidR="005F0703" w:rsidRPr="00357722">
        <w:rPr>
          <w:rFonts w:ascii="Times New Roman" w:eastAsia="Times New Roman" w:hAnsi="Times New Roman" w:cs="Times New Roman"/>
          <w:sz w:val="24"/>
          <w:szCs w:val="24"/>
        </w:rPr>
        <w:t xml:space="preserve"> </w:t>
      </w:r>
      <w:r w:rsidR="005F0703" w:rsidRPr="00357722">
        <w:rPr>
          <w:rFonts w:ascii="Times New Roman" w:eastAsia="Times New Roman" w:hAnsi="Times New Roman" w:cs="Times New Roman"/>
          <w:iCs/>
          <w:color w:val="000000" w:themeColor="text1"/>
          <w:sz w:val="24"/>
          <w:szCs w:val="24"/>
        </w:rPr>
        <w:t xml:space="preserve">country </w:t>
      </w:r>
      <m:oMath>
        <m:r>
          <w:rPr>
            <w:rFonts w:ascii="Cambria Math" w:eastAsia="Times New Roman" w:hAnsi="Cambria Math" w:cs="Times New Roman"/>
            <w:color w:val="000000" w:themeColor="text1"/>
            <w:sz w:val="24"/>
            <w:szCs w:val="24"/>
          </w:rPr>
          <m:t>i</m:t>
        </m:r>
      </m:oMath>
      <w:r w:rsidR="005F0703"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sz w:val="24"/>
          <w:szCs w:val="24"/>
        </w:rPr>
        <w:t xml:space="preserve">. </w:t>
      </w:r>
      <m:oMath>
        <m:r>
          <w:rPr>
            <w:rFonts w:ascii="Cambria Math" w:eastAsia="Calibri" w:hAnsi="Cambria Math" w:cs="Times New Roman"/>
            <w:sz w:val="24"/>
            <w:szCs w:val="24"/>
            <w:lang w:eastAsia="en-US"/>
          </w:rPr>
          <m:t>Ct</m:t>
        </m:r>
        <m:sSub>
          <m:sSubPr>
            <m:ctrlPr>
              <w:rPr>
                <w:rFonts w:ascii="Cambria Math" w:eastAsia="Calibri" w:hAnsi="Cambria Math" w:cs="Times New Roman"/>
                <w:i/>
                <w:sz w:val="24"/>
                <w:szCs w:val="24"/>
                <w:lang w:eastAsia="en-US"/>
              </w:rPr>
            </m:ctrlPr>
          </m:sSubPr>
          <m:e>
            <m:r>
              <w:rPr>
                <w:rFonts w:ascii="Cambria Math" w:eastAsia="Calibri" w:hAnsi="Cambria Math" w:cs="Times New Roman"/>
                <w:sz w:val="24"/>
                <w:szCs w:val="24"/>
                <w:lang w:eastAsia="en-US"/>
              </w:rPr>
              <m:t>ls</m:t>
            </m:r>
          </m:e>
          <m:sub>
            <m:r>
              <w:rPr>
                <w:rFonts w:ascii="Cambria Math" w:eastAsia="Calibri" w:hAnsi="Cambria Math" w:cs="Times New Roman"/>
                <w:sz w:val="24"/>
                <w:szCs w:val="24"/>
                <w:lang w:eastAsia="en-US"/>
              </w:rPr>
              <m:t>jt</m:t>
            </m:r>
          </m:sub>
        </m:sSub>
      </m:oMath>
      <w:r w:rsidRPr="00357722">
        <w:rPr>
          <w:rFonts w:ascii="Times New Roman" w:eastAsia="Calibri" w:hAnsi="Times New Roman" w:cs="Times New Roman"/>
          <w:sz w:val="24"/>
          <w:szCs w:val="24"/>
          <w:lang w:eastAsia="en-US"/>
        </w:rPr>
        <w:t xml:space="preserve"> represents a vector of the control variables of country </w:t>
      </w:r>
      <m:oMath>
        <m:r>
          <w:rPr>
            <w:rFonts w:ascii="Cambria Math" w:eastAsia="Calibri" w:hAnsi="Cambria Math" w:cs="Times New Roman"/>
            <w:sz w:val="24"/>
            <w:szCs w:val="24"/>
            <w:lang w:eastAsia="en-US"/>
          </w:rPr>
          <m:t>i</m:t>
        </m:r>
      </m:oMath>
      <w:r w:rsidRPr="00357722">
        <w:rPr>
          <w:rFonts w:ascii="Times New Roman" w:eastAsia="Calibri" w:hAnsi="Times New Roman" w:cs="Times New Roman"/>
          <w:sz w:val="24"/>
          <w:szCs w:val="24"/>
          <w:lang w:eastAsia="en-US"/>
        </w:rPr>
        <w:t xml:space="preserve"> at time </w:t>
      </w:r>
      <m:oMath>
        <m:r>
          <w:rPr>
            <w:rFonts w:ascii="Cambria Math" w:eastAsia="Calibri" w:hAnsi="Cambria Math" w:cs="Times New Roman"/>
            <w:sz w:val="24"/>
            <w:szCs w:val="24"/>
            <w:lang w:eastAsia="en-US"/>
          </w:rPr>
          <m:t>t</m:t>
        </m:r>
      </m:oMath>
      <w:r w:rsidRPr="00357722">
        <w:rPr>
          <w:rFonts w:ascii="Times New Roman" w:eastAsia="Calibri" w:hAnsi="Times New Roman" w:cs="Times New Roman"/>
          <w:sz w:val="24"/>
          <w:szCs w:val="24"/>
          <w:lang w:eastAsia="en-US"/>
        </w:rPr>
        <w:t xml:space="preserve">. </w:t>
      </w:r>
      <w:r w:rsidRPr="00357722">
        <w:rPr>
          <w:rFonts w:ascii="Times New Roman" w:eastAsia="Calibri" w:hAnsi="Times New Roman" w:cs="Times New Roman"/>
          <w:i/>
          <w:sz w:val="24"/>
          <w:szCs w:val="24"/>
          <w:lang w:eastAsia="en-US"/>
        </w:rPr>
        <w:t>TFE</w:t>
      </w:r>
      <w:r w:rsidRPr="00357722">
        <w:rPr>
          <w:rFonts w:ascii="Times New Roman" w:eastAsia="Calibri" w:hAnsi="Times New Roman" w:cs="Times New Roman"/>
          <w:sz w:val="24"/>
          <w:szCs w:val="24"/>
          <w:lang w:eastAsia="en-US"/>
        </w:rPr>
        <w:t xml:space="preserve"> represents time effects. </w:t>
      </w:r>
      <w:r w:rsidRPr="00357722">
        <w:rPr>
          <w:rFonts w:ascii="Times New Roman" w:eastAsia="Calibri" w:hAnsi="Times New Roman" w:cs="Times New Roman"/>
          <w:i/>
          <w:sz w:val="24"/>
          <w:szCs w:val="24"/>
          <w:lang w:eastAsia="en-US"/>
        </w:rPr>
        <w:t>CFE</w:t>
      </w:r>
      <w:r w:rsidRPr="00357722">
        <w:rPr>
          <w:rFonts w:ascii="Times New Roman" w:eastAsia="Calibri" w:hAnsi="Times New Roman" w:cs="Times New Roman"/>
          <w:sz w:val="24"/>
          <w:szCs w:val="24"/>
          <w:lang w:eastAsia="en-US"/>
        </w:rPr>
        <w:t xml:space="preserve"> represent</w:t>
      </w:r>
      <w:r w:rsidR="00E30532">
        <w:rPr>
          <w:rFonts w:ascii="Times New Roman" w:eastAsia="Calibri" w:hAnsi="Times New Roman" w:cs="Times New Roman"/>
          <w:sz w:val="24"/>
          <w:szCs w:val="24"/>
          <w:lang w:eastAsia="en-US"/>
        </w:rPr>
        <w:t>s</w:t>
      </w:r>
      <w:r w:rsidRPr="00357722">
        <w:rPr>
          <w:rFonts w:ascii="Times New Roman" w:eastAsia="Calibri" w:hAnsi="Times New Roman" w:cs="Times New Roman"/>
          <w:sz w:val="24"/>
          <w:szCs w:val="24"/>
          <w:lang w:eastAsia="en-US"/>
        </w:rPr>
        <w:t xml:space="preserve"> </w:t>
      </w:r>
      <w:r w:rsidR="00D36BF6" w:rsidRPr="00357722">
        <w:rPr>
          <w:rFonts w:ascii="Times New Roman" w:eastAsia="Calibri" w:hAnsi="Times New Roman" w:cs="Times New Roman"/>
          <w:sz w:val="24"/>
          <w:szCs w:val="24"/>
          <w:lang w:eastAsia="en-US"/>
        </w:rPr>
        <w:t>country</w:t>
      </w:r>
      <w:r w:rsidR="00D36BF6">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 xml:space="preserve">fixed effects. </w:t>
      </w:r>
      <w:r w:rsidR="005F0703" w:rsidRPr="00357722">
        <w:rPr>
          <w:rFonts w:ascii="Times New Roman" w:eastAsia="Calibri" w:hAnsi="Times New Roman" w:cs="Times New Roman"/>
          <w:sz w:val="24"/>
          <w:szCs w:val="24"/>
          <w:lang w:eastAsia="en-US"/>
        </w:rPr>
        <w:t xml:space="preserve"> </w:t>
      </w:r>
    </w:p>
    <w:p w14:paraId="15C3CFB5" w14:textId="0D28C1E5" w:rsidR="0016323E" w:rsidRDefault="009E78CC" w:rsidP="0016323E">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Table 5 presents est</w:t>
      </w:r>
      <w:r w:rsidR="00A96FCC" w:rsidRPr="00357722">
        <w:rPr>
          <w:rFonts w:ascii="Times New Roman" w:eastAsia="Times New Roman" w:hAnsi="Times New Roman" w:cs="Times New Roman"/>
          <w:iCs/>
          <w:color w:val="000000" w:themeColor="text1"/>
          <w:sz w:val="24"/>
          <w:szCs w:val="24"/>
        </w:rPr>
        <w:t>imation results for Equation</w:t>
      </w:r>
      <w:r w:rsidRPr="00357722">
        <w:rPr>
          <w:rFonts w:ascii="Times New Roman" w:eastAsia="Times New Roman" w:hAnsi="Times New Roman" w:cs="Times New Roman"/>
          <w:iCs/>
          <w:color w:val="000000" w:themeColor="text1"/>
          <w:sz w:val="24"/>
          <w:szCs w:val="24"/>
        </w:rPr>
        <w:t xml:space="preserve"> (3). The coefficients of interest are </w:t>
      </w:r>
      <w:r w:rsidRPr="00357722">
        <w:rPr>
          <w:rFonts w:ascii="Times New Roman" w:eastAsia="Times New Roman" w:hAnsi="Times New Roman" w:cs="Times New Roman"/>
          <w:i/>
          <w:iCs/>
          <w:color w:val="000000" w:themeColor="text1"/>
          <w:sz w:val="24"/>
          <w:szCs w:val="24"/>
        </w:rPr>
        <w:t>IEPD, CBT</w:t>
      </w:r>
      <w:r w:rsidR="00D36BF6">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and </w:t>
      </w:r>
      <w:r w:rsidRPr="00357722">
        <w:rPr>
          <w:rFonts w:ascii="Times New Roman" w:eastAsia="Times New Roman" w:hAnsi="Times New Roman" w:cs="Times New Roman"/>
          <w:i/>
          <w:iCs/>
          <w:color w:val="000000" w:themeColor="text1"/>
          <w:sz w:val="24"/>
          <w:szCs w:val="24"/>
        </w:rPr>
        <w:t>IEPD</w:t>
      </w:r>
      <w:r w:rsidR="00AC281B"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CBT</w:t>
      </w:r>
      <w:r w:rsidRPr="00357722">
        <w:rPr>
          <w:rFonts w:ascii="Times New Roman" w:eastAsia="Times New Roman" w:hAnsi="Times New Roman" w:cs="Times New Roman"/>
          <w:iCs/>
          <w:color w:val="000000" w:themeColor="text1"/>
          <w:sz w:val="24"/>
          <w:szCs w:val="24"/>
        </w:rPr>
        <w:t xml:space="preserve">. In line with Hypothesis 2, the coefficient on the interaction term </w:t>
      </w:r>
      <w:r w:rsidRPr="00357722">
        <w:rPr>
          <w:rFonts w:ascii="Times New Roman" w:eastAsia="Times New Roman" w:hAnsi="Times New Roman" w:cs="Times New Roman"/>
          <w:i/>
          <w:iCs/>
          <w:color w:val="000000" w:themeColor="text1"/>
          <w:sz w:val="24"/>
          <w:szCs w:val="24"/>
        </w:rPr>
        <w:t>IEPD×CBT</w:t>
      </w:r>
      <w:r w:rsidR="00A96FCC" w:rsidRPr="00357722">
        <w:rPr>
          <w:rFonts w:ascii="Times New Roman" w:eastAsia="Times New Roman" w:hAnsi="Times New Roman" w:cs="Times New Roman"/>
          <w:iCs/>
          <w:color w:val="000000" w:themeColor="text1"/>
          <w:sz w:val="24"/>
          <w:szCs w:val="24"/>
        </w:rPr>
        <w:t xml:space="preserve"> in m</w:t>
      </w:r>
      <w:r w:rsidRPr="00357722">
        <w:rPr>
          <w:rFonts w:ascii="Times New Roman" w:eastAsia="Times New Roman" w:hAnsi="Times New Roman" w:cs="Times New Roman"/>
          <w:iCs/>
          <w:color w:val="000000" w:themeColor="text1"/>
          <w:sz w:val="24"/>
          <w:szCs w:val="24"/>
        </w:rPr>
        <w:t xml:space="preserve">odels 1 to 3 </w:t>
      </w:r>
      <w:r w:rsidR="00D36BF6">
        <w:rPr>
          <w:rFonts w:ascii="Times New Roman" w:eastAsia="Times New Roman" w:hAnsi="Times New Roman" w:cs="Times New Roman"/>
          <w:iCs/>
          <w:color w:val="000000" w:themeColor="text1"/>
          <w:sz w:val="24"/>
          <w:szCs w:val="24"/>
        </w:rPr>
        <w:t>is</w:t>
      </w:r>
      <w:r w:rsidR="00D36BF6"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positive and statistically significant at the 1%</w:t>
      </w:r>
      <w:r w:rsidR="00D36BF6">
        <w:rPr>
          <w:rFonts w:ascii="Times New Roman" w:eastAsia="Times New Roman" w:hAnsi="Times New Roman" w:cs="Times New Roman"/>
          <w:iCs/>
          <w:color w:val="000000" w:themeColor="text1"/>
          <w:sz w:val="24"/>
          <w:szCs w:val="24"/>
        </w:rPr>
        <w:t xml:space="preserve"> level</w:t>
      </w:r>
      <w:r w:rsidRPr="00357722">
        <w:rPr>
          <w:rFonts w:ascii="Times New Roman" w:eastAsia="Times New Roman" w:hAnsi="Times New Roman" w:cs="Times New Roman"/>
          <w:iCs/>
          <w:color w:val="000000" w:themeColor="text1"/>
          <w:sz w:val="24"/>
          <w:szCs w:val="24"/>
        </w:rPr>
        <w:t xml:space="preserve">. The coefficients on </w:t>
      </w:r>
      <w:r w:rsidRPr="00357722">
        <w:rPr>
          <w:rFonts w:ascii="Times New Roman" w:eastAsia="Times New Roman" w:hAnsi="Times New Roman" w:cs="Times New Roman"/>
          <w:i/>
          <w:iCs/>
          <w:color w:val="000000" w:themeColor="text1"/>
          <w:sz w:val="24"/>
          <w:szCs w:val="24"/>
        </w:rPr>
        <w:t>IEPD×CBT</w:t>
      </w:r>
      <w:r w:rsidRPr="00357722">
        <w:rPr>
          <w:rFonts w:ascii="Times New Roman" w:eastAsia="Times New Roman" w:hAnsi="Times New Roman" w:cs="Times New Roman"/>
          <w:iCs/>
          <w:color w:val="000000" w:themeColor="text1"/>
          <w:sz w:val="24"/>
          <w:szCs w:val="24"/>
        </w:rPr>
        <w:t xml:space="preserve"> are 0.074</w:t>
      </w:r>
      <w:r w:rsidR="00853B81"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(t-statistics</w:t>
      </w:r>
      <w:r w:rsidR="00853B81"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w:t>
      </w:r>
      <w:r w:rsidR="00853B81"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 xml:space="preserve">5.12) in </w:t>
      </w:r>
      <w:r w:rsidR="00853B81" w:rsidRPr="00357722">
        <w:rPr>
          <w:rFonts w:ascii="Times New Roman" w:eastAsia="Times New Roman" w:hAnsi="Times New Roman" w:cs="Times New Roman"/>
          <w:iCs/>
          <w:color w:val="000000" w:themeColor="text1"/>
          <w:sz w:val="24"/>
          <w:szCs w:val="24"/>
        </w:rPr>
        <w:t xml:space="preserve">model </w:t>
      </w:r>
      <w:r w:rsidR="00F531E2" w:rsidRPr="00357722">
        <w:rPr>
          <w:rFonts w:ascii="Times New Roman" w:eastAsia="Times New Roman" w:hAnsi="Times New Roman" w:cs="Times New Roman"/>
          <w:iCs/>
          <w:color w:val="000000" w:themeColor="text1"/>
          <w:sz w:val="24"/>
          <w:szCs w:val="24"/>
        </w:rPr>
        <w:t>1, 0.040</w:t>
      </w:r>
      <w:r w:rsidR="00853B81"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(t-statistics</w:t>
      </w:r>
      <w:r w:rsidR="00A96FCC"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w:t>
      </w:r>
      <w:r w:rsidR="00A96FCC"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 xml:space="preserve">5.00) in </w:t>
      </w:r>
      <w:r w:rsidR="00853B81" w:rsidRPr="00357722">
        <w:rPr>
          <w:rFonts w:ascii="Times New Roman" w:eastAsia="Times New Roman" w:hAnsi="Times New Roman" w:cs="Times New Roman"/>
          <w:iCs/>
          <w:color w:val="000000" w:themeColor="text1"/>
          <w:sz w:val="24"/>
          <w:szCs w:val="24"/>
        </w:rPr>
        <w:t xml:space="preserve">model </w:t>
      </w:r>
      <w:r w:rsidR="00F531E2" w:rsidRPr="00357722">
        <w:rPr>
          <w:rFonts w:ascii="Times New Roman" w:eastAsia="Times New Roman" w:hAnsi="Times New Roman" w:cs="Times New Roman"/>
          <w:iCs/>
          <w:color w:val="000000" w:themeColor="text1"/>
          <w:sz w:val="24"/>
          <w:szCs w:val="24"/>
        </w:rPr>
        <w:t>2, 0.038</w:t>
      </w:r>
      <w:r w:rsidR="00853B81"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(t-statistics</w:t>
      </w:r>
      <w:r w:rsidR="00853B81"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w:t>
      </w:r>
      <w:r w:rsidR="00853B81" w:rsidRPr="00357722">
        <w:rPr>
          <w:rFonts w:ascii="Times New Roman" w:eastAsia="Times New Roman" w:hAnsi="Times New Roman" w:cs="Times New Roman"/>
          <w:iCs/>
          <w:color w:val="000000" w:themeColor="text1"/>
          <w:sz w:val="24"/>
          <w:szCs w:val="24"/>
        </w:rPr>
        <w:t xml:space="preserve"> </w:t>
      </w:r>
      <w:r w:rsidR="00F531E2" w:rsidRPr="00357722">
        <w:rPr>
          <w:rFonts w:ascii="Times New Roman" w:eastAsia="Times New Roman" w:hAnsi="Times New Roman" w:cs="Times New Roman"/>
          <w:iCs/>
          <w:color w:val="000000" w:themeColor="text1"/>
          <w:sz w:val="24"/>
          <w:szCs w:val="24"/>
        </w:rPr>
        <w:t xml:space="preserve">4.54) in </w:t>
      </w:r>
      <w:r w:rsidR="00853B81" w:rsidRPr="00357722">
        <w:rPr>
          <w:rFonts w:ascii="Times New Roman" w:eastAsia="Times New Roman" w:hAnsi="Times New Roman" w:cs="Times New Roman"/>
          <w:iCs/>
          <w:color w:val="000000" w:themeColor="text1"/>
          <w:sz w:val="24"/>
          <w:szCs w:val="24"/>
        </w:rPr>
        <w:t xml:space="preserve">model </w:t>
      </w:r>
      <w:r w:rsidR="00F531E2" w:rsidRPr="00357722">
        <w:rPr>
          <w:rFonts w:ascii="Times New Roman" w:eastAsia="Times New Roman" w:hAnsi="Times New Roman" w:cs="Times New Roman"/>
          <w:iCs/>
          <w:color w:val="000000" w:themeColor="text1"/>
          <w:sz w:val="24"/>
          <w:szCs w:val="24"/>
        </w:rPr>
        <w:t>3.</w:t>
      </w:r>
    </w:p>
    <w:p w14:paraId="6089EF88" w14:textId="2131CAC9" w:rsidR="00B91480" w:rsidRPr="00357722" w:rsidRDefault="00B91480" w:rsidP="00B91480">
      <w:pPr>
        <w:spacing w:after="0" w:line="480" w:lineRule="auto"/>
        <w:ind w:firstLine="720"/>
        <w:jc w:val="both"/>
        <w:rPr>
          <w:rFonts w:ascii="Times New Roman" w:eastAsia="Times New Roman" w:hAnsi="Times New Roman" w:cs="Times New Roman"/>
          <w:color w:val="000000" w:themeColor="text1"/>
          <w:sz w:val="24"/>
          <w:szCs w:val="24"/>
        </w:rPr>
      </w:pPr>
      <w:r w:rsidRPr="00B91480">
        <w:rPr>
          <w:rFonts w:ascii="Times New Roman" w:eastAsia="Times New Roman" w:hAnsi="Times New Roman" w:cs="Times New Roman"/>
          <w:iCs/>
          <w:color w:val="000000" w:themeColor="text1"/>
          <w:sz w:val="24"/>
          <w:szCs w:val="24"/>
        </w:rPr>
        <w:t xml:space="preserve">In terms of the economic significance of our results in Table 5, we find that </w:t>
      </w:r>
      <w:r w:rsidR="00EB60C4">
        <w:rPr>
          <w:rFonts w:ascii="Times New Roman" w:eastAsia="Times New Roman" w:hAnsi="Times New Roman" w:cs="Times New Roman"/>
          <w:iCs/>
          <w:color w:val="000000" w:themeColor="text1"/>
          <w:sz w:val="24"/>
          <w:szCs w:val="24"/>
        </w:rPr>
        <w:t xml:space="preserve">a </w:t>
      </w:r>
      <w:r w:rsidRPr="00B91480">
        <w:rPr>
          <w:rFonts w:ascii="Times New Roman" w:eastAsia="Times New Roman" w:hAnsi="Times New Roman" w:cs="Times New Roman"/>
          <w:iCs/>
          <w:color w:val="000000" w:themeColor="text1"/>
          <w:sz w:val="24"/>
          <w:szCs w:val="24"/>
        </w:rPr>
        <w:t>1% increase in central bank transparency is estimated to increase the various measures of financial development by 0.99% (0.333x3), 0.48% (0.159x3)</w:t>
      </w:r>
      <w:r w:rsidR="00EB60C4">
        <w:rPr>
          <w:rFonts w:ascii="Times New Roman" w:eastAsia="Times New Roman" w:hAnsi="Times New Roman" w:cs="Times New Roman"/>
          <w:iCs/>
          <w:color w:val="000000" w:themeColor="text1"/>
          <w:sz w:val="24"/>
          <w:szCs w:val="24"/>
        </w:rPr>
        <w:t>,</w:t>
      </w:r>
      <w:r w:rsidR="00A01F8F">
        <w:rPr>
          <w:rFonts w:ascii="Times New Roman" w:eastAsia="Times New Roman" w:hAnsi="Times New Roman" w:cs="Times New Roman"/>
          <w:iCs/>
          <w:color w:val="000000" w:themeColor="text1"/>
          <w:sz w:val="24"/>
          <w:szCs w:val="24"/>
        </w:rPr>
        <w:t xml:space="preserve"> and 0.45% (0.150x3) for </w:t>
      </w:r>
      <w:r w:rsidRPr="00EF7249">
        <w:rPr>
          <w:rFonts w:ascii="Times New Roman" w:eastAsia="Times New Roman" w:hAnsi="Times New Roman" w:cs="Times New Roman"/>
          <w:i/>
          <w:iCs/>
          <w:color w:val="000000" w:themeColor="text1"/>
          <w:sz w:val="24"/>
          <w:szCs w:val="24"/>
        </w:rPr>
        <w:t>MCGDP</w:t>
      </w:r>
      <w:r w:rsidRPr="00B91480">
        <w:rPr>
          <w:rFonts w:ascii="Times New Roman" w:eastAsia="Times New Roman" w:hAnsi="Times New Roman" w:cs="Times New Roman"/>
          <w:iCs/>
          <w:color w:val="000000" w:themeColor="text1"/>
          <w:sz w:val="24"/>
          <w:szCs w:val="24"/>
        </w:rPr>
        <w:t xml:space="preserve">, </w:t>
      </w:r>
      <w:r w:rsidRPr="00EF7249">
        <w:rPr>
          <w:rFonts w:ascii="Times New Roman" w:eastAsia="Times New Roman" w:hAnsi="Times New Roman" w:cs="Times New Roman"/>
          <w:i/>
          <w:iCs/>
          <w:color w:val="000000" w:themeColor="text1"/>
          <w:sz w:val="24"/>
          <w:szCs w:val="24"/>
        </w:rPr>
        <w:t>PSCGDP</w:t>
      </w:r>
      <w:r w:rsidRPr="00B91480">
        <w:rPr>
          <w:rFonts w:ascii="Times New Roman" w:eastAsia="Times New Roman" w:hAnsi="Times New Roman" w:cs="Times New Roman"/>
          <w:iCs/>
          <w:color w:val="000000" w:themeColor="text1"/>
          <w:sz w:val="24"/>
          <w:szCs w:val="24"/>
        </w:rPr>
        <w:t xml:space="preserve"> and </w:t>
      </w:r>
      <w:r w:rsidRPr="00EF7249">
        <w:rPr>
          <w:rFonts w:ascii="Times New Roman" w:eastAsia="Times New Roman" w:hAnsi="Times New Roman" w:cs="Times New Roman"/>
          <w:i/>
          <w:iCs/>
          <w:color w:val="000000" w:themeColor="text1"/>
          <w:sz w:val="24"/>
          <w:szCs w:val="24"/>
        </w:rPr>
        <w:t>DCPGDP</w:t>
      </w:r>
      <w:r w:rsidRPr="00B91480">
        <w:rPr>
          <w:rFonts w:ascii="Times New Roman" w:eastAsia="Times New Roman" w:hAnsi="Times New Roman" w:cs="Times New Roman"/>
          <w:iCs/>
          <w:color w:val="000000" w:themeColor="text1"/>
          <w:sz w:val="24"/>
          <w:szCs w:val="24"/>
        </w:rPr>
        <w:t xml:space="preserve"> respectively. </w:t>
      </w:r>
      <w:bookmarkStart w:id="2" w:name="_Hlk70833530"/>
      <w:r w:rsidRPr="00B91480">
        <w:rPr>
          <w:rFonts w:ascii="Times New Roman" w:eastAsia="Times New Roman" w:hAnsi="Times New Roman" w:cs="Times New Roman"/>
          <w:iCs/>
          <w:color w:val="000000" w:themeColor="text1"/>
          <w:sz w:val="24"/>
          <w:szCs w:val="24"/>
        </w:rPr>
        <w:t>Consequently, 1% increase of the interaction term (</w:t>
      </w:r>
      <w:proofErr w:type="spellStart"/>
      <w:r w:rsidRPr="00B91480">
        <w:rPr>
          <w:rFonts w:ascii="Times New Roman" w:eastAsia="Times New Roman" w:hAnsi="Times New Roman" w:cs="Times New Roman"/>
          <w:i/>
          <w:color w:val="000000" w:themeColor="text1"/>
          <w:sz w:val="24"/>
          <w:szCs w:val="24"/>
        </w:rPr>
        <w:t>IEPD</w:t>
      </w:r>
      <w:r w:rsidRPr="00B91480">
        <w:rPr>
          <w:rFonts w:ascii="Times New Roman" w:eastAsia="Times New Roman" w:hAnsi="Times New Roman" w:cs="Times New Roman"/>
          <w:iCs/>
          <w:color w:val="000000" w:themeColor="text1"/>
          <w:sz w:val="24"/>
          <w:szCs w:val="24"/>
        </w:rPr>
        <w:t>x</w:t>
      </w:r>
      <w:r w:rsidRPr="00B91480">
        <w:rPr>
          <w:rFonts w:ascii="Times New Roman" w:eastAsia="Times New Roman" w:hAnsi="Times New Roman" w:cs="Times New Roman"/>
          <w:i/>
          <w:color w:val="000000" w:themeColor="text1"/>
          <w:sz w:val="24"/>
          <w:szCs w:val="24"/>
        </w:rPr>
        <w:t>CBT</w:t>
      </w:r>
      <w:proofErr w:type="spellEnd"/>
      <w:r w:rsidRPr="00B91480">
        <w:rPr>
          <w:rFonts w:ascii="Times New Roman" w:eastAsia="Times New Roman" w:hAnsi="Times New Roman" w:cs="Times New Roman"/>
          <w:iCs/>
          <w:color w:val="000000" w:themeColor="text1"/>
          <w:sz w:val="24"/>
          <w:szCs w:val="24"/>
        </w:rPr>
        <w:t xml:space="preserve">) improves a country’s </w:t>
      </w:r>
      <w:r w:rsidRPr="00B91480">
        <w:rPr>
          <w:rFonts w:ascii="Times New Roman" w:eastAsia="Times New Roman" w:hAnsi="Times New Roman" w:cs="Times New Roman"/>
          <w:iCs/>
          <w:color w:val="000000" w:themeColor="text1"/>
          <w:sz w:val="24"/>
          <w:szCs w:val="24"/>
        </w:rPr>
        <w:lastRenderedPageBreak/>
        <w:t>financial development by 0.22% (0.074x3), 0.12% (0.040x3) and 0.11% (0.038x3) respectively, with the country’s market capitalisation per GDP benefitting most.</w:t>
      </w:r>
      <w:bookmarkEnd w:id="2"/>
      <w:r w:rsidRPr="00B91480">
        <w:rPr>
          <w:rFonts w:ascii="Times New Roman" w:eastAsia="Times New Roman" w:hAnsi="Times New Roman" w:cs="Times New Roman"/>
          <w:iCs/>
          <w:color w:val="000000" w:themeColor="text1"/>
          <w:sz w:val="24"/>
          <w:szCs w:val="24"/>
        </w:rPr>
        <w:t xml:space="preserve"> In line with </w:t>
      </w:r>
      <w:r w:rsidR="00EB60C4">
        <w:rPr>
          <w:rFonts w:ascii="Times New Roman" w:eastAsia="Times New Roman" w:hAnsi="Times New Roman" w:cs="Times New Roman"/>
          <w:iCs/>
          <w:color w:val="000000" w:themeColor="text1"/>
          <w:sz w:val="24"/>
          <w:szCs w:val="24"/>
        </w:rPr>
        <w:t xml:space="preserve">the </w:t>
      </w:r>
      <w:r w:rsidRPr="00B91480">
        <w:rPr>
          <w:rFonts w:ascii="Times New Roman" w:eastAsia="Times New Roman" w:hAnsi="Times New Roman" w:cs="Times New Roman"/>
          <w:iCs/>
          <w:color w:val="000000" w:themeColor="text1"/>
          <w:sz w:val="24"/>
          <w:szCs w:val="24"/>
        </w:rPr>
        <w:t>previous study (</w:t>
      </w:r>
      <w:proofErr w:type="spellStart"/>
      <w:r w:rsidRPr="00B91480">
        <w:rPr>
          <w:rFonts w:ascii="Times New Roman" w:eastAsia="Times New Roman" w:hAnsi="Times New Roman" w:cs="Times New Roman"/>
          <w:iCs/>
          <w:color w:val="000000" w:themeColor="text1"/>
          <w:sz w:val="24"/>
          <w:szCs w:val="24"/>
        </w:rPr>
        <w:t>Tayssir</w:t>
      </w:r>
      <w:proofErr w:type="spellEnd"/>
      <w:r w:rsidRPr="00B91480">
        <w:rPr>
          <w:rFonts w:ascii="Times New Roman" w:eastAsia="Times New Roman" w:hAnsi="Times New Roman" w:cs="Times New Roman"/>
          <w:iCs/>
          <w:color w:val="000000" w:themeColor="text1"/>
          <w:sz w:val="24"/>
          <w:szCs w:val="24"/>
        </w:rPr>
        <w:t xml:space="preserve"> and </w:t>
      </w:r>
      <w:proofErr w:type="spellStart"/>
      <w:r w:rsidRPr="00B91480">
        <w:rPr>
          <w:rFonts w:ascii="Times New Roman" w:eastAsia="Times New Roman" w:hAnsi="Times New Roman" w:cs="Times New Roman"/>
          <w:iCs/>
          <w:color w:val="000000" w:themeColor="text1"/>
          <w:sz w:val="24"/>
          <w:szCs w:val="24"/>
        </w:rPr>
        <w:t>Feryel</w:t>
      </w:r>
      <w:proofErr w:type="spellEnd"/>
      <w:r w:rsidRPr="00B91480">
        <w:rPr>
          <w:rFonts w:ascii="Times New Roman" w:eastAsia="Times New Roman" w:hAnsi="Times New Roman" w:cs="Times New Roman"/>
          <w:iCs/>
          <w:color w:val="000000" w:themeColor="text1"/>
          <w:sz w:val="24"/>
          <w:szCs w:val="24"/>
        </w:rPr>
        <w:t>, 2018), our results show that central bank transparency will promote a country’s financial development.</w:t>
      </w:r>
    </w:p>
    <w:p w14:paraId="26FEA3A6" w14:textId="1498EC5D" w:rsidR="00F531E2" w:rsidRPr="00357722" w:rsidRDefault="00F531E2" w:rsidP="0016323E">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Times New Roman" w:hAnsi="Times New Roman" w:cs="Times New Roman"/>
          <w:iCs/>
          <w:color w:val="000000" w:themeColor="text1"/>
          <w:sz w:val="24"/>
          <w:szCs w:val="24"/>
        </w:rPr>
        <w:t xml:space="preserve">The results </w:t>
      </w:r>
      <w:r w:rsidR="00E30532" w:rsidRPr="00357722">
        <w:rPr>
          <w:rFonts w:ascii="Times New Roman" w:eastAsia="Times New Roman" w:hAnsi="Times New Roman" w:cs="Times New Roman"/>
          <w:iCs/>
          <w:color w:val="000000" w:themeColor="text1"/>
          <w:sz w:val="24"/>
          <w:szCs w:val="24"/>
        </w:rPr>
        <w:t>impl</w:t>
      </w:r>
      <w:r w:rsidR="00E30532">
        <w:rPr>
          <w:rFonts w:ascii="Times New Roman" w:eastAsia="Times New Roman" w:hAnsi="Times New Roman" w:cs="Times New Roman"/>
          <w:iCs/>
          <w:color w:val="000000" w:themeColor="text1"/>
          <w:sz w:val="24"/>
          <w:szCs w:val="24"/>
        </w:rPr>
        <w:t>y</w:t>
      </w:r>
      <w:r w:rsidR="00E30532"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 xml:space="preserve">central bank transparency interacts with international equity portfolio flow to have a combined effect to </w:t>
      </w:r>
      <w:r w:rsidR="00004DEB">
        <w:rPr>
          <w:rFonts w:ascii="Times New Roman" w:eastAsia="Times New Roman" w:hAnsi="Times New Roman" w:cs="Times New Roman"/>
          <w:iCs/>
          <w:color w:val="000000" w:themeColor="text1"/>
          <w:sz w:val="24"/>
          <w:szCs w:val="24"/>
        </w:rPr>
        <w:t>promote</w:t>
      </w:r>
      <w:r w:rsidR="00004DEB"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 xml:space="preserve">financial market development. This is consistent with the theoretical argument that higher transparency about monetary policies increases information flow which is linked to lower portfolio investment risk and higher corporate investment. Correspondingly, it will encourage investors to participate in </w:t>
      </w:r>
      <w:r w:rsidR="00E30532">
        <w:rPr>
          <w:rFonts w:ascii="Times New Roman" w:eastAsia="Times New Roman" w:hAnsi="Times New Roman" w:cs="Times New Roman"/>
          <w:iCs/>
          <w:color w:val="000000" w:themeColor="text1"/>
          <w:sz w:val="24"/>
          <w:szCs w:val="24"/>
        </w:rPr>
        <w:t xml:space="preserve">the </w:t>
      </w:r>
      <w:r w:rsidR="00725EEC" w:rsidRPr="00357722">
        <w:rPr>
          <w:rFonts w:ascii="Times New Roman" w:eastAsia="Times New Roman" w:hAnsi="Times New Roman" w:cs="Times New Roman"/>
          <w:iCs/>
          <w:color w:val="000000" w:themeColor="text1"/>
          <w:sz w:val="24"/>
          <w:szCs w:val="24"/>
        </w:rPr>
        <w:t>financial market and provide credit to banking institutions.</w:t>
      </w:r>
      <w:r w:rsidR="009B45BD" w:rsidRPr="00357722">
        <w:rPr>
          <w:rFonts w:ascii="Times New Roman" w:eastAsia="Times New Roman" w:hAnsi="Times New Roman" w:cs="Times New Roman"/>
          <w:iCs/>
          <w:color w:val="000000" w:themeColor="text1"/>
          <w:sz w:val="24"/>
          <w:szCs w:val="24"/>
        </w:rPr>
        <w:t xml:space="preserve"> These results extend Laeven (2014) who theoretically documented that sound macroeconomic policies from a transparent central bank will enhance financial developmen</w:t>
      </w:r>
      <w:r w:rsidR="00142376" w:rsidRPr="00357722">
        <w:rPr>
          <w:rFonts w:ascii="Times New Roman" w:eastAsia="Times New Roman" w:hAnsi="Times New Roman" w:cs="Times New Roman"/>
          <w:iCs/>
          <w:color w:val="000000" w:themeColor="text1"/>
          <w:sz w:val="24"/>
          <w:szCs w:val="24"/>
        </w:rPr>
        <w:t>t.</w:t>
      </w:r>
    </w:p>
    <w:p w14:paraId="29C369EF" w14:textId="64051B97" w:rsidR="009834BC" w:rsidRPr="00357722" w:rsidRDefault="00F35CD0" w:rsidP="00F35CD0">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5 about here..............</w:t>
      </w:r>
    </w:p>
    <w:p w14:paraId="729A7FA3" w14:textId="74913012" w:rsidR="0016323E" w:rsidRPr="00357722" w:rsidRDefault="00483793" w:rsidP="0016323E">
      <w:pPr>
        <w:spacing w:after="0" w:line="480" w:lineRule="auto"/>
        <w:ind w:left="720" w:hanging="720"/>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4.3</w:t>
      </w:r>
      <w:r w:rsidR="00A433BC" w:rsidRPr="00357722">
        <w:rPr>
          <w:rFonts w:ascii="Times New Roman" w:eastAsia="Times New Roman" w:hAnsi="Times New Roman" w:cs="Times New Roman"/>
          <w:i/>
          <w:iCs/>
          <w:color w:val="000000" w:themeColor="text1"/>
          <w:sz w:val="24"/>
          <w:szCs w:val="24"/>
        </w:rPr>
        <w:t>.3</w:t>
      </w:r>
      <w:r w:rsidR="0060532F"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r>
      <w:r w:rsidR="00EC568A" w:rsidRPr="00357722">
        <w:rPr>
          <w:rFonts w:ascii="Times New Roman" w:eastAsia="Times New Roman" w:hAnsi="Times New Roman" w:cs="Times New Roman"/>
          <w:i/>
          <w:iCs/>
          <w:color w:val="000000" w:themeColor="text1"/>
          <w:sz w:val="24"/>
          <w:szCs w:val="24"/>
        </w:rPr>
        <w:t xml:space="preserve">The effects of </w:t>
      </w:r>
      <w:r w:rsidR="00D54F5E" w:rsidRPr="00357722">
        <w:rPr>
          <w:rFonts w:ascii="Times New Roman" w:eastAsia="Times New Roman" w:hAnsi="Times New Roman" w:cs="Times New Roman"/>
          <w:i/>
          <w:iCs/>
          <w:color w:val="000000" w:themeColor="text1"/>
          <w:sz w:val="24"/>
          <w:szCs w:val="24"/>
        </w:rPr>
        <w:t>economic freedom</w:t>
      </w:r>
      <w:r w:rsidR="00942C74" w:rsidRPr="00357722">
        <w:rPr>
          <w:rFonts w:ascii="Times New Roman" w:eastAsia="Times New Roman" w:hAnsi="Times New Roman" w:cs="Times New Roman"/>
          <w:i/>
          <w:iCs/>
          <w:color w:val="000000" w:themeColor="text1"/>
          <w:sz w:val="24"/>
          <w:szCs w:val="24"/>
        </w:rPr>
        <w:t xml:space="preserve"> </w:t>
      </w:r>
    </w:p>
    <w:p w14:paraId="05BA946C" w14:textId="7F299676" w:rsidR="00A66CC5" w:rsidRPr="00357722" w:rsidRDefault="00A66CC5" w:rsidP="0016323E">
      <w:pPr>
        <w:spacing w:after="0" w:line="480" w:lineRule="auto"/>
        <w:ind w:firstLine="720"/>
        <w:jc w:val="both"/>
        <w:rPr>
          <w:rFonts w:ascii="Times New Roman" w:eastAsia="Times New Roman" w:hAnsi="Times New Roman" w:cs="Times New Roman"/>
          <w:b/>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We determine whether international equity portfolio diversification interacts </w:t>
      </w:r>
      <w:r w:rsidR="00E30532">
        <w:rPr>
          <w:rFonts w:ascii="Times New Roman" w:eastAsia="Times New Roman" w:hAnsi="Times New Roman" w:cs="Times New Roman"/>
          <w:iCs/>
          <w:color w:val="000000" w:themeColor="text1"/>
          <w:sz w:val="24"/>
          <w:szCs w:val="24"/>
        </w:rPr>
        <w:t xml:space="preserve">with </w:t>
      </w:r>
      <w:r w:rsidR="00D54F5E" w:rsidRPr="00357722">
        <w:rPr>
          <w:rFonts w:ascii="Times New Roman" w:eastAsia="Times New Roman" w:hAnsi="Times New Roman" w:cs="Times New Roman"/>
          <w:iCs/>
          <w:color w:val="000000" w:themeColor="text1"/>
          <w:sz w:val="24"/>
          <w:szCs w:val="24"/>
        </w:rPr>
        <w:t>economic freedom</w:t>
      </w:r>
      <w:r w:rsidRPr="00357722">
        <w:rPr>
          <w:rFonts w:ascii="Times New Roman" w:eastAsia="Times New Roman" w:hAnsi="Times New Roman" w:cs="Times New Roman"/>
          <w:iCs/>
          <w:color w:val="000000" w:themeColor="text1"/>
          <w:sz w:val="24"/>
          <w:szCs w:val="24"/>
        </w:rPr>
        <w:t xml:space="preserve"> to have a combined effect on financial market development. </w:t>
      </w:r>
    </w:p>
    <w:tbl>
      <w:tblPr>
        <w:tblpPr w:leftFromText="180" w:rightFromText="180" w:vertAnchor="text" w:tblpY="1"/>
        <w:tblOverlap w:val="never"/>
        <w:tblW w:w="4966" w:type="pct"/>
        <w:tblLook w:val="00A0" w:firstRow="1" w:lastRow="0" w:firstColumn="1" w:lastColumn="0" w:noHBand="0" w:noVBand="0"/>
      </w:tblPr>
      <w:tblGrid>
        <w:gridCol w:w="984"/>
        <w:gridCol w:w="7409"/>
        <w:gridCol w:w="1016"/>
      </w:tblGrid>
      <w:tr w:rsidR="00A66CC5" w:rsidRPr="00357722" w14:paraId="3639C474" w14:textId="77777777" w:rsidTr="001828C2">
        <w:tc>
          <w:tcPr>
            <w:tcW w:w="523" w:type="pct"/>
            <w:vAlign w:val="center"/>
          </w:tcPr>
          <w:p w14:paraId="383A75CC" w14:textId="77777777" w:rsidR="00A66CC5" w:rsidRPr="00357722" w:rsidRDefault="00A66CC5" w:rsidP="001828C2">
            <w:pPr>
              <w:spacing w:after="0" w:line="480" w:lineRule="auto"/>
              <w:jc w:val="center"/>
              <w:rPr>
                <w:rFonts w:ascii="Times New Roman" w:hAnsi="Times New Roman"/>
                <w:i/>
                <w:sz w:val="24"/>
                <w:szCs w:val="24"/>
                <w:lang w:eastAsia="ko-KR"/>
              </w:rPr>
            </w:pPr>
          </w:p>
        </w:tc>
        <w:tc>
          <w:tcPr>
            <w:tcW w:w="3937" w:type="pct"/>
            <w:vAlign w:val="center"/>
          </w:tcPr>
          <w:p w14:paraId="35C5F6B1" w14:textId="4C0AD582" w:rsidR="00A66CC5" w:rsidRPr="00357722" w:rsidRDefault="00000000" w:rsidP="001828C2">
            <w:pPr>
              <w:spacing w:after="0" w:line="480" w:lineRule="auto"/>
              <w:jc w:val="both"/>
              <w:rPr>
                <w:rFonts w:ascii="Times New Roman" w:hAnsi="Times New Roman"/>
                <w:sz w:val="24"/>
                <w:szCs w:val="24"/>
                <w:lang w:eastAsia="ko-KR"/>
              </w:rPr>
            </w:pPr>
            <m:oMathPara>
              <m:oMathParaPr>
                <m:jc m:val="center"/>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FD</m:t>
                    </m:r>
                  </m:e>
                  <m:sub>
                    <m:r>
                      <w:rPr>
                        <w:rFonts w:ascii="Cambria Math" w:hAnsi="Cambria Math" w:cs="Times New Roman"/>
                        <w:color w:val="000000" w:themeColor="text1"/>
                        <w:sz w:val="24"/>
                        <w:szCs w:val="24"/>
                      </w:rPr>
                      <m:t>it</m:t>
                    </m:r>
                  </m:sub>
                </m:sSub>
                <m:r>
                  <w:rPr>
                    <w:rFonts w:ascii="Cambria Math" w:hAnsi="Cambria Math"/>
                    <w:sz w:val="24"/>
                    <w:szCs w:val="24"/>
                  </w:rPr>
                  <m:t xml:space="preserve">=α+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IEPD</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it</m:t>
                    </m:r>
                  </m:sub>
                </m:sSub>
                <m:r>
                  <w:rPr>
                    <w:rFonts w:ascii="Cambria Math" w:hAnsi="Cambria Math"/>
                    <w:sz w:val="24"/>
                    <w:szCs w:val="24"/>
                  </w:rPr>
                  <m:t>×IEP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r>
                  <w:rPr>
                    <w:rFonts w:ascii="Cambria Math" w:hAnsi="Cambria Math"/>
                    <w:sz w:val="24"/>
                    <w:szCs w:val="24"/>
                  </w:rPr>
                  <m:t>.Ct</m:t>
                </m:r>
                <m:sSub>
                  <m:sSubPr>
                    <m:ctrlPr>
                      <w:rPr>
                        <w:rFonts w:ascii="Cambria Math" w:hAnsi="Cambria Math"/>
                        <w:i/>
                        <w:sz w:val="24"/>
                        <w:szCs w:val="24"/>
                      </w:rPr>
                    </m:ctrlPr>
                  </m:sSubPr>
                  <m:e>
                    <m:r>
                      <w:rPr>
                        <w:rFonts w:ascii="Cambria Math" w:hAnsi="Cambria Math"/>
                        <w:sz w:val="24"/>
                        <w:szCs w:val="24"/>
                      </w:rPr>
                      <m:t>ls</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r>
                  <w:rPr>
                    <w:rFonts w:ascii="Cambria Math" w:hAnsi="Cambria Math"/>
                    <w:sz w:val="24"/>
                    <w:szCs w:val="24"/>
                  </w:rPr>
                  <m:t>.TF</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.CF</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it</m:t>
                    </m:r>
                  </m:sub>
                </m:sSub>
              </m:oMath>
            </m:oMathPara>
          </w:p>
        </w:tc>
        <w:tc>
          <w:tcPr>
            <w:tcW w:w="540" w:type="pct"/>
            <w:vAlign w:val="center"/>
          </w:tcPr>
          <w:p w14:paraId="0695A724" w14:textId="77777777" w:rsidR="00A66CC5" w:rsidRPr="00357722" w:rsidRDefault="00A66CC5" w:rsidP="001828C2">
            <w:pPr>
              <w:numPr>
                <w:ilvl w:val="0"/>
                <w:numId w:val="31"/>
              </w:numPr>
              <w:spacing w:after="0" w:line="480" w:lineRule="auto"/>
              <w:jc w:val="right"/>
              <w:rPr>
                <w:rFonts w:ascii="Times New Roman" w:hAnsi="Times New Roman"/>
                <w:i/>
                <w:sz w:val="24"/>
                <w:szCs w:val="24"/>
                <w:lang w:eastAsia="ko-KR"/>
              </w:rPr>
            </w:pPr>
          </w:p>
        </w:tc>
      </w:tr>
    </w:tbl>
    <w:p w14:paraId="4B41099C" w14:textId="6FA325DC" w:rsidR="00A66CC5" w:rsidRPr="00357722" w:rsidRDefault="00A66CC5" w:rsidP="0016323E">
      <w:pPr>
        <w:spacing w:after="0" w:line="480" w:lineRule="auto"/>
        <w:ind w:firstLine="720"/>
        <w:jc w:val="both"/>
        <w:rPr>
          <w:rFonts w:ascii="Times New Roman" w:eastAsia="Calibri" w:hAnsi="Times New Roman" w:cs="Times New Roman"/>
          <w:sz w:val="24"/>
          <w:szCs w:val="24"/>
          <w:lang w:eastAsia="en-US"/>
        </w:rPr>
      </w:pPr>
      <w:r w:rsidRPr="00357722">
        <w:rPr>
          <w:rFonts w:ascii="Times New Roman" w:eastAsia="Times New Roman" w:hAnsi="Times New Roman" w:cs="Times New Roman"/>
          <w:color w:val="000000" w:themeColor="text1"/>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FD</m:t>
            </m:r>
          </m:e>
          <m:sub>
            <m:r>
              <w:rPr>
                <w:rFonts w:ascii="Cambria Math"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the three financial development measures (</w:t>
      </w:r>
      <w:r w:rsidRPr="00357722">
        <w:rPr>
          <w:rFonts w:ascii="Times New Roman" w:eastAsia="Times New Roman" w:hAnsi="Times New Roman" w:cs="Times New Roman"/>
          <w:i/>
          <w:color w:val="000000"/>
          <w:sz w:val="24"/>
          <w:szCs w:val="24"/>
          <w:lang w:val="en-US"/>
        </w:rPr>
        <w:t>MCGDP</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
          <w:color w:val="000000"/>
          <w:sz w:val="24"/>
          <w:szCs w:val="24"/>
          <w:lang w:val="en-US"/>
        </w:rPr>
        <w:t>PSCGDP</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and</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
          <w:color w:val="000000"/>
          <w:sz w:val="24"/>
          <w:szCs w:val="24"/>
          <w:lang w:val="en-US"/>
        </w:rPr>
        <w:t>DCPGDP</w:t>
      </w:r>
      <w:r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for country </w:t>
      </w:r>
      <m:oMath>
        <m:r>
          <w:rPr>
            <w:rFonts w:ascii="Cambria Math" w:eastAsia="Times New Roman" w:hAnsi="Cambria Math" w:cs="Times New Roman"/>
            <w:color w:val="000000" w:themeColor="text1"/>
            <w:sz w:val="24"/>
            <w:szCs w:val="24"/>
          </w:rPr>
          <m:t>i</m:t>
        </m:r>
      </m:oMath>
      <w:r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iCs/>
          <w:color w:val="000000" w:themeColor="text1"/>
          <w:sz w:val="24"/>
          <w:szCs w:val="24"/>
        </w:rPr>
        <w:t xml:space="preserve">. </w:t>
      </w:r>
      <m:oMath>
        <m:sSub>
          <m:sSubPr>
            <m:ctrlPr>
              <w:rPr>
                <w:rFonts w:ascii="Cambria Math" w:hAnsi="Cambria Math"/>
                <w:i/>
                <w:sz w:val="24"/>
                <w:szCs w:val="24"/>
              </w:rPr>
            </m:ctrlPr>
          </m:sSubPr>
          <m:e>
            <m:r>
              <w:rPr>
                <w:rFonts w:ascii="Cambria Math" w:hAnsi="Cambria Math"/>
                <w:sz w:val="24"/>
                <w:szCs w:val="24"/>
              </w:rPr>
              <m:t>IEPD</m:t>
            </m:r>
          </m:e>
          <m:sub>
            <m:r>
              <w:rPr>
                <w:rFonts w:ascii="Cambria Math" w:hAnsi="Cambria Math"/>
                <w:sz w:val="24"/>
                <w:szCs w:val="24"/>
              </w:rPr>
              <m:t>it</m:t>
            </m:r>
          </m:sub>
        </m:sSub>
      </m:oMath>
      <w:r w:rsidRPr="00357722">
        <w:rPr>
          <w:rFonts w:ascii="Times New Roman" w:eastAsia="Times New Roman" w:hAnsi="Times New Roman" w:cs="Times New Roman"/>
          <w:sz w:val="24"/>
          <w:szCs w:val="24"/>
        </w:rPr>
        <w:t xml:space="preserve"> represents international equity portfolio diversification. </w:t>
      </w:r>
      <m:oMath>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it</m:t>
            </m:r>
          </m:sub>
        </m:sSub>
      </m:oMath>
      <w:r w:rsidRPr="00357722">
        <w:rPr>
          <w:rFonts w:ascii="Times New Roman" w:eastAsia="Times New Roman" w:hAnsi="Times New Roman" w:cs="Times New Roman"/>
          <w:sz w:val="24"/>
          <w:szCs w:val="24"/>
        </w:rPr>
        <w:t xml:space="preserve"> repres</w:t>
      </w:r>
      <w:r w:rsidR="00942C74" w:rsidRPr="00357722">
        <w:rPr>
          <w:rFonts w:ascii="Times New Roman" w:eastAsia="Times New Roman" w:hAnsi="Times New Roman" w:cs="Times New Roman"/>
          <w:sz w:val="24"/>
          <w:szCs w:val="24"/>
        </w:rPr>
        <w:t>ents government integrity</w:t>
      </w:r>
      <w:r w:rsidRPr="00357722">
        <w:rPr>
          <w:rFonts w:ascii="Times New Roman" w:eastAsia="Times New Roman" w:hAnsi="Times New Roman" w:cs="Times New Roman"/>
          <w:sz w:val="24"/>
          <w:szCs w:val="24"/>
        </w:rPr>
        <w:t xml:space="preserve"> </w:t>
      </w:r>
      <w:r w:rsidRPr="00357722">
        <w:rPr>
          <w:rFonts w:ascii="Times New Roman" w:eastAsia="Times New Roman" w:hAnsi="Times New Roman" w:cs="Times New Roman"/>
          <w:iCs/>
          <w:color w:val="000000" w:themeColor="text1"/>
          <w:sz w:val="24"/>
          <w:szCs w:val="24"/>
        </w:rPr>
        <w:t xml:space="preserve">for country </w:t>
      </w:r>
      <m:oMath>
        <m:r>
          <w:rPr>
            <w:rFonts w:ascii="Cambria Math" w:eastAsia="Times New Roman" w:hAnsi="Cambria Math" w:cs="Times New Roman"/>
            <w:color w:val="000000" w:themeColor="text1"/>
            <w:sz w:val="24"/>
            <w:szCs w:val="24"/>
          </w:rPr>
          <m:t>i</m:t>
        </m:r>
      </m:oMath>
      <w:r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it</m:t>
            </m:r>
          </m:sub>
        </m:sSub>
        <m:r>
          <w:rPr>
            <w:rFonts w:ascii="Cambria Math" w:hAnsi="Cambria Math"/>
            <w:sz w:val="24"/>
            <w:szCs w:val="24"/>
          </w:rPr>
          <m:t>×IEP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it</m:t>
            </m:r>
          </m:sub>
        </m:sSub>
      </m:oMath>
      <w:r w:rsidRPr="00357722">
        <w:rPr>
          <w:rFonts w:ascii="Times New Roman" w:eastAsia="Times New Roman" w:hAnsi="Times New Roman" w:cs="Times New Roman"/>
          <w:sz w:val="24"/>
          <w:szCs w:val="24"/>
        </w:rPr>
        <w:t>represents the interacti</w:t>
      </w:r>
      <w:r w:rsidR="0016323E" w:rsidRPr="00357722">
        <w:rPr>
          <w:rFonts w:ascii="Times New Roman" w:eastAsia="Times New Roman" w:hAnsi="Times New Roman" w:cs="Times New Roman"/>
          <w:sz w:val="24"/>
          <w:szCs w:val="24"/>
        </w:rPr>
        <w:t xml:space="preserve">on term between </w:t>
      </w:r>
      <w:r w:rsidR="00D54F5E" w:rsidRPr="00357722">
        <w:rPr>
          <w:rFonts w:ascii="Times New Roman" w:eastAsia="Times New Roman" w:hAnsi="Times New Roman" w:cs="Times New Roman"/>
          <w:sz w:val="24"/>
          <w:szCs w:val="24"/>
        </w:rPr>
        <w:t>economic freedom</w:t>
      </w:r>
      <w:r w:rsidRPr="00357722">
        <w:rPr>
          <w:rFonts w:ascii="Times New Roman" w:eastAsia="Times New Roman" w:hAnsi="Times New Roman" w:cs="Times New Roman"/>
          <w:sz w:val="24"/>
          <w:szCs w:val="24"/>
        </w:rPr>
        <w:t xml:space="preserve"> and international equity portfolio diversification. </w:t>
      </w:r>
      <m:oMath>
        <m:r>
          <w:rPr>
            <w:rFonts w:ascii="Cambria Math" w:eastAsia="Calibri" w:hAnsi="Cambria Math" w:cs="Times New Roman"/>
            <w:sz w:val="24"/>
            <w:szCs w:val="24"/>
            <w:lang w:eastAsia="en-US"/>
          </w:rPr>
          <m:t>Ct</m:t>
        </m:r>
        <m:sSub>
          <m:sSubPr>
            <m:ctrlPr>
              <w:rPr>
                <w:rFonts w:ascii="Cambria Math" w:eastAsia="Calibri" w:hAnsi="Cambria Math" w:cs="Times New Roman"/>
                <w:i/>
                <w:sz w:val="24"/>
                <w:szCs w:val="24"/>
                <w:lang w:eastAsia="en-US"/>
              </w:rPr>
            </m:ctrlPr>
          </m:sSubPr>
          <m:e>
            <m:r>
              <w:rPr>
                <w:rFonts w:ascii="Cambria Math" w:eastAsia="Calibri" w:hAnsi="Cambria Math" w:cs="Times New Roman"/>
                <w:sz w:val="24"/>
                <w:szCs w:val="24"/>
                <w:lang w:eastAsia="en-US"/>
              </w:rPr>
              <m:t>ls</m:t>
            </m:r>
          </m:e>
          <m:sub>
            <m:r>
              <w:rPr>
                <w:rFonts w:ascii="Cambria Math" w:eastAsia="Calibri" w:hAnsi="Cambria Math" w:cs="Times New Roman"/>
                <w:sz w:val="24"/>
                <w:szCs w:val="24"/>
                <w:lang w:eastAsia="en-US"/>
              </w:rPr>
              <m:t>it</m:t>
            </m:r>
          </m:sub>
        </m:sSub>
      </m:oMath>
      <w:r w:rsidRPr="00357722">
        <w:rPr>
          <w:rFonts w:ascii="Times New Roman" w:eastAsia="Calibri" w:hAnsi="Times New Roman" w:cs="Times New Roman"/>
          <w:sz w:val="24"/>
          <w:szCs w:val="24"/>
          <w:lang w:eastAsia="en-US"/>
        </w:rPr>
        <w:t xml:space="preserve"> represents a vector of the control variables of country </w:t>
      </w:r>
      <m:oMath>
        <m:r>
          <w:rPr>
            <w:rFonts w:ascii="Cambria Math" w:eastAsia="Calibri" w:hAnsi="Cambria Math" w:cs="Times New Roman"/>
            <w:sz w:val="24"/>
            <w:szCs w:val="24"/>
            <w:lang w:eastAsia="en-US"/>
          </w:rPr>
          <m:t>i</m:t>
        </m:r>
      </m:oMath>
      <w:r w:rsidRPr="00357722">
        <w:rPr>
          <w:rFonts w:ascii="Times New Roman" w:eastAsia="Calibri" w:hAnsi="Times New Roman" w:cs="Times New Roman"/>
          <w:sz w:val="24"/>
          <w:szCs w:val="24"/>
          <w:lang w:eastAsia="en-US"/>
        </w:rPr>
        <w:t xml:space="preserve"> at time </w:t>
      </w:r>
      <m:oMath>
        <m:r>
          <w:rPr>
            <w:rFonts w:ascii="Cambria Math" w:eastAsia="Calibri" w:hAnsi="Cambria Math" w:cs="Times New Roman"/>
            <w:sz w:val="24"/>
            <w:szCs w:val="24"/>
            <w:lang w:eastAsia="en-US"/>
          </w:rPr>
          <m:t>t</m:t>
        </m:r>
      </m:oMath>
      <w:r w:rsidRPr="00357722">
        <w:rPr>
          <w:rFonts w:ascii="Times New Roman" w:eastAsia="Calibri" w:hAnsi="Times New Roman" w:cs="Times New Roman"/>
          <w:sz w:val="24"/>
          <w:szCs w:val="24"/>
          <w:lang w:eastAsia="en-US"/>
        </w:rPr>
        <w:t xml:space="preserve">. </w:t>
      </w:r>
      <w:r w:rsidRPr="00357722">
        <w:rPr>
          <w:rFonts w:ascii="Times New Roman" w:eastAsia="Calibri" w:hAnsi="Times New Roman" w:cs="Times New Roman"/>
          <w:i/>
          <w:sz w:val="24"/>
          <w:szCs w:val="24"/>
          <w:lang w:eastAsia="en-US"/>
        </w:rPr>
        <w:t>TFE</w:t>
      </w:r>
      <w:r w:rsidRPr="00357722">
        <w:rPr>
          <w:rFonts w:ascii="Times New Roman" w:eastAsia="Calibri" w:hAnsi="Times New Roman" w:cs="Times New Roman"/>
          <w:sz w:val="24"/>
          <w:szCs w:val="24"/>
          <w:lang w:eastAsia="en-US"/>
        </w:rPr>
        <w:t xml:space="preserve"> represents time effects. </w:t>
      </w:r>
      <w:r w:rsidRPr="00357722">
        <w:rPr>
          <w:rFonts w:ascii="Times New Roman" w:eastAsia="Calibri" w:hAnsi="Times New Roman" w:cs="Times New Roman"/>
          <w:i/>
          <w:sz w:val="24"/>
          <w:szCs w:val="24"/>
          <w:lang w:eastAsia="en-US"/>
        </w:rPr>
        <w:t>CFE</w:t>
      </w:r>
      <w:r w:rsidRPr="00357722">
        <w:rPr>
          <w:rFonts w:ascii="Times New Roman" w:eastAsia="Calibri" w:hAnsi="Times New Roman" w:cs="Times New Roman"/>
          <w:sz w:val="24"/>
          <w:szCs w:val="24"/>
          <w:lang w:eastAsia="en-US"/>
        </w:rPr>
        <w:t xml:space="preserve"> represent</w:t>
      </w:r>
      <w:r w:rsidR="00E30532">
        <w:rPr>
          <w:rFonts w:ascii="Times New Roman" w:eastAsia="Calibri" w:hAnsi="Times New Roman" w:cs="Times New Roman"/>
          <w:sz w:val="24"/>
          <w:szCs w:val="24"/>
          <w:lang w:eastAsia="en-US"/>
        </w:rPr>
        <w:t>s</w:t>
      </w:r>
      <w:r w:rsidRPr="00357722">
        <w:rPr>
          <w:rFonts w:ascii="Times New Roman" w:eastAsia="Calibri" w:hAnsi="Times New Roman" w:cs="Times New Roman"/>
          <w:sz w:val="24"/>
          <w:szCs w:val="24"/>
          <w:lang w:eastAsia="en-US"/>
        </w:rPr>
        <w:t xml:space="preserve"> </w:t>
      </w:r>
      <w:r w:rsidR="00D36BF6" w:rsidRPr="00357722">
        <w:rPr>
          <w:rFonts w:ascii="Times New Roman" w:eastAsia="Calibri" w:hAnsi="Times New Roman" w:cs="Times New Roman"/>
          <w:sz w:val="24"/>
          <w:szCs w:val="24"/>
          <w:lang w:eastAsia="en-US"/>
        </w:rPr>
        <w:t>country</w:t>
      </w:r>
      <w:r w:rsidR="00D36BF6">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 xml:space="preserve">fixed effects.  </w:t>
      </w:r>
    </w:p>
    <w:p w14:paraId="063F267C" w14:textId="7D73FE1C" w:rsidR="00B91480" w:rsidRDefault="00C36C57" w:rsidP="0016323E">
      <w:pPr>
        <w:spacing w:after="0" w:line="480" w:lineRule="auto"/>
        <w:ind w:firstLine="720"/>
        <w:jc w:val="both"/>
        <w:rPr>
          <w:rFonts w:ascii="Times New Roman" w:eastAsia="Calibri" w:hAnsi="Times New Roman" w:cs="Times New Roman"/>
          <w:sz w:val="24"/>
          <w:szCs w:val="24"/>
          <w:lang w:eastAsia="en-US"/>
        </w:rPr>
      </w:pPr>
      <w:r w:rsidRPr="00357722">
        <w:rPr>
          <w:rFonts w:ascii="Times New Roman" w:eastAsia="Calibri" w:hAnsi="Times New Roman" w:cs="Times New Roman"/>
          <w:sz w:val="24"/>
          <w:szCs w:val="24"/>
          <w:lang w:eastAsia="en-US"/>
        </w:rPr>
        <w:t xml:space="preserve">Table 6 presents the </w:t>
      </w:r>
      <w:r w:rsidR="00874AD1" w:rsidRPr="00357722">
        <w:rPr>
          <w:rFonts w:ascii="Times New Roman" w:eastAsia="Calibri" w:hAnsi="Times New Roman" w:cs="Times New Roman"/>
          <w:sz w:val="24"/>
          <w:szCs w:val="24"/>
          <w:lang w:eastAsia="en-US"/>
        </w:rPr>
        <w:t xml:space="preserve">regression </w:t>
      </w:r>
      <w:r w:rsidRPr="00357722">
        <w:rPr>
          <w:rFonts w:ascii="Times New Roman" w:eastAsia="Calibri" w:hAnsi="Times New Roman" w:cs="Times New Roman"/>
          <w:sz w:val="24"/>
          <w:szCs w:val="24"/>
          <w:lang w:eastAsia="en-US"/>
        </w:rPr>
        <w:t xml:space="preserve">results of the effects of </w:t>
      </w:r>
      <w:r w:rsidR="00D36BF6">
        <w:rPr>
          <w:rFonts w:ascii="Times New Roman" w:eastAsia="Calibri" w:hAnsi="Times New Roman" w:cs="Times New Roman"/>
          <w:sz w:val="24"/>
          <w:szCs w:val="24"/>
          <w:lang w:eastAsia="en-US"/>
        </w:rPr>
        <w:t xml:space="preserve">the </w:t>
      </w:r>
      <w:r w:rsidRPr="00357722">
        <w:rPr>
          <w:rFonts w:ascii="Times New Roman" w:eastAsia="Calibri" w:hAnsi="Times New Roman" w:cs="Times New Roman"/>
          <w:sz w:val="24"/>
          <w:szCs w:val="24"/>
          <w:lang w:eastAsia="en-US"/>
        </w:rPr>
        <w:t>interaction between economic freedom and international equity portfolio diversification.</w:t>
      </w:r>
      <w:r w:rsidR="00874AD1" w:rsidRPr="00357722">
        <w:rPr>
          <w:rFonts w:ascii="Times New Roman" w:eastAsia="Calibri" w:hAnsi="Times New Roman" w:cs="Times New Roman"/>
          <w:sz w:val="24"/>
          <w:szCs w:val="24"/>
          <w:lang w:eastAsia="en-US"/>
        </w:rPr>
        <w:t xml:space="preserve"> In models 1 to 3, the coefficients of </w:t>
      </w:r>
      <w:r w:rsidR="00874AD1" w:rsidRPr="00357722">
        <w:rPr>
          <w:rFonts w:ascii="Times New Roman" w:eastAsia="Calibri" w:hAnsi="Times New Roman" w:cs="Times New Roman"/>
          <w:sz w:val="24"/>
          <w:szCs w:val="24"/>
          <w:lang w:eastAsia="en-US"/>
        </w:rPr>
        <w:lastRenderedPageBreak/>
        <w:t xml:space="preserve">interest are </w:t>
      </w:r>
      <w:r w:rsidR="00874AD1" w:rsidRPr="00357722">
        <w:rPr>
          <w:rFonts w:ascii="Times New Roman" w:eastAsia="Calibri" w:hAnsi="Times New Roman" w:cs="Times New Roman"/>
          <w:i/>
          <w:sz w:val="24"/>
          <w:szCs w:val="24"/>
          <w:lang w:eastAsia="en-US"/>
        </w:rPr>
        <w:t>IEPD</w:t>
      </w:r>
      <w:r w:rsidR="00874AD1" w:rsidRPr="00357722">
        <w:rPr>
          <w:rFonts w:ascii="Times New Roman" w:eastAsia="Calibri" w:hAnsi="Times New Roman" w:cs="Times New Roman"/>
          <w:sz w:val="24"/>
          <w:szCs w:val="24"/>
          <w:lang w:eastAsia="en-US"/>
        </w:rPr>
        <w:t xml:space="preserve">, </w:t>
      </w:r>
      <w:r w:rsidR="00874AD1" w:rsidRPr="00357722">
        <w:rPr>
          <w:rFonts w:ascii="Times New Roman" w:eastAsia="Calibri" w:hAnsi="Times New Roman" w:cs="Times New Roman"/>
          <w:i/>
          <w:sz w:val="24"/>
          <w:szCs w:val="24"/>
          <w:lang w:eastAsia="en-US"/>
        </w:rPr>
        <w:t>EF</w:t>
      </w:r>
      <w:r w:rsidR="00874AD1" w:rsidRPr="00357722">
        <w:rPr>
          <w:rFonts w:ascii="Times New Roman" w:eastAsia="Calibri" w:hAnsi="Times New Roman" w:cs="Times New Roman"/>
          <w:sz w:val="24"/>
          <w:szCs w:val="24"/>
          <w:lang w:eastAsia="en-US"/>
        </w:rPr>
        <w:t xml:space="preserve">, and interaction term </w:t>
      </w:r>
      <w:r w:rsidR="00874AD1" w:rsidRPr="00357722">
        <w:rPr>
          <w:rFonts w:ascii="Times New Roman" w:eastAsia="Calibri" w:hAnsi="Times New Roman" w:cs="Times New Roman"/>
          <w:i/>
          <w:sz w:val="24"/>
          <w:szCs w:val="24"/>
          <w:lang w:eastAsia="en-US"/>
        </w:rPr>
        <w:t>IEPD×EF</w:t>
      </w:r>
      <w:r w:rsidR="006A2982" w:rsidRPr="00357722">
        <w:rPr>
          <w:rFonts w:ascii="Times New Roman" w:eastAsia="Calibri" w:hAnsi="Times New Roman" w:cs="Times New Roman"/>
          <w:sz w:val="24"/>
          <w:szCs w:val="24"/>
          <w:lang w:eastAsia="en-US"/>
        </w:rPr>
        <w:t xml:space="preserve">. The coefficients on </w:t>
      </w:r>
      <w:r w:rsidR="007934DE" w:rsidRPr="00357722">
        <w:rPr>
          <w:rFonts w:ascii="Times New Roman" w:eastAsia="Calibri" w:hAnsi="Times New Roman" w:cs="Times New Roman"/>
          <w:i/>
          <w:sz w:val="24"/>
          <w:szCs w:val="24"/>
          <w:lang w:eastAsia="en-US"/>
        </w:rPr>
        <w:t>IEPD</w:t>
      </w:r>
      <w:r w:rsidR="007934DE" w:rsidRPr="00357722">
        <w:rPr>
          <w:rFonts w:ascii="Times New Roman" w:eastAsia="Calibri" w:hAnsi="Times New Roman" w:cs="Times New Roman"/>
          <w:sz w:val="24"/>
          <w:szCs w:val="24"/>
          <w:lang w:eastAsia="en-US"/>
        </w:rPr>
        <w:t xml:space="preserve"> and EF are positive and statistically significant at the 1% level and 5% level respectively. Further, in line with theoretical predictions, the coefficients on the interaction term </w:t>
      </w:r>
      <w:r w:rsidR="007934DE" w:rsidRPr="00357722">
        <w:rPr>
          <w:rFonts w:ascii="Times New Roman" w:eastAsia="Calibri" w:hAnsi="Times New Roman" w:cs="Times New Roman"/>
          <w:i/>
          <w:sz w:val="24"/>
          <w:szCs w:val="24"/>
          <w:lang w:eastAsia="en-US"/>
        </w:rPr>
        <w:t>IEPD×EF</w:t>
      </w:r>
      <w:r w:rsidR="007934DE" w:rsidRPr="00357722">
        <w:rPr>
          <w:rFonts w:ascii="Times New Roman" w:eastAsia="Calibri" w:hAnsi="Times New Roman" w:cs="Times New Roman"/>
          <w:sz w:val="24"/>
          <w:szCs w:val="24"/>
          <w:lang w:eastAsia="en-US"/>
        </w:rPr>
        <w:t xml:space="preserve"> are positive and statistically significant at the 1% level in models 1 and 2. </w:t>
      </w:r>
    </w:p>
    <w:p w14:paraId="799A7251" w14:textId="65E86A83" w:rsidR="00B91480" w:rsidRPr="003F43A7" w:rsidRDefault="00B91480" w:rsidP="00B91480">
      <w:pPr>
        <w:spacing w:after="0" w:line="480" w:lineRule="auto"/>
        <w:ind w:firstLine="720"/>
        <w:jc w:val="both"/>
        <w:rPr>
          <w:rFonts w:ascii="Times New Roman" w:eastAsia="Times New Roman" w:hAnsi="Times New Roman" w:cs="Times New Roman"/>
          <w:color w:val="000000" w:themeColor="text1"/>
          <w:sz w:val="24"/>
          <w:szCs w:val="24"/>
        </w:rPr>
      </w:pPr>
      <w:r w:rsidRPr="00B91480">
        <w:rPr>
          <w:rFonts w:ascii="Times New Roman" w:eastAsia="Times New Roman" w:hAnsi="Times New Roman" w:cs="Times New Roman"/>
          <w:iCs/>
          <w:color w:val="000000" w:themeColor="text1"/>
          <w:sz w:val="24"/>
          <w:szCs w:val="24"/>
        </w:rPr>
        <w:t xml:space="preserve">With regards to the economic significance of the results obtained in Table 6, we find that </w:t>
      </w:r>
      <w:r w:rsidR="00EB60C4">
        <w:rPr>
          <w:rFonts w:ascii="Times New Roman" w:eastAsia="Times New Roman" w:hAnsi="Times New Roman" w:cs="Times New Roman"/>
          <w:iCs/>
          <w:color w:val="000000" w:themeColor="text1"/>
          <w:sz w:val="24"/>
          <w:szCs w:val="24"/>
        </w:rPr>
        <w:t xml:space="preserve">a </w:t>
      </w:r>
      <w:r w:rsidRPr="00B91480">
        <w:rPr>
          <w:rFonts w:ascii="Times New Roman" w:eastAsia="Times New Roman" w:hAnsi="Times New Roman" w:cs="Times New Roman"/>
          <w:iCs/>
          <w:color w:val="000000" w:themeColor="text1"/>
          <w:sz w:val="24"/>
          <w:szCs w:val="24"/>
        </w:rPr>
        <w:t>1% increase in economic freedom is estimated to increase the various measures of financial development by 8.36% (1.058x7.9), 0.78% (0.099x7.9)</w:t>
      </w:r>
      <w:r w:rsidR="00EB60C4">
        <w:rPr>
          <w:rFonts w:ascii="Times New Roman" w:eastAsia="Times New Roman" w:hAnsi="Times New Roman" w:cs="Times New Roman"/>
          <w:iCs/>
          <w:color w:val="000000" w:themeColor="text1"/>
          <w:sz w:val="24"/>
          <w:szCs w:val="24"/>
        </w:rPr>
        <w:t>,</w:t>
      </w:r>
      <w:r w:rsidRPr="00B91480">
        <w:rPr>
          <w:rFonts w:ascii="Times New Roman" w:eastAsia="Times New Roman" w:hAnsi="Times New Roman" w:cs="Times New Roman"/>
          <w:iCs/>
          <w:color w:val="000000" w:themeColor="text1"/>
          <w:sz w:val="24"/>
          <w:szCs w:val="24"/>
        </w:rPr>
        <w:t xml:space="preserve"> and 0.88% (0.111x7.</w:t>
      </w:r>
      <w:r w:rsidR="007078C7">
        <w:rPr>
          <w:rFonts w:ascii="Times New Roman" w:eastAsia="Times New Roman" w:hAnsi="Times New Roman" w:cs="Times New Roman"/>
          <w:iCs/>
          <w:color w:val="000000" w:themeColor="text1"/>
          <w:sz w:val="24"/>
          <w:szCs w:val="24"/>
        </w:rPr>
        <w:t xml:space="preserve">9) for </w:t>
      </w:r>
      <w:r w:rsidRPr="007078C7">
        <w:rPr>
          <w:rFonts w:ascii="Times New Roman" w:eastAsia="Times New Roman" w:hAnsi="Times New Roman" w:cs="Times New Roman"/>
          <w:i/>
          <w:iCs/>
          <w:color w:val="000000" w:themeColor="text1"/>
          <w:sz w:val="24"/>
          <w:szCs w:val="24"/>
        </w:rPr>
        <w:t>MCGDP</w:t>
      </w:r>
      <w:r w:rsidRPr="00B91480">
        <w:rPr>
          <w:rFonts w:ascii="Times New Roman" w:eastAsia="Times New Roman" w:hAnsi="Times New Roman" w:cs="Times New Roman"/>
          <w:iCs/>
          <w:color w:val="000000" w:themeColor="text1"/>
          <w:sz w:val="24"/>
          <w:szCs w:val="24"/>
        </w:rPr>
        <w:t xml:space="preserve">, </w:t>
      </w:r>
      <w:r w:rsidRPr="007078C7">
        <w:rPr>
          <w:rFonts w:ascii="Times New Roman" w:eastAsia="Times New Roman" w:hAnsi="Times New Roman" w:cs="Times New Roman"/>
          <w:i/>
          <w:iCs/>
          <w:color w:val="000000" w:themeColor="text1"/>
          <w:sz w:val="24"/>
          <w:szCs w:val="24"/>
        </w:rPr>
        <w:t>PSCGDP</w:t>
      </w:r>
      <w:r w:rsidRPr="00B91480">
        <w:rPr>
          <w:rFonts w:ascii="Times New Roman" w:eastAsia="Times New Roman" w:hAnsi="Times New Roman" w:cs="Times New Roman"/>
          <w:iCs/>
          <w:color w:val="000000" w:themeColor="text1"/>
          <w:sz w:val="24"/>
          <w:szCs w:val="24"/>
        </w:rPr>
        <w:t xml:space="preserve"> and </w:t>
      </w:r>
      <w:r w:rsidRPr="007078C7">
        <w:rPr>
          <w:rFonts w:ascii="Times New Roman" w:eastAsia="Times New Roman" w:hAnsi="Times New Roman" w:cs="Times New Roman"/>
          <w:i/>
          <w:iCs/>
          <w:color w:val="000000" w:themeColor="text1"/>
          <w:sz w:val="24"/>
          <w:szCs w:val="24"/>
        </w:rPr>
        <w:t>DCPGDP</w:t>
      </w:r>
      <w:r w:rsidRPr="00B91480">
        <w:rPr>
          <w:rFonts w:ascii="Times New Roman" w:eastAsia="Times New Roman" w:hAnsi="Times New Roman" w:cs="Times New Roman"/>
          <w:iCs/>
          <w:color w:val="000000" w:themeColor="text1"/>
          <w:sz w:val="24"/>
          <w:szCs w:val="24"/>
        </w:rPr>
        <w:t xml:space="preserve"> respectively. Consequently, 1% increase of the interaction term (</w:t>
      </w:r>
      <w:proofErr w:type="spellStart"/>
      <w:r w:rsidRPr="00B91480">
        <w:rPr>
          <w:rFonts w:ascii="Times New Roman" w:eastAsia="Times New Roman" w:hAnsi="Times New Roman" w:cs="Times New Roman"/>
          <w:i/>
          <w:color w:val="000000" w:themeColor="text1"/>
          <w:sz w:val="24"/>
          <w:szCs w:val="24"/>
        </w:rPr>
        <w:t>IEPD</w:t>
      </w:r>
      <w:r w:rsidRPr="00B91480">
        <w:rPr>
          <w:rFonts w:ascii="Times New Roman" w:eastAsia="Times New Roman" w:hAnsi="Times New Roman" w:cs="Times New Roman"/>
          <w:iCs/>
          <w:color w:val="000000" w:themeColor="text1"/>
          <w:sz w:val="24"/>
          <w:szCs w:val="24"/>
        </w:rPr>
        <w:t>x</w:t>
      </w:r>
      <w:r w:rsidRPr="00B91480">
        <w:rPr>
          <w:rFonts w:ascii="Times New Roman" w:eastAsia="Times New Roman" w:hAnsi="Times New Roman" w:cs="Times New Roman"/>
          <w:i/>
          <w:color w:val="000000" w:themeColor="text1"/>
          <w:sz w:val="24"/>
          <w:szCs w:val="24"/>
        </w:rPr>
        <w:t>EF</w:t>
      </w:r>
      <w:proofErr w:type="spellEnd"/>
      <w:r w:rsidRPr="00B91480">
        <w:rPr>
          <w:rFonts w:ascii="Times New Roman" w:eastAsia="Times New Roman" w:hAnsi="Times New Roman" w:cs="Times New Roman"/>
          <w:iCs/>
          <w:color w:val="000000" w:themeColor="text1"/>
          <w:sz w:val="24"/>
          <w:szCs w:val="24"/>
        </w:rPr>
        <w:t>) improves a country’s financial development by 1.46% (0.185x7.9), 0.25% (0.032x7.9) and 0.28% (0.035x7.9) respectively, with the country’s market capitalisation per GDP profiting more than others. This implies that</w:t>
      </w:r>
      <w:r w:rsidR="00D36BF6">
        <w:rPr>
          <w:rFonts w:ascii="Times New Roman" w:eastAsia="Times New Roman" w:hAnsi="Times New Roman" w:cs="Times New Roman"/>
          <w:iCs/>
          <w:color w:val="000000" w:themeColor="text1"/>
          <w:sz w:val="24"/>
          <w:szCs w:val="24"/>
        </w:rPr>
        <w:t>,</w:t>
      </w:r>
      <w:r w:rsidRPr="00B91480">
        <w:rPr>
          <w:rFonts w:ascii="Times New Roman" w:eastAsia="Times New Roman" w:hAnsi="Times New Roman" w:cs="Times New Roman"/>
          <w:iCs/>
          <w:color w:val="000000" w:themeColor="text1"/>
          <w:sz w:val="24"/>
          <w:szCs w:val="24"/>
        </w:rPr>
        <w:t xml:space="preserve"> if foreign investors demand higher economic freedom would enhance a nation’s financial development.</w:t>
      </w:r>
    </w:p>
    <w:p w14:paraId="14564253" w14:textId="3FB40E6E" w:rsidR="00C36C57" w:rsidRPr="00357722" w:rsidRDefault="007934DE" w:rsidP="0016323E">
      <w:pPr>
        <w:spacing w:after="0" w:line="480" w:lineRule="auto"/>
        <w:ind w:firstLine="720"/>
        <w:jc w:val="both"/>
        <w:rPr>
          <w:rFonts w:ascii="Times New Roman" w:eastAsia="Times New Roman" w:hAnsi="Times New Roman" w:cs="Times New Roman"/>
          <w:color w:val="000000" w:themeColor="text1"/>
          <w:sz w:val="24"/>
          <w:szCs w:val="24"/>
        </w:rPr>
      </w:pPr>
      <w:r w:rsidRPr="00357722">
        <w:rPr>
          <w:rFonts w:ascii="Times New Roman" w:eastAsia="Calibri" w:hAnsi="Times New Roman" w:cs="Times New Roman"/>
          <w:sz w:val="24"/>
          <w:szCs w:val="24"/>
          <w:lang w:eastAsia="en-US"/>
        </w:rPr>
        <w:t xml:space="preserve">The results suggest that economic freedom increases the effects of international equity portfolio diversification on financial development.  This is consistent with </w:t>
      </w:r>
      <w:r w:rsidR="00B92270" w:rsidRPr="00357722">
        <w:rPr>
          <w:rFonts w:ascii="Times New Roman" w:eastAsia="Calibri" w:hAnsi="Times New Roman" w:cs="Times New Roman"/>
          <w:sz w:val="24"/>
          <w:szCs w:val="24"/>
          <w:lang w:eastAsia="en-US"/>
        </w:rPr>
        <w:t>existing studies that show that countries</w:t>
      </w:r>
      <w:r w:rsidR="00E30532">
        <w:rPr>
          <w:rFonts w:ascii="Times New Roman" w:eastAsia="Calibri" w:hAnsi="Times New Roman" w:cs="Times New Roman"/>
          <w:sz w:val="24"/>
          <w:szCs w:val="24"/>
          <w:lang w:eastAsia="en-US"/>
        </w:rPr>
        <w:t>'</w:t>
      </w:r>
      <w:r w:rsidR="00B92270" w:rsidRPr="00357722">
        <w:rPr>
          <w:rFonts w:ascii="Times New Roman" w:eastAsia="Calibri" w:hAnsi="Times New Roman" w:cs="Times New Roman"/>
          <w:sz w:val="24"/>
          <w:szCs w:val="24"/>
          <w:lang w:eastAsia="en-US"/>
        </w:rPr>
        <w:t xml:space="preserve"> institutions have a salient impact on finance and economic development (North, 1990). The results provide further support for finance literature that finds that legal institutions explain cross-country variations in financial development (see La Porta et al. 1997, 1998; </w:t>
      </w:r>
      <w:proofErr w:type="spellStart"/>
      <w:r w:rsidR="00B92270" w:rsidRPr="00357722">
        <w:rPr>
          <w:rFonts w:ascii="Times New Roman" w:eastAsia="Calibri" w:hAnsi="Times New Roman" w:cs="Times New Roman"/>
          <w:sz w:val="24"/>
          <w:szCs w:val="24"/>
          <w:lang w:eastAsia="en-US"/>
        </w:rPr>
        <w:t>Demirguc</w:t>
      </w:r>
      <w:proofErr w:type="spellEnd"/>
      <w:r w:rsidR="00B92270" w:rsidRPr="00357722">
        <w:rPr>
          <w:rFonts w:ascii="Times New Roman" w:eastAsia="Calibri" w:hAnsi="Times New Roman" w:cs="Times New Roman"/>
          <w:sz w:val="24"/>
          <w:szCs w:val="24"/>
          <w:lang w:eastAsia="en-US"/>
        </w:rPr>
        <w:t>-Kunt and Maksimovic, 1998, 1999).</w:t>
      </w:r>
      <w:r w:rsidR="003735C0" w:rsidRPr="00357722">
        <w:rPr>
          <w:rFonts w:ascii="Times New Roman" w:eastAsia="Calibri" w:hAnsi="Times New Roman" w:cs="Times New Roman"/>
          <w:sz w:val="24"/>
          <w:szCs w:val="24"/>
          <w:lang w:eastAsia="en-US"/>
        </w:rPr>
        <w:t xml:space="preserve"> This confirms the view that financial systems need to have </w:t>
      </w:r>
      <w:r w:rsidR="00E30532">
        <w:rPr>
          <w:rFonts w:ascii="Times New Roman" w:eastAsia="Calibri" w:hAnsi="Times New Roman" w:cs="Times New Roman"/>
          <w:sz w:val="24"/>
          <w:szCs w:val="24"/>
          <w:lang w:eastAsia="en-US"/>
        </w:rPr>
        <w:t xml:space="preserve">a </w:t>
      </w:r>
      <w:r w:rsidR="003735C0" w:rsidRPr="00357722">
        <w:rPr>
          <w:rFonts w:ascii="Times New Roman" w:eastAsia="Calibri" w:hAnsi="Times New Roman" w:cs="Times New Roman"/>
          <w:sz w:val="24"/>
          <w:szCs w:val="24"/>
          <w:lang w:eastAsia="en-US"/>
        </w:rPr>
        <w:t xml:space="preserve">robust legal and institutional infrastructure for development. </w:t>
      </w:r>
    </w:p>
    <w:p w14:paraId="141E967E" w14:textId="37EB2BF8" w:rsidR="00B373DF" w:rsidRPr="00357722" w:rsidRDefault="00F35CD0" w:rsidP="00F35CD0">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6 about here..............</w:t>
      </w:r>
    </w:p>
    <w:p w14:paraId="1625C801" w14:textId="44529E81" w:rsidR="00403064" w:rsidRPr="00357722" w:rsidRDefault="00403064" w:rsidP="005636E8">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4.4</w:t>
      </w:r>
      <w:r w:rsidR="0060532F"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r>
      <w:r w:rsidR="00476593" w:rsidRPr="00357722">
        <w:rPr>
          <w:rFonts w:ascii="Times New Roman" w:eastAsia="Times New Roman" w:hAnsi="Times New Roman" w:cs="Times New Roman"/>
          <w:i/>
          <w:iCs/>
          <w:color w:val="000000" w:themeColor="text1"/>
          <w:sz w:val="24"/>
          <w:szCs w:val="24"/>
        </w:rPr>
        <w:t>Robustness tests</w:t>
      </w:r>
    </w:p>
    <w:p w14:paraId="17AC780F" w14:textId="0E23F49E" w:rsidR="003A4285" w:rsidRPr="00357722" w:rsidRDefault="00B027A8" w:rsidP="0016323E">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We performed several robustness checks to ensure our results consistent with different specifications. </w:t>
      </w:r>
      <w:r w:rsidR="00EA2000" w:rsidRPr="00357722">
        <w:rPr>
          <w:rFonts w:ascii="Times New Roman" w:eastAsia="Times New Roman" w:hAnsi="Times New Roman" w:cs="Times New Roman"/>
          <w:iCs/>
          <w:color w:val="000000" w:themeColor="text1"/>
          <w:sz w:val="24"/>
          <w:szCs w:val="24"/>
        </w:rPr>
        <w:t xml:space="preserve">First, we performed </w:t>
      </w:r>
      <w:r w:rsidR="00E30532">
        <w:rPr>
          <w:rFonts w:ascii="Times New Roman" w:eastAsia="Times New Roman" w:hAnsi="Times New Roman" w:cs="Times New Roman"/>
          <w:iCs/>
          <w:color w:val="000000" w:themeColor="text1"/>
          <w:sz w:val="24"/>
          <w:szCs w:val="24"/>
        </w:rPr>
        <w:t xml:space="preserve">a </w:t>
      </w:r>
      <w:r w:rsidR="00EA2000" w:rsidRPr="00357722">
        <w:rPr>
          <w:rFonts w:ascii="Times New Roman" w:eastAsia="Times New Roman" w:hAnsi="Times New Roman" w:cs="Times New Roman"/>
          <w:iCs/>
          <w:color w:val="000000" w:themeColor="text1"/>
          <w:sz w:val="24"/>
          <w:szCs w:val="24"/>
        </w:rPr>
        <w:t xml:space="preserve">dynamic generalized method of moments </w:t>
      </w:r>
      <w:r w:rsidR="005C71B7" w:rsidRPr="00357722">
        <w:rPr>
          <w:rFonts w:ascii="Times New Roman" w:eastAsia="Times New Roman" w:hAnsi="Times New Roman" w:cs="Times New Roman"/>
          <w:iCs/>
          <w:color w:val="000000" w:themeColor="text1"/>
          <w:sz w:val="24"/>
          <w:szCs w:val="24"/>
        </w:rPr>
        <w:t xml:space="preserve">(GMM) </w:t>
      </w:r>
      <w:r w:rsidR="00EA2000" w:rsidRPr="00357722">
        <w:rPr>
          <w:rFonts w:ascii="Times New Roman" w:eastAsia="Times New Roman" w:hAnsi="Times New Roman" w:cs="Times New Roman"/>
          <w:iCs/>
          <w:color w:val="000000" w:themeColor="text1"/>
          <w:sz w:val="24"/>
          <w:szCs w:val="24"/>
        </w:rPr>
        <w:t xml:space="preserve">to address </w:t>
      </w:r>
      <w:r w:rsidR="00E30532">
        <w:rPr>
          <w:rFonts w:ascii="Times New Roman" w:eastAsia="Times New Roman" w:hAnsi="Times New Roman" w:cs="Times New Roman"/>
          <w:iCs/>
          <w:color w:val="000000" w:themeColor="text1"/>
          <w:sz w:val="24"/>
          <w:szCs w:val="24"/>
        </w:rPr>
        <w:t xml:space="preserve">the </w:t>
      </w:r>
      <w:r w:rsidR="00EA2000" w:rsidRPr="00357722">
        <w:rPr>
          <w:rFonts w:ascii="Times New Roman" w:eastAsia="Times New Roman" w:hAnsi="Times New Roman" w:cs="Times New Roman"/>
          <w:iCs/>
          <w:color w:val="000000" w:themeColor="text1"/>
          <w:sz w:val="24"/>
          <w:szCs w:val="24"/>
        </w:rPr>
        <w:t xml:space="preserve">concern of endogeneity. Second, we run the fixed effects model as </w:t>
      </w:r>
      <w:r w:rsidR="00E30532">
        <w:rPr>
          <w:rFonts w:ascii="Times New Roman" w:eastAsia="Times New Roman" w:hAnsi="Times New Roman" w:cs="Times New Roman"/>
          <w:iCs/>
          <w:color w:val="000000" w:themeColor="text1"/>
          <w:sz w:val="24"/>
          <w:szCs w:val="24"/>
        </w:rPr>
        <w:t xml:space="preserve">an </w:t>
      </w:r>
      <w:r w:rsidR="00EA2000" w:rsidRPr="00357722">
        <w:rPr>
          <w:rFonts w:ascii="Times New Roman" w:eastAsia="Times New Roman" w:hAnsi="Times New Roman" w:cs="Times New Roman"/>
          <w:iCs/>
          <w:color w:val="000000" w:themeColor="text1"/>
          <w:sz w:val="24"/>
          <w:szCs w:val="24"/>
        </w:rPr>
        <w:t xml:space="preserve">alternative specification. </w:t>
      </w:r>
      <w:r w:rsidR="000E372C" w:rsidRPr="00357722">
        <w:rPr>
          <w:rFonts w:ascii="Times New Roman" w:eastAsia="Times New Roman" w:hAnsi="Times New Roman" w:cs="Times New Roman"/>
          <w:iCs/>
          <w:color w:val="000000" w:themeColor="text1"/>
          <w:sz w:val="24"/>
          <w:szCs w:val="24"/>
        </w:rPr>
        <w:t xml:space="preserve">Third, we performed </w:t>
      </w:r>
      <w:r w:rsidR="00E30532">
        <w:rPr>
          <w:rFonts w:ascii="Times New Roman" w:eastAsia="Times New Roman" w:hAnsi="Times New Roman" w:cs="Times New Roman"/>
          <w:iCs/>
          <w:color w:val="000000" w:themeColor="text1"/>
          <w:sz w:val="24"/>
          <w:szCs w:val="24"/>
        </w:rPr>
        <w:t xml:space="preserve">a </w:t>
      </w:r>
      <w:r w:rsidR="000E372C" w:rsidRPr="00357722">
        <w:rPr>
          <w:rFonts w:ascii="Times New Roman" w:eastAsia="Times New Roman" w:hAnsi="Times New Roman" w:cs="Times New Roman"/>
          <w:iCs/>
          <w:color w:val="000000" w:themeColor="text1"/>
          <w:sz w:val="24"/>
          <w:szCs w:val="24"/>
        </w:rPr>
        <w:t xml:space="preserve">quasi-natural experiment using </w:t>
      </w:r>
      <w:r w:rsidR="00E30532">
        <w:rPr>
          <w:rFonts w:ascii="Times New Roman" w:eastAsia="Times New Roman" w:hAnsi="Times New Roman" w:cs="Times New Roman"/>
          <w:iCs/>
          <w:color w:val="000000" w:themeColor="text1"/>
          <w:sz w:val="24"/>
          <w:szCs w:val="24"/>
        </w:rPr>
        <w:t xml:space="preserve">a </w:t>
      </w:r>
      <w:r w:rsidR="000E372C" w:rsidRPr="00357722">
        <w:rPr>
          <w:rFonts w:ascii="Times New Roman" w:eastAsia="Times New Roman" w:hAnsi="Times New Roman" w:cs="Times New Roman"/>
          <w:iCs/>
          <w:color w:val="000000" w:themeColor="text1"/>
          <w:sz w:val="24"/>
          <w:szCs w:val="24"/>
        </w:rPr>
        <w:t xml:space="preserve">difference-in-differences approach. </w:t>
      </w:r>
      <w:r w:rsidR="00EA2000" w:rsidRPr="00357722">
        <w:rPr>
          <w:rFonts w:ascii="Times New Roman" w:eastAsia="Times New Roman" w:hAnsi="Times New Roman" w:cs="Times New Roman"/>
          <w:iCs/>
          <w:color w:val="000000" w:themeColor="text1"/>
          <w:sz w:val="24"/>
          <w:szCs w:val="24"/>
        </w:rPr>
        <w:t xml:space="preserve">Finally, </w:t>
      </w:r>
      <w:r w:rsidR="00D54F5E" w:rsidRPr="00357722">
        <w:rPr>
          <w:rFonts w:ascii="Times New Roman" w:eastAsia="Times New Roman" w:hAnsi="Times New Roman" w:cs="Times New Roman"/>
          <w:iCs/>
          <w:color w:val="000000" w:themeColor="text1"/>
          <w:sz w:val="24"/>
          <w:szCs w:val="24"/>
        </w:rPr>
        <w:lastRenderedPageBreak/>
        <w:t xml:space="preserve">examine whether the relationship between international equity portfolio diversification and financial market development is sensitive to international bond flow. </w:t>
      </w:r>
    </w:p>
    <w:p w14:paraId="629A0140" w14:textId="77777777" w:rsidR="00A0354A" w:rsidRPr="00357722" w:rsidRDefault="00A0354A" w:rsidP="0016323E">
      <w:pPr>
        <w:spacing w:after="0" w:line="480" w:lineRule="auto"/>
        <w:jc w:val="both"/>
        <w:rPr>
          <w:rFonts w:ascii="Times New Roman" w:eastAsia="Times New Roman" w:hAnsi="Times New Roman" w:cs="Times New Roman"/>
          <w:iCs/>
          <w:color w:val="000000" w:themeColor="text1"/>
          <w:sz w:val="24"/>
          <w:szCs w:val="24"/>
        </w:rPr>
      </w:pPr>
    </w:p>
    <w:p w14:paraId="50CE9265" w14:textId="00094378" w:rsidR="006E0BAC" w:rsidRPr="00357722" w:rsidRDefault="00DB0C3E" w:rsidP="005636E8">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4.4.</w:t>
      </w:r>
      <w:r w:rsidR="000E372C" w:rsidRPr="00357722">
        <w:rPr>
          <w:rFonts w:ascii="Times New Roman" w:eastAsia="Times New Roman" w:hAnsi="Times New Roman" w:cs="Times New Roman"/>
          <w:i/>
          <w:iCs/>
          <w:color w:val="000000" w:themeColor="text1"/>
          <w:sz w:val="24"/>
          <w:szCs w:val="24"/>
        </w:rPr>
        <w:t>1</w:t>
      </w:r>
      <w:r w:rsidR="006C37C3"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t xml:space="preserve">Dynamic </w:t>
      </w:r>
      <w:r w:rsidR="00E30532" w:rsidRPr="00357722">
        <w:rPr>
          <w:rFonts w:ascii="Times New Roman" w:eastAsia="Times New Roman" w:hAnsi="Times New Roman" w:cs="Times New Roman"/>
          <w:i/>
          <w:iCs/>
          <w:color w:val="000000" w:themeColor="text1"/>
          <w:sz w:val="24"/>
          <w:szCs w:val="24"/>
        </w:rPr>
        <w:t>generali</w:t>
      </w:r>
      <w:r w:rsidR="00E30532">
        <w:rPr>
          <w:rFonts w:ascii="Times New Roman" w:eastAsia="Times New Roman" w:hAnsi="Times New Roman" w:cs="Times New Roman"/>
          <w:i/>
          <w:iCs/>
          <w:color w:val="000000" w:themeColor="text1"/>
          <w:sz w:val="24"/>
          <w:szCs w:val="24"/>
        </w:rPr>
        <w:t>z</w:t>
      </w:r>
      <w:r w:rsidR="00E30532" w:rsidRPr="00357722">
        <w:rPr>
          <w:rFonts w:ascii="Times New Roman" w:eastAsia="Times New Roman" w:hAnsi="Times New Roman" w:cs="Times New Roman"/>
          <w:i/>
          <w:iCs/>
          <w:color w:val="000000" w:themeColor="text1"/>
          <w:sz w:val="24"/>
          <w:szCs w:val="24"/>
        </w:rPr>
        <w:t xml:space="preserve">ed </w:t>
      </w:r>
      <w:r w:rsidRPr="00357722">
        <w:rPr>
          <w:rFonts w:ascii="Times New Roman" w:eastAsia="Times New Roman" w:hAnsi="Times New Roman" w:cs="Times New Roman"/>
          <w:i/>
          <w:iCs/>
          <w:color w:val="000000" w:themeColor="text1"/>
          <w:sz w:val="24"/>
          <w:szCs w:val="24"/>
        </w:rPr>
        <w:t>method of moment</w:t>
      </w:r>
      <w:r w:rsidR="0060532F" w:rsidRPr="00357722">
        <w:rPr>
          <w:rFonts w:ascii="Times New Roman" w:eastAsia="Times New Roman" w:hAnsi="Times New Roman" w:cs="Times New Roman"/>
          <w:i/>
          <w:iCs/>
          <w:color w:val="000000" w:themeColor="text1"/>
          <w:sz w:val="24"/>
          <w:szCs w:val="24"/>
        </w:rPr>
        <w:t>s</w:t>
      </w:r>
      <w:r w:rsidR="005C1F84" w:rsidRPr="00357722">
        <w:rPr>
          <w:rFonts w:ascii="Times New Roman" w:eastAsia="Times New Roman" w:hAnsi="Times New Roman" w:cs="Times New Roman"/>
          <w:i/>
          <w:iCs/>
          <w:color w:val="000000" w:themeColor="text1"/>
          <w:sz w:val="24"/>
          <w:szCs w:val="24"/>
        </w:rPr>
        <w:t xml:space="preserve"> </w:t>
      </w:r>
      <w:r w:rsidR="00BC747E" w:rsidRPr="00357722">
        <w:rPr>
          <w:rFonts w:ascii="Times New Roman" w:eastAsia="Times New Roman" w:hAnsi="Times New Roman" w:cs="Times New Roman"/>
          <w:i/>
          <w:iCs/>
          <w:color w:val="000000" w:themeColor="text1"/>
          <w:sz w:val="24"/>
          <w:szCs w:val="24"/>
        </w:rPr>
        <w:t>estimation</w:t>
      </w:r>
    </w:p>
    <w:p w14:paraId="113B8129" w14:textId="204B04A0" w:rsidR="00556077" w:rsidRDefault="00073964" w:rsidP="00AC199D">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In this section</w:t>
      </w:r>
      <w:r w:rsidR="00E30532">
        <w:rPr>
          <w:rFonts w:ascii="Times New Roman" w:eastAsia="Times New Roman" w:hAnsi="Times New Roman" w:cs="Times New Roman"/>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we address endogeneity concern</w:t>
      </w:r>
      <w:r w:rsidR="00E30532">
        <w:rPr>
          <w:rFonts w:ascii="Times New Roman" w:eastAsia="Times New Roman" w:hAnsi="Times New Roman" w:cs="Times New Roman"/>
          <w:iCs/>
          <w:color w:val="000000" w:themeColor="text1"/>
          <w:sz w:val="24"/>
          <w:szCs w:val="24"/>
        </w:rPr>
        <w:t>s</w:t>
      </w:r>
      <w:r w:rsidRPr="00357722">
        <w:rPr>
          <w:rFonts w:ascii="Times New Roman" w:eastAsia="Times New Roman" w:hAnsi="Times New Roman" w:cs="Times New Roman"/>
          <w:iCs/>
          <w:color w:val="000000" w:themeColor="text1"/>
          <w:sz w:val="24"/>
          <w:szCs w:val="24"/>
        </w:rPr>
        <w:t xml:space="preserve"> arising from reverse causality. </w:t>
      </w:r>
      <w:r w:rsidR="00E30532">
        <w:rPr>
          <w:rFonts w:ascii="Times New Roman" w:eastAsia="Times New Roman" w:hAnsi="Times New Roman" w:cs="Times New Roman"/>
          <w:iCs/>
          <w:color w:val="000000" w:themeColor="text1"/>
          <w:sz w:val="24"/>
          <w:szCs w:val="24"/>
        </w:rPr>
        <w:t>Countries that have developed financial markets may</w:t>
      </w:r>
      <w:r w:rsidRPr="00357722">
        <w:rPr>
          <w:rFonts w:ascii="Times New Roman" w:eastAsia="Times New Roman" w:hAnsi="Times New Roman" w:cs="Times New Roman"/>
          <w:iCs/>
          <w:color w:val="000000" w:themeColor="text1"/>
          <w:sz w:val="24"/>
          <w:szCs w:val="24"/>
        </w:rPr>
        <w:t xml:space="preserve"> att</w:t>
      </w:r>
      <w:r w:rsidR="004F60A2" w:rsidRPr="00357722">
        <w:rPr>
          <w:rFonts w:ascii="Times New Roman" w:eastAsia="Times New Roman" w:hAnsi="Times New Roman" w:cs="Times New Roman"/>
          <w:iCs/>
          <w:color w:val="000000" w:themeColor="text1"/>
          <w:sz w:val="24"/>
          <w:szCs w:val="24"/>
        </w:rPr>
        <w:t>r</w:t>
      </w:r>
      <w:r w:rsidRPr="00357722">
        <w:rPr>
          <w:rFonts w:ascii="Times New Roman" w:eastAsia="Times New Roman" w:hAnsi="Times New Roman" w:cs="Times New Roman"/>
          <w:iCs/>
          <w:color w:val="000000" w:themeColor="text1"/>
          <w:sz w:val="24"/>
          <w:szCs w:val="24"/>
        </w:rPr>
        <w:t xml:space="preserve">act international investors and not the other way around. Another possibility is that domestic investors may support policies that enhance </w:t>
      </w:r>
      <w:r w:rsidR="00E30532">
        <w:rPr>
          <w:rFonts w:ascii="Times New Roman" w:eastAsia="Times New Roman" w:hAnsi="Times New Roman" w:cs="Times New Roman"/>
          <w:iCs/>
          <w:color w:val="000000" w:themeColor="text1"/>
          <w:sz w:val="24"/>
          <w:szCs w:val="24"/>
        </w:rPr>
        <w:t xml:space="preserve">the </w:t>
      </w:r>
      <w:r w:rsidRPr="00357722">
        <w:rPr>
          <w:rFonts w:ascii="Times New Roman" w:eastAsia="Times New Roman" w:hAnsi="Times New Roman" w:cs="Times New Roman"/>
          <w:iCs/>
          <w:color w:val="000000" w:themeColor="text1"/>
          <w:sz w:val="24"/>
          <w:szCs w:val="24"/>
        </w:rPr>
        <w:t>financial market development. However, existing finance studies provide both theoretical argument</w:t>
      </w:r>
      <w:r w:rsidR="00D36BF6">
        <w:rPr>
          <w:rFonts w:ascii="Times New Roman" w:eastAsia="Times New Roman" w:hAnsi="Times New Roman" w:cs="Times New Roman"/>
          <w:iCs/>
          <w:color w:val="000000" w:themeColor="text1"/>
          <w:sz w:val="24"/>
          <w:szCs w:val="24"/>
        </w:rPr>
        <w:t>s</w:t>
      </w:r>
      <w:r w:rsidRPr="00357722">
        <w:rPr>
          <w:rFonts w:ascii="Times New Roman" w:eastAsia="Times New Roman" w:hAnsi="Times New Roman" w:cs="Times New Roman"/>
          <w:iCs/>
          <w:color w:val="000000" w:themeColor="text1"/>
          <w:sz w:val="24"/>
          <w:szCs w:val="24"/>
        </w:rPr>
        <w:t xml:space="preserve"> and empirical evidence that foreign investors influence governance and institutional quality </w:t>
      </w:r>
      <w:r w:rsidR="00D22282" w:rsidRPr="00357722">
        <w:rPr>
          <w:rFonts w:ascii="Times New Roman" w:eastAsia="Times New Roman" w:hAnsi="Times New Roman" w:cs="Times New Roman"/>
          <w:iCs/>
          <w:color w:val="000000" w:themeColor="text1"/>
          <w:sz w:val="24"/>
          <w:szCs w:val="24"/>
        </w:rPr>
        <w:t xml:space="preserve">in the host country (see </w:t>
      </w:r>
      <w:r w:rsidR="006C37C3" w:rsidRPr="00357722">
        <w:rPr>
          <w:rFonts w:ascii="Times New Roman" w:eastAsia="Times New Roman" w:hAnsi="Times New Roman" w:cs="Times New Roman"/>
          <w:iCs/>
          <w:color w:val="000000" w:themeColor="text1"/>
          <w:sz w:val="24"/>
          <w:szCs w:val="24"/>
        </w:rPr>
        <w:t>Laeven, 2014; Chinn and Ito, 2006</w:t>
      </w:r>
      <w:r w:rsidR="00D22282" w:rsidRPr="00357722">
        <w:rPr>
          <w:rFonts w:ascii="Times New Roman" w:eastAsia="Times New Roman" w:hAnsi="Times New Roman" w:cs="Times New Roman"/>
          <w:iCs/>
          <w:color w:val="000000" w:themeColor="text1"/>
          <w:sz w:val="24"/>
          <w:szCs w:val="24"/>
        </w:rPr>
        <w:t xml:space="preserve">). </w:t>
      </w:r>
    </w:p>
    <w:p w14:paraId="392F0851" w14:textId="14F52F46" w:rsidR="00556077" w:rsidRPr="00556077" w:rsidRDefault="00556077" w:rsidP="00556077">
      <w:pPr>
        <w:spacing w:after="0" w:line="480" w:lineRule="auto"/>
        <w:ind w:firstLine="720"/>
        <w:jc w:val="both"/>
        <w:rPr>
          <w:rFonts w:ascii="Times New Roman" w:eastAsia="Times New Roman" w:hAnsi="Times New Roman" w:cs="Times New Roman"/>
          <w:iCs/>
          <w:color w:val="000000" w:themeColor="text1"/>
          <w:sz w:val="24"/>
          <w:szCs w:val="24"/>
        </w:rPr>
      </w:pPr>
      <w:r w:rsidRPr="00556077">
        <w:rPr>
          <w:rFonts w:ascii="Times New Roman" w:eastAsia="Times New Roman" w:hAnsi="Times New Roman" w:cs="Times New Roman"/>
          <w:iCs/>
          <w:color w:val="000000" w:themeColor="text1"/>
          <w:sz w:val="24"/>
          <w:szCs w:val="24"/>
        </w:rPr>
        <w:t>We perform a Durbin-Wu-Hansen test which suggest</w:t>
      </w:r>
      <w:r w:rsidR="00EB60C4">
        <w:rPr>
          <w:rFonts w:ascii="Times New Roman" w:eastAsia="Times New Roman" w:hAnsi="Times New Roman" w:cs="Times New Roman"/>
          <w:iCs/>
          <w:color w:val="000000" w:themeColor="text1"/>
          <w:sz w:val="24"/>
          <w:szCs w:val="24"/>
        </w:rPr>
        <w:t>s</w:t>
      </w:r>
      <w:r w:rsidRPr="00556077">
        <w:rPr>
          <w:rFonts w:ascii="Times New Roman" w:eastAsia="Times New Roman" w:hAnsi="Times New Roman" w:cs="Times New Roman"/>
          <w:iCs/>
          <w:color w:val="000000" w:themeColor="text1"/>
          <w:sz w:val="24"/>
          <w:szCs w:val="24"/>
        </w:rPr>
        <w:t xml:space="preserve"> that endogeneity is a major issue in most of the control variables used in our OLS model (see Equation 2). Thus, we employ the fixed effect model to control for unobserved heterogeneity, however, the fixed effect estimation is a static model and is said to produce biased and inconsistent results (</w:t>
      </w:r>
      <w:proofErr w:type="spellStart"/>
      <w:r w:rsidRPr="00556077">
        <w:rPr>
          <w:rFonts w:ascii="Times New Roman" w:eastAsia="Times New Roman" w:hAnsi="Times New Roman" w:cs="Times New Roman"/>
          <w:iCs/>
          <w:color w:val="000000" w:themeColor="text1"/>
          <w:sz w:val="24"/>
          <w:szCs w:val="24"/>
        </w:rPr>
        <w:t>Wooldrige</w:t>
      </w:r>
      <w:proofErr w:type="spellEnd"/>
      <w:r w:rsidRPr="00556077">
        <w:rPr>
          <w:rFonts w:ascii="Times New Roman" w:eastAsia="Times New Roman" w:hAnsi="Times New Roman" w:cs="Times New Roman"/>
          <w:iCs/>
          <w:color w:val="000000" w:themeColor="text1"/>
          <w:sz w:val="24"/>
          <w:szCs w:val="24"/>
        </w:rPr>
        <w:t>, 2015). Following Ullah et al (2018), we employ a two-step system GMM estimation to address endogeneity and to provide robustness to our baseline regression results. This is because GMM is a dynamic model</w:t>
      </w:r>
      <w:r w:rsidR="009F5BEA">
        <w:rPr>
          <w:rFonts w:ascii="Times New Roman" w:eastAsia="Times New Roman" w:hAnsi="Times New Roman" w:cs="Times New Roman"/>
          <w:iCs/>
          <w:color w:val="000000" w:themeColor="text1"/>
          <w:sz w:val="24"/>
          <w:szCs w:val="24"/>
        </w:rPr>
        <w:t xml:space="preserve"> which </w:t>
      </w:r>
      <w:r w:rsidRPr="00556077">
        <w:rPr>
          <w:rFonts w:ascii="Times New Roman" w:eastAsia="Times New Roman" w:hAnsi="Times New Roman" w:cs="Times New Roman"/>
          <w:iCs/>
          <w:color w:val="000000" w:themeColor="text1"/>
          <w:sz w:val="24"/>
          <w:szCs w:val="24"/>
        </w:rPr>
        <w:t xml:space="preserve">allows us to capture previous influences with </w:t>
      </w:r>
      <w:r w:rsidR="00EB60C4">
        <w:rPr>
          <w:rFonts w:ascii="Times New Roman" w:eastAsia="Times New Roman" w:hAnsi="Times New Roman" w:cs="Times New Roman"/>
          <w:iCs/>
          <w:color w:val="000000" w:themeColor="text1"/>
          <w:sz w:val="24"/>
          <w:szCs w:val="24"/>
        </w:rPr>
        <w:t xml:space="preserve">a </w:t>
      </w:r>
      <w:r w:rsidRPr="00556077">
        <w:rPr>
          <w:rFonts w:ascii="Times New Roman" w:eastAsia="Times New Roman" w:hAnsi="Times New Roman" w:cs="Times New Roman"/>
          <w:iCs/>
          <w:color w:val="000000" w:themeColor="text1"/>
          <w:sz w:val="24"/>
          <w:szCs w:val="24"/>
        </w:rPr>
        <w:t>lagged value of the dependent variable (</w:t>
      </w:r>
      <w:r w:rsidRPr="009F5BEA">
        <w:rPr>
          <w:rFonts w:ascii="Times New Roman" w:eastAsia="Times New Roman" w:hAnsi="Times New Roman" w:cs="Times New Roman"/>
          <w:i/>
          <w:iCs/>
          <w:color w:val="000000" w:themeColor="text1"/>
          <w:sz w:val="24"/>
          <w:szCs w:val="24"/>
        </w:rPr>
        <w:t>FD</w:t>
      </w:r>
      <w:r w:rsidRPr="00556077">
        <w:rPr>
          <w:rFonts w:ascii="Times New Roman" w:eastAsia="Times New Roman" w:hAnsi="Times New Roman" w:cs="Times New Roman"/>
          <w:iCs/>
          <w:color w:val="000000" w:themeColor="text1"/>
          <w:sz w:val="24"/>
          <w:szCs w:val="24"/>
        </w:rPr>
        <w:t>)</w:t>
      </w:r>
      <w:r w:rsidR="009F5BEA">
        <w:rPr>
          <w:rFonts w:ascii="Times New Roman" w:eastAsia="Times New Roman" w:hAnsi="Times New Roman" w:cs="Times New Roman"/>
          <w:iCs/>
          <w:color w:val="000000" w:themeColor="text1"/>
          <w:sz w:val="24"/>
          <w:szCs w:val="24"/>
        </w:rPr>
        <w:t>.</w:t>
      </w:r>
      <w:r w:rsidRPr="00556077">
        <w:rPr>
          <w:rFonts w:ascii="Times New Roman" w:eastAsia="Times New Roman" w:hAnsi="Times New Roman" w:cs="Times New Roman"/>
          <w:iCs/>
          <w:color w:val="000000" w:themeColor="text1"/>
          <w:sz w:val="24"/>
          <w:szCs w:val="24"/>
        </w:rPr>
        <w:t xml:space="preserve"> </w:t>
      </w:r>
      <w:bookmarkStart w:id="3" w:name="_Hlk70821576"/>
      <w:r w:rsidR="009F5BEA">
        <w:rPr>
          <w:rFonts w:ascii="Times New Roman" w:eastAsia="Times New Roman" w:hAnsi="Times New Roman" w:cs="Times New Roman"/>
          <w:iCs/>
          <w:color w:val="000000" w:themeColor="text1"/>
          <w:sz w:val="24"/>
          <w:szCs w:val="24"/>
        </w:rPr>
        <w:t xml:space="preserve">As in </w:t>
      </w:r>
      <w:r w:rsidRPr="00556077">
        <w:rPr>
          <w:rFonts w:ascii="Times New Roman" w:eastAsia="Times New Roman" w:hAnsi="Times New Roman" w:cs="Times New Roman"/>
          <w:iCs/>
          <w:color w:val="000000" w:themeColor="text1"/>
          <w:sz w:val="24"/>
          <w:szCs w:val="24"/>
        </w:rPr>
        <w:t>Wintoki et al</w:t>
      </w:r>
      <w:r w:rsidR="007607F8">
        <w:rPr>
          <w:rFonts w:ascii="Times New Roman" w:eastAsia="Times New Roman" w:hAnsi="Times New Roman" w:cs="Times New Roman"/>
          <w:iCs/>
          <w:color w:val="000000" w:themeColor="text1"/>
          <w:sz w:val="24"/>
          <w:szCs w:val="24"/>
        </w:rPr>
        <w:t>.</w:t>
      </w:r>
      <w:r w:rsidRPr="00556077">
        <w:rPr>
          <w:rFonts w:ascii="Times New Roman" w:eastAsia="Times New Roman" w:hAnsi="Times New Roman" w:cs="Times New Roman"/>
          <w:iCs/>
          <w:color w:val="000000" w:themeColor="text1"/>
          <w:sz w:val="24"/>
          <w:szCs w:val="24"/>
        </w:rPr>
        <w:t xml:space="preserve"> (2012)</w:t>
      </w:r>
      <w:r w:rsidR="009F5BEA">
        <w:rPr>
          <w:rFonts w:ascii="Times New Roman" w:eastAsia="Times New Roman" w:hAnsi="Times New Roman" w:cs="Times New Roman"/>
          <w:iCs/>
          <w:color w:val="000000" w:themeColor="text1"/>
          <w:sz w:val="24"/>
          <w:szCs w:val="24"/>
        </w:rPr>
        <w:t xml:space="preserve">, we employ lagged </w:t>
      </w:r>
      <w:r w:rsidR="009F5BEA" w:rsidRPr="009F5BEA">
        <w:rPr>
          <w:rFonts w:ascii="Times New Roman" w:eastAsia="Times New Roman" w:hAnsi="Times New Roman" w:cs="Times New Roman"/>
          <w:i/>
          <w:iCs/>
          <w:color w:val="000000" w:themeColor="text1"/>
          <w:sz w:val="24"/>
          <w:szCs w:val="24"/>
        </w:rPr>
        <w:t>FD</w:t>
      </w:r>
      <w:r w:rsidRPr="00556077">
        <w:rPr>
          <w:rFonts w:ascii="Times New Roman" w:eastAsia="Times New Roman" w:hAnsi="Times New Roman" w:cs="Times New Roman"/>
          <w:iCs/>
          <w:color w:val="000000" w:themeColor="text1"/>
          <w:sz w:val="24"/>
          <w:szCs w:val="24"/>
        </w:rPr>
        <w:t xml:space="preserve"> </w:t>
      </w:r>
      <w:r w:rsidR="009F5BEA">
        <w:rPr>
          <w:rFonts w:ascii="Times New Roman" w:eastAsia="Times New Roman" w:hAnsi="Times New Roman" w:cs="Times New Roman"/>
          <w:iCs/>
          <w:color w:val="000000" w:themeColor="text1"/>
          <w:sz w:val="24"/>
          <w:szCs w:val="24"/>
        </w:rPr>
        <w:t xml:space="preserve">as an instrument. </w:t>
      </w:r>
      <w:bookmarkEnd w:id="3"/>
      <w:r w:rsidR="00441F98" w:rsidRPr="00441F98">
        <w:rPr>
          <w:rFonts w:ascii="Times New Roman" w:eastAsia="Times New Roman" w:hAnsi="Times New Roman" w:cs="Times New Roman"/>
          <w:iCs/>
          <w:color w:val="000000" w:themeColor="text1"/>
          <w:sz w:val="24"/>
          <w:szCs w:val="24"/>
        </w:rPr>
        <w:t xml:space="preserve">Predetermined variables: </w:t>
      </w:r>
      <w:r w:rsidR="00441F98" w:rsidRPr="00441F98">
        <w:rPr>
          <w:rFonts w:ascii="Times New Roman" w:eastAsia="Times New Roman" w:hAnsi="Times New Roman" w:cs="Times New Roman"/>
          <w:i/>
          <w:iCs/>
          <w:color w:val="000000" w:themeColor="text1"/>
          <w:sz w:val="24"/>
          <w:szCs w:val="24"/>
        </w:rPr>
        <w:t>MCGDP</w:t>
      </w:r>
      <w:r w:rsidR="00441F98" w:rsidRPr="00441F98">
        <w:rPr>
          <w:rFonts w:ascii="Times New Roman" w:eastAsia="Times New Roman" w:hAnsi="Times New Roman" w:cs="Times New Roman"/>
          <w:iCs/>
          <w:color w:val="000000" w:themeColor="text1"/>
          <w:sz w:val="24"/>
          <w:szCs w:val="24"/>
        </w:rPr>
        <w:t xml:space="preserve">, </w:t>
      </w:r>
      <w:r w:rsidR="00441F98" w:rsidRPr="00441F98">
        <w:rPr>
          <w:rFonts w:ascii="Times New Roman" w:eastAsia="Times New Roman" w:hAnsi="Times New Roman" w:cs="Times New Roman"/>
          <w:i/>
          <w:iCs/>
          <w:color w:val="000000" w:themeColor="text1"/>
          <w:sz w:val="24"/>
          <w:szCs w:val="24"/>
        </w:rPr>
        <w:t>PSCGDP</w:t>
      </w:r>
      <w:r w:rsidR="00441F98" w:rsidRPr="00441F98">
        <w:rPr>
          <w:rFonts w:ascii="Times New Roman" w:eastAsia="Times New Roman" w:hAnsi="Times New Roman" w:cs="Times New Roman"/>
          <w:iCs/>
          <w:color w:val="000000" w:themeColor="text1"/>
          <w:sz w:val="24"/>
          <w:szCs w:val="24"/>
        </w:rPr>
        <w:t xml:space="preserve">, </w:t>
      </w:r>
      <w:r w:rsidR="00441F98">
        <w:rPr>
          <w:rFonts w:ascii="Times New Roman" w:eastAsia="Times New Roman" w:hAnsi="Times New Roman" w:cs="Times New Roman"/>
          <w:iCs/>
          <w:color w:val="000000" w:themeColor="text1"/>
          <w:sz w:val="24"/>
          <w:szCs w:val="24"/>
        </w:rPr>
        <w:t xml:space="preserve">and </w:t>
      </w:r>
      <w:r w:rsidR="00441F98" w:rsidRPr="00441F98">
        <w:rPr>
          <w:rFonts w:ascii="Times New Roman" w:eastAsia="Times New Roman" w:hAnsi="Times New Roman" w:cs="Times New Roman"/>
          <w:i/>
          <w:iCs/>
          <w:color w:val="000000" w:themeColor="text1"/>
          <w:sz w:val="24"/>
          <w:szCs w:val="24"/>
        </w:rPr>
        <w:t>DCPGDP</w:t>
      </w:r>
      <w:r w:rsidR="00441F98">
        <w:rPr>
          <w:rFonts w:ascii="Times New Roman" w:eastAsia="Times New Roman" w:hAnsi="Times New Roman" w:cs="Times New Roman"/>
          <w:iCs/>
          <w:color w:val="000000" w:themeColor="text1"/>
          <w:sz w:val="24"/>
          <w:szCs w:val="24"/>
        </w:rPr>
        <w:t xml:space="preserve">. Exogenous variables: </w:t>
      </w:r>
      <w:r w:rsidR="00441F98" w:rsidRPr="00441F98">
        <w:rPr>
          <w:rFonts w:ascii="Times New Roman" w:eastAsia="Times New Roman" w:hAnsi="Times New Roman" w:cs="Times New Roman"/>
          <w:i/>
          <w:iCs/>
          <w:color w:val="000000" w:themeColor="text1"/>
          <w:sz w:val="24"/>
          <w:szCs w:val="24"/>
        </w:rPr>
        <w:t>INFL</w:t>
      </w:r>
      <w:r w:rsidR="00441F98">
        <w:rPr>
          <w:rFonts w:ascii="Times New Roman" w:eastAsia="Times New Roman" w:hAnsi="Times New Roman" w:cs="Times New Roman"/>
          <w:iCs/>
          <w:color w:val="000000" w:themeColor="text1"/>
          <w:sz w:val="24"/>
          <w:szCs w:val="24"/>
        </w:rPr>
        <w:t xml:space="preserve">, </w:t>
      </w:r>
      <w:r w:rsidR="00441F98" w:rsidRPr="00441F98">
        <w:rPr>
          <w:rFonts w:ascii="Times New Roman" w:eastAsia="Times New Roman" w:hAnsi="Times New Roman" w:cs="Times New Roman"/>
          <w:i/>
          <w:iCs/>
          <w:color w:val="000000" w:themeColor="text1"/>
          <w:sz w:val="24"/>
          <w:szCs w:val="24"/>
        </w:rPr>
        <w:t>LAWNO</w:t>
      </w:r>
      <w:r w:rsidR="00441F98">
        <w:rPr>
          <w:rFonts w:ascii="Times New Roman" w:eastAsia="Times New Roman" w:hAnsi="Times New Roman" w:cs="Times New Roman"/>
          <w:iCs/>
          <w:color w:val="000000" w:themeColor="text1"/>
          <w:sz w:val="24"/>
          <w:szCs w:val="24"/>
        </w:rPr>
        <w:t xml:space="preserve">, </w:t>
      </w:r>
      <w:r w:rsidR="00441F98" w:rsidRPr="00441F98">
        <w:rPr>
          <w:rFonts w:ascii="Times New Roman" w:eastAsia="Times New Roman" w:hAnsi="Times New Roman" w:cs="Times New Roman"/>
          <w:i/>
          <w:iCs/>
          <w:color w:val="000000" w:themeColor="text1"/>
          <w:sz w:val="24"/>
          <w:szCs w:val="24"/>
        </w:rPr>
        <w:t>TRDOPEN</w:t>
      </w:r>
      <w:r w:rsidR="00441F98" w:rsidRPr="00441F98">
        <w:rPr>
          <w:rFonts w:ascii="Times New Roman" w:eastAsia="Times New Roman" w:hAnsi="Times New Roman" w:cs="Times New Roman"/>
          <w:iCs/>
          <w:color w:val="000000" w:themeColor="text1"/>
          <w:sz w:val="24"/>
          <w:szCs w:val="24"/>
        </w:rPr>
        <w:t xml:space="preserve">, </w:t>
      </w:r>
      <w:r w:rsidR="00441F98" w:rsidRPr="00441F98">
        <w:rPr>
          <w:rFonts w:ascii="Times New Roman" w:eastAsia="Times New Roman" w:hAnsi="Times New Roman" w:cs="Times New Roman"/>
          <w:i/>
          <w:iCs/>
          <w:color w:val="000000" w:themeColor="text1"/>
          <w:sz w:val="24"/>
          <w:szCs w:val="24"/>
        </w:rPr>
        <w:t>FSDGDP</w:t>
      </w:r>
      <w:r w:rsidR="00441F98" w:rsidRPr="00441F98">
        <w:rPr>
          <w:rFonts w:ascii="Times New Roman" w:eastAsia="Times New Roman" w:hAnsi="Times New Roman" w:cs="Times New Roman"/>
          <w:iCs/>
          <w:color w:val="000000" w:themeColor="text1"/>
          <w:sz w:val="24"/>
          <w:szCs w:val="24"/>
        </w:rPr>
        <w:t xml:space="preserve">, </w:t>
      </w:r>
      <w:r w:rsidR="00441F98" w:rsidRPr="00441F98">
        <w:rPr>
          <w:rFonts w:ascii="Times New Roman" w:eastAsia="Times New Roman" w:hAnsi="Times New Roman" w:cs="Times New Roman"/>
          <w:i/>
          <w:iCs/>
          <w:color w:val="000000" w:themeColor="text1"/>
          <w:sz w:val="24"/>
          <w:szCs w:val="24"/>
        </w:rPr>
        <w:t>LEGORI</w:t>
      </w:r>
      <w:r w:rsidR="00441F98">
        <w:rPr>
          <w:rFonts w:ascii="Times New Roman" w:eastAsia="Times New Roman" w:hAnsi="Times New Roman" w:cs="Times New Roman"/>
          <w:iCs/>
          <w:color w:val="000000" w:themeColor="text1"/>
          <w:sz w:val="24"/>
          <w:szCs w:val="24"/>
        </w:rPr>
        <w:t xml:space="preserve">, </w:t>
      </w:r>
      <w:r w:rsidR="00441F98" w:rsidRPr="00441F98">
        <w:rPr>
          <w:rFonts w:ascii="Times New Roman" w:eastAsia="Times New Roman" w:hAnsi="Times New Roman" w:cs="Times New Roman"/>
          <w:iCs/>
          <w:color w:val="000000" w:themeColor="text1"/>
          <w:sz w:val="24"/>
          <w:szCs w:val="24"/>
        </w:rPr>
        <w:t>and country and year dummies. Instruments employed: Endogenous variables are instrumented by lagged levels dated t-2 to t-3 (first-differences equation) and by lagged first first-differences (levels equation). The predetermined variables are instrumented by lagged levels dated t-1 to t-2 (first-differences equation) and by first-differences (levels equation).</w:t>
      </w:r>
      <w:r w:rsidR="00EB60C4">
        <w:rPr>
          <w:rFonts w:ascii="Times New Roman" w:eastAsia="Times New Roman" w:hAnsi="Times New Roman" w:cs="Times New Roman"/>
          <w:iCs/>
          <w:color w:val="000000" w:themeColor="text1"/>
          <w:sz w:val="24"/>
          <w:szCs w:val="24"/>
        </w:rPr>
        <w:t xml:space="preserve"> </w:t>
      </w:r>
      <w:r w:rsidRPr="00556077">
        <w:rPr>
          <w:rFonts w:ascii="Times New Roman" w:eastAsia="Times New Roman" w:hAnsi="Times New Roman" w:cs="Times New Roman"/>
          <w:iCs/>
          <w:color w:val="000000" w:themeColor="text1"/>
          <w:sz w:val="24"/>
          <w:szCs w:val="24"/>
        </w:rPr>
        <w:t>We</w:t>
      </w:r>
      <w:r w:rsidR="00EB60C4">
        <w:rPr>
          <w:rFonts w:ascii="Times New Roman" w:eastAsia="Times New Roman" w:hAnsi="Times New Roman" w:cs="Times New Roman"/>
          <w:iCs/>
          <w:color w:val="000000" w:themeColor="text1"/>
          <w:sz w:val="24"/>
          <w:szCs w:val="24"/>
        </w:rPr>
        <w:t>, therefore,</w:t>
      </w:r>
      <w:r w:rsidRPr="00556077">
        <w:rPr>
          <w:rFonts w:ascii="Times New Roman" w:eastAsia="Times New Roman" w:hAnsi="Times New Roman" w:cs="Times New Roman"/>
          <w:iCs/>
          <w:color w:val="000000" w:themeColor="text1"/>
          <w:sz w:val="24"/>
          <w:szCs w:val="24"/>
        </w:rPr>
        <w:t xml:space="preserve"> estimate the GMM results using equation (5).</w:t>
      </w:r>
    </w:p>
    <w:tbl>
      <w:tblPr>
        <w:tblpPr w:leftFromText="180" w:rightFromText="180" w:vertAnchor="text" w:tblpY="1"/>
        <w:tblOverlap w:val="never"/>
        <w:tblW w:w="5000" w:type="pct"/>
        <w:tblLook w:val="00A0" w:firstRow="1" w:lastRow="0" w:firstColumn="1" w:lastColumn="0" w:noHBand="0" w:noVBand="0"/>
      </w:tblPr>
      <w:tblGrid>
        <w:gridCol w:w="983"/>
        <w:gridCol w:w="7069"/>
        <w:gridCol w:w="1421"/>
      </w:tblGrid>
      <w:tr w:rsidR="00B667DA" w:rsidRPr="00357722" w14:paraId="6B741430" w14:textId="77777777" w:rsidTr="00465267">
        <w:tc>
          <w:tcPr>
            <w:tcW w:w="519" w:type="pct"/>
            <w:vAlign w:val="center"/>
          </w:tcPr>
          <w:p w14:paraId="3830F3E7" w14:textId="77777777" w:rsidR="00B667DA" w:rsidRPr="00357722" w:rsidRDefault="00B667DA" w:rsidP="00B667DA">
            <w:pPr>
              <w:spacing w:after="0" w:line="480" w:lineRule="auto"/>
              <w:jc w:val="center"/>
              <w:rPr>
                <w:rFonts w:ascii="Times New Roman" w:eastAsia="Calibri" w:hAnsi="Times New Roman" w:cs="Times New Roman"/>
                <w:i/>
                <w:sz w:val="24"/>
                <w:szCs w:val="24"/>
                <w:lang w:eastAsia="ko-KR"/>
              </w:rPr>
            </w:pPr>
          </w:p>
        </w:tc>
        <w:tc>
          <w:tcPr>
            <w:tcW w:w="3731" w:type="pct"/>
            <w:vAlign w:val="center"/>
          </w:tcPr>
          <w:p w14:paraId="4909B9F6" w14:textId="3C60C601" w:rsidR="00B667DA" w:rsidRPr="00357722" w:rsidRDefault="00000000" w:rsidP="00B667DA">
            <w:pPr>
              <w:spacing w:after="0" w:line="480" w:lineRule="auto"/>
              <w:jc w:val="both"/>
              <w:rPr>
                <w:rFonts w:ascii="Times New Roman" w:eastAsia="Calibri" w:hAnsi="Times New Roman" w:cs="Times New Roman"/>
                <w:sz w:val="24"/>
                <w:szCs w:val="24"/>
                <w:lang w:eastAsia="ko-KR"/>
              </w:rPr>
            </w:pPr>
            <m:oMathPara>
              <m:oMathParaPr>
                <m:jc m:val="center"/>
              </m:oMathParaPr>
              <m:oMath>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eastAsia="en-US"/>
                      </w:rPr>
                      <m:t>FD</m:t>
                    </m:r>
                  </m:e>
                  <m:sub>
                    <m:r>
                      <w:rPr>
                        <w:rFonts w:ascii="Cambria Math" w:eastAsia="Calibri" w:hAnsi="Cambria Math" w:cs="Times New Roman"/>
                        <w:sz w:val="24"/>
                        <w:szCs w:val="24"/>
                        <w:lang w:val="en-US" w:eastAsia="en-US"/>
                      </w:rPr>
                      <m:t>it</m:t>
                    </m:r>
                  </m:sub>
                </m:sSub>
                <m:r>
                  <w:rPr>
                    <w:rFonts w:ascii="Cambria Math" w:eastAsia="Calibri" w:hAnsi="Cambria Math" w:cs="Times New Roman"/>
                    <w:sz w:val="24"/>
                    <w:szCs w:val="24"/>
                    <w:lang w:val="en-US" w:eastAsia="en-US"/>
                  </w:rPr>
                  <m:t>=a+</m:t>
                </m:r>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β</m:t>
                    </m:r>
                  </m:e>
                  <m:sub>
                    <m:r>
                      <w:rPr>
                        <w:rFonts w:ascii="Cambria Math" w:eastAsia="Calibri" w:hAnsi="Cambria Math" w:cs="Times New Roman"/>
                        <w:sz w:val="24"/>
                        <w:szCs w:val="24"/>
                        <w:lang w:val="en-US" w:eastAsia="en-US"/>
                      </w:rPr>
                      <m:t>1</m:t>
                    </m:r>
                  </m:sub>
                </m:sSub>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.FD</m:t>
                    </m:r>
                  </m:e>
                  <m:sub>
                    <m:r>
                      <w:rPr>
                        <w:rFonts w:ascii="Cambria Math" w:eastAsia="Calibri" w:hAnsi="Cambria Math" w:cs="Times New Roman"/>
                        <w:sz w:val="24"/>
                        <w:szCs w:val="24"/>
                        <w:lang w:val="en-US" w:eastAsia="en-US"/>
                      </w:rPr>
                      <m:t>it-1</m:t>
                    </m:r>
                  </m:sub>
                </m:sSub>
                <m:r>
                  <w:rPr>
                    <w:rFonts w:ascii="Cambria Math" w:eastAsia="Calibri" w:hAnsi="Cambria Math" w:cs="Times New Roman"/>
                    <w:sz w:val="24"/>
                    <w:szCs w:val="24"/>
                    <w:lang w:val="en-US" w:eastAsia="en-US"/>
                  </w:rPr>
                  <m:t>+</m:t>
                </m:r>
                <m:sSub>
                  <m:sSubPr>
                    <m:ctrlPr>
                      <w:rPr>
                        <w:rFonts w:ascii="Cambria Math" w:eastAsia="Calibri" w:hAnsi="Cambria Math" w:cs="Times New Roman"/>
                        <w:i/>
                        <w:sz w:val="24"/>
                        <w:szCs w:val="24"/>
                        <w:lang w:val="en-US" w:eastAsia="en-US"/>
                      </w:rPr>
                    </m:ctrlPr>
                  </m:sSubPr>
                  <m:e>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β</m:t>
                        </m:r>
                      </m:e>
                      <m:sub>
                        <m:r>
                          <w:rPr>
                            <w:rFonts w:ascii="Cambria Math" w:eastAsia="Calibri" w:hAnsi="Cambria Math" w:cs="Times New Roman"/>
                            <w:sz w:val="24"/>
                            <w:szCs w:val="24"/>
                            <w:lang w:val="en-US" w:eastAsia="en-US"/>
                          </w:rPr>
                          <m:t>2</m:t>
                        </m:r>
                      </m:sub>
                    </m:sSub>
                    <m:r>
                      <w:rPr>
                        <w:rFonts w:ascii="Cambria Math" w:eastAsia="Calibri" w:hAnsi="Cambria Math" w:cs="Times New Roman"/>
                        <w:sz w:val="24"/>
                        <w:szCs w:val="24"/>
                        <w:lang w:val="en-US" w:eastAsia="en-US"/>
                      </w:rPr>
                      <m:t>.IEPD</m:t>
                    </m:r>
                  </m:e>
                  <m:sub>
                    <m:r>
                      <w:rPr>
                        <w:rFonts w:ascii="Cambria Math" w:eastAsia="Calibri" w:hAnsi="Cambria Math" w:cs="Times New Roman"/>
                        <w:sz w:val="24"/>
                        <w:szCs w:val="24"/>
                        <w:lang w:val="en-US" w:eastAsia="en-US"/>
                      </w:rPr>
                      <m:t>it</m:t>
                    </m:r>
                  </m:sub>
                </m:sSub>
                <m:r>
                  <w:rPr>
                    <w:rFonts w:ascii="Cambria Math" w:eastAsia="Calibri" w:hAnsi="Cambria Math" w:cs="Times New Roman"/>
                    <w:sz w:val="24"/>
                    <w:szCs w:val="24"/>
                    <w:lang w:val="en-US"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β</m:t>
                    </m:r>
                  </m:e>
                  <m:sub>
                    <m:r>
                      <w:rPr>
                        <w:rFonts w:ascii="Cambria Math" w:eastAsia="Calibri" w:hAnsi="Cambria Math" w:cs="Times New Roman"/>
                        <w:sz w:val="24"/>
                        <w:szCs w:val="24"/>
                        <w:lang w:eastAsia="en-US"/>
                      </w:rPr>
                      <m:t>3</m:t>
                    </m:r>
                  </m:sub>
                </m:sSub>
                <m:r>
                  <w:rPr>
                    <w:rFonts w:ascii="Cambria Math" w:eastAsia="Calibri" w:hAnsi="Cambria Math" w:cs="Times New Roman"/>
                    <w:sz w:val="24"/>
                    <w:szCs w:val="24"/>
                    <w:lang w:val="en-US" w:eastAsia="en-US"/>
                  </w:rPr>
                  <m:t>.γ</m:t>
                </m:r>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Z</m:t>
                    </m:r>
                  </m:e>
                  <m:sub>
                    <m:r>
                      <w:rPr>
                        <w:rFonts w:ascii="Cambria Math" w:eastAsia="Calibri" w:hAnsi="Cambria Math" w:cs="Times New Roman"/>
                        <w:sz w:val="24"/>
                        <w:szCs w:val="24"/>
                        <w:lang w:val="en-US" w:eastAsia="en-US"/>
                      </w:rPr>
                      <m:t>it</m:t>
                    </m:r>
                  </m:sub>
                </m:sSub>
                <m:r>
                  <w:rPr>
                    <w:rFonts w:ascii="Cambria Math" w:eastAsia="Calibri" w:hAnsi="Cambria Math" w:cs="Times New Roman"/>
                    <w:sz w:val="24"/>
                    <w:szCs w:val="24"/>
                    <w:lang w:val="en-US"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β</m:t>
                    </m:r>
                  </m:e>
                  <m:sub>
                    <m:r>
                      <w:rPr>
                        <w:rFonts w:ascii="Cambria Math" w:eastAsia="Calibri" w:hAnsi="Cambria Math" w:cs="Times New Roman"/>
                        <w:sz w:val="24"/>
                        <w:szCs w:val="24"/>
                        <w:lang w:eastAsia="en-US"/>
                      </w:rPr>
                      <m:t>4</m:t>
                    </m:r>
                  </m:sub>
                </m:sSub>
                <m:r>
                  <w:rPr>
                    <w:rFonts w:ascii="Cambria Math" w:eastAsia="Calibri" w:hAnsi="Cambria Math" w:cs="Times New Roman"/>
                    <w:sz w:val="24"/>
                    <w:szCs w:val="24"/>
                    <w:lang w:eastAsia="en-US"/>
                  </w:rPr>
                  <m:t>.Ct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ls</m:t>
                    </m:r>
                  </m:e>
                  <m:sub>
                    <m:r>
                      <w:rPr>
                        <w:rFonts w:ascii="Cambria Math" w:eastAsia="Calibri" w:hAnsi="Cambria Math" w:cs="Times New Roman"/>
                        <w:sz w:val="24"/>
                        <w:szCs w:val="24"/>
                        <w:lang w:eastAsia="en-US"/>
                      </w:rPr>
                      <m:t>it</m:t>
                    </m:r>
                  </m:sub>
                </m:sSub>
                <m:r>
                  <w:rPr>
                    <w:rFonts w:ascii="Cambria Math" w:eastAsia="Calibri" w:hAnsi="Cambria Math" w:cs="Times New Roman"/>
                    <w:sz w:val="24"/>
                    <w:szCs w:val="24"/>
                    <w:lang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β</m:t>
                    </m:r>
                  </m:e>
                  <m:sub>
                    <m:r>
                      <w:rPr>
                        <w:rFonts w:ascii="Cambria Math" w:eastAsia="Calibri" w:hAnsi="Cambria Math" w:cs="Times New Roman"/>
                        <w:sz w:val="24"/>
                        <w:szCs w:val="24"/>
                        <w:lang w:eastAsia="en-US"/>
                      </w:rPr>
                      <m:t>5</m:t>
                    </m:r>
                  </m:sub>
                </m:sSub>
                <m:r>
                  <w:rPr>
                    <w:rFonts w:ascii="Cambria Math" w:eastAsia="Calibri" w:hAnsi="Cambria Math" w:cs="Times New Roman"/>
                    <w:sz w:val="24"/>
                    <w:szCs w:val="24"/>
                    <w:lang w:eastAsia="en-US"/>
                  </w:rPr>
                  <m:t>.TF</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E</m:t>
                    </m:r>
                  </m:e>
                  <m:sub>
                    <m:r>
                      <w:rPr>
                        <w:rFonts w:ascii="Cambria Math" w:eastAsia="Calibri" w:hAnsi="Cambria Math" w:cs="Times New Roman"/>
                        <w:sz w:val="24"/>
                        <w:szCs w:val="24"/>
                        <w:lang w:eastAsia="en-US"/>
                      </w:rPr>
                      <m:t>t</m:t>
                    </m:r>
                  </m:sub>
                </m:sSub>
                <m:r>
                  <w:rPr>
                    <w:rFonts w:ascii="Cambria Math" w:eastAsia="Calibri" w:hAnsi="Cambria Math" w:cs="Times New Roman"/>
                    <w:sz w:val="24"/>
                    <w:szCs w:val="24"/>
                    <w:lang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β</m:t>
                    </m:r>
                  </m:e>
                  <m:sub>
                    <m:r>
                      <w:rPr>
                        <w:rFonts w:ascii="Cambria Math" w:eastAsia="Calibri" w:hAnsi="Cambria Math" w:cs="Times New Roman"/>
                        <w:sz w:val="24"/>
                        <w:szCs w:val="24"/>
                        <w:lang w:eastAsia="en-US"/>
                      </w:rPr>
                      <m:t>6</m:t>
                    </m:r>
                  </m:sub>
                </m:sSub>
                <m:r>
                  <w:rPr>
                    <w:rFonts w:ascii="Cambria Math" w:eastAsia="Calibri" w:hAnsi="Cambria Math" w:cs="Times New Roman"/>
                    <w:sz w:val="24"/>
                    <w:szCs w:val="24"/>
                    <w:lang w:eastAsia="en-US"/>
                  </w:rPr>
                  <m:t>.CF</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E</m:t>
                    </m:r>
                  </m:e>
                  <m:sub>
                    <m:r>
                      <w:rPr>
                        <w:rFonts w:ascii="Cambria Math" w:eastAsia="Calibri" w:hAnsi="Cambria Math" w:cs="Times New Roman"/>
                        <w:sz w:val="24"/>
                        <w:szCs w:val="24"/>
                        <w:lang w:eastAsia="en-US"/>
                      </w:rPr>
                      <m:t>i</m:t>
                    </m:r>
                  </m:sub>
                </m:sSub>
                <m:r>
                  <w:rPr>
                    <w:rFonts w:ascii="Cambria Math" w:eastAsia="Calibri" w:hAnsi="Cambria Math" w:cs="Times New Roman"/>
                    <w:sz w:val="24"/>
                    <w:szCs w:val="24"/>
                    <w:lang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ϵ</m:t>
                    </m:r>
                  </m:e>
                  <m:sub>
                    <m:r>
                      <w:rPr>
                        <w:rFonts w:ascii="Cambria Math" w:eastAsia="Calibri" w:hAnsi="Cambria Math" w:cs="Times New Roman"/>
                        <w:sz w:val="24"/>
                        <w:szCs w:val="24"/>
                        <w:lang w:eastAsia="en-US"/>
                      </w:rPr>
                      <m:t>it</m:t>
                    </m:r>
                  </m:sub>
                </m:sSub>
              </m:oMath>
            </m:oMathPara>
          </w:p>
        </w:tc>
        <w:tc>
          <w:tcPr>
            <w:tcW w:w="750" w:type="pct"/>
            <w:vAlign w:val="center"/>
          </w:tcPr>
          <w:p w14:paraId="152FF26E" w14:textId="77777777" w:rsidR="00B667DA" w:rsidRPr="00357722" w:rsidRDefault="00B667DA" w:rsidP="00B667DA">
            <w:pPr>
              <w:numPr>
                <w:ilvl w:val="0"/>
                <w:numId w:val="31"/>
              </w:numPr>
              <w:suppressAutoHyphens/>
              <w:autoSpaceDN w:val="0"/>
              <w:spacing w:after="0" w:line="480" w:lineRule="auto"/>
              <w:jc w:val="right"/>
              <w:textAlignment w:val="baseline"/>
              <w:rPr>
                <w:rFonts w:ascii="Times New Roman" w:eastAsia="Calibri" w:hAnsi="Times New Roman" w:cs="Times New Roman"/>
                <w:i/>
                <w:sz w:val="24"/>
                <w:szCs w:val="24"/>
                <w:lang w:eastAsia="ko-KR"/>
              </w:rPr>
            </w:pPr>
          </w:p>
        </w:tc>
      </w:tr>
    </w:tbl>
    <w:p w14:paraId="42E15A72" w14:textId="01C1652B" w:rsidR="00AC199D" w:rsidRPr="00357722" w:rsidRDefault="00B667DA" w:rsidP="00AC199D">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Where, </w:t>
      </w:r>
      <m:oMath>
        <m:sSub>
          <m:sSubPr>
            <m:ctrlPr>
              <w:rPr>
                <w:rFonts w:ascii="Cambria Math" w:eastAsia="Times New Roman" w:hAnsi="Cambria Math" w:cs="Times New Roman"/>
                <w:i/>
                <w:iCs/>
                <w:color w:val="000000" w:themeColor="text1"/>
                <w:sz w:val="24"/>
                <w:szCs w:val="24"/>
              </w:rPr>
            </m:ctrlPr>
          </m:sSubPr>
          <m:e>
            <m:r>
              <w:rPr>
                <w:rFonts w:ascii="Cambria Math" w:eastAsia="Times New Roman" w:hAnsi="Cambria Math" w:cs="Times New Roman"/>
                <w:color w:val="000000" w:themeColor="text1"/>
                <w:sz w:val="24"/>
                <w:szCs w:val="24"/>
              </w:rPr>
              <m:t>FD</m:t>
            </m:r>
          </m:e>
          <m:sub>
            <m:r>
              <w:rPr>
                <w:rFonts w:ascii="Cambria Math" w:eastAsia="Times New Roman"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the three financial development measures (</w:t>
      </w:r>
      <w:r w:rsidRPr="00357722">
        <w:rPr>
          <w:rFonts w:ascii="Times New Roman" w:eastAsia="Times New Roman" w:hAnsi="Times New Roman" w:cs="Times New Roman"/>
          <w:i/>
          <w:iCs/>
          <w:color w:val="000000" w:themeColor="text1"/>
          <w:sz w:val="24"/>
          <w:szCs w:val="24"/>
          <w:lang w:val="en-US"/>
        </w:rPr>
        <w:t>MCGDP</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
          <w:iCs/>
          <w:color w:val="000000" w:themeColor="text1"/>
          <w:sz w:val="24"/>
          <w:szCs w:val="24"/>
          <w:lang w:val="en-US"/>
        </w:rPr>
        <w:t>PSCGDP</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and</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
          <w:iCs/>
          <w:color w:val="000000" w:themeColor="text1"/>
          <w:sz w:val="24"/>
          <w:szCs w:val="24"/>
          <w:lang w:val="en-US"/>
        </w:rPr>
        <w:t>DCPGDP</w:t>
      </w:r>
      <w:r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for country </w:t>
      </w:r>
      <m:oMath>
        <m:r>
          <w:rPr>
            <w:rFonts w:ascii="Cambria Math" w:eastAsia="Times New Roman" w:hAnsi="Cambria Math" w:cs="Times New Roman"/>
            <w:color w:val="000000" w:themeColor="text1"/>
            <w:sz w:val="24"/>
            <w:szCs w:val="24"/>
          </w:rPr>
          <m:t>i</m:t>
        </m:r>
      </m:oMath>
      <w:r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iCs/>
          <w:color w:val="000000" w:themeColor="text1"/>
          <w:sz w:val="24"/>
          <w:szCs w:val="24"/>
        </w:rPr>
        <w:t>.</w:t>
      </w:r>
      <m:oMath>
        <m:r>
          <w:rPr>
            <w:rFonts w:ascii="Cambria Math" w:eastAsia="Calibri" w:hAnsi="Cambria Math" w:cs="Times New Roman"/>
            <w:sz w:val="24"/>
            <w:szCs w:val="24"/>
            <w:lang w:val="en-US" w:eastAsia="en-US"/>
          </w:rPr>
          <m:t xml:space="preserve"> </m:t>
        </m:r>
        <m:sSub>
          <m:sSubPr>
            <m:ctrlPr>
              <w:rPr>
                <w:rFonts w:ascii="Cambria Math" w:eastAsia="Times New Roman" w:hAnsi="Cambria Math" w:cs="Times New Roman"/>
                <w:i/>
                <w:iCs/>
                <w:color w:val="000000" w:themeColor="text1"/>
                <w:sz w:val="24"/>
                <w:szCs w:val="24"/>
                <w:lang w:val="en-US"/>
              </w:rPr>
            </m:ctrlPr>
          </m:sSubPr>
          <m:e>
            <m:r>
              <w:rPr>
                <w:rFonts w:ascii="Cambria Math" w:eastAsia="Times New Roman" w:hAnsi="Cambria Math" w:cs="Times New Roman"/>
                <w:color w:val="000000" w:themeColor="text1"/>
                <w:sz w:val="24"/>
                <w:szCs w:val="24"/>
                <w:lang w:val="en-US"/>
              </w:rPr>
              <m:t>FD</m:t>
            </m:r>
          </m:e>
          <m:sub>
            <m:r>
              <w:rPr>
                <w:rFonts w:ascii="Cambria Math" w:eastAsia="Times New Roman" w:hAnsi="Cambria Math" w:cs="Times New Roman"/>
                <w:color w:val="000000" w:themeColor="text1"/>
                <w:sz w:val="24"/>
                <w:szCs w:val="24"/>
                <w:lang w:val="en-US"/>
              </w:rPr>
              <m:t>it-1</m:t>
            </m:r>
          </m:sub>
        </m:sSub>
      </m:oMath>
      <w:r w:rsidRPr="00357722">
        <w:rPr>
          <w:rFonts w:ascii="Times New Roman" w:eastAsia="Times New Roman" w:hAnsi="Times New Roman" w:cs="Times New Roman"/>
          <w:iCs/>
          <w:color w:val="000000" w:themeColor="text1"/>
          <w:sz w:val="24"/>
          <w:szCs w:val="24"/>
        </w:rPr>
        <w:t xml:space="preserve"> represents lagged financial development measure</w:t>
      </w:r>
      <w:r w:rsidR="00D36BF6">
        <w:rPr>
          <w:rFonts w:ascii="Times New Roman" w:eastAsia="Times New Roman" w:hAnsi="Times New Roman" w:cs="Times New Roman"/>
          <w:iCs/>
          <w:color w:val="000000" w:themeColor="text1"/>
          <w:sz w:val="24"/>
          <w:szCs w:val="24"/>
        </w:rPr>
        <w:t>s</w:t>
      </w:r>
      <w:r w:rsidR="00E66D14" w:rsidRPr="00357722">
        <w:rPr>
          <w:rFonts w:ascii="Times New Roman" w:eastAsia="Times New Roman" w:hAnsi="Times New Roman" w:cs="Times New Roman"/>
          <w:iCs/>
          <w:color w:val="000000" w:themeColor="text1"/>
          <w:sz w:val="24"/>
          <w:szCs w:val="24"/>
        </w:rPr>
        <w:t xml:space="preserve"> as </w:t>
      </w:r>
      <w:r w:rsidR="00E30532">
        <w:rPr>
          <w:rFonts w:ascii="Times New Roman" w:eastAsia="Times New Roman" w:hAnsi="Times New Roman" w:cs="Times New Roman"/>
          <w:iCs/>
          <w:color w:val="000000" w:themeColor="text1"/>
          <w:sz w:val="24"/>
          <w:szCs w:val="24"/>
        </w:rPr>
        <w:t xml:space="preserve">an </w:t>
      </w:r>
      <w:r w:rsidR="00E66D14" w:rsidRPr="00357722">
        <w:rPr>
          <w:rFonts w:ascii="Times New Roman" w:eastAsia="Times New Roman" w:hAnsi="Times New Roman" w:cs="Times New Roman"/>
          <w:iCs/>
          <w:color w:val="000000" w:themeColor="text1"/>
          <w:sz w:val="24"/>
          <w:szCs w:val="24"/>
        </w:rPr>
        <w:t>instrument.</w:t>
      </w:r>
      <w:r w:rsidRPr="00357722">
        <w:rPr>
          <w:rFonts w:ascii="Times New Roman" w:eastAsia="Times New Roman" w:hAnsi="Times New Roman" w:cs="Times New Roman"/>
          <w:iCs/>
          <w:color w:val="000000" w:themeColor="text1"/>
          <w:sz w:val="24"/>
          <w:szCs w:val="24"/>
        </w:rPr>
        <w:t xml:space="preserve"> </w:t>
      </w:r>
      <m:oMath>
        <m:sSub>
          <m:sSubPr>
            <m:ctrlPr>
              <w:rPr>
                <w:rFonts w:ascii="Cambria Math" w:eastAsia="Times New Roman" w:hAnsi="Cambria Math" w:cs="Times New Roman"/>
                <w:i/>
                <w:iCs/>
                <w:color w:val="000000" w:themeColor="text1"/>
                <w:sz w:val="24"/>
                <w:szCs w:val="24"/>
              </w:rPr>
            </m:ctrlPr>
          </m:sSubPr>
          <m:e>
            <m:r>
              <w:rPr>
                <w:rFonts w:ascii="Cambria Math" w:eastAsia="Times New Roman" w:hAnsi="Cambria Math" w:cs="Times New Roman"/>
                <w:color w:val="000000" w:themeColor="text1"/>
                <w:sz w:val="24"/>
                <w:szCs w:val="24"/>
              </w:rPr>
              <m:t>IEPD</m:t>
            </m:r>
          </m:e>
          <m:sub>
            <m:r>
              <w:rPr>
                <w:rFonts w:ascii="Cambria Math" w:eastAsia="Times New Roman"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international equity portfolio diversification. </w:t>
      </w:r>
      <m:oMath>
        <m:r>
          <w:rPr>
            <w:rFonts w:ascii="Cambria Math" w:eastAsia="Times New Roman" w:hAnsi="Cambria Math" w:cs="Times New Roman"/>
            <w:color w:val="000000" w:themeColor="text1"/>
            <w:sz w:val="24"/>
            <w:szCs w:val="24"/>
            <w:lang w:val="en-US"/>
          </w:rPr>
          <m:t>γ</m:t>
        </m:r>
        <m:sSub>
          <m:sSubPr>
            <m:ctrlPr>
              <w:rPr>
                <w:rFonts w:ascii="Cambria Math" w:eastAsia="Times New Roman" w:hAnsi="Cambria Math" w:cs="Times New Roman"/>
                <w:i/>
                <w:iCs/>
                <w:color w:val="000000" w:themeColor="text1"/>
                <w:sz w:val="24"/>
                <w:szCs w:val="24"/>
                <w:lang w:val="en-US"/>
              </w:rPr>
            </m:ctrlPr>
          </m:sSubPr>
          <m:e>
            <m:r>
              <w:rPr>
                <w:rFonts w:ascii="Cambria Math" w:eastAsia="Times New Roman" w:hAnsi="Cambria Math" w:cs="Times New Roman"/>
                <w:color w:val="000000" w:themeColor="text1"/>
                <w:sz w:val="24"/>
                <w:szCs w:val="24"/>
                <w:lang w:val="en-US"/>
              </w:rPr>
              <m:t>Z</m:t>
            </m:r>
          </m:e>
          <m:sub>
            <m:r>
              <w:rPr>
                <w:rFonts w:ascii="Cambria Math" w:eastAsia="Times New Roman" w:hAnsi="Cambria Math" w:cs="Times New Roman"/>
                <w:color w:val="000000" w:themeColor="text1"/>
                <w:sz w:val="24"/>
                <w:szCs w:val="24"/>
                <w:lang w:val="en-US"/>
              </w:rPr>
              <m:t>it</m:t>
            </m:r>
          </m:sub>
        </m:sSub>
      </m:oMath>
      <w:r w:rsidRPr="00357722">
        <w:rPr>
          <w:rFonts w:ascii="Times New Roman" w:eastAsia="Times New Roman" w:hAnsi="Times New Roman" w:cs="Times New Roman"/>
          <w:iCs/>
          <w:color w:val="000000" w:themeColor="text1"/>
          <w:sz w:val="24"/>
          <w:szCs w:val="24"/>
        </w:rPr>
        <w:t xml:space="preserve"> represents </w:t>
      </w:r>
      <w:r w:rsidR="00E30532">
        <w:rPr>
          <w:rFonts w:ascii="Times New Roman" w:eastAsia="Times New Roman" w:hAnsi="Times New Roman" w:cs="Times New Roman"/>
          <w:iCs/>
          <w:color w:val="000000" w:themeColor="text1"/>
          <w:sz w:val="24"/>
          <w:szCs w:val="24"/>
        </w:rPr>
        <w:t xml:space="preserve">the </w:t>
      </w:r>
      <w:r w:rsidR="000C7053" w:rsidRPr="00357722">
        <w:rPr>
          <w:rFonts w:ascii="Times New Roman" w:eastAsia="Times New Roman" w:hAnsi="Times New Roman" w:cs="Times New Roman"/>
          <w:iCs/>
          <w:color w:val="000000" w:themeColor="text1"/>
          <w:sz w:val="24"/>
          <w:szCs w:val="24"/>
        </w:rPr>
        <w:t>interactive</w:t>
      </w:r>
      <w:r w:rsidR="002763DB" w:rsidRPr="00357722">
        <w:rPr>
          <w:rFonts w:ascii="Times New Roman" w:eastAsia="Times New Roman" w:hAnsi="Times New Roman" w:cs="Times New Roman"/>
          <w:iCs/>
          <w:color w:val="000000" w:themeColor="text1"/>
          <w:sz w:val="24"/>
          <w:szCs w:val="24"/>
        </w:rPr>
        <w:t xml:space="preserve"> term</w:t>
      </w:r>
      <w:r w:rsidRPr="00357722">
        <w:rPr>
          <w:rFonts w:ascii="Times New Roman" w:eastAsia="Times New Roman" w:hAnsi="Times New Roman" w:cs="Times New Roman"/>
          <w:iCs/>
          <w:color w:val="000000" w:themeColor="text1"/>
          <w:sz w:val="24"/>
          <w:szCs w:val="24"/>
        </w:rPr>
        <w:t xml:space="preserve">. </w:t>
      </w:r>
      <m:oMath>
        <m:r>
          <w:rPr>
            <w:rFonts w:ascii="Cambria Math" w:eastAsia="Times New Roman" w:hAnsi="Cambria Math" w:cs="Times New Roman"/>
            <w:color w:val="000000" w:themeColor="text1"/>
            <w:sz w:val="24"/>
            <w:szCs w:val="24"/>
          </w:rPr>
          <m:t>Ct</m:t>
        </m:r>
        <m:sSub>
          <m:sSubPr>
            <m:ctrlPr>
              <w:rPr>
                <w:rFonts w:ascii="Cambria Math" w:eastAsia="Times New Roman" w:hAnsi="Cambria Math" w:cs="Times New Roman"/>
                <w:i/>
                <w:iCs/>
                <w:color w:val="000000" w:themeColor="text1"/>
                <w:sz w:val="24"/>
                <w:szCs w:val="24"/>
              </w:rPr>
            </m:ctrlPr>
          </m:sSubPr>
          <m:e>
            <m:r>
              <w:rPr>
                <w:rFonts w:ascii="Cambria Math" w:eastAsia="Times New Roman" w:hAnsi="Cambria Math" w:cs="Times New Roman"/>
                <w:color w:val="000000" w:themeColor="text1"/>
                <w:sz w:val="24"/>
                <w:szCs w:val="24"/>
              </w:rPr>
              <m:t>ls</m:t>
            </m:r>
          </m:e>
          <m:sub>
            <m:r>
              <w:rPr>
                <w:rFonts w:ascii="Cambria Math" w:eastAsia="Times New Roman"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a vector of the control variables of country </w:t>
      </w:r>
      <m:oMath>
        <m:r>
          <w:rPr>
            <w:rFonts w:ascii="Cambria Math" w:eastAsia="Times New Roman" w:hAnsi="Cambria Math" w:cs="Times New Roman"/>
            <w:color w:val="000000" w:themeColor="text1"/>
            <w:sz w:val="24"/>
            <w:szCs w:val="24"/>
          </w:rPr>
          <m:t>i</m:t>
        </m:r>
      </m:oMath>
      <w:r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
          <w:iCs/>
          <w:color w:val="000000" w:themeColor="text1"/>
          <w:sz w:val="24"/>
          <w:szCs w:val="24"/>
        </w:rPr>
        <w:t>TFE</w:t>
      </w:r>
      <w:r w:rsidRPr="00357722">
        <w:rPr>
          <w:rFonts w:ascii="Times New Roman" w:eastAsia="Times New Roman" w:hAnsi="Times New Roman" w:cs="Times New Roman"/>
          <w:iCs/>
          <w:color w:val="000000" w:themeColor="text1"/>
          <w:sz w:val="24"/>
          <w:szCs w:val="24"/>
        </w:rPr>
        <w:t xml:space="preserve"> represents time effects. </w:t>
      </w:r>
      <w:r w:rsidRPr="00357722">
        <w:rPr>
          <w:rFonts w:ascii="Times New Roman" w:eastAsia="Times New Roman" w:hAnsi="Times New Roman" w:cs="Times New Roman"/>
          <w:i/>
          <w:iCs/>
          <w:color w:val="000000" w:themeColor="text1"/>
          <w:sz w:val="24"/>
          <w:szCs w:val="24"/>
        </w:rPr>
        <w:t>CFE</w:t>
      </w:r>
      <w:r w:rsidRPr="00357722">
        <w:rPr>
          <w:rFonts w:ascii="Times New Roman" w:eastAsia="Times New Roman" w:hAnsi="Times New Roman" w:cs="Times New Roman"/>
          <w:iCs/>
          <w:color w:val="000000" w:themeColor="text1"/>
          <w:sz w:val="24"/>
          <w:szCs w:val="24"/>
        </w:rPr>
        <w:t xml:space="preserve"> re</w:t>
      </w:r>
      <w:r w:rsidR="00AC199D" w:rsidRPr="00357722">
        <w:rPr>
          <w:rFonts w:ascii="Times New Roman" w:eastAsia="Times New Roman" w:hAnsi="Times New Roman" w:cs="Times New Roman"/>
          <w:iCs/>
          <w:color w:val="000000" w:themeColor="text1"/>
          <w:sz w:val="24"/>
          <w:szCs w:val="24"/>
        </w:rPr>
        <w:t>present</w:t>
      </w:r>
      <w:r w:rsidR="00E30532">
        <w:rPr>
          <w:rFonts w:ascii="Times New Roman" w:eastAsia="Times New Roman" w:hAnsi="Times New Roman" w:cs="Times New Roman"/>
          <w:iCs/>
          <w:color w:val="000000" w:themeColor="text1"/>
          <w:sz w:val="24"/>
          <w:szCs w:val="24"/>
        </w:rPr>
        <w:t>s</w:t>
      </w:r>
      <w:r w:rsidR="00AC199D" w:rsidRPr="00357722">
        <w:rPr>
          <w:rFonts w:ascii="Times New Roman" w:eastAsia="Times New Roman" w:hAnsi="Times New Roman" w:cs="Times New Roman"/>
          <w:iCs/>
          <w:color w:val="000000" w:themeColor="text1"/>
          <w:sz w:val="24"/>
          <w:szCs w:val="24"/>
        </w:rPr>
        <w:t xml:space="preserve"> </w:t>
      </w:r>
      <w:r w:rsidR="00D36BF6" w:rsidRPr="00357722">
        <w:rPr>
          <w:rFonts w:ascii="Times New Roman" w:eastAsia="Times New Roman" w:hAnsi="Times New Roman" w:cs="Times New Roman"/>
          <w:iCs/>
          <w:color w:val="000000" w:themeColor="text1"/>
          <w:sz w:val="24"/>
          <w:szCs w:val="24"/>
        </w:rPr>
        <w:t>country</w:t>
      </w:r>
      <w:r w:rsidR="00D36BF6">
        <w:rPr>
          <w:rFonts w:ascii="Times New Roman" w:eastAsia="Times New Roman" w:hAnsi="Times New Roman" w:cs="Times New Roman"/>
          <w:iCs/>
          <w:color w:val="000000" w:themeColor="text1"/>
          <w:sz w:val="24"/>
          <w:szCs w:val="24"/>
        </w:rPr>
        <w:t>-</w:t>
      </w:r>
      <w:r w:rsidR="00AC199D" w:rsidRPr="00357722">
        <w:rPr>
          <w:rFonts w:ascii="Times New Roman" w:eastAsia="Times New Roman" w:hAnsi="Times New Roman" w:cs="Times New Roman"/>
          <w:iCs/>
          <w:color w:val="000000" w:themeColor="text1"/>
          <w:sz w:val="24"/>
          <w:szCs w:val="24"/>
        </w:rPr>
        <w:t>fixed effects.</w:t>
      </w:r>
      <w:r w:rsidR="009F5BEA">
        <w:rPr>
          <w:rFonts w:ascii="Times New Roman" w:eastAsia="Times New Roman" w:hAnsi="Times New Roman" w:cs="Times New Roman"/>
          <w:iCs/>
          <w:color w:val="000000" w:themeColor="text1"/>
          <w:sz w:val="24"/>
          <w:szCs w:val="24"/>
        </w:rPr>
        <w:t xml:space="preserve"> </w:t>
      </w:r>
      <w:r w:rsidR="009F5BEA" w:rsidRPr="009F5BEA">
        <w:rPr>
          <w:rFonts w:ascii="Times New Roman" w:eastAsia="Times New Roman" w:hAnsi="Times New Roman" w:cs="Times New Roman"/>
          <w:iCs/>
          <w:color w:val="000000" w:themeColor="text1"/>
          <w:sz w:val="24"/>
          <w:szCs w:val="24"/>
        </w:rPr>
        <w:t xml:space="preserve">Following Wintoki et al. (2012), we use the Hansen J test to estimate whether the GMM model employed is valid or not. The Hansen test results of overidentification are null, and these confirm that all the instruments used in the GMM model </w:t>
      </w:r>
      <w:r w:rsidR="00EB60C4">
        <w:rPr>
          <w:rFonts w:ascii="Times New Roman" w:eastAsia="Times New Roman" w:hAnsi="Times New Roman" w:cs="Times New Roman"/>
          <w:iCs/>
          <w:color w:val="000000" w:themeColor="text1"/>
          <w:sz w:val="24"/>
          <w:szCs w:val="24"/>
        </w:rPr>
        <w:t>are</w:t>
      </w:r>
      <w:r w:rsidR="009F5BEA" w:rsidRPr="009F5BEA">
        <w:rPr>
          <w:rFonts w:ascii="Times New Roman" w:eastAsia="Times New Roman" w:hAnsi="Times New Roman" w:cs="Times New Roman"/>
          <w:iCs/>
          <w:color w:val="000000" w:themeColor="text1"/>
          <w:sz w:val="24"/>
          <w:szCs w:val="24"/>
        </w:rPr>
        <w:t xml:space="preserve"> valid.</w:t>
      </w:r>
    </w:p>
    <w:p w14:paraId="0FB3998B" w14:textId="6517251F" w:rsidR="007A32B2" w:rsidRPr="00357722" w:rsidRDefault="007652B8" w:rsidP="007A32B2">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Table 7 presents the results of the GMM estimation technique.</w:t>
      </w:r>
      <w:r w:rsidR="00CB31CF" w:rsidRPr="00357722">
        <w:rPr>
          <w:rFonts w:ascii="Times New Roman" w:eastAsia="Times New Roman" w:hAnsi="Times New Roman" w:cs="Times New Roman"/>
          <w:iCs/>
          <w:color w:val="000000" w:themeColor="text1"/>
          <w:sz w:val="24"/>
          <w:szCs w:val="24"/>
        </w:rPr>
        <w:t xml:space="preserve"> The coefficients on </w:t>
      </w:r>
      <w:r w:rsidR="00CB31CF" w:rsidRPr="00357722">
        <w:rPr>
          <w:rFonts w:ascii="Times New Roman" w:eastAsia="Times New Roman" w:hAnsi="Times New Roman" w:cs="Times New Roman"/>
          <w:i/>
          <w:iCs/>
          <w:color w:val="000000" w:themeColor="text1"/>
          <w:sz w:val="24"/>
          <w:szCs w:val="24"/>
        </w:rPr>
        <w:t>IEPD</w:t>
      </w:r>
      <w:r w:rsidR="00CB31CF" w:rsidRPr="00357722">
        <w:rPr>
          <w:rFonts w:ascii="Times New Roman" w:eastAsia="Times New Roman" w:hAnsi="Times New Roman" w:cs="Times New Roman"/>
          <w:iCs/>
          <w:color w:val="000000" w:themeColor="text1"/>
          <w:sz w:val="24"/>
          <w:szCs w:val="24"/>
        </w:rPr>
        <w:t xml:space="preserve"> in</w:t>
      </w:r>
      <w:r w:rsidR="00610E38" w:rsidRPr="00357722">
        <w:rPr>
          <w:rFonts w:ascii="Times New Roman" w:eastAsia="Times New Roman" w:hAnsi="Times New Roman" w:cs="Times New Roman"/>
          <w:iCs/>
          <w:color w:val="000000" w:themeColor="text1"/>
          <w:sz w:val="24"/>
          <w:szCs w:val="24"/>
        </w:rPr>
        <w:t xml:space="preserve"> m</w:t>
      </w:r>
      <w:r w:rsidRPr="00357722">
        <w:rPr>
          <w:rFonts w:ascii="Times New Roman" w:eastAsia="Times New Roman" w:hAnsi="Times New Roman" w:cs="Times New Roman"/>
          <w:iCs/>
          <w:color w:val="000000" w:themeColor="text1"/>
          <w:sz w:val="24"/>
          <w:szCs w:val="24"/>
        </w:rPr>
        <w:t xml:space="preserve">odels 1 to 3 </w:t>
      </w:r>
      <w:r w:rsidR="00CB31CF" w:rsidRPr="00357722">
        <w:rPr>
          <w:rFonts w:ascii="Times New Roman" w:eastAsia="Times New Roman" w:hAnsi="Times New Roman" w:cs="Times New Roman"/>
          <w:iCs/>
          <w:color w:val="000000" w:themeColor="text1"/>
          <w:sz w:val="24"/>
          <w:szCs w:val="24"/>
        </w:rPr>
        <w:t xml:space="preserve">are positive and statistically significant at the 1% level. Further, in Models 4 to 6, the variable of interest is the interaction between international equity portfolio diversification and economic freedom. The coefficient on the interaction term </w:t>
      </w:r>
      <w:r w:rsidR="00CB31CF" w:rsidRPr="00357722">
        <w:rPr>
          <w:rFonts w:ascii="Times New Roman" w:eastAsia="Times New Roman" w:hAnsi="Times New Roman" w:cs="Times New Roman"/>
          <w:i/>
          <w:iCs/>
          <w:color w:val="000000" w:themeColor="text1"/>
          <w:sz w:val="24"/>
          <w:szCs w:val="24"/>
        </w:rPr>
        <w:t>IEPD×EF</w:t>
      </w:r>
      <w:r w:rsidR="00CB31CF" w:rsidRPr="00357722">
        <w:rPr>
          <w:rFonts w:ascii="Times New Roman" w:eastAsia="Times New Roman" w:hAnsi="Times New Roman" w:cs="Times New Roman"/>
          <w:iCs/>
          <w:color w:val="000000" w:themeColor="text1"/>
          <w:sz w:val="24"/>
          <w:szCs w:val="24"/>
        </w:rPr>
        <w:t xml:space="preserve"> is positive and statistically significant at the 1% level.</w:t>
      </w:r>
    </w:p>
    <w:p w14:paraId="0547C7BF" w14:textId="487B4C5B" w:rsidR="00CB31CF" w:rsidRPr="00357722" w:rsidRDefault="00CB31CF" w:rsidP="007A32B2">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Fu</w:t>
      </w:r>
      <w:r w:rsidR="004F60A2" w:rsidRPr="00357722">
        <w:rPr>
          <w:rFonts w:ascii="Times New Roman" w:eastAsia="Times New Roman" w:hAnsi="Times New Roman" w:cs="Times New Roman"/>
          <w:iCs/>
          <w:color w:val="000000" w:themeColor="text1"/>
          <w:sz w:val="24"/>
          <w:szCs w:val="24"/>
        </w:rPr>
        <w:t>r</w:t>
      </w:r>
      <w:r w:rsidRPr="00357722">
        <w:rPr>
          <w:rFonts w:ascii="Times New Roman" w:eastAsia="Times New Roman" w:hAnsi="Times New Roman" w:cs="Times New Roman"/>
          <w:iCs/>
          <w:color w:val="000000" w:themeColor="text1"/>
          <w:sz w:val="24"/>
          <w:szCs w:val="24"/>
        </w:rPr>
        <w:t>ther, in models</w:t>
      </w:r>
      <w:r w:rsidR="00AF06D4" w:rsidRPr="00357722">
        <w:rPr>
          <w:rFonts w:ascii="Times New Roman" w:eastAsia="Times New Roman" w:hAnsi="Times New Roman" w:cs="Times New Roman"/>
          <w:iCs/>
          <w:color w:val="000000" w:themeColor="text1"/>
          <w:sz w:val="24"/>
          <w:szCs w:val="24"/>
        </w:rPr>
        <w:t xml:space="preserve"> 7 to 9, the coefficient of interest </w:t>
      </w:r>
      <w:r w:rsidR="002649D0" w:rsidRPr="00357722">
        <w:rPr>
          <w:rFonts w:ascii="Times New Roman" w:eastAsia="Times New Roman" w:hAnsi="Times New Roman" w:cs="Times New Roman"/>
          <w:iCs/>
          <w:color w:val="000000" w:themeColor="text1"/>
          <w:sz w:val="24"/>
          <w:szCs w:val="24"/>
        </w:rPr>
        <w:t xml:space="preserve">is </w:t>
      </w:r>
      <w:r w:rsidR="00AF06D4" w:rsidRPr="00357722">
        <w:rPr>
          <w:rFonts w:ascii="Times New Roman" w:eastAsia="Times New Roman" w:hAnsi="Times New Roman" w:cs="Times New Roman"/>
          <w:iCs/>
          <w:color w:val="000000" w:themeColor="text1"/>
          <w:sz w:val="24"/>
          <w:szCs w:val="24"/>
        </w:rPr>
        <w:t>the interaction between international equity portfolio diversification and central bank transparency. The coefficient on the intera</w:t>
      </w:r>
      <w:r w:rsidR="004F60A2" w:rsidRPr="00357722">
        <w:rPr>
          <w:rFonts w:ascii="Times New Roman" w:eastAsia="Times New Roman" w:hAnsi="Times New Roman" w:cs="Times New Roman"/>
          <w:iCs/>
          <w:color w:val="000000" w:themeColor="text1"/>
          <w:sz w:val="24"/>
          <w:szCs w:val="24"/>
        </w:rPr>
        <w:t>c</w:t>
      </w:r>
      <w:r w:rsidR="00AF06D4" w:rsidRPr="00357722">
        <w:rPr>
          <w:rFonts w:ascii="Times New Roman" w:eastAsia="Times New Roman" w:hAnsi="Times New Roman" w:cs="Times New Roman"/>
          <w:iCs/>
          <w:color w:val="000000" w:themeColor="text1"/>
          <w:sz w:val="24"/>
          <w:szCs w:val="24"/>
        </w:rPr>
        <w:t xml:space="preserve">tion term </w:t>
      </w:r>
      <w:r w:rsidR="00AF06D4" w:rsidRPr="00357722">
        <w:rPr>
          <w:rFonts w:ascii="Times New Roman" w:eastAsia="Times New Roman" w:hAnsi="Times New Roman" w:cs="Times New Roman"/>
          <w:i/>
          <w:iCs/>
          <w:color w:val="000000" w:themeColor="text1"/>
          <w:sz w:val="24"/>
          <w:szCs w:val="24"/>
        </w:rPr>
        <w:t>IEPD×CBT</w:t>
      </w:r>
      <w:r w:rsidR="00AF06D4" w:rsidRPr="00357722">
        <w:rPr>
          <w:rFonts w:ascii="Times New Roman" w:eastAsia="Times New Roman" w:hAnsi="Times New Roman" w:cs="Times New Roman"/>
          <w:iCs/>
          <w:color w:val="000000" w:themeColor="text1"/>
          <w:sz w:val="24"/>
          <w:szCs w:val="24"/>
        </w:rPr>
        <w:t xml:space="preserve"> is positive and mainly statistically at the 5% level. The results are not substantially different from the baseline regression results. This implies that our results are robust and do not suffer from reverse causality.</w:t>
      </w:r>
    </w:p>
    <w:p w14:paraId="54028E67" w14:textId="7224977B" w:rsidR="00F35CD0" w:rsidRPr="00357722" w:rsidRDefault="00F35CD0" w:rsidP="00F35CD0">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7 about here..............</w:t>
      </w:r>
    </w:p>
    <w:p w14:paraId="2D78EE58" w14:textId="2718FC4C" w:rsidR="00954361" w:rsidRPr="00357722" w:rsidRDefault="000E372C" w:rsidP="000E372C">
      <w:pPr>
        <w:spacing w:after="0" w:line="480" w:lineRule="auto"/>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4.4.2</w:t>
      </w:r>
      <w:r w:rsidR="003038A0"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r>
      <w:r w:rsidR="00954361" w:rsidRPr="00357722">
        <w:rPr>
          <w:rFonts w:ascii="Times New Roman" w:eastAsia="Times New Roman" w:hAnsi="Times New Roman" w:cs="Times New Roman"/>
          <w:i/>
          <w:iCs/>
          <w:color w:val="000000" w:themeColor="text1"/>
          <w:sz w:val="24"/>
          <w:szCs w:val="24"/>
        </w:rPr>
        <w:t>Fixed effects</w:t>
      </w:r>
    </w:p>
    <w:p w14:paraId="53045B50" w14:textId="274DE077" w:rsidR="007A32B2" w:rsidRPr="00357722" w:rsidRDefault="0088197A" w:rsidP="00F50109">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We use fixed effects estimation to address time-invariant </w:t>
      </w:r>
      <w:r w:rsidR="00E30532" w:rsidRPr="00357722">
        <w:rPr>
          <w:rFonts w:ascii="Times New Roman" w:eastAsia="Times New Roman" w:hAnsi="Times New Roman" w:cs="Times New Roman"/>
          <w:iCs/>
          <w:color w:val="000000" w:themeColor="text1"/>
          <w:sz w:val="24"/>
          <w:szCs w:val="24"/>
        </w:rPr>
        <w:t>country</w:t>
      </w:r>
      <w:r w:rsidR="00E30532">
        <w:rPr>
          <w:rFonts w:ascii="Times New Roman" w:eastAsia="Times New Roman" w:hAnsi="Times New Roman" w:cs="Times New Roman"/>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level characteristics determinants of financial market development. </w:t>
      </w:r>
      <w:r w:rsidR="00CC46B8" w:rsidRPr="00357722">
        <w:rPr>
          <w:rFonts w:ascii="Times New Roman" w:eastAsia="Times New Roman" w:hAnsi="Times New Roman" w:cs="Times New Roman"/>
          <w:iCs/>
          <w:color w:val="000000" w:themeColor="text1"/>
          <w:sz w:val="24"/>
          <w:szCs w:val="24"/>
        </w:rPr>
        <w:t>As in</w:t>
      </w:r>
      <w:r w:rsidRPr="00357722">
        <w:rPr>
          <w:rFonts w:ascii="Times New Roman" w:eastAsia="Times New Roman" w:hAnsi="Times New Roman" w:cs="Times New Roman"/>
          <w:iCs/>
          <w:color w:val="000000" w:themeColor="text1"/>
          <w:sz w:val="24"/>
          <w:szCs w:val="24"/>
        </w:rPr>
        <w:t xml:space="preserve"> Bell and Jones (2015), the fixed effect</w:t>
      </w:r>
      <w:r w:rsidR="00CC46B8" w:rsidRPr="00357722">
        <w:rPr>
          <w:rFonts w:ascii="Times New Roman" w:eastAsia="Times New Roman" w:hAnsi="Times New Roman" w:cs="Times New Roman"/>
          <w:iCs/>
          <w:color w:val="000000" w:themeColor="text1"/>
          <w:sz w:val="24"/>
          <w:szCs w:val="24"/>
        </w:rPr>
        <w:t>s</w:t>
      </w:r>
      <w:r w:rsidRPr="00357722">
        <w:rPr>
          <w:rFonts w:ascii="Times New Roman" w:eastAsia="Times New Roman" w:hAnsi="Times New Roman" w:cs="Times New Roman"/>
          <w:iCs/>
          <w:color w:val="000000" w:themeColor="text1"/>
          <w:sz w:val="24"/>
          <w:szCs w:val="24"/>
        </w:rPr>
        <w:t xml:space="preserve"> </w:t>
      </w:r>
      <w:r w:rsidR="00CC46B8" w:rsidRPr="00357722">
        <w:rPr>
          <w:rFonts w:ascii="Times New Roman" w:eastAsia="Times New Roman" w:hAnsi="Times New Roman" w:cs="Times New Roman"/>
          <w:iCs/>
          <w:color w:val="000000" w:themeColor="text1"/>
          <w:sz w:val="24"/>
          <w:szCs w:val="24"/>
        </w:rPr>
        <w:t xml:space="preserve">estimation model </w:t>
      </w:r>
      <w:r w:rsidRPr="00357722">
        <w:rPr>
          <w:rFonts w:ascii="Times New Roman" w:eastAsia="Times New Roman" w:hAnsi="Times New Roman" w:cs="Times New Roman"/>
          <w:iCs/>
          <w:color w:val="000000" w:themeColor="text1"/>
          <w:sz w:val="24"/>
          <w:szCs w:val="24"/>
        </w:rPr>
        <w:t>provide</w:t>
      </w:r>
      <w:r w:rsidR="00E30532">
        <w:rPr>
          <w:rFonts w:ascii="Times New Roman" w:eastAsia="Times New Roman" w:hAnsi="Times New Roman" w:cs="Times New Roman"/>
          <w:iCs/>
          <w:color w:val="000000" w:themeColor="text1"/>
          <w:sz w:val="24"/>
          <w:szCs w:val="24"/>
        </w:rPr>
        <w:t>s</w:t>
      </w:r>
      <w:r w:rsidRPr="00357722">
        <w:rPr>
          <w:rFonts w:ascii="Times New Roman" w:eastAsia="Times New Roman" w:hAnsi="Times New Roman" w:cs="Times New Roman"/>
          <w:iCs/>
          <w:color w:val="000000" w:themeColor="text1"/>
          <w:sz w:val="24"/>
          <w:szCs w:val="24"/>
        </w:rPr>
        <w:t xml:space="preserve"> robustness to our baseline regression by exploring the impact of the </w:t>
      </w:r>
      <w:r w:rsidR="00E30532" w:rsidRPr="00357722">
        <w:rPr>
          <w:rFonts w:ascii="Times New Roman" w:eastAsia="Times New Roman" w:hAnsi="Times New Roman" w:cs="Times New Roman"/>
          <w:iCs/>
          <w:color w:val="000000" w:themeColor="text1"/>
          <w:sz w:val="24"/>
          <w:szCs w:val="24"/>
        </w:rPr>
        <w:lastRenderedPageBreak/>
        <w:t>within</w:t>
      </w:r>
      <w:r w:rsidR="00E30532">
        <w:rPr>
          <w:rFonts w:ascii="Times New Roman" w:eastAsia="Times New Roman" w:hAnsi="Times New Roman" w:cs="Times New Roman"/>
          <w:iCs/>
          <w:color w:val="000000" w:themeColor="text1"/>
          <w:sz w:val="24"/>
          <w:szCs w:val="24"/>
        </w:rPr>
        <w:t>-</w:t>
      </w:r>
      <w:r w:rsidRPr="00357722">
        <w:rPr>
          <w:rFonts w:ascii="Times New Roman" w:eastAsia="Times New Roman" w:hAnsi="Times New Roman" w:cs="Times New Roman"/>
          <w:iCs/>
          <w:color w:val="000000" w:themeColor="text1"/>
          <w:sz w:val="24"/>
          <w:szCs w:val="24"/>
        </w:rPr>
        <w:t>country variations in international equity portfolio diversification, central bank transparency</w:t>
      </w:r>
      <w:r w:rsidR="00E30532">
        <w:rPr>
          <w:rFonts w:ascii="Times New Roman" w:eastAsia="Times New Roman" w:hAnsi="Times New Roman" w:cs="Times New Roman"/>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and </w:t>
      </w:r>
      <w:r w:rsidR="00E66D14" w:rsidRPr="00357722">
        <w:rPr>
          <w:rFonts w:ascii="Times New Roman" w:eastAsia="Times New Roman" w:hAnsi="Times New Roman" w:cs="Times New Roman"/>
          <w:iCs/>
          <w:color w:val="000000" w:themeColor="text1"/>
          <w:sz w:val="24"/>
          <w:szCs w:val="24"/>
        </w:rPr>
        <w:t xml:space="preserve">economic </w:t>
      </w:r>
      <w:r w:rsidRPr="00357722">
        <w:rPr>
          <w:rFonts w:ascii="Times New Roman" w:eastAsia="Times New Roman" w:hAnsi="Times New Roman" w:cs="Times New Roman"/>
          <w:iCs/>
          <w:color w:val="000000" w:themeColor="text1"/>
          <w:sz w:val="24"/>
          <w:szCs w:val="24"/>
        </w:rPr>
        <w:t xml:space="preserve">freedom enhancing financial market development. </w:t>
      </w:r>
    </w:p>
    <w:p w14:paraId="3DCD1008" w14:textId="7352C709" w:rsidR="0010654E" w:rsidRPr="00357722" w:rsidRDefault="0010654E" w:rsidP="00F50109">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Table 8 presents the results of the fixed effects estimations. The coefficients on </w:t>
      </w:r>
      <w:r w:rsidRPr="00357722">
        <w:rPr>
          <w:rFonts w:ascii="Times New Roman" w:eastAsia="Times New Roman" w:hAnsi="Times New Roman" w:cs="Times New Roman"/>
          <w:i/>
          <w:iCs/>
          <w:color w:val="000000" w:themeColor="text1"/>
          <w:sz w:val="24"/>
          <w:szCs w:val="24"/>
        </w:rPr>
        <w:t>IEPD</w:t>
      </w:r>
      <w:r w:rsidRPr="00357722">
        <w:rPr>
          <w:rFonts w:ascii="Times New Roman" w:eastAsia="Times New Roman" w:hAnsi="Times New Roman" w:cs="Times New Roman"/>
          <w:iCs/>
          <w:color w:val="000000" w:themeColor="text1"/>
          <w:sz w:val="24"/>
          <w:szCs w:val="24"/>
        </w:rPr>
        <w:t xml:space="preserve"> in Models 1 to 9 are mainly significant. </w:t>
      </w:r>
      <w:r w:rsidR="005B7679" w:rsidRPr="00357722">
        <w:rPr>
          <w:rFonts w:ascii="Times New Roman" w:eastAsia="Times New Roman" w:hAnsi="Times New Roman" w:cs="Times New Roman"/>
          <w:iCs/>
          <w:color w:val="000000" w:themeColor="text1"/>
          <w:sz w:val="24"/>
          <w:szCs w:val="24"/>
        </w:rPr>
        <w:t xml:space="preserve">In Models 4 to 6, </w:t>
      </w:r>
      <w:r w:rsidR="0076230E">
        <w:rPr>
          <w:rFonts w:ascii="Times New Roman" w:eastAsia="Times New Roman" w:hAnsi="Times New Roman" w:cs="Times New Roman"/>
          <w:iCs/>
          <w:color w:val="000000" w:themeColor="text1"/>
          <w:sz w:val="24"/>
          <w:szCs w:val="24"/>
        </w:rPr>
        <w:t xml:space="preserve">we interact economic freedom with international equity portfolio diversification to determine </w:t>
      </w:r>
      <w:r w:rsidR="00D36BF6">
        <w:rPr>
          <w:rFonts w:ascii="Times New Roman" w:eastAsia="Times New Roman" w:hAnsi="Times New Roman" w:cs="Times New Roman"/>
          <w:iCs/>
          <w:color w:val="000000" w:themeColor="text1"/>
          <w:sz w:val="24"/>
          <w:szCs w:val="24"/>
        </w:rPr>
        <w:t xml:space="preserve">whether </w:t>
      </w:r>
      <w:r w:rsidR="0076230E">
        <w:rPr>
          <w:rFonts w:ascii="Times New Roman" w:eastAsia="Times New Roman" w:hAnsi="Times New Roman" w:cs="Times New Roman"/>
          <w:iCs/>
          <w:color w:val="000000" w:themeColor="text1"/>
          <w:sz w:val="24"/>
          <w:szCs w:val="24"/>
        </w:rPr>
        <w:t xml:space="preserve">they have a combined effect on financial development. This is in line with the view that countries that have economic freedom will attract foreign equity investors. In Models 4 to 6, </w:t>
      </w:r>
      <w:r w:rsidR="005B7679" w:rsidRPr="00357722">
        <w:rPr>
          <w:rFonts w:ascii="Times New Roman" w:eastAsia="Times New Roman" w:hAnsi="Times New Roman" w:cs="Times New Roman"/>
          <w:iCs/>
          <w:color w:val="000000" w:themeColor="text1"/>
          <w:sz w:val="24"/>
          <w:szCs w:val="24"/>
        </w:rPr>
        <w:t xml:space="preserve">the coefficient on the interaction term </w:t>
      </w:r>
      <w:r w:rsidR="005B7679" w:rsidRPr="00357722">
        <w:rPr>
          <w:rFonts w:ascii="Times New Roman" w:eastAsia="Times New Roman" w:hAnsi="Times New Roman" w:cs="Times New Roman"/>
          <w:i/>
          <w:iCs/>
          <w:color w:val="000000" w:themeColor="text1"/>
          <w:sz w:val="24"/>
          <w:szCs w:val="24"/>
        </w:rPr>
        <w:t>IEPD</w:t>
      </w:r>
      <w:r w:rsidR="001D3B1D" w:rsidRPr="00357722">
        <w:rPr>
          <w:rFonts w:ascii="Times New Roman" w:eastAsia="Times New Roman" w:hAnsi="Times New Roman" w:cs="Times New Roman"/>
          <w:i/>
          <w:iCs/>
          <w:color w:val="000000" w:themeColor="text1"/>
          <w:sz w:val="24"/>
          <w:szCs w:val="24"/>
        </w:rPr>
        <w:t>×</w:t>
      </w:r>
      <w:r w:rsidR="002763DB" w:rsidRPr="00357722">
        <w:rPr>
          <w:rFonts w:ascii="Times New Roman" w:eastAsia="Times New Roman" w:hAnsi="Times New Roman" w:cs="Times New Roman"/>
          <w:i/>
          <w:iCs/>
          <w:color w:val="000000" w:themeColor="text1"/>
          <w:sz w:val="24"/>
          <w:szCs w:val="24"/>
        </w:rPr>
        <w:t>EF</w:t>
      </w:r>
      <w:r w:rsidR="005B7679" w:rsidRPr="00357722">
        <w:rPr>
          <w:rFonts w:ascii="Times New Roman" w:eastAsia="Times New Roman" w:hAnsi="Times New Roman" w:cs="Times New Roman"/>
          <w:iCs/>
          <w:color w:val="000000" w:themeColor="text1"/>
          <w:sz w:val="24"/>
          <w:szCs w:val="24"/>
        </w:rPr>
        <w:t xml:space="preserve"> is positive and statistically significant at the 1% level.</w:t>
      </w:r>
      <w:r w:rsidR="00E1274B" w:rsidRPr="00357722">
        <w:rPr>
          <w:rFonts w:ascii="Times New Roman" w:eastAsia="Times New Roman" w:hAnsi="Times New Roman" w:cs="Times New Roman"/>
          <w:iCs/>
          <w:color w:val="000000" w:themeColor="text1"/>
          <w:sz w:val="24"/>
          <w:szCs w:val="24"/>
        </w:rPr>
        <w:t xml:space="preserve"> Whilst in m</w:t>
      </w:r>
      <w:r w:rsidR="00E66ACD" w:rsidRPr="00357722">
        <w:rPr>
          <w:rFonts w:ascii="Times New Roman" w:eastAsia="Times New Roman" w:hAnsi="Times New Roman" w:cs="Times New Roman"/>
          <w:iCs/>
          <w:color w:val="000000" w:themeColor="text1"/>
          <w:sz w:val="24"/>
          <w:szCs w:val="24"/>
        </w:rPr>
        <w:t xml:space="preserve">odels 7 to 9 the coefficient on </w:t>
      </w:r>
      <w:r w:rsidR="00E66ACD" w:rsidRPr="00357722">
        <w:rPr>
          <w:rFonts w:ascii="Times New Roman" w:eastAsia="Times New Roman" w:hAnsi="Times New Roman" w:cs="Times New Roman"/>
          <w:i/>
          <w:iCs/>
          <w:color w:val="000000" w:themeColor="text1"/>
          <w:sz w:val="24"/>
          <w:szCs w:val="24"/>
        </w:rPr>
        <w:t>IEPD×CBT</w:t>
      </w:r>
      <w:r w:rsidR="00E66ACD" w:rsidRPr="00357722">
        <w:rPr>
          <w:rFonts w:ascii="Times New Roman" w:eastAsia="Times New Roman" w:hAnsi="Times New Roman" w:cs="Times New Roman"/>
          <w:iCs/>
          <w:color w:val="000000" w:themeColor="text1"/>
          <w:sz w:val="24"/>
          <w:szCs w:val="24"/>
        </w:rPr>
        <w:t xml:space="preserve"> </w:t>
      </w:r>
      <w:r w:rsidR="00D36BF6">
        <w:rPr>
          <w:rFonts w:ascii="Times New Roman" w:eastAsia="Times New Roman" w:hAnsi="Times New Roman" w:cs="Times New Roman"/>
          <w:iCs/>
          <w:color w:val="000000" w:themeColor="text1"/>
          <w:sz w:val="24"/>
          <w:szCs w:val="24"/>
        </w:rPr>
        <w:t>is</w:t>
      </w:r>
      <w:r w:rsidR="00D36BF6" w:rsidRPr="00357722">
        <w:rPr>
          <w:rFonts w:ascii="Times New Roman" w:eastAsia="Times New Roman" w:hAnsi="Times New Roman" w:cs="Times New Roman"/>
          <w:iCs/>
          <w:color w:val="000000" w:themeColor="text1"/>
          <w:sz w:val="24"/>
          <w:szCs w:val="24"/>
        </w:rPr>
        <w:t xml:space="preserve"> </w:t>
      </w:r>
      <w:r w:rsidR="00E66ACD" w:rsidRPr="00357722">
        <w:rPr>
          <w:rFonts w:ascii="Times New Roman" w:eastAsia="Times New Roman" w:hAnsi="Times New Roman" w:cs="Times New Roman"/>
          <w:iCs/>
          <w:color w:val="000000" w:themeColor="text1"/>
          <w:sz w:val="24"/>
          <w:szCs w:val="24"/>
        </w:rPr>
        <w:t>positive and statistically significant at the 1% leve</w:t>
      </w:r>
      <w:r w:rsidR="009B54DE" w:rsidRPr="00357722">
        <w:rPr>
          <w:rFonts w:ascii="Times New Roman" w:eastAsia="Times New Roman" w:hAnsi="Times New Roman" w:cs="Times New Roman"/>
          <w:iCs/>
          <w:color w:val="000000" w:themeColor="text1"/>
          <w:sz w:val="24"/>
          <w:szCs w:val="24"/>
        </w:rPr>
        <w:t>l</w:t>
      </w:r>
      <w:r w:rsidR="00E66ACD" w:rsidRPr="00357722">
        <w:rPr>
          <w:rFonts w:ascii="Times New Roman" w:eastAsia="Times New Roman" w:hAnsi="Times New Roman" w:cs="Times New Roman"/>
          <w:iCs/>
          <w:color w:val="000000" w:themeColor="text1"/>
          <w:sz w:val="24"/>
          <w:szCs w:val="24"/>
        </w:rPr>
        <w:t xml:space="preserve">. The results are similar to our baseline regression results which suggest that our empirical analysis </w:t>
      </w:r>
      <w:r w:rsidR="00E30532">
        <w:rPr>
          <w:rFonts w:ascii="Times New Roman" w:eastAsia="Times New Roman" w:hAnsi="Times New Roman" w:cs="Times New Roman"/>
          <w:iCs/>
          <w:color w:val="000000" w:themeColor="text1"/>
          <w:sz w:val="24"/>
          <w:szCs w:val="24"/>
        </w:rPr>
        <w:t>is</w:t>
      </w:r>
      <w:r w:rsidR="00E30532" w:rsidRPr="00357722">
        <w:rPr>
          <w:rFonts w:ascii="Times New Roman" w:eastAsia="Times New Roman" w:hAnsi="Times New Roman" w:cs="Times New Roman"/>
          <w:iCs/>
          <w:color w:val="000000" w:themeColor="text1"/>
          <w:sz w:val="24"/>
          <w:szCs w:val="24"/>
        </w:rPr>
        <w:t xml:space="preserve"> </w:t>
      </w:r>
      <w:r w:rsidR="00E66ACD" w:rsidRPr="00357722">
        <w:rPr>
          <w:rFonts w:ascii="Times New Roman" w:eastAsia="Times New Roman" w:hAnsi="Times New Roman" w:cs="Times New Roman"/>
          <w:iCs/>
          <w:color w:val="000000" w:themeColor="text1"/>
          <w:sz w:val="24"/>
          <w:szCs w:val="24"/>
        </w:rPr>
        <w:t>robust.</w:t>
      </w:r>
    </w:p>
    <w:p w14:paraId="4B26CC06" w14:textId="042FCB21" w:rsidR="007607F8" w:rsidRPr="00D36BF6" w:rsidRDefault="00F35CD0" w:rsidP="00D36BF6">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8 about here..............</w:t>
      </w:r>
    </w:p>
    <w:p w14:paraId="62242B1B" w14:textId="605AC163" w:rsidR="007A32B2" w:rsidRPr="00357722" w:rsidRDefault="007D2196" w:rsidP="007A32B2">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w:t>
      </w:r>
      <w:r w:rsidR="000E372C" w:rsidRPr="00357722">
        <w:rPr>
          <w:rFonts w:ascii="Times New Roman" w:eastAsia="Times New Roman" w:hAnsi="Times New Roman" w:cs="Times New Roman"/>
          <w:i/>
          <w:iCs/>
          <w:color w:val="000000" w:themeColor="text1"/>
          <w:sz w:val="24"/>
          <w:szCs w:val="24"/>
        </w:rPr>
        <w:t>4.3</w:t>
      </w:r>
      <w:r w:rsidR="003038A0"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r>
      <w:r w:rsidR="00B021DB">
        <w:rPr>
          <w:rFonts w:ascii="Times New Roman" w:eastAsia="Times New Roman" w:hAnsi="Times New Roman" w:cs="Times New Roman"/>
          <w:i/>
          <w:iCs/>
          <w:color w:val="000000" w:themeColor="text1"/>
          <w:sz w:val="24"/>
          <w:szCs w:val="24"/>
        </w:rPr>
        <w:t>Quasi-natural experiment</w:t>
      </w:r>
    </w:p>
    <w:p w14:paraId="73529C15" w14:textId="49AA88C0" w:rsidR="00403064" w:rsidRPr="00134703" w:rsidRDefault="00010D05" w:rsidP="00134703">
      <w:pPr>
        <w:spacing w:after="0" w:line="480" w:lineRule="auto"/>
        <w:ind w:firstLine="720"/>
        <w:jc w:val="both"/>
        <w:rPr>
          <w:rFonts w:ascii="Times New Roman" w:hAnsi="Times New Roman" w:cs="Times New Roman"/>
          <w:bCs/>
          <w:iCs/>
          <w:color w:val="000000" w:themeColor="text1"/>
          <w:sz w:val="24"/>
          <w:szCs w:val="24"/>
        </w:rPr>
      </w:pPr>
      <w:r w:rsidRPr="00357722">
        <w:rPr>
          <w:rFonts w:ascii="Times New Roman" w:hAnsi="Times New Roman" w:cs="Times New Roman"/>
          <w:bCs/>
          <w:iCs/>
          <w:color w:val="000000" w:themeColor="text1"/>
          <w:sz w:val="24"/>
          <w:szCs w:val="24"/>
        </w:rPr>
        <w:t xml:space="preserve">In this section, </w:t>
      </w:r>
      <w:r w:rsidR="00D657F0">
        <w:rPr>
          <w:rFonts w:ascii="Times New Roman" w:hAnsi="Times New Roman" w:cs="Times New Roman"/>
          <w:bCs/>
          <w:iCs/>
          <w:color w:val="000000" w:themeColor="text1"/>
          <w:sz w:val="24"/>
          <w:szCs w:val="24"/>
        </w:rPr>
        <w:t>perform a quasi-natural experiment using difference-in-differences to provide robustness to the results</w:t>
      </w:r>
      <w:r w:rsidR="007D3D60">
        <w:rPr>
          <w:rFonts w:ascii="Times New Roman" w:hAnsi="Times New Roman" w:cs="Times New Roman"/>
          <w:bCs/>
          <w:iCs/>
          <w:color w:val="000000" w:themeColor="text1"/>
          <w:sz w:val="24"/>
          <w:szCs w:val="24"/>
        </w:rPr>
        <w:t xml:space="preserve"> by addressing endogeneity (</w:t>
      </w:r>
      <w:r w:rsidR="007D3D60" w:rsidRPr="00357722">
        <w:rPr>
          <w:rFonts w:ascii="Times New Roman" w:hAnsi="Times New Roman" w:cs="Times New Roman"/>
          <w:bCs/>
          <w:iCs/>
          <w:color w:val="000000" w:themeColor="text1"/>
          <w:sz w:val="24"/>
          <w:szCs w:val="24"/>
        </w:rPr>
        <w:t>Bertrand and Mullainathan, 2003; Yang and Zhao, 2014</w:t>
      </w:r>
      <w:r w:rsidR="007D3D60">
        <w:rPr>
          <w:rFonts w:ascii="Times New Roman" w:hAnsi="Times New Roman" w:cs="Times New Roman"/>
          <w:bCs/>
          <w:iCs/>
          <w:color w:val="000000" w:themeColor="text1"/>
          <w:sz w:val="24"/>
          <w:szCs w:val="24"/>
        </w:rPr>
        <w:t>). Following Kwabi et al. (2020) and Gropp et al. (2018), we</w:t>
      </w:r>
      <w:r w:rsidR="00344A93">
        <w:rPr>
          <w:rFonts w:ascii="Times New Roman" w:hAnsi="Times New Roman" w:cs="Times New Roman"/>
          <w:bCs/>
          <w:iCs/>
          <w:color w:val="000000" w:themeColor="text1"/>
          <w:sz w:val="24"/>
          <w:szCs w:val="24"/>
        </w:rPr>
        <w:t xml:space="preserve"> use the 2010</w:t>
      </w:r>
      <w:r w:rsidR="007D3D60">
        <w:rPr>
          <w:rFonts w:ascii="Times New Roman" w:hAnsi="Times New Roman" w:cs="Times New Roman"/>
          <w:bCs/>
          <w:iCs/>
          <w:color w:val="000000" w:themeColor="text1"/>
          <w:sz w:val="24"/>
          <w:szCs w:val="24"/>
        </w:rPr>
        <w:t xml:space="preserve"> Eurozone sovereign debt crises </w:t>
      </w:r>
      <w:r w:rsidR="00344A93">
        <w:rPr>
          <w:rFonts w:ascii="Times New Roman" w:hAnsi="Times New Roman" w:cs="Times New Roman"/>
          <w:bCs/>
          <w:iCs/>
          <w:color w:val="000000" w:themeColor="text1"/>
          <w:sz w:val="24"/>
          <w:szCs w:val="24"/>
        </w:rPr>
        <w:t xml:space="preserve">which severely affected five countries as </w:t>
      </w:r>
      <w:r w:rsidR="007C4ED2">
        <w:rPr>
          <w:rFonts w:ascii="Times New Roman" w:hAnsi="Times New Roman" w:cs="Times New Roman"/>
          <w:bCs/>
          <w:iCs/>
          <w:color w:val="000000" w:themeColor="text1"/>
          <w:sz w:val="24"/>
          <w:szCs w:val="24"/>
        </w:rPr>
        <w:t xml:space="preserve">an </w:t>
      </w:r>
      <w:r w:rsidR="00344A93">
        <w:rPr>
          <w:rFonts w:ascii="Times New Roman" w:hAnsi="Times New Roman" w:cs="Times New Roman"/>
          <w:bCs/>
          <w:iCs/>
          <w:color w:val="000000" w:themeColor="text1"/>
          <w:sz w:val="24"/>
          <w:szCs w:val="24"/>
        </w:rPr>
        <w:t>event year</w:t>
      </w:r>
      <w:r w:rsidR="007D3D60">
        <w:rPr>
          <w:rFonts w:ascii="Times New Roman" w:hAnsi="Times New Roman" w:cs="Times New Roman"/>
          <w:bCs/>
          <w:iCs/>
          <w:color w:val="000000" w:themeColor="text1"/>
          <w:sz w:val="24"/>
          <w:szCs w:val="24"/>
        </w:rPr>
        <w:t>. Countries that were severely affected by the 201</w:t>
      </w:r>
      <w:r w:rsidR="00344A93">
        <w:rPr>
          <w:rFonts w:ascii="Times New Roman" w:hAnsi="Times New Roman" w:cs="Times New Roman"/>
          <w:bCs/>
          <w:iCs/>
          <w:color w:val="000000" w:themeColor="text1"/>
          <w:sz w:val="24"/>
          <w:szCs w:val="24"/>
        </w:rPr>
        <w:t>0</w:t>
      </w:r>
      <w:r w:rsidR="007D3D60">
        <w:rPr>
          <w:rFonts w:ascii="Times New Roman" w:hAnsi="Times New Roman" w:cs="Times New Roman"/>
          <w:bCs/>
          <w:iCs/>
          <w:color w:val="000000" w:themeColor="text1"/>
          <w:sz w:val="24"/>
          <w:szCs w:val="24"/>
        </w:rPr>
        <w:t xml:space="preserve"> Eurozone debt crisis </w:t>
      </w:r>
      <w:r w:rsidR="00134703">
        <w:rPr>
          <w:rFonts w:ascii="Times New Roman" w:hAnsi="Times New Roman" w:cs="Times New Roman"/>
          <w:bCs/>
          <w:iCs/>
          <w:color w:val="000000" w:themeColor="text1"/>
          <w:sz w:val="24"/>
          <w:szCs w:val="24"/>
        </w:rPr>
        <w:t>are used as the treatment group and the rest of the Eurozone countries as the controlled group. As in Kwabi et al. (2020)</w:t>
      </w:r>
      <w:r w:rsidR="007C4ED2">
        <w:rPr>
          <w:rFonts w:ascii="Times New Roman" w:hAnsi="Times New Roman" w:cs="Times New Roman"/>
          <w:bCs/>
          <w:iCs/>
          <w:color w:val="000000" w:themeColor="text1"/>
          <w:sz w:val="24"/>
          <w:szCs w:val="24"/>
        </w:rPr>
        <w:t>,</w:t>
      </w:r>
      <w:r w:rsidR="00134703">
        <w:rPr>
          <w:rFonts w:ascii="Times New Roman" w:hAnsi="Times New Roman" w:cs="Times New Roman"/>
          <w:bCs/>
          <w:iCs/>
          <w:color w:val="000000" w:themeColor="text1"/>
          <w:sz w:val="24"/>
          <w:szCs w:val="24"/>
        </w:rPr>
        <w:t xml:space="preserve"> the treatment group is </w:t>
      </w:r>
      <w:r w:rsidR="00134703" w:rsidRPr="00357722">
        <w:rPr>
          <w:rFonts w:ascii="Times New Roman" w:hAnsi="Times New Roman" w:cs="Times New Roman"/>
          <w:bCs/>
          <w:iCs/>
          <w:color w:val="000000" w:themeColor="text1"/>
          <w:sz w:val="24"/>
          <w:szCs w:val="24"/>
        </w:rPr>
        <w:t>Greece, Ireland, Italy, Portugal</w:t>
      </w:r>
      <w:r w:rsidR="00134703">
        <w:rPr>
          <w:rFonts w:ascii="Times New Roman" w:hAnsi="Times New Roman" w:cs="Times New Roman"/>
          <w:bCs/>
          <w:iCs/>
          <w:color w:val="000000" w:themeColor="text1"/>
          <w:sz w:val="24"/>
          <w:szCs w:val="24"/>
        </w:rPr>
        <w:t>,</w:t>
      </w:r>
      <w:r w:rsidR="00134703" w:rsidRPr="00357722">
        <w:rPr>
          <w:rFonts w:ascii="Times New Roman" w:hAnsi="Times New Roman" w:cs="Times New Roman"/>
          <w:bCs/>
          <w:iCs/>
          <w:color w:val="000000" w:themeColor="text1"/>
          <w:sz w:val="24"/>
          <w:szCs w:val="24"/>
        </w:rPr>
        <w:t xml:space="preserve"> and Spain</w:t>
      </w:r>
      <w:r w:rsidR="00134703">
        <w:rPr>
          <w:rFonts w:ascii="Times New Roman" w:hAnsi="Times New Roman" w:cs="Times New Roman"/>
          <w:bCs/>
          <w:iCs/>
          <w:color w:val="000000" w:themeColor="text1"/>
          <w:sz w:val="24"/>
          <w:szCs w:val="24"/>
        </w:rPr>
        <w:t xml:space="preserve"> (GIIPS).</w:t>
      </w:r>
      <w:r w:rsidR="00134703" w:rsidRPr="00134703">
        <w:rPr>
          <w:rFonts w:ascii="Times New Roman" w:hAnsi="Times New Roman" w:cs="Times New Roman"/>
          <w:bCs/>
          <w:iCs/>
          <w:color w:val="000000" w:themeColor="text1"/>
          <w:sz w:val="24"/>
          <w:szCs w:val="24"/>
        </w:rPr>
        <w:t xml:space="preserve"> </w:t>
      </w:r>
      <w:r w:rsidR="00134703" w:rsidRPr="00357722">
        <w:rPr>
          <w:rFonts w:ascii="Times New Roman" w:hAnsi="Times New Roman" w:cs="Times New Roman"/>
          <w:bCs/>
          <w:iCs/>
          <w:color w:val="000000" w:themeColor="text1"/>
          <w:sz w:val="24"/>
          <w:szCs w:val="24"/>
        </w:rPr>
        <w:t xml:space="preserve">According to Acharya et al. (2018), the GIIPS countries suffered severe sovereign debt </w:t>
      </w:r>
      <w:r w:rsidR="007C4ED2" w:rsidRPr="00357722">
        <w:rPr>
          <w:rFonts w:ascii="Times New Roman" w:hAnsi="Times New Roman" w:cs="Times New Roman"/>
          <w:bCs/>
          <w:iCs/>
          <w:color w:val="000000" w:themeColor="text1"/>
          <w:sz w:val="24"/>
          <w:szCs w:val="24"/>
        </w:rPr>
        <w:t>cris</w:t>
      </w:r>
      <w:r w:rsidR="007C4ED2">
        <w:rPr>
          <w:rFonts w:ascii="Times New Roman" w:hAnsi="Times New Roman" w:cs="Times New Roman"/>
          <w:bCs/>
          <w:iCs/>
          <w:color w:val="000000" w:themeColor="text1"/>
          <w:sz w:val="24"/>
          <w:szCs w:val="24"/>
        </w:rPr>
        <w:t>e</w:t>
      </w:r>
      <w:r w:rsidR="007C4ED2" w:rsidRPr="00357722">
        <w:rPr>
          <w:rFonts w:ascii="Times New Roman" w:hAnsi="Times New Roman" w:cs="Times New Roman"/>
          <w:bCs/>
          <w:iCs/>
          <w:color w:val="000000" w:themeColor="text1"/>
          <w:sz w:val="24"/>
          <w:szCs w:val="24"/>
        </w:rPr>
        <w:t xml:space="preserve">s </w:t>
      </w:r>
      <w:r w:rsidR="00134703" w:rsidRPr="00357722">
        <w:rPr>
          <w:rFonts w:ascii="Times New Roman" w:hAnsi="Times New Roman" w:cs="Times New Roman"/>
          <w:bCs/>
          <w:iCs/>
          <w:color w:val="000000" w:themeColor="text1"/>
          <w:sz w:val="24"/>
          <w:szCs w:val="24"/>
        </w:rPr>
        <w:t>and</w:t>
      </w:r>
      <w:r w:rsidR="00134703" w:rsidRPr="00357722">
        <w:rPr>
          <w:rFonts w:ascii="Times New Roman" w:hAnsi="Times New Roman" w:cs="Times New Roman"/>
          <w:sz w:val="24"/>
          <w:szCs w:val="24"/>
        </w:rPr>
        <w:t xml:space="preserve"> banking sector distress as they were later supported financially with the help of the European Union (EU) and the international monetary fund (IMF), except for the Italian government who succeeded in borrowing at commercial terms.</w:t>
      </w:r>
      <w:r w:rsidR="00134703">
        <w:rPr>
          <w:rFonts w:ascii="Times New Roman" w:hAnsi="Times New Roman" w:cs="Times New Roman"/>
          <w:bCs/>
          <w:iCs/>
          <w:color w:val="000000" w:themeColor="text1"/>
          <w:sz w:val="24"/>
          <w:szCs w:val="24"/>
        </w:rPr>
        <w:t xml:space="preserve"> </w:t>
      </w:r>
      <w:r w:rsidR="00F951BC" w:rsidRPr="00357722">
        <w:rPr>
          <w:rFonts w:ascii="Times New Roman" w:hAnsi="Times New Roman" w:cs="Times New Roman"/>
          <w:sz w:val="24"/>
          <w:szCs w:val="24"/>
        </w:rPr>
        <w:t>Evidence from the Eurozone sovereign debt crisis show</w:t>
      </w:r>
      <w:r w:rsidR="00E30532">
        <w:rPr>
          <w:rFonts w:ascii="Times New Roman" w:hAnsi="Times New Roman" w:cs="Times New Roman"/>
          <w:sz w:val="24"/>
          <w:szCs w:val="24"/>
        </w:rPr>
        <w:t>s</w:t>
      </w:r>
      <w:r w:rsidR="00F951BC" w:rsidRPr="00357722">
        <w:rPr>
          <w:rFonts w:ascii="Times New Roman" w:hAnsi="Times New Roman" w:cs="Times New Roman"/>
          <w:sz w:val="24"/>
          <w:szCs w:val="24"/>
        </w:rPr>
        <w:t xml:space="preserve"> that</w:t>
      </w:r>
      <w:r w:rsidR="00474B93" w:rsidRPr="00357722">
        <w:rPr>
          <w:rFonts w:ascii="Times New Roman" w:hAnsi="Times New Roman" w:cs="Times New Roman"/>
          <w:sz w:val="24"/>
          <w:szCs w:val="24"/>
        </w:rPr>
        <w:t xml:space="preserve"> the</w:t>
      </w:r>
      <w:r w:rsidR="00DF054F" w:rsidRPr="00357722">
        <w:rPr>
          <w:rFonts w:ascii="Times New Roman" w:hAnsi="Times New Roman" w:cs="Times New Roman"/>
          <w:sz w:val="24"/>
          <w:szCs w:val="24"/>
        </w:rPr>
        <w:t xml:space="preserve"> GIIPS countries </w:t>
      </w:r>
      <w:r w:rsidR="00F951BC" w:rsidRPr="00357722">
        <w:rPr>
          <w:rFonts w:ascii="Times New Roman" w:hAnsi="Times New Roman" w:cs="Times New Roman"/>
          <w:sz w:val="24"/>
          <w:szCs w:val="24"/>
        </w:rPr>
        <w:t>experienced</w:t>
      </w:r>
      <w:r w:rsidR="00DE4800" w:rsidRPr="00357722">
        <w:rPr>
          <w:rFonts w:ascii="Times New Roman" w:hAnsi="Times New Roman" w:cs="Times New Roman"/>
          <w:sz w:val="24"/>
          <w:szCs w:val="24"/>
        </w:rPr>
        <w:t xml:space="preserve"> sporadic economic growth which </w:t>
      </w:r>
      <w:r w:rsidR="00F951BC" w:rsidRPr="00357722">
        <w:rPr>
          <w:rFonts w:ascii="Times New Roman" w:hAnsi="Times New Roman" w:cs="Times New Roman"/>
          <w:sz w:val="24"/>
          <w:szCs w:val="24"/>
        </w:rPr>
        <w:t>led to</w:t>
      </w:r>
      <w:r w:rsidR="0045697C" w:rsidRPr="00357722">
        <w:rPr>
          <w:rFonts w:ascii="Times New Roman" w:hAnsi="Times New Roman" w:cs="Times New Roman"/>
          <w:sz w:val="24"/>
          <w:szCs w:val="24"/>
        </w:rPr>
        <w:t xml:space="preserve"> </w:t>
      </w:r>
      <w:r w:rsidR="00E30532">
        <w:rPr>
          <w:rFonts w:ascii="Times New Roman" w:hAnsi="Times New Roman" w:cs="Times New Roman"/>
          <w:sz w:val="24"/>
          <w:szCs w:val="24"/>
        </w:rPr>
        <w:t xml:space="preserve">a </w:t>
      </w:r>
      <w:r w:rsidR="00AF478A" w:rsidRPr="00357722">
        <w:rPr>
          <w:rFonts w:ascii="Times New Roman" w:hAnsi="Times New Roman" w:cs="Times New Roman"/>
          <w:sz w:val="24"/>
          <w:szCs w:val="24"/>
        </w:rPr>
        <w:t xml:space="preserve">rapid </w:t>
      </w:r>
      <w:r w:rsidR="0045697C" w:rsidRPr="00357722">
        <w:rPr>
          <w:rFonts w:ascii="Times New Roman" w:hAnsi="Times New Roman" w:cs="Times New Roman"/>
          <w:sz w:val="24"/>
          <w:szCs w:val="24"/>
        </w:rPr>
        <w:t xml:space="preserve">increase in domestic </w:t>
      </w:r>
      <w:r w:rsidR="00AF478A" w:rsidRPr="00357722">
        <w:rPr>
          <w:rFonts w:ascii="Times New Roman" w:hAnsi="Times New Roman" w:cs="Times New Roman"/>
          <w:sz w:val="24"/>
          <w:szCs w:val="24"/>
        </w:rPr>
        <w:t>credit</w:t>
      </w:r>
      <w:r w:rsidR="003C0D80" w:rsidRPr="00357722">
        <w:rPr>
          <w:rFonts w:ascii="Times New Roman" w:hAnsi="Times New Roman" w:cs="Times New Roman"/>
          <w:sz w:val="24"/>
          <w:szCs w:val="24"/>
        </w:rPr>
        <w:t xml:space="preserve"> and </w:t>
      </w:r>
      <w:r w:rsidR="00441DEC" w:rsidRPr="00357722">
        <w:rPr>
          <w:rFonts w:ascii="Times New Roman" w:hAnsi="Times New Roman" w:cs="Times New Roman"/>
          <w:sz w:val="24"/>
          <w:szCs w:val="24"/>
        </w:rPr>
        <w:t xml:space="preserve">enhanced foreign capital </w:t>
      </w:r>
      <w:r w:rsidR="00F07F5D" w:rsidRPr="00357722">
        <w:rPr>
          <w:rFonts w:ascii="Times New Roman" w:hAnsi="Times New Roman" w:cs="Times New Roman"/>
          <w:sz w:val="24"/>
          <w:szCs w:val="24"/>
        </w:rPr>
        <w:t>investments</w:t>
      </w:r>
      <w:r w:rsidR="00441DEC" w:rsidRPr="00357722">
        <w:rPr>
          <w:rFonts w:ascii="Times New Roman" w:hAnsi="Times New Roman" w:cs="Times New Roman"/>
          <w:sz w:val="24"/>
          <w:szCs w:val="24"/>
        </w:rPr>
        <w:t>.</w:t>
      </w:r>
      <w:r w:rsidR="00062A4D" w:rsidRPr="00357722">
        <w:rPr>
          <w:rFonts w:ascii="Times New Roman" w:hAnsi="Times New Roman" w:cs="Times New Roman"/>
          <w:sz w:val="24"/>
          <w:szCs w:val="24"/>
        </w:rPr>
        <w:t xml:space="preserve"> </w:t>
      </w:r>
      <w:r w:rsidR="00A327EF" w:rsidRPr="00357722">
        <w:rPr>
          <w:rFonts w:ascii="Times New Roman" w:hAnsi="Times New Roman" w:cs="Times New Roman"/>
          <w:sz w:val="24"/>
          <w:szCs w:val="24"/>
        </w:rPr>
        <w:t xml:space="preserve">Table 9 presents the results </w:t>
      </w:r>
      <w:r w:rsidR="00E30532">
        <w:rPr>
          <w:rFonts w:ascii="Times New Roman" w:hAnsi="Times New Roman" w:cs="Times New Roman"/>
          <w:sz w:val="24"/>
          <w:szCs w:val="24"/>
        </w:rPr>
        <w:t xml:space="preserve">of </w:t>
      </w:r>
      <w:r w:rsidR="00E469EF" w:rsidRPr="00357722">
        <w:rPr>
          <w:rFonts w:ascii="Times New Roman" w:hAnsi="Times New Roman" w:cs="Times New Roman"/>
          <w:sz w:val="24"/>
          <w:szCs w:val="24"/>
        </w:rPr>
        <w:t xml:space="preserve">the </w:t>
      </w:r>
      <w:r w:rsidR="00062A4D" w:rsidRPr="00357722">
        <w:rPr>
          <w:rFonts w:ascii="Times New Roman" w:hAnsi="Times New Roman" w:cs="Times New Roman"/>
          <w:sz w:val="24"/>
          <w:szCs w:val="24"/>
        </w:rPr>
        <w:t>quasi-</w:t>
      </w:r>
      <w:r w:rsidR="00067C06" w:rsidRPr="00357722">
        <w:rPr>
          <w:rFonts w:ascii="Times New Roman" w:hAnsi="Times New Roman" w:cs="Times New Roman"/>
          <w:sz w:val="24"/>
          <w:szCs w:val="24"/>
        </w:rPr>
        <w:t xml:space="preserve">natural </w:t>
      </w:r>
      <w:r w:rsidR="00F951BC" w:rsidRPr="00357722">
        <w:rPr>
          <w:rFonts w:ascii="Times New Roman" w:hAnsi="Times New Roman" w:cs="Times New Roman"/>
          <w:sz w:val="24"/>
          <w:szCs w:val="24"/>
        </w:rPr>
        <w:t xml:space="preserve">experiment </w:t>
      </w:r>
      <w:r w:rsidR="00A82D33" w:rsidRPr="00357722">
        <w:rPr>
          <w:rFonts w:ascii="Times New Roman" w:hAnsi="Times New Roman" w:cs="Times New Roman"/>
          <w:sz w:val="24"/>
          <w:szCs w:val="24"/>
        </w:rPr>
        <w:t>model</w:t>
      </w:r>
      <w:r w:rsidR="00224D7F" w:rsidRPr="00357722">
        <w:rPr>
          <w:rFonts w:ascii="Times New Roman" w:hAnsi="Times New Roman" w:cs="Times New Roman"/>
          <w:sz w:val="24"/>
          <w:szCs w:val="24"/>
        </w:rPr>
        <w:t xml:space="preserve"> </w:t>
      </w:r>
      <w:r w:rsidR="00A327EF" w:rsidRPr="00357722">
        <w:rPr>
          <w:rFonts w:ascii="Times New Roman" w:hAnsi="Times New Roman" w:cs="Times New Roman"/>
          <w:sz w:val="24"/>
          <w:szCs w:val="24"/>
        </w:rPr>
        <w:t>using D</w:t>
      </w:r>
      <w:r w:rsidR="00D657F0">
        <w:rPr>
          <w:rFonts w:ascii="Times New Roman" w:hAnsi="Times New Roman" w:cs="Times New Roman"/>
          <w:sz w:val="24"/>
          <w:szCs w:val="24"/>
        </w:rPr>
        <w:t>i</w:t>
      </w:r>
      <w:r w:rsidR="00A327EF" w:rsidRPr="00357722">
        <w:rPr>
          <w:rFonts w:ascii="Times New Roman" w:hAnsi="Times New Roman" w:cs="Times New Roman"/>
          <w:sz w:val="24"/>
          <w:szCs w:val="24"/>
        </w:rPr>
        <w:t>D.</w:t>
      </w:r>
      <w:r w:rsidR="009B6493">
        <w:rPr>
          <w:rFonts w:ascii="Times New Roman" w:hAnsi="Times New Roman" w:cs="Times New Roman"/>
          <w:sz w:val="24"/>
          <w:szCs w:val="24"/>
        </w:rPr>
        <w:t xml:space="preserve"> </w:t>
      </w:r>
      <w:r w:rsidR="009B6493">
        <w:rPr>
          <w:rFonts w:ascii="Times New Roman" w:hAnsi="Times New Roman" w:cs="Times New Roman"/>
          <w:sz w:val="24"/>
          <w:szCs w:val="24"/>
        </w:rPr>
        <w:lastRenderedPageBreak/>
        <w:t xml:space="preserve">The coefficients on the interactive term </w:t>
      </w:r>
      <m:oMath>
        <m:r>
          <w:rPr>
            <w:rFonts w:ascii="Cambria Math" w:hAnsi="Cambria Math" w:cs="Times New Roman"/>
            <w:sz w:val="24"/>
            <w:szCs w:val="24"/>
          </w:rPr>
          <m:t>PORTFOLIO×GIIPS×Post-crisis</m:t>
        </m:r>
      </m:oMath>
      <w:r w:rsidR="00A327EF" w:rsidRPr="00357722">
        <w:rPr>
          <w:rFonts w:ascii="Times New Roman" w:hAnsi="Times New Roman" w:cs="Times New Roman"/>
          <w:sz w:val="24"/>
          <w:szCs w:val="24"/>
        </w:rPr>
        <w:t xml:space="preserve"> </w:t>
      </w:r>
      <w:r w:rsidR="009B6493">
        <w:rPr>
          <w:rFonts w:ascii="Times New Roman" w:hAnsi="Times New Roman" w:cs="Times New Roman"/>
          <w:sz w:val="24"/>
          <w:szCs w:val="24"/>
        </w:rPr>
        <w:t xml:space="preserve">are positive and statistically significant. These suggest that the 2010 Eurozone debt crisis affected financial </w:t>
      </w:r>
      <w:r w:rsidR="007C4ED2">
        <w:rPr>
          <w:rFonts w:ascii="Times New Roman" w:hAnsi="Times New Roman" w:cs="Times New Roman"/>
          <w:sz w:val="24"/>
          <w:szCs w:val="24"/>
        </w:rPr>
        <w:t xml:space="preserve">market </w:t>
      </w:r>
      <w:r w:rsidR="009B6493">
        <w:rPr>
          <w:rFonts w:ascii="Times New Roman" w:hAnsi="Times New Roman" w:cs="Times New Roman"/>
          <w:sz w:val="24"/>
          <w:szCs w:val="24"/>
        </w:rPr>
        <w:t xml:space="preserve">development and our results are robust. </w:t>
      </w:r>
    </w:p>
    <w:p w14:paraId="38C835F7" w14:textId="52F3321D" w:rsidR="00F35CD0" w:rsidRPr="00357722" w:rsidRDefault="00F35CD0" w:rsidP="00F35CD0">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9 about here..............</w:t>
      </w:r>
    </w:p>
    <w:p w14:paraId="10954330" w14:textId="1D773608" w:rsidR="00461A98" w:rsidRPr="00357722" w:rsidRDefault="00461A98" w:rsidP="00DE20E5">
      <w:pPr>
        <w:spacing w:after="0" w:line="480" w:lineRule="auto"/>
        <w:jc w:val="both"/>
        <w:rPr>
          <w:rFonts w:ascii="Times New Roman" w:eastAsia="Times New Roman" w:hAnsi="Times New Roman" w:cs="Times New Roman"/>
          <w:i/>
          <w:iCs/>
          <w:color w:val="000000" w:themeColor="text1"/>
          <w:sz w:val="24"/>
          <w:szCs w:val="24"/>
        </w:rPr>
      </w:pPr>
      <w:r w:rsidRPr="00357722">
        <w:rPr>
          <w:rFonts w:ascii="Times New Roman" w:eastAsia="Times New Roman" w:hAnsi="Times New Roman" w:cs="Times New Roman"/>
          <w:i/>
          <w:iCs/>
          <w:color w:val="000000" w:themeColor="text1"/>
          <w:sz w:val="24"/>
          <w:szCs w:val="24"/>
        </w:rPr>
        <w:t>4.4.</w:t>
      </w:r>
      <w:r w:rsidR="00136C48" w:rsidRPr="00357722">
        <w:rPr>
          <w:rFonts w:ascii="Times New Roman" w:eastAsia="Times New Roman" w:hAnsi="Times New Roman" w:cs="Times New Roman"/>
          <w:i/>
          <w:iCs/>
          <w:color w:val="000000" w:themeColor="text1"/>
          <w:sz w:val="24"/>
          <w:szCs w:val="24"/>
        </w:rPr>
        <w:t>4</w:t>
      </w:r>
      <w:r w:rsidR="003038A0"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
          <w:iCs/>
          <w:color w:val="000000" w:themeColor="text1"/>
          <w:sz w:val="24"/>
          <w:szCs w:val="24"/>
        </w:rPr>
        <w:tab/>
        <w:t xml:space="preserve">Interaction between international equity portfolio flow and </w:t>
      </w:r>
      <w:r w:rsidR="004E6E01" w:rsidRPr="00357722">
        <w:rPr>
          <w:rFonts w:ascii="Times New Roman" w:eastAsia="Times New Roman" w:hAnsi="Times New Roman" w:cs="Times New Roman"/>
          <w:i/>
          <w:iCs/>
          <w:color w:val="000000" w:themeColor="text1"/>
          <w:sz w:val="24"/>
          <w:szCs w:val="24"/>
        </w:rPr>
        <w:t>international bond flow</w:t>
      </w:r>
    </w:p>
    <w:p w14:paraId="633FC77E" w14:textId="6D8F619A" w:rsidR="000E372C" w:rsidRPr="00357722" w:rsidRDefault="00136C48" w:rsidP="00DE20E5">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This section examines whether the relationship between international equity portfolio diversification is sensitive to international bond flow. We estimate the results using equation (6).</w:t>
      </w:r>
    </w:p>
    <w:tbl>
      <w:tblPr>
        <w:tblpPr w:leftFromText="180" w:rightFromText="180" w:vertAnchor="text" w:tblpY="1"/>
        <w:tblOverlap w:val="never"/>
        <w:tblW w:w="5000" w:type="pct"/>
        <w:tblLook w:val="00A0" w:firstRow="1" w:lastRow="0" w:firstColumn="1" w:lastColumn="0" w:noHBand="0" w:noVBand="0"/>
      </w:tblPr>
      <w:tblGrid>
        <w:gridCol w:w="983"/>
        <w:gridCol w:w="7069"/>
        <w:gridCol w:w="1421"/>
      </w:tblGrid>
      <w:tr w:rsidR="00205EC9" w:rsidRPr="00357722" w14:paraId="673D84CF" w14:textId="77777777" w:rsidTr="00CF57F8">
        <w:tc>
          <w:tcPr>
            <w:tcW w:w="519" w:type="pct"/>
            <w:vAlign w:val="center"/>
          </w:tcPr>
          <w:p w14:paraId="402E1425" w14:textId="77777777" w:rsidR="00205EC9" w:rsidRPr="00357722" w:rsidRDefault="00205EC9" w:rsidP="00CF57F8">
            <w:pPr>
              <w:spacing w:after="0" w:line="480" w:lineRule="auto"/>
              <w:jc w:val="center"/>
              <w:rPr>
                <w:rFonts w:ascii="Times New Roman" w:eastAsia="Calibri" w:hAnsi="Times New Roman" w:cs="Times New Roman"/>
                <w:i/>
                <w:sz w:val="24"/>
                <w:szCs w:val="24"/>
                <w:lang w:eastAsia="ko-KR"/>
              </w:rPr>
            </w:pPr>
          </w:p>
        </w:tc>
        <w:tc>
          <w:tcPr>
            <w:tcW w:w="3731" w:type="pct"/>
            <w:vAlign w:val="center"/>
          </w:tcPr>
          <w:p w14:paraId="42C7A7A2" w14:textId="320B84AE" w:rsidR="00205EC9" w:rsidRPr="00357722" w:rsidRDefault="00000000" w:rsidP="002763DB">
            <w:pPr>
              <w:spacing w:after="0" w:line="480" w:lineRule="auto"/>
              <w:jc w:val="both"/>
              <w:rPr>
                <w:rFonts w:ascii="Times New Roman" w:eastAsia="Calibri" w:hAnsi="Times New Roman" w:cs="Times New Roman"/>
                <w:sz w:val="24"/>
                <w:szCs w:val="24"/>
                <w:lang w:eastAsia="ko-KR"/>
              </w:rPr>
            </w:pPr>
            <m:oMathPara>
              <m:oMathParaPr>
                <m:jc m:val="center"/>
              </m:oMathParaPr>
              <m:oMath>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eastAsia="en-US"/>
                      </w:rPr>
                      <m:t>FD</m:t>
                    </m:r>
                  </m:e>
                  <m:sub>
                    <m:r>
                      <w:rPr>
                        <w:rFonts w:ascii="Cambria Math" w:eastAsia="Calibri" w:hAnsi="Cambria Math" w:cs="Times New Roman"/>
                        <w:sz w:val="24"/>
                        <w:szCs w:val="24"/>
                        <w:lang w:val="en-US" w:eastAsia="en-US"/>
                      </w:rPr>
                      <m:t>it</m:t>
                    </m:r>
                  </m:sub>
                </m:sSub>
                <m:r>
                  <w:rPr>
                    <w:rFonts w:ascii="Cambria Math" w:eastAsia="Calibri" w:hAnsi="Cambria Math" w:cs="Times New Roman"/>
                    <w:sz w:val="24"/>
                    <w:szCs w:val="24"/>
                    <w:lang w:val="en-US" w:eastAsia="en-US"/>
                  </w:rPr>
                  <m:t>=a+</m:t>
                </m:r>
                <m:sSub>
                  <m:sSubPr>
                    <m:ctrlPr>
                      <w:rPr>
                        <w:rFonts w:ascii="Cambria Math" w:eastAsia="Calibri" w:hAnsi="Cambria Math" w:cs="Times New Roman"/>
                        <w:i/>
                        <w:sz w:val="24"/>
                        <w:szCs w:val="24"/>
                        <w:lang w:val="en-US" w:eastAsia="en-US"/>
                      </w:rPr>
                    </m:ctrlPr>
                  </m:sSubPr>
                  <m:e>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β</m:t>
                        </m:r>
                      </m:e>
                      <m:sub>
                        <m:r>
                          <w:rPr>
                            <w:rFonts w:ascii="Cambria Math" w:eastAsia="Calibri" w:hAnsi="Cambria Math" w:cs="Times New Roman"/>
                            <w:sz w:val="24"/>
                            <w:szCs w:val="24"/>
                            <w:lang w:val="en-US" w:eastAsia="en-US"/>
                          </w:rPr>
                          <m:t>2</m:t>
                        </m:r>
                      </m:sub>
                    </m:sSub>
                    <m:r>
                      <w:rPr>
                        <w:rFonts w:ascii="Cambria Math" w:eastAsia="Calibri" w:hAnsi="Cambria Math" w:cs="Times New Roman"/>
                        <w:sz w:val="24"/>
                        <w:szCs w:val="24"/>
                        <w:lang w:val="en-US" w:eastAsia="en-US"/>
                      </w:rPr>
                      <m:t>.IEPD</m:t>
                    </m:r>
                  </m:e>
                  <m:sub>
                    <m:r>
                      <w:rPr>
                        <w:rFonts w:ascii="Cambria Math" w:eastAsia="Calibri" w:hAnsi="Cambria Math" w:cs="Times New Roman"/>
                        <w:sz w:val="24"/>
                        <w:szCs w:val="24"/>
                        <w:lang w:val="en-US" w:eastAsia="en-US"/>
                      </w:rPr>
                      <m:t>it</m:t>
                    </m:r>
                  </m:sub>
                </m:sSub>
                <m:r>
                  <w:rPr>
                    <w:rFonts w:ascii="Cambria Math" w:eastAsia="Calibri" w:hAnsi="Cambria Math" w:cs="Times New Roman"/>
                    <w:sz w:val="24"/>
                    <w:szCs w:val="24"/>
                    <w:lang w:val="en-US" w:eastAsia="en-US"/>
                  </w:rPr>
                  <m:t>+</m:t>
                </m:r>
                <m:sSub>
                  <m:sSubPr>
                    <m:ctrlPr>
                      <w:rPr>
                        <w:rFonts w:ascii="Cambria Math" w:eastAsia="Calibri" w:hAnsi="Cambria Math" w:cs="Times New Roman"/>
                        <w:i/>
                        <w:iCs/>
                        <w:sz w:val="24"/>
                        <w:szCs w:val="24"/>
                        <w:lang w:eastAsia="en-US"/>
                      </w:rPr>
                    </m:ctrlPr>
                  </m:sSubPr>
                  <m:e>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β</m:t>
                        </m:r>
                      </m:e>
                      <m:sub>
                        <m:r>
                          <w:rPr>
                            <w:rFonts w:ascii="Cambria Math" w:eastAsia="Calibri" w:hAnsi="Cambria Math" w:cs="Times New Roman"/>
                            <w:sz w:val="24"/>
                            <w:szCs w:val="24"/>
                            <w:lang w:val="en-US" w:eastAsia="en-US"/>
                          </w:rPr>
                          <m:t>2</m:t>
                        </m:r>
                      </m:sub>
                    </m:sSub>
                    <m:r>
                      <w:rPr>
                        <w:rFonts w:ascii="Cambria Math" w:eastAsia="Calibri" w:hAnsi="Cambria Math" w:cs="Times New Roman"/>
                        <w:sz w:val="24"/>
                        <w:szCs w:val="24"/>
                        <w:lang w:val="en-US" w:eastAsia="en-US"/>
                      </w:rPr>
                      <m:t>.</m:t>
                    </m:r>
                    <m:r>
                      <w:rPr>
                        <w:rFonts w:ascii="Cambria Math" w:eastAsia="Calibri" w:hAnsi="Cambria Math" w:cs="Times New Roman"/>
                        <w:sz w:val="24"/>
                        <w:szCs w:val="24"/>
                        <w:lang w:eastAsia="en-US"/>
                      </w:rPr>
                      <m:t>IBF+β</m:t>
                    </m:r>
                  </m:e>
                  <m:sub>
                    <m:r>
                      <w:rPr>
                        <w:rFonts w:ascii="Cambria Math" w:eastAsia="Calibri" w:hAnsi="Cambria Math" w:cs="Times New Roman"/>
                        <w:sz w:val="24"/>
                        <w:szCs w:val="24"/>
                        <w:lang w:eastAsia="en-US"/>
                      </w:rPr>
                      <m:t>3</m:t>
                    </m:r>
                  </m:sub>
                </m:sSub>
                <m:r>
                  <w:rPr>
                    <w:rFonts w:ascii="Cambria Math" w:eastAsia="Calibri" w:hAnsi="Cambria Math" w:cs="Times New Roman"/>
                    <w:sz w:val="24"/>
                    <w:szCs w:val="24"/>
                    <w:lang w:val="en-US" w:eastAsia="en-US"/>
                  </w:rPr>
                  <m:t>.</m:t>
                </m:r>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IEPD×IBF</m:t>
                    </m:r>
                  </m:e>
                  <m:sub>
                    <m:r>
                      <w:rPr>
                        <w:rFonts w:ascii="Cambria Math" w:eastAsia="Calibri" w:hAnsi="Cambria Math" w:cs="Times New Roman"/>
                        <w:sz w:val="24"/>
                        <w:szCs w:val="24"/>
                        <w:lang w:val="en-US" w:eastAsia="en-US"/>
                      </w:rPr>
                      <m:t>it</m:t>
                    </m:r>
                  </m:sub>
                </m:sSub>
                <m:r>
                  <w:rPr>
                    <w:rFonts w:ascii="Cambria Math" w:eastAsia="Calibri" w:hAnsi="Cambria Math" w:cs="Times New Roman"/>
                    <w:sz w:val="24"/>
                    <w:szCs w:val="24"/>
                    <w:lang w:val="en-US"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β</m:t>
                    </m:r>
                  </m:e>
                  <m:sub>
                    <m:r>
                      <w:rPr>
                        <w:rFonts w:ascii="Cambria Math" w:eastAsia="Calibri" w:hAnsi="Cambria Math" w:cs="Times New Roman"/>
                        <w:sz w:val="24"/>
                        <w:szCs w:val="24"/>
                        <w:lang w:eastAsia="en-US"/>
                      </w:rPr>
                      <m:t>4</m:t>
                    </m:r>
                  </m:sub>
                </m:sSub>
                <m:r>
                  <w:rPr>
                    <w:rFonts w:ascii="Cambria Math" w:eastAsia="Calibri" w:hAnsi="Cambria Math" w:cs="Times New Roman"/>
                    <w:sz w:val="24"/>
                    <w:szCs w:val="24"/>
                    <w:lang w:eastAsia="en-US"/>
                  </w:rPr>
                  <m:t>.Ct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ls</m:t>
                    </m:r>
                  </m:e>
                  <m:sub>
                    <m:r>
                      <w:rPr>
                        <w:rFonts w:ascii="Cambria Math" w:eastAsia="Calibri" w:hAnsi="Cambria Math" w:cs="Times New Roman"/>
                        <w:sz w:val="24"/>
                        <w:szCs w:val="24"/>
                        <w:lang w:eastAsia="en-US"/>
                      </w:rPr>
                      <m:t>it</m:t>
                    </m:r>
                  </m:sub>
                </m:sSub>
                <m:r>
                  <w:rPr>
                    <w:rFonts w:ascii="Cambria Math" w:eastAsia="Calibri" w:hAnsi="Cambria Math" w:cs="Times New Roman"/>
                    <w:sz w:val="24"/>
                    <w:szCs w:val="24"/>
                    <w:lang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β</m:t>
                    </m:r>
                  </m:e>
                  <m:sub>
                    <m:r>
                      <w:rPr>
                        <w:rFonts w:ascii="Cambria Math" w:eastAsia="Calibri" w:hAnsi="Cambria Math" w:cs="Times New Roman"/>
                        <w:sz w:val="24"/>
                        <w:szCs w:val="24"/>
                        <w:lang w:eastAsia="en-US"/>
                      </w:rPr>
                      <m:t>5</m:t>
                    </m:r>
                  </m:sub>
                </m:sSub>
                <m:r>
                  <w:rPr>
                    <w:rFonts w:ascii="Cambria Math" w:eastAsia="Calibri" w:hAnsi="Cambria Math" w:cs="Times New Roman"/>
                    <w:sz w:val="24"/>
                    <w:szCs w:val="24"/>
                    <w:lang w:eastAsia="en-US"/>
                  </w:rPr>
                  <m:t>.TF</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E</m:t>
                    </m:r>
                  </m:e>
                  <m:sub>
                    <m:r>
                      <w:rPr>
                        <w:rFonts w:ascii="Cambria Math" w:eastAsia="Calibri" w:hAnsi="Cambria Math" w:cs="Times New Roman"/>
                        <w:sz w:val="24"/>
                        <w:szCs w:val="24"/>
                        <w:lang w:eastAsia="en-US"/>
                      </w:rPr>
                      <m:t>t</m:t>
                    </m:r>
                  </m:sub>
                </m:sSub>
                <m:r>
                  <w:rPr>
                    <w:rFonts w:ascii="Cambria Math" w:eastAsia="Calibri" w:hAnsi="Cambria Math" w:cs="Times New Roman"/>
                    <w:sz w:val="24"/>
                    <w:szCs w:val="24"/>
                    <w:lang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β</m:t>
                    </m:r>
                  </m:e>
                  <m:sub>
                    <m:r>
                      <w:rPr>
                        <w:rFonts w:ascii="Cambria Math" w:eastAsia="Calibri" w:hAnsi="Cambria Math" w:cs="Times New Roman"/>
                        <w:sz w:val="24"/>
                        <w:szCs w:val="24"/>
                        <w:lang w:eastAsia="en-US"/>
                      </w:rPr>
                      <m:t>6</m:t>
                    </m:r>
                  </m:sub>
                </m:sSub>
                <m:r>
                  <w:rPr>
                    <w:rFonts w:ascii="Cambria Math" w:eastAsia="Calibri" w:hAnsi="Cambria Math" w:cs="Times New Roman"/>
                    <w:sz w:val="24"/>
                    <w:szCs w:val="24"/>
                    <w:lang w:eastAsia="en-US"/>
                  </w:rPr>
                  <m:t>.CF</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E</m:t>
                    </m:r>
                  </m:e>
                  <m:sub>
                    <m:r>
                      <w:rPr>
                        <w:rFonts w:ascii="Cambria Math" w:eastAsia="Calibri" w:hAnsi="Cambria Math" w:cs="Times New Roman"/>
                        <w:sz w:val="24"/>
                        <w:szCs w:val="24"/>
                        <w:lang w:eastAsia="en-US"/>
                      </w:rPr>
                      <m:t>i</m:t>
                    </m:r>
                  </m:sub>
                </m:sSub>
                <m:r>
                  <w:rPr>
                    <w:rFonts w:ascii="Cambria Math" w:eastAsia="Calibri" w:hAnsi="Cambria Math" w:cs="Times New Roman"/>
                    <w:sz w:val="24"/>
                    <w:szCs w:val="24"/>
                    <w:lang w:eastAsia="en-US"/>
                  </w:rPr>
                  <m:t>+</m:t>
                </m:r>
                <m:sSub>
                  <m:sSubPr>
                    <m:ctrlPr>
                      <w:rPr>
                        <w:rFonts w:ascii="Cambria Math" w:eastAsia="Calibri" w:hAnsi="Cambria Math" w:cs="Times New Roman"/>
                        <w:i/>
                        <w:iCs/>
                        <w:sz w:val="24"/>
                        <w:szCs w:val="24"/>
                        <w:lang w:eastAsia="en-US"/>
                      </w:rPr>
                    </m:ctrlPr>
                  </m:sSubPr>
                  <m:e>
                    <m:r>
                      <w:rPr>
                        <w:rFonts w:ascii="Cambria Math" w:eastAsia="Calibri" w:hAnsi="Cambria Math" w:cs="Times New Roman"/>
                        <w:sz w:val="24"/>
                        <w:szCs w:val="24"/>
                        <w:lang w:eastAsia="en-US"/>
                      </w:rPr>
                      <m:t>ϵ</m:t>
                    </m:r>
                  </m:e>
                  <m:sub>
                    <m:r>
                      <w:rPr>
                        <w:rFonts w:ascii="Cambria Math" w:eastAsia="Calibri" w:hAnsi="Cambria Math" w:cs="Times New Roman"/>
                        <w:sz w:val="24"/>
                        <w:szCs w:val="24"/>
                        <w:lang w:eastAsia="en-US"/>
                      </w:rPr>
                      <m:t>it</m:t>
                    </m:r>
                  </m:sub>
                </m:sSub>
              </m:oMath>
            </m:oMathPara>
          </w:p>
        </w:tc>
        <w:tc>
          <w:tcPr>
            <w:tcW w:w="750" w:type="pct"/>
            <w:vAlign w:val="center"/>
          </w:tcPr>
          <w:p w14:paraId="0076C3AD" w14:textId="77777777" w:rsidR="00205EC9" w:rsidRPr="00357722" w:rsidRDefault="00205EC9" w:rsidP="00CF57F8">
            <w:pPr>
              <w:numPr>
                <w:ilvl w:val="0"/>
                <w:numId w:val="31"/>
              </w:numPr>
              <w:suppressAutoHyphens/>
              <w:autoSpaceDN w:val="0"/>
              <w:spacing w:after="0" w:line="480" w:lineRule="auto"/>
              <w:jc w:val="right"/>
              <w:textAlignment w:val="baseline"/>
              <w:rPr>
                <w:rFonts w:ascii="Times New Roman" w:eastAsia="Calibri" w:hAnsi="Times New Roman" w:cs="Times New Roman"/>
                <w:i/>
                <w:sz w:val="24"/>
                <w:szCs w:val="24"/>
                <w:lang w:eastAsia="ko-KR"/>
              </w:rPr>
            </w:pPr>
          </w:p>
        </w:tc>
      </w:tr>
    </w:tbl>
    <w:p w14:paraId="12EB31B1" w14:textId="1684D9BE" w:rsidR="00B3723A" w:rsidRPr="00357722" w:rsidRDefault="00205EC9" w:rsidP="00B3723A">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 xml:space="preserve">Where, </w:t>
      </w:r>
      <m:oMath>
        <m:sSub>
          <m:sSubPr>
            <m:ctrlPr>
              <w:rPr>
                <w:rFonts w:ascii="Cambria Math" w:eastAsia="Times New Roman" w:hAnsi="Cambria Math" w:cs="Times New Roman"/>
                <w:i/>
                <w:iCs/>
                <w:color w:val="000000" w:themeColor="text1"/>
                <w:sz w:val="24"/>
                <w:szCs w:val="24"/>
              </w:rPr>
            </m:ctrlPr>
          </m:sSubPr>
          <m:e>
            <m:r>
              <w:rPr>
                <w:rFonts w:ascii="Cambria Math" w:eastAsia="Times New Roman" w:hAnsi="Cambria Math" w:cs="Times New Roman"/>
                <w:color w:val="000000" w:themeColor="text1"/>
                <w:sz w:val="24"/>
                <w:szCs w:val="24"/>
              </w:rPr>
              <m:t>FD</m:t>
            </m:r>
          </m:e>
          <m:sub>
            <m:r>
              <w:rPr>
                <w:rFonts w:ascii="Cambria Math" w:eastAsia="Times New Roman"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the three financial development measures (</w:t>
      </w:r>
      <w:r w:rsidRPr="00357722">
        <w:rPr>
          <w:rFonts w:ascii="Times New Roman" w:eastAsia="Times New Roman" w:hAnsi="Times New Roman" w:cs="Times New Roman"/>
          <w:i/>
          <w:iCs/>
          <w:color w:val="000000" w:themeColor="text1"/>
          <w:sz w:val="24"/>
          <w:szCs w:val="24"/>
          <w:lang w:val="en-US"/>
        </w:rPr>
        <w:t>MCGDP</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
          <w:iCs/>
          <w:color w:val="000000" w:themeColor="text1"/>
          <w:sz w:val="24"/>
          <w:szCs w:val="24"/>
          <w:lang w:val="en-US"/>
        </w:rPr>
        <w:t>PSCGDP</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and</w:t>
      </w:r>
      <w:r w:rsidRPr="00357722">
        <w:rPr>
          <w:rFonts w:ascii="Times New Roman" w:eastAsia="Times New Roman" w:hAnsi="Times New Roman" w:cs="Times New Roman"/>
          <w:i/>
          <w:iCs/>
          <w:color w:val="000000" w:themeColor="text1"/>
          <w:sz w:val="24"/>
          <w:szCs w:val="24"/>
        </w:rPr>
        <w:t xml:space="preserve"> </w:t>
      </w:r>
      <w:r w:rsidRPr="00357722">
        <w:rPr>
          <w:rFonts w:ascii="Times New Roman" w:eastAsia="Times New Roman" w:hAnsi="Times New Roman" w:cs="Times New Roman"/>
          <w:i/>
          <w:iCs/>
          <w:color w:val="000000" w:themeColor="text1"/>
          <w:sz w:val="24"/>
          <w:szCs w:val="24"/>
          <w:lang w:val="en-US"/>
        </w:rPr>
        <w:t>DCPGDP</w:t>
      </w:r>
      <w:r w:rsidRPr="00357722">
        <w:rPr>
          <w:rFonts w:ascii="Times New Roman" w:eastAsia="Times New Roman" w:hAnsi="Times New Roman" w:cs="Times New Roman"/>
          <w:i/>
          <w:iCs/>
          <w:color w:val="000000" w:themeColor="text1"/>
          <w:sz w:val="24"/>
          <w:szCs w:val="24"/>
        </w:rPr>
        <w:t>)</w:t>
      </w:r>
      <w:r w:rsidRPr="00357722">
        <w:rPr>
          <w:rFonts w:ascii="Times New Roman" w:eastAsia="Times New Roman" w:hAnsi="Times New Roman" w:cs="Times New Roman"/>
          <w:iCs/>
          <w:color w:val="000000" w:themeColor="text1"/>
          <w:sz w:val="24"/>
          <w:szCs w:val="24"/>
        </w:rPr>
        <w:t xml:space="preserve"> for country </w:t>
      </w:r>
      <m:oMath>
        <m:r>
          <w:rPr>
            <w:rFonts w:ascii="Cambria Math" w:eastAsia="Times New Roman" w:hAnsi="Cambria Math" w:cs="Times New Roman"/>
            <w:color w:val="000000" w:themeColor="text1"/>
            <w:sz w:val="24"/>
            <w:szCs w:val="24"/>
          </w:rPr>
          <m:t>i</m:t>
        </m:r>
      </m:oMath>
      <w:r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iCs/>
          <w:color w:val="000000" w:themeColor="text1"/>
          <w:sz w:val="24"/>
          <w:szCs w:val="24"/>
        </w:rPr>
        <w:t>.</w:t>
      </w:r>
      <m:oMath>
        <m:r>
          <w:rPr>
            <w:rFonts w:ascii="Cambria Math" w:eastAsia="Calibri" w:hAnsi="Cambria Math" w:cs="Times New Roman"/>
            <w:sz w:val="24"/>
            <w:szCs w:val="24"/>
            <w:lang w:val="en-US" w:eastAsia="en-US"/>
          </w:rPr>
          <m:t xml:space="preserve"> </m:t>
        </m:r>
      </m:oMath>
      <w:r w:rsidRPr="00357722">
        <w:rPr>
          <w:rFonts w:ascii="Times New Roman" w:eastAsia="Times New Roman" w:hAnsi="Times New Roman" w:cs="Times New Roman"/>
          <w:iCs/>
          <w:color w:val="000000" w:themeColor="text1"/>
          <w:sz w:val="24"/>
          <w:szCs w:val="24"/>
        </w:rPr>
        <w:t xml:space="preserve"> </w:t>
      </w:r>
      <m:oMath>
        <m:sSub>
          <m:sSubPr>
            <m:ctrlPr>
              <w:rPr>
                <w:rFonts w:ascii="Cambria Math" w:eastAsia="Times New Roman" w:hAnsi="Cambria Math" w:cs="Times New Roman"/>
                <w:i/>
                <w:iCs/>
                <w:color w:val="000000" w:themeColor="text1"/>
                <w:sz w:val="24"/>
                <w:szCs w:val="24"/>
              </w:rPr>
            </m:ctrlPr>
          </m:sSubPr>
          <m:e>
            <m:r>
              <w:rPr>
                <w:rFonts w:ascii="Cambria Math" w:eastAsia="Times New Roman" w:hAnsi="Cambria Math" w:cs="Times New Roman"/>
                <w:color w:val="000000" w:themeColor="text1"/>
                <w:sz w:val="24"/>
                <w:szCs w:val="24"/>
              </w:rPr>
              <m:t>IEPD</m:t>
            </m:r>
          </m:e>
          <m:sub>
            <m:r>
              <w:rPr>
                <w:rFonts w:ascii="Cambria Math" w:eastAsia="Times New Roman"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international equity portfolio diversification. </w:t>
      </w:r>
      <m:oMath>
        <m:r>
          <w:rPr>
            <w:rFonts w:ascii="Cambria Math" w:eastAsia="Calibri" w:hAnsi="Cambria Math" w:cs="Times New Roman"/>
            <w:sz w:val="24"/>
            <w:szCs w:val="24"/>
            <w:lang w:eastAsia="en-US"/>
          </w:rPr>
          <m:t>IBF</m:t>
        </m:r>
      </m:oMath>
      <w:r w:rsidR="002763DB" w:rsidRPr="00357722">
        <w:rPr>
          <w:rFonts w:ascii="Times New Roman" w:eastAsia="Times New Roman" w:hAnsi="Times New Roman" w:cs="Times New Roman"/>
          <w:sz w:val="24"/>
          <w:szCs w:val="24"/>
          <w:lang w:eastAsia="en-US"/>
        </w:rPr>
        <w:t xml:space="preserve"> </w:t>
      </w:r>
      <w:r w:rsidRPr="00357722">
        <w:rPr>
          <w:rFonts w:ascii="Times New Roman" w:eastAsia="Times New Roman" w:hAnsi="Times New Roman" w:cs="Times New Roman"/>
          <w:iCs/>
          <w:color w:val="000000" w:themeColor="text1"/>
          <w:sz w:val="24"/>
          <w:szCs w:val="24"/>
        </w:rPr>
        <w:t xml:space="preserve">represents </w:t>
      </w:r>
      <w:r w:rsidR="002763DB" w:rsidRPr="00357722">
        <w:rPr>
          <w:rFonts w:ascii="Times New Roman" w:eastAsia="Times New Roman" w:hAnsi="Times New Roman" w:cs="Times New Roman"/>
          <w:iCs/>
          <w:color w:val="000000" w:themeColor="text1"/>
          <w:sz w:val="24"/>
          <w:szCs w:val="24"/>
        </w:rPr>
        <w:t xml:space="preserve">international bond flow.  </w:t>
      </w:r>
      <m:oMath>
        <m:r>
          <w:rPr>
            <w:rFonts w:ascii="Cambria Math" w:eastAsia="Calibri" w:hAnsi="Cambria Math" w:cs="Times New Roman"/>
            <w:sz w:val="24"/>
            <w:szCs w:val="24"/>
            <w:lang w:val="en-US" w:eastAsia="en-US"/>
          </w:rPr>
          <m:t>IEPD×IBF</m:t>
        </m:r>
      </m:oMath>
      <w:r w:rsidR="002763DB"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Cs/>
          <w:color w:val="000000" w:themeColor="text1"/>
          <w:sz w:val="24"/>
          <w:szCs w:val="24"/>
        </w:rPr>
        <w:t>interactive</w:t>
      </w:r>
      <w:r w:rsidR="002763DB" w:rsidRPr="00357722">
        <w:rPr>
          <w:rFonts w:ascii="Times New Roman" w:eastAsia="Times New Roman" w:hAnsi="Times New Roman" w:cs="Times New Roman"/>
          <w:iCs/>
          <w:color w:val="000000" w:themeColor="text1"/>
          <w:sz w:val="24"/>
          <w:szCs w:val="24"/>
        </w:rPr>
        <w:t xml:space="preserve"> term between international equity portfolio diversification and international bond flow</w:t>
      </w:r>
      <w:r w:rsidRPr="00357722">
        <w:rPr>
          <w:rFonts w:ascii="Times New Roman" w:eastAsia="Times New Roman" w:hAnsi="Times New Roman" w:cs="Times New Roman"/>
          <w:iCs/>
          <w:color w:val="000000" w:themeColor="text1"/>
          <w:sz w:val="24"/>
          <w:szCs w:val="24"/>
        </w:rPr>
        <w:t xml:space="preserve">. </w:t>
      </w:r>
      <m:oMath>
        <m:r>
          <w:rPr>
            <w:rFonts w:ascii="Cambria Math" w:eastAsia="Times New Roman" w:hAnsi="Cambria Math" w:cs="Times New Roman"/>
            <w:color w:val="000000" w:themeColor="text1"/>
            <w:sz w:val="24"/>
            <w:szCs w:val="24"/>
          </w:rPr>
          <m:t>Ct</m:t>
        </m:r>
        <m:sSub>
          <m:sSubPr>
            <m:ctrlPr>
              <w:rPr>
                <w:rFonts w:ascii="Cambria Math" w:eastAsia="Times New Roman" w:hAnsi="Cambria Math" w:cs="Times New Roman"/>
                <w:i/>
                <w:iCs/>
                <w:color w:val="000000" w:themeColor="text1"/>
                <w:sz w:val="24"/>
                <w:szCs w:val="24"/>
              </w:rPr>
            </m:ctrlPr>
          </m:sSubPr>
          <m:e>
            <m:r>
              <w:rPr>
                <w:rFonts w:ascii="Cambria Math" w:eastAsia="Times New Roman" w:hAnsi="Cambria Math" w:cs="Times New Roman"/>
                <w:color w:val="000000" w:themeColor="text1"/>
                <w:sz w:val="24"/>
                <w:szCs w:val="24"/>
              </w:rPr>
              <m:t>ls</m:t>
            </m:r>
          </m:e>
          <m:sub>
            <m:r>
              <w:rPr>
                <w:rFonts w:ascii="Cambria Math" w:eastAsia="Times New Roman" w:hAnsi="Cambria Math" w:cs="Times New Roman"/>
                <w:color w:val="000000" w:themeColor="text1"/>
                <w:sz w:val="24"/>
                <w:szCs w:val="24"/>
              </w:rPr>
              <m:t>it</m:t>
            </m:r>
          </m:sub>
        </m:sSub>
      </m:oMath>
      <w:r w:rsidRPr="00357722">
        <w:rPr>
          <w:rFonts w:ascii="Times New Roman" w:eastAsia="Times New Roman" w:hAnsi="Times New Roman" w:cs="Times New Roman"/>
          <w:iCs/>
          <w:color w:val="000000" w:themeColor="text1"/>
          <w:sz w:val="24"/>
          <w:szCs w:val="24"/>
        </w:rPr>
        <w:t xml:space="preserve"> represents a vector of the control variables of country </w:t>
      </w:r>
      <m:oMath>
        <m:r>
          <w:rPr>
            <w:rFonts w:ascii="Cambria Math" w:eastAsia="Times New Roman" w:hAnsi="Cambria Math" w:cs="Times New Roman"/>
            <w:color w:val="000000" w:themeColor="text1"/>
            <w:sz w:val="24"/>
            <w:szCs w:val="24"/>
          </w:rPr>
          <m:t>i</m:t>
        </m:r>
      </m:oMath>
      <w:r w:rsidRPr="00357722">
        <w:rPr>
          <w:rFonts w:ascii="Times New Roman" w:eastAsia="Times New Roman" w:hAnsi="Times New Roman" w:cs="Times New Roman"/>
          <w:iCs/>
          <w:color w:val="000000" w:themeColor="text1"/>
          <w:sz w:val="24"/>
          <w:szCs w:val="24"/>
        </w:rPr>
        <w:t xml:space="preserve"> at time </w:t>
      </w:r>
      <m:oMath>
        <m:r>
          <w:rPr>
            <w:rFonts w:ascii="Cambria Math" w:eastAsia="Times New Roman" w:hAnsi="Cambria Math" w:cs="Times New Roman"/>
            <w:color w:val="000000" w:themeColor="text1"/>
            <w:sz w:val="24"/>
            <w:szCs w:val="24"/>
          </w:rPr>
          <m:t>t</m:t>
        </m:r>
      </m:oMath>
      <w:r w:rsidRPr="00357722">
        <w:rPr>
          <w:rFonts w:ascii="Times New Roman" w:eastAsia="Times New Roman" w:hAnsi="Times New Roman" w:cs="Times New Roman"/>
          <w:iCs/>
          <w:color w:val="000000" w:themeColor="text1"/>
          <w:sz w:val="24"/>
          <w:szCs w:val="24"/>
        </w:rPr>
        <w:t xml:space="preserve">. </w:t>
      </w:r>
      <w:r w:rsidRPr="00357722">
        <w:rPr>
          <w:rFonts w:ascii="Times New Roman" w:eastAsia="Times New Roman" w:hAnsi="Times New Roman" w:cs="Times New Roman"/>
          <w:i/>
          <w:iCs/>
          <w:color w:val="000000" w:themeColor="text1"/>
          <w:sz w:val="24"/>
          <w:szCs w:val="24"/>
        </w:rPr>
        <w:t>TFE</w:t>
      </w:r>
      <w:r w:rsidRPr="00357722">
        <w:rPr>
          <w:rFonts w:ascii="Times New Roman" w:eastAsia="Times New Roman" w:hAnsi="Times New Roman" w:cs="Times New Roman"/>
          <w:iCs/>
          <w:color w:val="000000" w:themeColor="text1"/>
          <w:sz w:val="24"/>
          <w:szCs w:val="24"/>
        </w:rPr>
        <w:t xml:space="preserve"> represents time effects. </w:t>
      </w:r>
      <w:r w:rsidRPr="00357722">
        <w:rPr>
          <w:rFonts w:ascii="Times New Roman" w:eastAsia="Times New Roman" w:hAnsi="Times New Roman" w:cs="Times New Roman"/>
          <w:i/>
          <w:iCs/>
          <w:color w:val="000000" w:themeColor="text1"/>
          <w:sz w:val="24"/>
          <w:szCs w:val="24"/>
        </w:rPr>
        <w:t>CFE</w:t>
      </w:r>
      <w:r w:rsidRPr="00357722">
        <w:rPr>
          <w:rFonts w:ascii="Times New Roman" w:eastAsia="Times New Roman" w:hAnsi="Times New Roman" w:cs="Times New Roman"/>
          <w:iCs/>
          <w:color w:val="000000" w:themeColor="text1"/>
          <w:sz w:val="24"/>
          <w:szCs w:val="24"/>
        </w:rPr>
        <w:t xml:space="preserve"> represent</w:t>
      </w:r>
      <w:r w:rsidR="00E30532">
        <w:rPr>
          <w:rFonts w:ascii="Times New Roman" w:eastAsia="Times New Roman" w:hAnsi="Times New Roman" w:cs="Times New Roman"/>
          <w:iCs/>
          <w:color w:val="000000" w:themeColor="text1"/>
          <w:sz w:val="24"/>
          <w:szCs w:val="24"/>
        </w:rPr>
        <w:t>s</w:t>
      </w:r>
      <w:r w:rsidRPr="00357722">
        <w:rPr>
          <w:rFonts w:ascii="Times New Roman" w:eastAsia="Times New Roman" w:hAnsi="Times New Roman" w:cs="Times New Roman"/>
          <w:iCs/>
          <w:color w:val="000000" w:themeColor="text1"/>
          <w:sz w:val="24"/>
          <w:szCs w:val="24"/>
        </w:rPr>
        <w:t xml:space="preserve"> country</w:t>
      </w:r>
      <w:r w:rsidR="00D36BF6">
        <w:rPr>
          <w:rFonts w:ascii="Times New Roman" w:eastAsia="Times New Roman" w:hAnsi="Times New Roman" w:cs="Times New Roman"/>
          <w:iCs/>
          <w:color w:val="000000" w:themeColor="text1"/>
          <w:sz w:val="24"/>
          <w:szCs w:val="24"/>
        </w:rPr>
        <w:t>-</w:t>
      </w:r>
      <w:r w:rsidRPr="00357722">
        <w:rPr>
          <w:rFonts w:ascii="Times New Roman" w:eastAsia="Times New Roman" w:hAnsi="Times New Roman" w:cs="Times New Roman"/>
          <w:iCs/>
          <w:color w:val="000000" w:themeColor="text1"/>
          <w:sz w:val="24"/>
          <w:szCs w:val="24"/>
        </w:rPr>
        <w:t>fixed effects.</w:t>
      </w:r>
    </w:p>
    <w:p w14:paraId="30A04C21" w14:textId="53BE5CD0" w:rsidR="00136C48" w:rsidRPr="00357722" w:rsidRDefault="00136C48" w:rsidP="00A01F8F">
      <w:pPr>
        <w:spacing w:after="0" w:line="480" w:lineRule="auto"/>
        <w:ind w:firstLine="720"/>
        <w:jc w:val="both"/>
        <w:rPr>
          <w:rFonts w:ascii="Times New Roman" w:eastAsia="Times New Roman" w:hAnsi="Times New Roman" w:cs="Times New Roman"/>
          <w:iCs/>
          <w:color w:val="000000" w:themeColor="text1"/>
          <w:sz w:val="24"/>
          <w:szCs w:val="24"/>
        </w:rPr>
      </w:pPr>
      <w:r w:rsidRPr="00357722">
        <w:rPr>
          <w:rFonts w:ascii="Times New Roman" w:eastAsia="Times New Roman" w:hAnsi="Times New Roman" w:cs="Times New Roman"/>
          <w:iCs/>
          <w:color w:val="000000" w:themeColor="text1"/>
          <w:sz w:val="24"/>
          <w:szCs w:val="24"/>
        </w:rPr>
        <w:t>Table 10 presents the res</w:t>
      </w:r>
      <w:r w:rsidR="00AB7763" w:rsidRPr="00357722">
        <w:rPr>
          <w:rFonts w:ascii="Times New Roman" w:eastAsia="Times New Roman" w:hAnsi="Times New Roman" w:cs="Times New Roman"/>
          <w:iCs/>
          <w:color w:val="000000" w:themeColor="text1"/>
          <w:sz w:val="24"/>
          <w:szCs w:val="24"/>
        </w:rPr>
        <w:t xml:space="preserve">ults of the interaction between international equity portfolio flow and international bond flow. In </w:t>
      </w:r>
      <w:r w:rsidR="003038A0" w:rsidRPr="00357722">
        <w:rPr>
          <w:rFonts w:ascii="Times New Roman" w:eastAsia="Times New Roman" w:hAnsi="Times New Roman" w:cs="Times New Roman"/>
          <w:iCs/>
          <w:color w:val="000000" w:themeColor="text1"/>
          <w:sz w:val="24"/>
          <w:szCs w:val="24"/>
        </w:rPr>
        <w:t>m</w:t>
      </w:r>
      <w:r w:rsidR="00AB7763" w:rsidRPr="00357722">
        <w:rPr>
          <w:rFonts w:ascii="Times New Roman" w:eastAsia="Times New Roman" w:hAnsi="Times New Roman" w:cs="Times New Roman"/>
          <w:iCs/>
          <w:color w:val="000000" w:themeColor="text1"/>
          <w:sz w:val="24"/>
          <w:szCs w:val="24"/>
        </w:rPr>
        <w:t xml:space="preserve">odels 1 to 3, the coefficients on </w:t>
      </w:r>
      <w:r w:rsidR="00AB7763" w:rsidRPr="00357722">
        <w:rPr>
          <w:rFonts w:ascii="Times New Roman" w:eastAsia="Times New Roman" w:hAnsi="Times New Roman" w:cs="Times New Roman"/>
          <w:i/>
          <w:iCs/>
          <w:color w:val="000000" w:themeColor="text1"/>
          <w:sz w:val="24"/>
          <w:szCs w:val="24"/>
        </w:rPr>
        <w:t>IEPD</w:t>
      </w:r>
      <w:r w:rsidR="00AB7763" w:rsidRPr="00357722">
        <w:rPr>
          <w:rFonts w:ascii="Times New Roman" w:eastAsia="Times New Roman" w:hAnsi="Times New Roman" w:cs="Times New Roman"/>
          <w:iCs/>
          <w:color w:val="000000" w:themeColor="text1"/>
          <w:sz w:val="24"/>
          <w:szCs w:val="24"/>
        </w:rPr>
        <w:t xml:space="preserve"> are positive and statistically significant at the 1% level.</w:t>
      </w:r>
      <w:r w:rsidR="00101C9E" w:rsidRPr="00357722">
        <w:rPr>
          <w:rFonts w:ascii="Times New Roman" w:eastAsia="Times New Roman" w:hAnsi="Times New Roman" w:cs="Times New Roman"/>
          <w:iCs/>
          <w:color w:val="000000" w:themeColor="text1"/>
          <w:sz w:val="24"/>
          <w:szCs w:val="24"/>
        </w:rPr>
        <w:t xml:space="preserve"> The coefficients on the interaction term </w:t>
      </w:r>
      <w:r w:rsidR="00101C9E" w:rsidRPr="00357722">
        <w:rPr>
          <w:rFonts w:ascii="Times New Roman" w:eastAsia="Times New Roman" w:hAnsi="Times New Roman" w:cs="Times New Roman"/>
          <w:i/>
          <w:iCs/>
          <w:color w:val="000000" w:themeColor="text1"/>
          <w:sz w:val="24"/>
          <w:szCs w:val="24"/>
        </w:rPr>
        <w:t>IEPD×</w:t>
      </w:r>
      <w:r w:rsidR="003038A0" w:rsidRPr="00357722">
        <w:rPr>
          <w:rFonts w:ascii="Times New Roman" w:eastAsia="Times New Roman" w:hAnsi="Times New Roman" w:cs="Times New Roman"/>
          <w:i/>
          <w:iCs/>
          <w:color w:val="000000" w:themeColor="text1"/>
          <w:sz w:val="24"/>
          <w:szCs w:val="24"/>
        </w:rPr>
        <w:t>IBF</w:t>
      </w:r>
      <w:r w:rsidR="00101C9E" w:rsidRPr="00357722">
        <w:rPr>
          <w:rFonts w:ascii="Times New Roman" w:eastAsia="Times New Roman" w:hAnsi="Times New Roman" w:cs="Times New Roman"/>
          <w:iCs/>
          <w:color w:val="000000" w:themeColor="text1"/>
          <w:sz w:val="24"/>
          <w:szCs w:val="24"/>
        </w:rPr>
        <w:t xml:space="preserve"> </w:t>
      </w:r>
      <w:r w:rsidR="009B54DE" w:rsidRPr="00357722">
        <w:rPr>
          <w:rFonts w:ascii="Times New Roman" w:eastAsia="Times New Roman" w:hAnsi="Times New Roman" w:cs="Times New Roman"/>
          <w:iCs/>
          <w:color w:val="000000" w:themeColor="text1"/>
          <w:sz w:val="24"/>
          <w:szCs w:val="24"/>
        </w:rPr>
        <w:t xml:space="preserve">are </w:t>
      </w:r>
      <w:r w:rsidR="00101C9E" w:rsidRPr="00357722">
        <w:rPr>
          <w:rFonts w:ascii="Times New Roman" w:eastAsia="Times New Roman" w:hAnsi="Times New Roman" w:cs="Times New Roman"/>
          <w:iCs/>
          <w:color w:val="000000" w:themeColor="text1"/>
          <w:sz w:val="24"/>
          <w:szCs w:val="24"/>
        </w:rPr>
        <w:t>-1.384</w:t>
      </w:r>
      <w:r w:rsidR="003038A0" w:rsidRPr="00357722">
        <w:rPr>
          <w:rFonts w:ascii="Times New Roman" w:eastAsia="Times New Roman" w:hAnsi="Times New Roman" w:cs="Times New Roman"/>
          <w:iCs/>
          <w:color w:val="000000" w:themeColor="text1"/>
          <w:sz w:val="24"/>
          <w:szCs w:val="24"/>
        </w:rPr>
        <w:t xml:space="preserve"> </w:t>
      </w:r>
      <w:r w:rsidR="00101C9E" w:rsidRPr="00357722">
        <w:rPr>
          <w:rFonts w:ascii="Times New Roman" w:eastAsia="Times New Roman" w:hAnsi="Times New Roman" w:cs="Times New Roman"/>
          <w:iCs/>
          <w:color w:val="000000" w:themeColor="text1"/>
          <w:sz w:val="24"/>
          <w:szCs w:val="24"/>
        </w:rPr>
        <w:t>(t-statistics</w:t>
      </w:r>
      <w:r w:rsidR="00EA35FB" w:rsidRPr="00357722">
        <w:rPr>
          <w:rFonts w:ascii="Times New Roman" w:eastAsia="Times New Roman" w:hAnsi="Times New Roman" w:cs="Times New Roman"/>
          <w:iCs/>
          <w:color w:val="000000" w:themeColor="text1"/>
          <w:sz w:val="24"/>
          <w:szCs w:val="24"/>
        </w:rPr>
        <w:t xml:space="preserve"> </w:t>
      </w:r>
      <w:r w:rsidR="00101C9E" w:rsidRPr="00357722">
        <w:rPr>
          <w:rFonts w:ascii="Times New Roman" w:eastAsia="Times New Roman" w:hAnsi="Times New Roman" w:cs="Times New Roman"/>
          <w:iCs/>
          <w:color w:val="000000" w:themeColor="text1"/>
          <w:sz w:val="24"/>
          <w:szCs w:val="24"/>
        </w:rPr>
        <w:t>=</w:t>
      </w:r>
      <w:r w:rsidR="00EA35FB" w:rsidRPr="00357722">
        <w:rPr>
          <w:rFonts w:ascii="Times New Roman" w:eastAsia="Times New Roman" w:hAnsi="Times New Roman" w:cs="Times New Roman"/>
          <w:iCs/>
          <w:color w:val="000000" w:themeColor="text1"/>
          <w:sz w:val="24"/>
          <w:szCs w:val="24"/>
        </w:rPr>
        <w:t xml:space="preserve"> </w:t>
      </w:r>
      <w:r w:rsidR="00101C9E" w:rsidRPr="00357722">
        <w:rPr>
          <w:rFonts w:ascii="Times New Roman" w:eastAsia="Times New Roman" w:hAnsi="Times New Roman" w:cs="Times New Roman"/>
          <w:iCs/>
          <w:color w:val="000000" w:themeColor="text1"/>
          <w:sz w:val="24"/>
          <w:szCs w:val="24"/>
        </w:rPr>
        <w:t xml:space="preserve">-1.31) in </w:t>
      </w:r>
      <w:r w:rsidR="003038A0" w:rsidRPr="00357722">
        <w:rPr>
          <w:rFonts w:ascii="Times New Roman" w:eastAsia="Times New Roman" w:hAnsi="Times New Roman" w:cs="Times New Roman"/>
          <w:iCs/>
          <w:color w:val="000000" w:themeColor="text1"/>
          <w:sz w:val="24"/>
          <w:szCs w:val="24"/>
        </w:rPr>
        <w:t>m</w:t>
      </w:r>
      <w:r w:rsidR="00101C9E" w:rsidRPr="00357722">
        <w:rPr>
          <w:rFonts w:ascii="Times New Roman" w:eastAsia="Times New Roman" w:hAnsi="Times New Roman" w:cs="Times New Roman"/>
          <w:iCs/>
          <w:color w:val="000000" w:themeColor="text1"/>
          <w:sz w:val="24"/>
          <w:szCs w:val="24"/>
        </w:rPr>
        <w:t>odel 1, -0.206</w:t>
      </w:r>
      <w:r w:rsidR="003038A0" w:rsidRPr="00357722">
        <w:rPr>
          <w:rFonts w:ascii="Times New Roman" w:eastAsia="Times New Roman" w:hAnsi="Times New Roman" w:cs="Times New Roman"/>
          <w:iCs/>
          <w:color w:val="000000" w:themeColor="text1"/>
          <w:sz w:val="24"/>
          <w:szCs w:val="24"/>
        </w:rPr>
        <w:t xml:space="preserve"> </w:t>
      </w:r>
      <w:r w:rsidR="00EA35FB" w:rsidRPr="00357722">
        <w:rPr>
          <w:rFonts w:ascii="Times New Roman" w:eastAsia="Times New Roman" w:hAnsi="Times New Roman" w:cs="Times New Roman"/>
          <w:iCs/>
          <w:color w:val="000000" w:themeColor="text1"/>
          <w:sz w:val="24"/>
          <w:szCs w:val="24"/>
        </w:rPr>
        <w:t>(t-statistics</w:t>
      </w:r>
      <w:r w:rsidR="009B54DE" w:rsidRPr="00357722">
        <w:rPr>
          <w:rFonts w:ascii="Times New Roman" w:eastAsia="Times New Roman" w:hAnsi="Times New Roman" w:cs="Times New Roman"/>
          <w:iCs/>
          <w:color w:val="000000" w:themeColor="text1"/>
          <w:sz w:val="24"/>
          <w:szCs w:val="24"/>
        </w:rPr>
        <w:t xml:space="preserve"> </w:t>
      </w:r>
      <w:r w:rsidR="00EA35FB" w:rsidRPr="00357722">
        <w:rPr>
          <w:rFonts w:ascii="Times New Roman" w:eastAsia="Times New Roman" w:hAnsi="Times New Roman" w:cs="Times New Roman"/>
          <w:iCs/>
          <w:color w:val="000000" w:themeColor="text1"/>
          <w:sz w:val="24"/>
          <w:szCs w:val="24"/>
        </w:rPr>
        <w:t>=</w:t>
      </w:r>
      <w:r w:rsidR="004F271B" w:rsidRPr="00357722">
        <w:rPr>
          <w:rFonts w:ascii="Times New Roman" w:eastAsia="Times New Roman" w:hAnsi="Times New Roman" w:cs="Times New Roman"/>
          <w:iCs/>
          <w:color w:val="000000" w:themeColor="text1"/>
          <w:sz w:val="24"/>
          <w:szCs w:val="24"/>
        </w:rPr>
        <w:t xml:space="preserve"> </w:t>
      </w:r>
      <w:r w:rsidR="00EA35FB" w:rsidRPr="00357722">
        <w:rPr>
          <w:rFonts w:ascii="Times New Roman" w:eastAsia="Times New Roman" w:hAnsi="Times New Roman" w:cs="Times New Roman"/>
          <w:iCs/>
          <w:color w:val="000000" w:themeColor="text1"/>
          <w:sz w:val="24"/>
          <w:szCs w:val="24"/>
        </w:rPr>
        <w:t>-3.46) in m</w:t>
      </w:r>
      <w:r w:rsidR="00101C9E" w:rsidRPr="00357722">
        <w:rPr>
          <w:rFonts w:ascii="Times New Roman" w:eastAsia="Times New Roman" w:hAnsi="Times New Roman" w:cs="Times New Roman"/>
          <w:iCs/>
          <w:color w:val="000000" w:themeColor="text1"/>
          <w:sz w:val="24"/>
          <w:szCs w:val="24"/>
        </w:rPr>
        <w:t xml:space="preserve">odel 2, and </w:t>
      </w:r>
      <w:r w:rsidR="00205EC9" w:rsidRPr="00357722">
        <w:rPr>
          <w:rFonts w:ascii="Times New Roman" w:eastAsia="Times New Roman" w:hAnsi="Times New Roman" w:cs="Times New Roman"/>
          <w:iCs/>
          <w:color w:val="000000" w:themeColor="text1"/>
          <w:sz w:val="24"/>
          <w:szCs w:val="24"/>
        </w:rPr>
        <w:t>-0.151</w:t>
      </w:r>
      <w:r w:rsidR="00EA35FB" w:rsidRPr="00357722">
        <w:rPr>
          <w:rFonts w:ascii="Times New Roman" w:eastAsia="Times New Roman" w:hAnsi="Times New Roman" w:cs="Times New Roman"/>
          <w:iCs/>
          <w:color w:val="000000" w:themeColor="text1"/>
          <w:sz w:val="24"/>
          <w:szCs w:val="24"/>
        </w:rPr>
        <w:t xml:space="preserve"> </w:t>
      </w:r>
      <w:r w:rsidR="00205EC9" w:rsidRPr="00357722">
        <w:rPr>
          <w:rFonts w:ascii="Times New Roman" w:eastAsia="Times New Roman" w:hAnsi="Times New Roman" w:cs="Times New Roman"/>
          <w:iCs/>
          <w:color w:val="000000" w:themeColor="text1"/>
          <w:sz w:val="24"/>
          <w:szCs w:val="24"/>
        </w:rPr>
        <w:t>(t-statistics</w:t>
      </w:r>
      <w:r w:rsidR="00EA35FB" w:rsidRPr="00357722">
        <w:rPr>
          <w:rFonts w:ascii="Times New Roman" w:eastAsia="Times New Roman" w:hAnsi="Times New Roman" w:cs="Times New Roman"/>
          <w:iCs/>
          <w:color w:val="000000" w:themeColor="text1"/>
          <w:sz w:val="24"/>
          <w:szCs w:val="24"/>
        </w:rPr>
        <w:t xml:space="preserve"> </w:t>
      </w:r>
      <w:r w:rsidR="00205EC9" w:rsidRPr="00357722">
        <w:rPr>
          <w:rFonts w:ascii="Times New Roman" w:eastAsia="Times New Roman" w:hAnsi="Times New Roman" w:cs="Times New Roman"/>
          <w:iCs/>
          <w:color w:val="000000" w:themeColor="text1"/>
          <w:sz w:val="24"/>
          <w:szCs w:val="24"/>
        </w:rPr>
        <w:t>=</w:t>
      </w:r>
      <w:r w:rsidR="00EA35FB" w:rsidRPr="00357722">
        <w:rPr>
          <w:rFonts w:ascii="Times New Roman" w:eastAsia="Times New Roman" w:hAnsi="Times New Roman" w:cs="Times New Roman"/>
          <w:iCs/>
          <w:color w:val="000000" w:themeColor="text1"/>
          <w:sz w:val="24"/>
          <w:szCs w:val="24"/>
        </w:rPr>
        <w:t xml:space="preserve"> -2.32) in m</w:t>
      </w:r>
      <w:r w:rsidR="00205EC9" w:rsidRPr="00357722">
        <w:rPr>
          <w:rFonts w:ascii="Times New Roman" w:eastAsia="Times New Roman" w:hAnsi="Times New Roman" w:cs="Times New Roman"/>
          <w:iCs/>
          <w:color w:val="000000" w:themeColor="text1"/>
          <w:sz w:val="24"/>
          <w:szCs w:val="24"/>
        </w:rPr>
        <w:t>odel 3. The results suggest that international bond flow inhibit</w:t>
      </w:r>
      <w:r w:rsidR="00E30532">
        <w:rPr>
          <w:rFonts w:ascii="Times New Roman" w:eastAsia="Times New Roman" w:hAnsi="Times New Roman" w:cs="Times New Roman"/>
          <w:iCs/>
          <w:color w:val="000000" w:themeColor="text1"/>
          <w:sz w:val="24"/>
          <w:szCs w:val="24"/>
        </w:rPr>
        <w:t>s</w:t>
      </w:r>
      <w:r w:rsidR="00205EC9" w:rsidRPr="00357722">
        <w:rPr>
          <w:rFonts w:ascii="Times New Roman" w:eastAsia="Times New Roman" w:hAnsi="Times New Roman" w:cs="Times New Roman"/>
          <w:iCs/>
          <w:color w:val="000000" w:themeColor="text1"/>
          <w:sz w:val="24"/>
          <w:szCs w:val="24"/>
        </w:rPr>
        <w:t xml:space="preserve"> financial development. This is consistent with the view that high government borrowing via bonds, particularly in emerging markets reduces funds available to the private sector. </w:t>
      </w:r>
      <w:r w:rsidR="00B3723A" w:rsidRPr="00357722">
        <w:rPr>
          <w:rFonts w:ascii="Times New Roman" w:eastAsia="Times New Roman" w:hAnsi="Times New Roman" w:cs="Times New Roman"/>
          <w:iCs/>
          <w:color w:val="000000" w:themeColor="text1"/>
          <w:sz w:val="24"/>
          <w:szCs w:val="24"/>
        </w:rPr>
        <w:t xml:space="preserve">This finding adds to existing literature that suggests that banking system development is </w:t>
      </w:r>
      <w:r w:rsidR="00E30532">
        <w:rPr>
          <w:rFonts w:ascii="Times New Roman" w:eastAsia="Times New Roman" w:hAnsi="Times New Roman" w:cs="Times New Roman"/>
          <w:iCs/>
          <w:color w:val="000000" w:themeColor="text1"/>
          <w:sz w:val="24"/>
          <w:szCs w:val="24"/>
        </w:rPr>
        <w:t xml:space="preserve">the </w:t>
      </w:r>
      <w:r w:rsidR="00B3723A" w:rsidRPr="00357722">
        <w:rPr>
          <w:rFonts w:ascii="Times New Roman" w:eastAsia="Times New Roman" w:hAnsi="Times New Roman" w:cs="Times New Roman"/>
          <w:iCs/>
          <w:color w:val="000000" w:themeColor="text1"/>
          <w:sz w:val="24"/>
          <w:szCs w:val="24"/>
        </w:rPr>
        <w:t>precondition for equity market development.</w:t>
      </w:r>
    </w:p>
    <w:p w14:paraId="263D6AFA" w14:textId="667FBDCF" w:rsidR="00136C48" w:rsidRPr="00357722" w:rsidRDefault="00136C48" w:rsidP="00A01F8F">
      <w:pPr>
        <w:autoSpaceDN w:val="0"/>
        <w:spacing w:after="0" w:line="480" w:lineRule="auto"/>
        <w:jc w:val="center"/>
        <w:rPr>
          <w:rFonts w:ascii="Times New Roman" w:eastAsia="Calibri" w:hAnsi="Times New Roman" w:cs="Times New Roman"/>
          <w:b/>
          <w:sz w:val="24"/>
          <w:szCs w:val="24"/>
          <w:lang w:eastAsia="en-US"/>
        </w:rPr>
      </w:pPr>
      <w:r w:rsidRPr="00357722">
        <w:rPr>
          <w:rFonts w:ascii="Times New Roman" w:eastAsia="Calibri" w:hAnsi="Times New Roman" w:cs="Times New Roman"/>
          <w:b/>
          <w:sz w:val="24"/>
          <w:szCs w:val="24"/>
          <w:lang w:eastAsia="en-US"/>
        </w:rPr>
        <w:t>………......Insert Table 10 about here..............</w:t>
      </w:r>
    </w:p>
    <w:p w14:paraId="01A20254" w14:textId="77777777" w:rsidR="00D36BF6" w:rsidRDefault="00D36BF6" w:rsidP="00A01F8F">
      <w:pPr>
        <w:spacing w:after="0" w:line="480" w:lineRule="auto"/>
        <w:jc w:val="both"/>
        <w:rPr>
          <w:rFonts w:ascii="Times New Roman" w:eastAsia="Times New Roman" w:hAnsi="Times New Roman" w:cs="Times New Roman"/>
          <w:iCs/>
          <w:color w:val="000000" w:themeColor="text1"/>
          <w:sz w:val="24"/>
          <w:szCs w:val="24"/>
          <w:highlight w:val="yellow"/>
        </w:rPr>
      </w:pPr>
    </w:p>
    <w:p w14:paraId="3F3FFBC0" w14:textId="77777777" w:rsidR="00D36BF6" w:rsidRDefault="00D36BF6" w:rsidP="00A01F8F">
      <w:pPr>
        <w:spacing w:after="0" w:line="480" w:lineRule="auto"/>
        <w:jc w:val="both"/>
        <w:rPr>
          <w:rFonts w:ascii="Times New Roman" w:eastAsia="Times New Roman" w:hAnsi="Times New Roman" w:cs="Times New Roman"/>
          <w:iCs/>
          <w:color w:val="000000" w:themeColor="text1"/>
          <w:sz w:val="24"/>
          <w:szCs w:val="24"/>
          <w:highlight w:val="yellow"/>
        </w:rPr>
      </w:pPr>
    </w:p>
    <w:p w14:paraId="3F588F22" w14:textId="77777777" w:rsidR="00352E47" w:rsidRPr="00B31D4D" w:rsidRDefault="00352E47" w:rsidP="00A01F8F">
      <w:pPr>
        <w:spacing w:after="0" w:line="480" w:lineRule="auto"/>
        <w:jc w:val="both"/>
        <w:rPr>
          <w:rFonts w:ascii="Times New Roman" w:eastAsia="Times New Roman" w:hAnsi="Times New Roman" w:cs="Times New Roman"/>
          <w:bCs/>
          <w:iCs/>
          <w:color w:val="000000" w:themeColor="text1"/>
          <w:sz w:val="24"/>
          <w:szCs w:val="24"/>
        </w:rPr>
      </w:pPr>
      <w:r w:rsidRPr="00B31D4D">
        <w:rPr>
          <w:rFonts w:ascii="Times New Roman" w:eastAsia="Times New Roman" w:hAnsi="Times New Roman" w:cs="Times New Roman"/>
          <w:iCs/>
          <w:color w:val="000000" w:themeColor="text1"/>
          <w:sz w:val="24"/>
          <w:szCs w:val="24"/>
        </w:rPr>
        <w:lastRenderedPageBreak/>
        <w:t xml:space="preserve">4.4.5 </w:t>
      </w:r>
      <w:r w:rsidRPr="00B31D4D">
        <w:rPr>
          <w:rFonts w:ascii="Times New Roman" w:eastAsia="Times New Roman" w:hAnsi="Times New Roman" w:cs="Times New Roman"/>
          <w:bCs/>
          <w:iCs/>
          <w:color w:val="000000" w:themeColor="text1"/>
          <w:sz w:val="24"/>
          <w:szCs w:val="24"/>
        </w:rPr>
        <w:t>Computation and analysis of the marginal effects of the interaction terms</w:t>
      </w:r>
    </w:p>
    <w:p w14:paraId="3462FEA3" w14:textId="7575B109" w:rsidR="00A01F8F" w:rsidRPr="00B31D4D" w:rsidRDefault="00352E47" w:rsidP="00A01F8F">
      <w:pPr>
        <w:spacing w:after="0" w:line="480" w:lineRule="auto"/>
        <w:ind w:firstLine="720"/>
        <w:jc w:val="both"/>
        <w:rPr>
          <w:rFonts w:ascii="Times New Roman" w:eastAsia="Times New Roman" w:hAnsi="Times New Roman" w:cs="Times New Roman"/>
          <w:color w:val="252525"/>
          <w:sz w:val="24"/>
          <w:szCs w:val="24"/>
          <w:lang w:val="en-US" w:eastAsia="en-US"/>
        </w:rPr>
      </w:pPr>
      <w:r w:rsidRPr="00B31D4D">
        <w:rPr>
          <w:rFonts w:ascii="Times New Roman" w:eastAsia="Times New Roman" w:hAnsi="Times New Roman" w:cs="Times New Roman"/>
          <w:color w:val="252525"/>
          <w:sz w:val="24"/>
          <w:szCs w:val="24"/>
          <w:lang w:val="en-US" w:eastAsia="en-US"/>
        </w:rPr>
        <w:t>This section presents the marginal effects of the interaction terms only, which include central bank transparency (</w:t>
      </w:r>
      <w:r w:rsidRPr="00B31D4D">
        <w:rPr>
          <w:rFonts w:ascii="Times New Roman" w:eastAsia="Times New Roman" w:hAnsi="Times New Roman" w:cs="Times New Roman"/>
          <w:i/>
          <w:color w:val="252525"/>
          <w:sz w:val="24"/>
          <w:szCs w:val="24"/>
          <w:lang w:val="en-US" w:eastAsia="en-US"/>
        </w:rPr>
        <w:t>CBT</w:t>
      </w:r>
      <w:r w:rsidRPr="00B31D4D">
        <w:rPr>
          <w:rFonts w:ascii="Times New Roman" w:eastAsia="Times New Roman" w:hAnsi="Times New Roman" w:cs="Times New Roman"/>
          <w:color w:val="252525"/>
          <w:sz w:val="24"/>
          <w:szCs w:val="24"/>
          <w:lang w:val="en-US" w:eastAsia="en-US"/>
        </w:rPr>
        <w:t>), economic freedom (</w:t>
      </w:r>
      <w:r w:rsidRPr="00B31D4D">
        <w:rPr>
          <w:rFonts w:ascii="Times New Roman" w:eastAsia="Times New Roman" w:hAnsi="Times New Roman" w:cs="Times New Roman"/>
          <w:i/>
          <w:color w:val="252525"/>
          <w:sz w:val="24"/>
          <w:szCs w:val="24"/>
          <w:lang w:val="en-US" w:eastAsia="en-US"/>
        </w:rPr>
        <w:t>EF</w:t>
      </w:r>
      <w:r w:rsidRPr="00B31D4D">
        <w:rPr>
          <w:rFonts w:ascii="Times New Roman" w:eastAsia="Times New Roman" w:hAnsi="Times New Roman" w:cs="Times New Roman"/>
          <w:color w:val="252525"/>
          <w:sz w:val="24"/>
          <w:szCs w:val="24"/>
          <w:lang w:val="en-US" w:eastAsia="en-US"/>
        </w:rPr>
        <w:t>), and international bond flow (</w:t>
      </w:r>
      <w:r w:rsidRPr="00B31D4D">
        <w:rPr>
          <w:rFonts w:ascii="Times New Roman" w:eastAsia="Times New Roman" w:hAnsi="Times New Roman" w:cs="Times New Roman"/>
          <w:i/>
          <w:color w:val="252525"/>
          <w:sz w:val="24"/>
          <w:szCs w:val="24"/>
          <w:lang w:val="en-US" w:eastAsia="en-US"/>
        </w:rPr>
        <w:t>IBF</w:t>
      </w:r>
      <w:r w:rsidRPr="00B31D4D">
        <w:rPr>
          <w:rFonts w:ascii="Times New Roman" w:eastAsia="Times New Roman" w:hAnsi="Times New Roman" w:cs="Times New Roman"/>
          <w:color w:val="252525"/>
          <w:sz w:val="24"/>
          <w:szCs w:val="24"/>
          <w:lang w:val="en-US" w:eastAsia="en-US"/>
        </w:rPr>
        <w:t xml:space="preserve">), respectively. First, to compute the marginal effects of central bank transparency on financial market development, we rescale the </w:t>
      </w:r>
      <w:r w:rsidRPr="00B31D4D">
        <w:rPr>
          <w:rFonts w:ascii="Times New Roman" w:eastAsia="Times New Roman" w:hAnsi="Times New Roman" w:cs="Times New Roman"/>
          <w:i/>
          <w:color w:val="252525"/>
          <w:sz w:val="24"/>
          <w:szCs w:val="24"/>
          <w:lang w:val="en-US" w:eastAsia="en-US"/>
        </w:rPr>
        <w:t>CBT</w:t>
      </w:r>
      <w:r w:rsidRPr="00B31D4D">
        <w:rPr>
          <w:rFonts w:ascii="Times New Roman" w:eastAsia="Times New Roman" w:hAnsi="Times New Roman" w:cs="Times New Roman"/>
          <w:color w:val="252525"/>
          <w:sz w:val="24"/>
          <w:szCs w:val="24"/>
          <w:lang w:val="en-US" w:eastAsia="en-US"/>
        </w:rPr>
        <w:t xml:space="preserve"> data where code 1 represents data ranges 1 to 4; code 2 denotes data ranges 4.5 to 7.5; code 3 signifies data ranges 8 to 11</w:t>
      </w:r>
      <w:r w:rsidR="00D36BF6" w:rsidRPr="00B31D4D">
        <w:rPr>
          <w:rFonts w:ascii="Times New Roman" w:eastAsia="Times New Roman" w:hAnsi="Times New Roman" w:cs="Times New Roman"/>
          <w:color w:val="252525"/>
          <w:sz w:val="24"/>
          <w:szCs w:val="24"/>
          <w:lang w:val="en-US" w:eastAsia="en-US"/>
        </w:rPr>
        <w:t>,</w:t>
      </w:r>
      <w:r w:rsidRPr="00B31D4D">
        <w:rPr>
          <w:rFonts w:ascii="Times New Roman" w:eastAsia="Times New Roman" w:hAnsi="Times New Roman" w:cs="Times New Roman"/>
          <w:color w:val="252525"/>
          <w:sz w:val="24"/>
          <w:szCs w:val="24"/>
          <w:lang w:val="en-US" w:eastAsia="en-US"/>
        </w:rPr>
        <w:t xml:space="preserve"> and code 4 depicts data ranges 11.5 to 14.5. This approach was adopted as a systematic way of grouping the </w:t>
      </w:r>
      <w:r w:rsidRPr="00B31D4D">
        <w:rPr>
          <w:rFonts w:ascii="Times New Roman" w:eastAsia="Times New Roman" w:hAnsi="Times New Roman" w:cs="Times New Roman"/>
          <w:i/>
          <w:color w:val="252525"/>
          <w:sz w:val="24"/>
          <w:szCs w:val="24"/>
          <w:lang w:val="en-US" w:eastAsia="en-US"/>
        </w:rPr>
        <w:t>CBT</w:t>
      </w:r>
      <w:r w:rsidRPr="00B31D4D">
        <w:rPr>
          <w:rFonts w:ascii="Times New Roman" w:eastAsia="Times New Roman" w:hAnsi="Times New Roman" w:cs="Times New Roman"/>
          <w:color w:val="252525"/>
          <w:sz w:val="24"/>
          <w:szCs w:val="24"/>
          <w:lang w:val="en-US" w:eastAsia="en-US"/>
        </w:rPr>
        <w:t xml:space="preserve"> data for marginal effect evaluation purposes only, to our knowledge</w:t>
      </w:r>
      <w:r w:rsidR="00D36BF6" w:rsidRPr="00B31D4D">
        <w:rPr>
          <w:rFonts w:ascii="Times New Roman" w:eastAsia="Times New Roman" w:hAnsi="Times New Roman" w:cs="Times New Roman"/>
          <w:color w:val="252525"/>
          <w:sz w:val="24"/>
          <w:szCs w:val="24"/>
          <w:lang w:val="en-US" w:eastAsia="en-US"/>
        </w:rPr>
        <w:t>,</w:t>
      </w:r>
      <w:r w:rsidRPr="00B31D4D">
        <w:rPr>
          <w:rFonts w:ascii="Times New Roman" w:eastAsia="Times New Roman" w:hAnsi="Times New Roman" w:cs="Times New Roman"/>
          <w:color w:val="252525"/>
          <w:sz w:val="24"/>
          <w:szCs w:val="24"/>
          <w:lang w:val="en-US" w:eastAsia="en-US"/>
        </w:rPr>
        <w:t xml:space="preserve"> there is currently no methodology in the extant literature on the partitioning or ranking </w:t>
      </w:r>
      <w:r w:rsidR="00D36BF6" w:rsidRPr="00B31D4D">
        <w:rPr>
          <w:rFonts w:ascii="Times New Roman" w:eastAsia="Times New Roman" w:hAnsi="Times New Roman" w:cs="Times New Roman"/>
          <w:color w:val="252525"/>
          <w:sz w:val="24"/>
          <w:szCs w:val="24"/>
          <w:lang w:val="en-US" w:eastAsia="en-US"/>
        </w:rPr>
        <w:t xml:space="preserve">of </w:t>
      </w:r>
      <w:r w:rsidRPr="00B31D4D">
        <w:rPr>
          <w:rFonts w:ascii="Times New Roman" w:eastAsia="Times New Roman" w:hAnsi="Times New Roman" w:cs="Times New Roman"/>
          <w:color w:val="252525"/>
          <w:sz w:val="24"/>
          <w:szCs w:val="24"/>
          <w:lang w:val="en-US" w:eastAsia="en-US"/>
        </w:rPr>
        <w:t xml:space="preserve">the </w:t>
      </w:r>
      <w:r w:rsidRPr="00B31D4D">
        <w:rPr>
          <w:rFonts w:ascii="Times New Roman" w:eastAsia="Times New Roman" w:hAnsi="Times New Roman" w:cs="Times New Roman"/>
          <w:i/>
          <w:color w:val="252525"/>
          <w:sz w:val="24"/>
          <w:szCs w:val="24"/>
          <w:lang w:val="en-US" w:eastAsia="en-US"/>
        </w:rPr>
        <w:t>CBT</w:t>
      </w:r>
      <w:r w:rsidRPr="00B31D4D">
        <w:rPr>
          <w:rFonts w:ascii="Times New Roman" w:eastAsia="Times New Roman" w:hAnsi="Times New Roman" w:cs="Times New Roman"/>
          <w:color w:val="252525"/>
          <w:sz w:val="24"/>
          <w:szCs w:val="24"/>
          <w:lang w:val="en-US" w:eastAsia="en-US"/>
        </w:rPr>
        <w:t xml:space="preserve"> data. Second, following the Heritage Foundation country ranking criteria (Heritage, 2022), we partition the economic freedom data into five main groups, namely: free, mostly free; moderately free; mostly unfree</w:t>
      </w:r>
      <w:r w:rsidR="00D36BF6" w:rsidRPr="00B31D4D">
        <w:rPr>
          <w:rFonts w:ascii="Times New Roman" w:eastAsia="Times New Roman" w:hAnsi="Times New Roman" w:cs="Times New Roman"/>
          <w:color w:val="252525"/>
          <w:sz w:val="24"/>
          <w:szCs w:val="24"/>
          <w:lang w:val="en-US" w:eastAsia="en-US"/>
        </w:rPr>
        <w:t>,</w:t>
      </w:r>
      <w:r w:rsidRPr="00B31D4D">
        <w:rPr>
          <w:rFonts w:ascii="Times New Roman" w:eastAsia="Times New Roman" w:hAnsi="Times New Roman" w:cs="Times New Roman"/>
          <w:color w:val="252525"/>
          <w:sz w:val="24"/>
          <w:szCs w:val="24"/>
          <w:lang w:val="en-US" w:eastAsia="en-US"/>
        </w:rPr>
        <w:t xml:space="preserve"> and repressed. Third, for the purpose of estimating the marginal effects of the international bond flow, we categori</w:t>
      </w:r>
      <w:r w:rsidR="00D36BF6" w:rsidRPr="00B31D4D">
        <w:rPr>
          <w:rFonts w:ascii="Times New Roman" w:eastAsia="Times New Roman" w:hAnsi="Times New Roman" w:cs="Times New Roman"/>
          <w:color w:val="252525"/>
          <w:sz w:val="24"/>
          <w:szCs w:val="24"/>
          <w:lang w:val="en-US" w:eastAsia="en-US"/>
        </w:rPr>
        <w:t>z</w:t>
      </w:r>
      <w:r w:rsidRPr="00B31D4D">
        <w:rPr>
          <w:rFonts w:ascii="Times New Roman" w:eastAsia="Times New Roman" w:hAnsi="Times New Roman" w:cs="Times New Roman"/>
          <w:color w:val="252525"/>
          <w:sz w:val="24"/>
          <w:szCs w:val="24"/>
          <w:lang w:val="en-US" w:eastAsia="en-US"/>
        </w:rPr>
        <w:t>ed the data into developed and underdeveloped economies.</w:t>
      </w:r>
    </w:p>
    <w:p w14:paraId="0B768388" w14:textId="04A0B0D0" w:rsidR="00352E47" w:rsidRPr="00B31D4D" w:rsidRDefault="005C2254" w:rsidP="00A01F8F">
      <w:pPr>
        <w:spacing w:after="0" w:line="480" w:lineRule="auto"/>
        <w:ind w:firstLine="720"/>
        <w:jc w:val="both"/>
        <w:rPr>
          <w:rFonts w:ascii="Times New Roman" w:eastAsia="Times New Roman" w:hAnsi="Times New Roman" w:cs="Times New Roman"/>
          <w:color w:val="252525"/>
          <w:sz w:val="24"/>
          <w:szCs w:val="24"/>
          <w:lang w:val="en-US" w:eastAsia="en-US"/>
        </w:rPr>
      </w:pPr>
      <w:r w:rsidRPr="00B31D4D">
        <w:rPr>
          <w:rFonts w:ascii="Times New Roman" w:eastAsia="Times New Roman" w:hAnsi="Times New Roman" w:cs="Times New Roman"/>
          <w:color w:val="252525"/>
          <w:sz w:val="24"/>
          <w:szCs w:val="24"/>
          <w:lang w:val="en-US" w:eastAsia="en-US"/>
        </w:rPr>
        <w:t>Table 11</w:t>
      </w:r>
      <w:r w:rsidR="00352E47" w:rsidRPr="00B31D4D">
        <w:rPr>
          <w:rFonts w:ascii="Times New Roman" w:eastAsia="Times New Roman" w:hAnsi="Times New Roman" w:cs="Times New Roman"/>
          <w:color w:val="252525"/>
          <w:sz w:val="24"/>
          <w:szCs w:val="24"/>
          <w:lang w:val="en-US" w:eastAsia="en-US"/>
        </w:rPr>
        <w:t xml:space="preserve"> presents the results of the marginal effects for the three interaction terms as follows: (</w:t>
      </w:r>
      <w:proofErr w:type="spellStart"/>
      <w:r w:rsidR="00352E47" w:rsidRPr="00B31D4D">
        <w:rPr>
          <w:rFonts w:ascii="Times New Roman" w:eastAsia="Times New Roman" w:hAnsi="Times New Roman" w:cs="Times New Roman"/>
          <w:color w:val="252525"/>
          <w:sz w:val="24"/>
          <w:szCs w:val="24"/>
          <w:lang w:val="en-US" w:eastAsia="en-US"/>
        </w:rPr>
        <w:t>i</w:t>
      </w:r>
      <w:proofErr w:type="spellEnd"/>
      <w:r w:rsidR="00352E47" w:rsidRPr="00B31D4D">
        <w:rPr>
          <w:rFonts w:ascii="Times New Roman" w:eastAsia="Times New Roman" w:hAnsi="Times New Roman" w:cs="Times New Roman"/>
          <w:color w:val="252525"/>
          <w:sz w:val="24"/>
          <w:szCs w:val="24"/>
          <w:lang w:val="en-US" w:eastAsia="en-US"/>
        </w:rPr>
        <w:t xml:space="preserve">) the marginal effects of </w:t>
      </w:r>
      <w:r w:rsidR="00352E47" w:rsidRPr="00B31D4D">
        <w:rPr>
          <w:rFonts w:ascii="Times New Roman" w:eastAsia="Times New Roman" w:hAnsi="Times New Roman" w:cs="Times New Roman"/>
          <w:i/>
          <w:color w:val="252525"/>
          <w:sz w:val="24"/>
          <w:szCs w:val="24"/>
          <w:lang w:val="en-US" w:eastAsia="en-US"/>
        </w:rPr>
        <w:t>CBT</w:t>
      </w:r>
      <w:r w:rsidR="00352E47" w:rsidRPr="00B31D4D">
        <w:rPr>
          <w:rFonts w:ascii="Times New Roman" w:eastAsia="Times New Roman" w:hAnsi="Times New Roman" w:cs="Times New Roman"/>
          <w:color w:val="252525"/>
          <w:sz w:val="24"/>
          <w:szCs w:val="24"/>
          <w:lang w:val="en-US" w:eastAsia="en-US"/>
        </w:rPr>
        <w:t xml:space="preserve"> on </w:t>
      </w:r>
      <w:r w:rsidR="00352E47" w:rsidRPr="00B31D4D">
        <w:rPr>
          <w:rFonts w:ascii="Times New Roman" w:eastAsia="Times New Roman" w:hAnsi="Times New Roman" w:cs="Times New Roman"/>
          <w:i/>
          <w:color w:val="252525"/>
          <w:sz w:val="24"/>
          <w:szCs w:val="24"/>
          <w:lang w:val="en-US" w:eastAsia="en-US"/>
        </w:rPr>
        <w:t>FD</w:t>
      </w:r>
      <w:r w:rsidR="00352E47" w:rsidRPr="00B31D4D">
        <w:rPr>
          <w:rFonts w:ascii="Times New Roman" w:eastAsia="Times New Roman" w:hAnsi="Times New Roman" w:cs="Times New Roman"/>
          <w:color w:val="252525"/>
          <w:sz w:val="24"/>
          <w:szCs w:val="24"/>
          <w:lang w:val="en-US" w:eastAsia="en-US"/>
        </w:rPr>
        <w:t xml:space="preserve">; (ii) the marginal effects of </w:t>
      </w:r>
      <w:r w:rsidR="00352E47" w:rsidRPr="00B31D4D">
        <w:rPr>
          <w:rFonts w:ascii="Times New Roman" w:eastAsia="Times New Roman" w:hAnsi="Times New Roman" w:cs="Times New Roman"/>
          <w:i/>
          <w:color w:val="252525"/>
          <w:sz w:val="24"/>
          <w:szCs w:val="24"/>
          <w:lang w:val="en-US" w:eastAsia="en-US"/>
        </w:rPr>
        <w:t>EF</w:t>
      </w:r>
      <w:r w:rsidR="00352E47" w:rsidRPr="00B31D4D">
        <w:rPr>
          <w:rFonts w:ascii="Times New Roman" w:eastAsia="Times New Roman" w:hAnsi="Times New Roman" w:cs="Times New Roman"/>
          <w:color w:val="252525"/>
          <w:sz w:val="24"/>
          <w:szCs w:val="24"/>
          <w:lang w:val="en-US" w:eastAsia="en-US"/>
        </w:rPr>
        <w:t xml:space="preserve"> on </w:t>
      </w:r>
      <w:r w:rsidR="00352E47" w:rsidRPr="00B31D4D">
        <w:rPr>
          <w:rFonts w:ascii="Times New Roman" w:eastAsia="Times New Roman" w:hAnsi="Times New Roman" w:cs="Times New Roman"/>
          <w:i/>
          <w:color w:val="252525"/>
          <w:sz w:val="24"/>
          <w:szCs w:val="24"/>
          <w:lang w:val="en-US" w:eastAsia="en-US"/>
        </w:rPr>
        <w:t>FD</w:t>
      </w:r>
      <w:r w:rsidR="00352E47" w:rsidRPr="00B31D4D">
        <w:rPr>
          <w:rFonts w:ascii="Times New Roman" w:eastAsia="Times New Roman" w:hAnsi="Times New Roman" w:cs="Times New Roman"/>
          <w:color w:val="252525"/>
          <w:sz w:val="24"/>
          <w:szCs w:val="24"/>
          <w:lang w:val="en-US" w:eastAsia="en-US"/>
        </w:rPr>
        <w:t xml:space="preserve">; and finally (iii) the marginal effects of </w:t>
      </w:r>
      <w:r w:rsidR="00352E47" w:rsidRPr="00B31D4D">
        <w:rPr>
          <w:rFonts w:ascii="Times New Roman" w:eastAsia="Times New Roman" w:hAnsi="Times New Roman" w:cs="Times New Roman"/>
          <w:i/>
          <w:color w:val="252525"/>
          <w:sz w:val="24"/>
          <w:szCs w:val="24"/>
          <w:lang w:val="en-US" w:eastAsia="en-US"/>
        </w:rPr>
        <w:t>IBF</w:t>
      </w:r>
      <w:r w:rsidR="00352E47" w:rsidRPr="00B31D4D">
        <w:rPr>
          <w:rFonts w:ascii="Times New Roman" w:eastAsia="Times New Roman" w:hAnsi="Times New Roman" w:cs="Times New Roman"/>
          <w:color w:val="252525"/>
          <w:sz w:val="24"/>
          <w:szCs w:val="24"/>
          <w:lang w:val="en-US" w:eastAsia="en-US"/>
        </w:rPr>
        <w:t xml:space="preserve"> on </w:t>
      </w:r>
      <w:r w:rsidR="00352E47" w:rsidRPr="00B31D4D">
        <w:rPr>
          <w:rFonts w:ascii="Times New Roman" w:eastAsia="Times New Roman" w:hAnsi="Times New Roman" w:cs="Times New Roman"/>
          <w:i/>
          <w:color w:val="252525"/>
          <w:sz w:val="24"/>
          <w:szCs w:val="24"/>
          <w:lang w:val="en-US" w:eastAsia="en-US"/>
        </w:rPr>
        <w:t>FD</w:t>
      </w:r>
      <w:r w:rsidR="00352E47" w:rsidRPr="00B31D4D">
        <w:rPr>
          <w:rFonts w:ascii="Times New Roman" w:eastAsia="Times New Roman" w:hAnsi="Times New Roman" w:cs="Times New Roman"/>
          <w:color w:val="252525"/>
          <w:sz w:val="24"/>
          <w:szCs w:val="24"/>
          <w:lang w:val="en-US" w:eastAsia="en-US"/>
        </w:rPr>
        <w:t xml:space="preserve">. In all three aspects, the results are statistically significant at the 1% level of significance. Furthermore, the results reveal that countries with greater levels of central bank transparency are likely to attract more foreign investors than those that are less transparent, thus fostering the financial market development. Additionally, in terms of MCGDP, the results also show that foreign investors are likely to invest in countries that have a high-level of freedom, which enhances their financial development. This finding is consistent with existing studies which document that economic freedom improves economic growth (Ciftci and </w:t>
      </w:r>
      <w:proofErr w:type="spellStart"/>
      <w:r w:rsidR="00352E47" w:rsidRPr="00B31D4D">
        <w:rPr>
          <w:rFonts w:ascii="Times New Roman" w:eastAsia="Times New Roman" w:hAnsi="Times New Roman" w:cs="Times New Roman"/>
          <w:color w:val="252525"/>
          <w:sz w:val="24"/>
          <w:szCs w:val="24"/>
          <w:lang w:val="en-US" w:eastAsia="en-US"/>
        </w:rPr>
        <w:t>Durusu</w:t>
      </w:r>
      <w:proofErr w:type="spellEnd"/>
      <w:r w:rsidR="00352E47" w:rsidRPr="00B31D4D">
        <w:rPr>
          <w:rFonts w:ascii="Times New Roman" w:eastAsia="Times New Roman" w:hAnsi="Times New Roman" w:cs="Times New Roman"/>
          <w:color w:val="252525"/>
          <w:sz w:val="24"/>
          <w:szCs w:val="24"/>
          <w:lang w:val="en-US" w:eastAsia="en-US"/>
        </w:rPr>
        <w:t xml:space="preserve">-Ciftci, 2022; Brkić, </w:t>
      </w:r>
      <w:proofErr w:type="spellStart"/>
      <w:r w:rsidR="00352E47" w:rsidRPr="00B31D4D">
        <w:rPr>
          <w:rFonts w:ascii="Times New Roman" w:eastAsia="Times New Roman" w:hAnsi="Times New Roman" w:cs="Times New Roman"/>
          <w:color w:val="252525"/>
          <w:sz w:val="24"/>
          <w:szCs w:val="24"/>
          <w:lang w:val="en-US" w:eastAsia="en-US"/>
        </w:rPr>
        <w:t>Gradojević</w:t>
      </w:r>
      <w:proofErr w:type="spellEnd"/>
      <w:r w:rsidR="00352E47" w:rsidRPr="00B31D4D">
        <w:rPr>
          <w:rFonts w:ascii="Times New Roman" w:eastAsia="Times New Roman" w:hAnsi="Times New Roman" w:cs="Times New Roman"/>
          <w:color w:val="252525"/>
          <w:sz w:val="24"/>
          <w:szCs w:val="24"/>
          <w:lang w:val="en-US" w:eastAsia="en-US"/>
        </w:rPr>
        <w:t xml:space="preserve"> and </w:t>
      </w:r>
      <w:proofErr w:type="spellStart"/>
      <w:r w:rsidR="00352E47" w:rsidRPr="00B31D4D">
        <w:rPr>
          <w:rFonts w:ascii="Times New Roman" w:eastAsia="Times New Roman" w:hAnsi="Times New Roman" w:cs="Times New Roman"/>
          <w:color w:val="252525"/>
          <w:sz w:val="24"/>
          <w:szCs w:val="24"/>
          <w:lang w:val="en-US" w:eastAsia="en-US"/>
        </w:rPr>
        <w:t>Ignjatijević</w:t>
      </w:r>
      <w:proofErr w:type="spellEnd"/>
      <w:r w:rsidR="00352E47" w:rsidRPr="00B31D4D">
        <w:rPr>
          <w:rFonts w:ascii="Times New Roman" w:eastAsia="Times New Roman" w:hAnsi="Times New Roman" w:cs="Times New Roman"/>
          <w:color w:val="252525"/>
          <w:sz w:val="24"/>
          <w:szCs w:val="24"/>
          <w:lang w:val="en-US" w:eastAsia="en-US"/>
        </w:rPr>
        <w:t xml:space="preserve">, 2020; </w:t>
      </w:r>
      <w:proofErr w:type="spellStart"/>
      <w:r w:rsidR="00352E47" w:rsidRPr="00B31D4D">
        <w:rPr>
          <w:rFonts w:ascii="Times New Roman" w:eastAsia="Times New Roman" w:hAnsi="Times New Roman" w:cs="Times New Roman"/>
          <w:color w:val="252525"/>
          <w:sz w:val="24"/>
          <w:szCs w:val="24"/>
          <w:lang w:val="en-US" w:eastAsia="en-US"/>
        </w:rPr>
        <w:t>Haydaroglu</w:t>
      </w:r>
      <w:proofErr w:type="spellEnd"/>
      <w:r w:rsidR="00352E47" w:rsidRPr="00B31D4D">
        <w:rPr>
          <w:rFonts w:ascii="Times New Roman" w:eastAsia="Times New Roman" w:hAnsi="Times New Roman" w:cs="Times New Roman"/>
          <w:color w:val="252525"/>
          <w:sz w:val="24"/>
          <w:szCs w:val="24"/>
          <w:lang w:val="en-US" w:eastAsia="en-US"/>
        </w:rPr>
        <w:t xml:space="preserve">, 2016; De Haan and Sturm, 2000; Heckelman, 2000). Finally, the marginal effects of </w:t>
      </w:r>
      <w:r w:rsidR="00352E47" w:rsidRPr="00B31D4D">
        <w:rPr>
          <w:rFonts w:ascii="Times New Roman" w:eastAsia="Times New Roman" w:hAnsi="Times New Roman" w:cs="Times New Roman"/>
          <w:i/>
          <w:color w:val="252525"/>
          <w:sz w:val="24"/>
          <w:szCs w:val="24"/>
          <w:lang w:val="en-US" w:eastAsia="en-US"/>
        </w:rPr>
        <w:t>IBF</w:t>
      </w:r>
      <w:r w:rsidR="00352E47" w:rsidRPr="00B31D4D">
        <w:rPr>
          <w:rFonts w:ascii="Times New Roman" w:eastAsia="Times New Roman" w:hAnsi="Times New Roman" w:cs="Times New Roman"/>
          <w:color w:val="252525"/>
          <w:sz w:val="24"/>
          <w:szCs w:val="24"/>
          <w:lang w:val="en-US" w:eastAsia="en-US"/>
        </w:rPr>
        <w:t xml:space="preserve"> show that countries with higher bond flows are able to develop the financial market when compared with countries with less borrowing, and this would </w:t>
      </w:r>
      <w:r w:rsidR="00352E47" w:rsidRPr="00B31D4D">
        <w:rPr>
          <w:rFonts w:ascii="Times New Roman" w:eastAsia="Times New Roman" w:hAnsi="Times New Roman" w:cs="Times New Roman"/>
          <w:color w:val="252525"/>
          <w:sz w:val="24"/>
          <w:szCs w:val="24"/>
          <w:lang w:val="en-US" w:eastAsia="en-US"/>
        </w:rPr>
        <w:lastRenderedPageBreak/>
        <w:t xml:space="preserve">assist foreign investors in where to invest. It is worth </w:t>
      </w:r>
      <w:r w:rsidR="00B67C07" w:rsidRPr="00B31D4D">
        <w:rPr>
          <w:rFonts w:ascii="Times New Roman" w:eastAsia="Times New Roman" w:hAnsi="Times New Roman" w:cs="Times New Roman"/>
          <w:color w:val="252525"/>
          <w:sz w:val="24"/>
          <w:szCs w:val="24"/>
          <w:lang w:val="en-US" w:eastAsia="en-US"/>
        </w:rPr>
        <w:t>noting</w:t>
      </w:r>
      <w:r w:rsidR="00352E47" w:rsidRPr="00B31D4D">
        <w:rPr>
          <w:rFonts w:ascii="Times New Roman" w:eastAsia="Times New Roman" w:hAnsi="Times New Roman" w:cs="Times New Roman"/>
          <w:color w:val="252525"/>
          <w:sz w:val="24"/>
          <w:szCs w:val="24"/>
          <w:lang w:val="en-US" w:eastAsia="en-US"/>
        </w:rPr>
        <w:t xml:space="preserve"> that most of the results support our baseline regression outcomes; however</w:t>
      </w:r>
      <w:r w:rsidR="00B67C07" w:rsidRPr="00B31D4D">
        <w:rPr>
          <w:rFonts w:ascii="Times New Roman" w:eastAsia="Times New Roman" w:hAnsi="Times New Roman" w:cs="Times New Roman"/>
          <w:color w:val="252525"/>
          <w:sz w:val="24"/>
          <w:szCs w:val="24"/>
          <w:lang w:val="en-US" w:eastAsia="en-US"/>
        </w:rPr>
        <w:t>,</w:t>
      </w:r>
      <w:r w:rsidR="00352E47" w:rsidRPr="00B31D4D">
        <w:rPr>
          <w:rFonts w:ascii="Times New Roman" w:eastAsia="Times New Roman" w:hAnsi="Times New Roman" w:cs="Times New Roman"/>
          <w:color w:val="252525"/>
          <w:sz w:val="24"/>
          <w:szCs w:val="24"/>
          <w:lang w:val="en-US" w:eastAsia="en-US"/>
        </w:rPr>
        <w:t xml:space="preserve"> caution should be exercise</w:t>
      </w:r>
      <w:r w:rsidR="00B67C07" w:rsidRPr="00B31D4D">
        <w:rPr>
          <w:rFonts w:ascii="Times New Roman" w:eastAsia="Times New Roman" w:hAnsi="Times New Roman" w:cs="Times New Roman"/>
          <w:color w:val="252525"/>
          <w:sz w:val="24"/>
          <w:szCs w:val="24"/>
          <w:lang w:val="en-US" w:eastAsia="en-US"/>
        </w:rPr>
        <w:t>d</w:t>
      </w:r>
      <w:r w:rsidR="00352E47" w:rsidRPr="00B31D4D">
        <w:rPr>
          <w:rFonts w:ascii="Times New Roman" w:eastAsia="Times New Roman" w:hAnsi="Times New Roman" w:cs="Times New Roman"/>
          <w:color w:val="252525"/>
          <w:sz w:val="24"/>
          <w:szCs w:val="24"/>
          <w:lang w:val="en-US" w:eastAsia="en-US"/>
        </w:rPr>
        <w:t xml:space="preserve"> on the interpretation of these results.</w:t>
      </w:r>
      <w:r w:rsidR="00A01F8F" w:rsidRPr="00B31D4D">
        <w:rPr>
          <w:rFonts w:ascii="Times New Roman" w:eastAsia="Times New Roman" w:hAnsi="Times New Roman" w:cs="Times New Roman"/>
          <w:color w:val="252525"/>
          <w:sz w:val="24"/>
          <w:szCs w:val="24"/>
          <w:lang w:val="en-US" w:eastAsia="en-US"/>
        </w:rPr>
        <w:t xml:space="preserve"> Appendix A2 reports the plots for the marginal effects of the interactions. </w:t>
      </w:r>
    </w:p>
    <w:p w14:paraId="0EE71691" w14:textId="4D7CAFFC" w:rsidR="0069599E" w:rsidRPr="00357722" w:rsidRDefault="0069599E" w:rsidP="00A01F8F">
      <w:pPr>
        <w:autoSpaceDN w:val="0"/>
        <w:spacing w:after="0" w:line="48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………......Insert Table 11</w:t>
      </w:r>
      <w:r w:rsidRPr="00357722">
        <w:rPr>
          <w:rFonts w:ascii="Times New Roman" w:eastAsia="Calibri" w:hAnsi="Times New Roman" w:cs="Times New Roman"/>
          <w:b/>
          <w:sz w:val="24"/>
          <w:szCs w:val="24"/>
          <w:lang w:eastAsia="en-US"/>
        </w:rPr>
        <w:t xml:space="preserve"> about here..............</w:t>
      </w:r>
    </w:p>
    <w:p w14:paraId="1F0DC82E" w14:textId="61C56EA0" w:rsidR="00513C47" w:rsidRPr="00357722" w:rsidRDefault="00513C47" w:rsidP="00A01F8F">
      <w:pPr>
        <w:autoSpaceDN w:val="0"/>
        <w:spacing w:after="0" w:line="48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………......Insert Appendix A2</w:t>
      </w:r>
      <w:r w:rsidRPr="00357722">
        <w:rPr>
          <w:rFonts w:ascii="Times New Roman" w:eastAsia="Calibri" w:hAnsi="Times New Roman" w:cs="Times New Roman"/>
          <w:b/>
          <w:sz w:val="24"/>
          <w:szCs w:val="24"/>
          <w:lang w:eastAsia="en-US"/>
        </w:rPr>
        <w:t xml:space="preserve"> about here..............</w:t>
      </w:r>
    </w:p>
    <w:p w14:paraId="3BD1222D" w14:textId="452753F1" w:rsidR="00136C48" w:rsidRPr="00357722" w:rsidRDefault="00136C48" w:rsidP="00FE6D04">
      <w:pPr>
        <w:spacing w:after="0" w:line="480" w:lineRule="auto"/>
        <w:jc w:val="both"/>
        <w:rPr>
          <w:rFonts w:ascii="Times New Roman" w:eastAsia="Times New Roman" w:hAnsi="Times New Roman" w:cs="Times New Roman"/>
          <w:b/>
          <w:iCs/>
          <w:color w:val="000000" w:themeColor="text1"/>
          <w:sz w:val="24"/>
          <w:szCs w:val="24"/>
        </w:rPr>
      </w:pPr>
    </w:p>
    <w:p w14:paraId="7D9A634F" w14:textId="5911327B" w:rsidR="006B6205" w:rsidRPr="00357722" w:rsidRDefault="00A249ED" w:rsidP="00FE6D04">
      <w:pPr>
        <w:pStyle w:val="Style1"/>
        <w:numPr>
          <w:ilvl w:val="0"/>
          <w:numId w:val="28"/>
        </w:numPr>
        <w:spacing w:before="0"/>
        <w:ind w:right="95"/>
        <w:rPr>
          <w:rFonts w:ascii="Times New Roman" w:hAnsi="Times New Roman" w:cs="Times New Roman"/>
          <w:b/>
          <w:color w:val="000000" w:themeColor="text1"/>
          <w:sz w:val="24"/>
          <w:szCs w:val="24"/>
        </w:rPr>
      </w:pPr>
      <w:r w:rsidRPr="00357722">
        <w:rPr>
          <w:rFonts w:ascii="Times New Roman" w:hAnsi="Times New Roman" w:cs="Times New Roman"/>
          <w:b/>
          <w:color w:val="000000" w:themeColor="text1"/>
          <w:sz w:val="24"/>
          <w:szCs w:val="24"/>
        </w:rPr>
        <w:t>C</w:t>
      </w:r>
      <w:r w:rsidR="00281C6C" w:rsidRPr="00357722">
        <w:rPr>
          <w:rFonts w:ascii="Times New Roman" w:hAnsi="Times New Roman" w:cs="Times New Roman"/>
          <w:b/>
          <w:color w:val="000000" w:themeColor="text1"/>
          <w:sz w:val="24"/>
          <w:szCs w:val="24"/>
        </w:rPr>
        <w:t>onclusion</w:t>
      </w:r>
      <w:r w:rsidR="00962EDD" w:rsidRPr="00357722">
        <w:rPr>
          <w:rFonts w:ascii="Times New Roman" w:hAnsi="Times New Roman" w:cs="Times New Roman"/>
          <w:b/>
          <w:color w:val="000000" w:themeColor="text1"/>
          <w:sz w:val="24"/>
          <w:szCs w:val="24"/>
        </w:rPr>
        <w:t>s</w:t>
      </w:r>
    </w:p>
    <w:p w14:paraId="616304B4" w14:textId="7BAC36B9" w:rsidR="00D42B22" w:rsidRPr="00357722" w:rsidRDefault="00D42B22" w:rsidP="00942C74">
      <w:pPr>
        <w:spacing w:after="0" w:line="480" w:lineRule="auto"/>
        <w:ind w:firstLine="720"/>
        <w:jc w:val="both"/>
        <w:rPr>
          <w:rFonts w:ascii="Times New Roman" w:eastAsiaTheme="minorHAnsi" w:hAnsi="Times New Roman" w:cs="Times New Roman"/>
          <w:noProof/>
          <w:color w:val="000000" w:themeColor="text1"/>
          <w:sz w:val="24"/>
          <w:szCs w:val="24"/>
          <w:lang w:eastAsia="en-US"/>
        </w:rPr>
      </w:pPr>
      <w:r w:rsidRPr="00357722">
        <w:rPr>
          <w:rFonts w:ascii="Times New Roman" w:eastAsiaTheme="minorHAnsi" w:hAnsi="Times New Roman" w:cs="Times New Roman"/>
          <w:noProof/>
          <w:color w:val="000000" w:themeColor="text1"/>
          <w:sz w:val="24"/>
          <w:szCs w:val="24"/>
          <w:lang w:eastAsia="en-US"/>
        </w:rPr>
        <w:t>The long-standing policy question for countries to develop the domestic financial markets which ha</w:t>
      </w:r>
      <w:r w:rsidR="00B67C07">
        <w:rPr>
          <w:rFonts w:ascii="Times New Roman" w:eastAsiaTheme="minorHAnsi" w:hAnsi="Times New Roman" w:cs="Times New Roman"/>
          <w:noProof/>
          <w:color w:val="000000" w:themeColor="text1"/>
          <w:sz w:val="24"/>
          <w:szCs w:val="24"/>
          <w:lang w:eastAsia="en-US"/>
        </w:rPr>
        <w:t>ve</w:t>
      </w:r>
      <w:r w:rsidRPr="00357722">
        <w:rPr>
          <w:rFonts w:ascii="Times New Roman" w:eastAsiaTheme="minorHAnsi" w:hAnsi="Times New Roman" w:cs="Times New Roman"/>
          <w:noProof/>
          <w:color w:val="000000" w:themeColor="text1"/>
          <w:sz w:val="24"/>
          <w:szCs w:val="24"/>
          <w:lang w:eastAsia="en-US"/>
        </w:rPr>
        <w:t xml:space="preserve"> led to countries implement</w:t>
      </w:r>
      <w:r w:rsidR="00B67C07">
        <w:rPr>
          <w:rFonts w:ascii="Times New Roman" w:eastAsiaTheme="minorHAnsi" w:hAnsi="Times New Roman" w:cs="Times New Roman"/>
          <w:noProof/>
          <w:color w:val="000000" w:themeColor="text1"/>
          <w:sz w:val="24"/>
          <w:szCs w:val="24"/>
          <w:lang w:eastAsia="en-US"/>
        </w:rPr>
        <w:t>ing</w:t>
      </w:r>
      <w:r w:rsidRPr="00357722">
        <w:rPr>
          <w:rFonts w:ascii="Times New Roman" w:eastAsiaTheme="minorHAnsi" w:hAnsi="Times New Roman" w:cs="Times New Roman"/>
          <w:noProof/>
          <w:color w:val="000000" w:themeColor="text1"/>
          <w:sz w:val="24"/>
          <w:szCs w:val="24"/>
          <w:lang w:eastAsia="en-US"/>
        </w:rPr>
        <w:t xml:space="preserve"> significant reforms via financial liberalization in the last four decades </w:t>
      </w:r>
      <w:r w:rsidR="00E30532" w:rsidRPr="00357722">
        <w:rPr>
          <w:rFonts w:ascii="Times New Roman" w:eastAsiaTheme="minorHAnsi" w:hAnsi="Times New Roman" w:cs="Times New Roman"/>
          <w:noProof/>
          <w:color w:val="000000" w:themeColor="text1"/>
          <w:sz w:val="24"/>
          <w:szCs w:val="24"/>
          <w:lang w:eastAsia="en-US"/>
        </w:rPr>
        <w:t>ha</w:t>
      </w:r>
      <w:r w:rsidR="00E30532">
        <w:rPr>
          <w:rFonts w:ascii="Times New Roman" w:eastAsiaTheme="minorHAnsi" w:hAnsi="Times New Roman" w:cs="Times New Roman"/>
          <w:noProof/>
          <w:color w:val="000000" w:themeColor="text1"/>
          <w:sz w:val="24"/>
          <w:szCs w:val="24"/>
          <w:lang w:eastAsia="en-US"/>
        </w:rPr>
        <w:t>s</w:t>
      </w:r>
      <w:r w:rsidR="00E30532" w:rsidRPr="00357722">
        <w:rPr>
          <w:rFonts w:ascii="Times New Roman" w:eastAsiaTheme="minorHAnsi" w:hAnsi="Times New Roman" w:cs="Times New Roman"/>
          <w:noProof/>
          <w:color w:val="000000" w:themeColor="text1"/>
          <w:sz w:val="24"/>
          <w:szCs w:val="24"/>
          <w:lang w:eastAsia="en-US"/>
        </w:rPr>
        <w:t xml:space="preserve"> </w:t>
      </w:r>
      <w:r w:rsidRPr="00357722">
        <w:rPr>
          <w:rFonts w:ascii="Times New Roman" w:eastAsiaTheme="minorHAnsi" w:hAnsi="Times New Roman" w:cs="Times New Roman"/>
          <w:noProof/>
          <w:color w:val="000000" w:themeColor="text1"/>
          <w:sz w:val="24"/>
          <w:szCs w:val="24"/>
          <w:lang w:eastAsia="en-US"/>
        </w:rPr>
        <w:t>had mixed success. Whilst several countries have been able to increase stock market liqu</w:t>
      </w:r>
      <w:r w:rsidR="00E30532">
        <w:rPr>
          <w:rFonts w:ascii="Times New Roman" w:eastAsiaTheme="minorHAnsi" w:hAnsi="Times New Roman" w:cs="Times New Roman"/>
          <w:noProof/>
          <w:color w:val="000000" w:themeColor="text1"/>
          <w:sz w:val="24"/>
          <w:szCs w:val="24"/>
          <w:lang w:eastAsia="en-US"/>
        </w:rPr>
        <w:t>id</w:t>
      </w:r>
      <w:r w:rsidRPr="00357722">
        <w:rPr>
          <w:rFonts w:ascii="Times New Roman" w:eastAsiaTheme="minorHAnsi" w:hAnsi="Times New Roman" w:cs="Times New Roman"/>
          <w:noProof/>
          <w:color w:val="000000" w:themeColor="text1"/>
          <w:sz w:val="24"/>
          <w:szCs w:val="24"/>
          <w:lang w:eastAsia="en-US"/>
        </w:rPr>
        <w:t xml:space="preserve">ity and a well-functioning financial infrastructure, others particularly in developing countries have suffered financial stagnation and in some cases, collapse. </w:t>
      </w:r>
      <w:r w:rsidR="00012D3A" w:rsidRPr="00357722">
        <w:rPr>
          <w:rFonts w:ascii="Times New Roman" w:eastAsiaTheme="minorHAnsi" w:hAnsi="Times New Roman" w:cs="Times New Roman"/>
          <w:noProof/>
          <w:color w:val="000000" w:themeColor="text1"/>
          <w:sz w:val="24"/>
          <w:szCs w:val="24"/>
          <w:lang w:eastAsia="en-US"/>
        </w:rPr>
        <w:t>In line with the greater investor participation theory, w</w:t>
      </w:r>
      <w:r w:rsidRPr="00357722">
        <w:rPr>
          <w:rFonts w:ascii="Times New Roman" w:eastAsiaTheme="minorHAnsi" w:hAnsi="Times New Roman" w:cs="Times New Roman"/>
          <w:noProof/>
          <w:color w:val="000000" w:themeColor="text1"/>
          <w:sz w:val="24"/>
          <w:szCs w:val="24"/>
          <w:lang w:eastAsia="en-US"/>
        </w:rPr>
        <w:t xml:space="preserve">e empirically examine the financial development effects of international equity portfolio diversification guided by </w:t>
      </w:r>
      <w:r w:rsidR="00012D3A" w:rsidRPr="00357722">
        <w:rPr>
          <w:rFonts w:ascii="Times New Roman" w:eastAsiaTheme="minorHAnsi" w:hAnsi="Times New Roman" w:cs="Times New Roman"/>
          <w:noProof/>
          <w:color w:val="000000" w:themeColor="text1"/>
          <w:sz w:val="24"/>
          <w:szCs w:val="24"/>
          <w:lang w:eastAsia="en-US"/>
        </w:rPr>
        <w:t>the sensitivity of central bank transparency, economic freedom</w:t>
      </w:r>
      <w:r w:rsidR="00E30532">
        <w:rPr>
          <w:rFonts w:ascii="Times New Roman" w:eastAsiaTheme="minorHAnsi" w:hAnsi="Times New Roman" w:cs="Times New Roman"/>
          <w:noProof/>
          <w:color w:val="000000" w:themeColor="text1"/>
          <w:sz w:val="24"/>
          <w:szCs w:val="24"/>
          <w:lang w:eastAsia="en-US"/>
        </w:rPr>
        <w:t>,</w:t>
      </w:r>
      <w:r w:rsidR="00012D3A" w:rsidRPr="00357722">
        <w:rPr>
          <w:rFonts w:ascii="Times New Roman" w:eastAsiaTheme="minorHAnsi" w:hAnsi="Times New Roman" w:cs="Times New Roman"/>
          <w:noProof/>
          <w:color w:val="000000" w:themeColor="text1"/>
          <w:sz w:val="24"/>
          <w:szCs w:val="24"/>
          <w:lang w:eastAsia="en-US"/>
        </w:rPr>
        <w:t xml:space="preserve"> and flow of foreign bonds.</w:t>
      </w:r>
    </w:p>
    <w:p w14:paraId="027A197C" w14:textId="4CE10B5F" w:rsidR="00D42B22" w:rsidRPr="00357722" w:rsidRDefault="00012D3A" w:rsidP="00942C74">
      <w:pPr>
        <w:spacing w:after="0" w:line="480" w:lineRule="auto"/>
        <w:ind w:firstLine="720"/>
        <w:jc w:val="both"/>
        <w:rPr>
          <w:rFonts w:ascii="Times New Roman" w:eastAsiaTheme="minorHAnsi" w:hAnsi="Times New Roman" w:cs="Times New Roman"/>
          <w:noProof/>
          <w:color w:val="000000" w:themeColor="text1"/>
          <w:sz w:val="24"/>
          <w:szCs w:val="24"/>
          <w:lang w:eastAsia="en-US"/>
        </w:rPr>
      </w:pPr>
      <w:r w:rsidRPr="00357722">
        <w:rPr>
          <w:rFonts w:ascii="Times New Roman" w:eastAsiaTheme="minorHAnsi" w:hAnsi="Times New Roman" w:cs="Times New Roman"/>
          <w:noProof/>
          <w:color w:val="000000" w:themeColor="text1"/>
          <w:sz w:val="24"/>
          <w:szCs w:val="24"/>
          <w:lang w:eastAsia="en-US"/>
        </w:rPr>
        <w:t xml:space="preserve">Using panel data </w:t>
      </w:r>
      <w:r w:rsidR="00836FEE">
        <w:rPr>
          <w:rFonts w:ascii="Times New Roman" w:eastAsiaTheme="minorHAnsi" w:hAnsi="Times New Roman" w:cs="Times New Roman"/>
          <w:noProof/>
          <w:color w:val="000000" w:themeColor="text1"/>
          <w:sz w:val="24"/>
          <w:szCs w:val="24"/>
          <w:lang w:eastAsia="en-US"/>
        </w:rPr>
        <w:t>from</w:t>
      </w:r>
      <w:r w:rsidRPr="00357722">
        <w:rPr>
          <w:rFonts w:ascii="Times New Roman" w:eastAsiaTheme="minorHAnsi" w:hAnsi="Times New Roman" w:cs="Times New Roman"/>
          <w:noProof/>
          <w:color w:val="000000" w:themeColor="text1"/>
          <w:sz w:val="24"/>
          <w:szCs w:val="24"/>
          <w:lang w:eastAsia="en-US"/>
        </w:rPr>
        <w:t xml:space="preserve"> 49 countries from 2001 to 2016, we find that international equity portfolio diversification improves financial development. </w:t>
      </w:r>
      <w:r w:rsidR="00FE6D04" w:rsidRPr="00357722">
        <w:rPr>
          <w:rFonts w:ascii="Times New Roman" w:eastAsiaTheme="minorHAnsi" w:hAnsi="Times New Roman" w:cs="Times New Roman"/>
          <w:noProof/>
          <w:color w:val="000000" w:themeColor="text1"/>
          <w:sz w:val="24"/>
          <w:szCs w:val="24"/>
          <w:lang w:eastAsia="en-US"/>
        </w:rPr>
        <w:t xml:space="preserve">The magnitude of the impact of capital flow on financial development is not homogenous and is linked to variations in capital flow. </w:t>
      </w:r>
      <w:r w:rsidRPr="00357722">
        <w:rPr>
          <w:rFonts w:ascii="Times New Roman" w:eastAsiaTheme="minorHAnsi" w:hAnsi="Times New Roman" w:cs="Times New Roman"/>
          <w:noProof/>
          <w:color w:val="000000" w:themeColor="text1"/>
          <w:sz w:val="24"/>
          <w:szCs w:val="24"/>
          <w:lang w:eastAsia="en-US"/>
        </w:rPr>
        <w:t>Further, as predicted by theory, central bank transparency interacts with international capital to have a com</w:t>
      </w:r>
      <w:r w:rsidR="00E30532">
        <w:rPr>
          <w:rFonts w:ascii="Times New Roman" w:eastAsiaTheme="minorHAnsi" w:hAnsi="Times New Roman" w:cs="Times New Roman"/>
          <w:noProof/>
          <w:color w:val="000000" w:themeColor="text1"/>
          <w:sz w:val="24"/>
          <w:szCs w:val="24"/>
          <w:lang w:eastAsia="en-US"/>
        </w:rPr>
        <w:t>b</w:t>
      </w:r>
      <w:r w:rsidRPr="00357722">
        <w:rPr>
          <w:rFonts w:ascii="Times New Roman" w:eastAsiaTheme="minorHAnsi" w:hAnsi="Times New Roman" w:cs="Times New Roman"/>
          <w:noProof/>
          <w:color w:val="000000" w:themeColor="text1"/>
          <w:sz w:val="24"/>
          <w:szCs w:val="24"/>
          <w:lang w:eastAsia="en-US"/>
        </w:rPr>
        <w:t>ined effect to develop the domestic financial market. We also find that the relationship between international equity portf</w:t>
      </w:r>
      <w:r w:rsidR="00E30532">
        <w:rPr>
          <w:rFonts w:ascii="Times New Roman" w:eastAsiaTheme="minorHAnsi" w:hAnsi="Times New Roman" w:cs="Times New Roman"/>
          <w:noProof/>
          <w:color w:val="000000" w:themeColor="text1"/>
          <w:sz w:val="24"/>
          <w:szCs w:val="24"/>
          <w:lang w:eastAsia="en-US"/>
        </w:rPr>
        <w:t>o</w:t>
      </w:r>
      <w:r w:rsidRPr="00357722">
        <w:rPr>
          <w:rFonts w:ascii="Times New Roman" w:eastAsiaTheme="minorHAnsi" w:hAnsi="Times New Roman" w:cs="Times New Roman"/>
          <w:noProof/>
          <w:color w:val="000000" w:themeColor="text1"/>
          <w:sz w:val="24"/>
          <w:szCs w:val="24"/>
          <w:lang w:eastAsia="en-US"/>
        </w:rPr>
        <w:t xml:space="preserve">lio diversification is </w:t>
      </w:r>
      <w:r w:rsidR="00E30532" w:rsidRPr="00357722">
        <w:rPr>
          <w:rFonts w:ascii="Times New Roman" w:eastAsiaTheme="minorHAnsi" w:hAnsi="Times New Roman" w:cs="Times New Roman"/>
          <w:noProof/>
          <w:color w:val="000000" w:themeColor="text1"/>
          <w:sz w:val="24"/>
          <w:szCs w:val="24"/>
          <w:lang w:eastAsia="en-US"/>
        </w:rPr>
        <w:t>sensit</w:t>
      </w:r>
      <w:r w:rsidR="00E30532">
        <w:rPr>
          <w:rFonts w:ascii="Times New Roman" w:eastAsiaTheme="minorHAnsi" w:hAnsi="Times New Roman" w:cs="Times New Roman"/>
          <w:noProof/>
          <w:color w:val="000000" w:themeColor="text1"/>
          <w:sz w:val="24"/>
          <w:szCs w:val="24"/>
          <w:lang w:eastAsia="en-US"/>
        </w:rPr>
        <w:t>ive</w:t>
      </w:r>
      <w:r w:rsidR="00E30532" w:rsidRPr="00357722">
        <w:rPr>
          <w:rFonts w:ascii="Times New Roman" w:eastAsiaTheme="minorHAnsi" w:hAnsi="Times New Roman" w:cs="Times New Roman"/>
          <w:noProof/>
          <w:color w:val="000000" w:themeColor="text1"/>
          <w:sz w:val="24"/>
          <w:szCs w:val="24"/>
          <w:lang w:eastAsia="en-US"/>
        </w:rPr>
        <w:t xml:space="preserve"> </w:t>
      </w:r>
      <w:r w:rsidRPr="00357722">
        <w:rPr>
          <w:rFonts w:ascii="Times New Roman" w:eastAsiaTheme="minorHAnsi" w:hAnsi="Times New Roman" w:cs="Times New Roman"/>
          <w:noProof/>
          <w:color w:val="000000" w:themeColor="text1"/>
          <w:sz w:val="24"/>
          <w:szCs w:val="24"/>
          <w:lang w:eastAsia="en-US"/>
        </w:rPr>
        <w:t>to institutional</w:t>
      </w:r>
      <w:r w:rsidR="00405DD1" w:rsidRPr="00357722">
        <w:rPr>
          <w:rFonts w:ascii="Times New Roman" w:eastAsiaTheme="minorHAnsi" w:hAnsi="Times New Roman" w:cs="Times New Roman"/>
          <w:noProof/>
          <w:color w:val="000000" w:themeColor="text1"/>
          <w:sz w:val="24"/>
          <w:szCs w:val="24"/>
          <w:lang w:eastAsia="en-US"/>
        </w:rPr>
        <w:t xml:space="preserve"> quality. Finally, with regard to sequencing, we find that international equity portfolio diversification and foreign bond flow play a </w:t>
      </w:r>
      <w:r w:rsidR="00004DEB">
        <w:rPr>
          <w:rFonts w:ascii="Times New Roman" w:eastAsiaTheme="minorHAnsi" w:hAnsi="Times New Roman" w:cs="Times New Roman"/>
          <w:noProof/>
          <w:color w:val="000000" w:themeColor="text1"/>
          <w:sz w:val="24"/>
          <w:szCs w:val="24"/>
          <w:lang w:eastAsia="en-US"/>
        </w:rPr>
        <w:t>substitution</w:t>
      </w:r>
      <w:r w:rsidR="00004DEB" w:rsidRPr="00357722">
        <w:rPr>
          <w:rFonts w:ascii="Times New Roman" w:eastAsiaTheme="minorHAnsi" w:hAnsi="Times New Roman" w:cs="Times New Roman"/>
          <w:noProof/>
          <w:color w:val="000000" w:themeColor="text1"/>
          <w:sz w:val="24"/>
          <w:szCs w:val="24"/>
          <w:lang w:eastAsia="en-US"/>
        </w:rPr>
        <w:t xml:space="preserve"> </w:t>
      </w:r>
      <w:r w:rsidR="00405DD1" w:rsidRPr="00357722">
        <w:rPr>
          <w:rFonts w:ascii="Times New Roman" w:eastAsiaTheme="minorHAnsi" w:hAnsi="Times New Roman" w:cs="Times New Roman"/>
          <w:noProof/>
          <w:color w:val="000000" w:themeColor="text1"/>
          <w:sz w:val="24"/>
          <w:szCs w:val="24"/>
          <w:lang w:eastAsia="en-US"/>
        </w:rPr>
        <w:t xml:space="preserve">role </w:t>
      </w:r>
      <w:r w:rsidR="00E30532">
        <w:rPr>
          <w:rFonts w:ascii="Times New Roman" w:eastAsiaTheme="minorHAnsi" w:hAnsi="Times New Roman" w:cs="Times New Roman"/>
          <w:noProof/>
          <w:color w:val="000000" w:themeColor="text1"/>
          <w:sz w:val="24"/>
          <w:szCs w:val="24"/>
          <w:lang w:eastAsia="en-US"/>
        </w:rPr>
        <w:t>in</w:t>
      </w:r>
      <w:r w:rsidR="00E30532" w:rsidRPr="00357722">
        <w:rPr>
          <w:rFonts w:ascii="Times New Roman" w:eastAsiaTheme="minorHAnsi" w:hAnsi="Times New Roman" w:cs="Times New Roman"/>
          <w:noProof/>
          <w:color w:val="000000" w:themeColor="text1"/>
          <w:sz w:val="24"/>
          <w:szCs w:val="24"/>
          <w:lang w:eastAsia="en-US"/>
        </w:rPr>
        <w:t xml:space="preserve"> </w:t>
      </w:r>
      <w:r w:rsidR="00405DD1" w:rsidRPr="00357722">
        <w:rPr>
          <w:rFonts w:ascii="Times New Roman" w:eastAsiaTheme="minorHAnsi" w:hAnsi="Times New Roman" w:cs="Times New Roman"/>
          <w:noProof/>
          <w:color w:val="000000" w:themeColor="text1"/>
          <w:sz w:val="24"/>
          <w:szCs w:val="24"/>
          <w:lang w:eastAsia="en-US"/>
        </w:rPr>
        <w:t>financial system development.</w:t>
      </w:r>
      <w:r w:rsidR="00853B81" w:rsidRPr="00357722">
        <w:rPr>
          <w:rFonts w:ascii="Times New Roman" w:eastAsiaTheme="minorHAnsi" w:hAnsi="Times New Roman" w:cs="Times New Roman"/>
          <w:noProof/>
          <w:color w:val="000000" w:themeColor="text1"/>
          <w:sz w:val="24"/>
          <w:szCs w:val="24"/>
          <w:lang w:eastAsia="en-US"/>
        </w:rPr>
        <w:t xml:space="preserve"> Our results are robust to dynamic GMM, fixed effects estimation, and the 2008 global financial </w:t>
      </w:r>
      <w:r w:rsidR="00E30532" w:rsidRPr="00357722">
        <w:rPr>
          <w:rFonts w:ascii="Times New Roman" w:eastAsiaTheme="minorHAnsi" w:hAnsi="Times New Roman" w:cs="Times New Roman"/>
          <w:noProof/>
          <w:color w:val="000000" w:themeColor="text1"/>
          <w:sz w:val="24"/>
          <w:szCs w:val="24"/>
          <w:lang w:eastAsia="en-US"/>
        </w:rPr>
        <w:t>cris</w:t>
      </w:r>
      <w:r w:rsidR="00E30532">
        <w:rPr>
          <w:rFonts w:ascii="Times New Roman" w:eastAsiaTheme="minorHAnsi" w:hAnsi="Times New Roman" w:cs="Times New Roman"/>
          <w:noProof/>
          <w:color w:val="000000" w:themeColor="text1"/>
          <w:sz w:val="24"/>
          <w:szCs w:val="24"/>
          <w:lang w:eastAsia="en-US"/>
        </w:rPr>
        <w:t>i</w:t>
      </w:r>
      <w:r w:rsidR="00E30532" w:rsidRPr="00357722">
        <w:rPr>
          <w:rFonts w:ascii="Times New Roman" w:eastAsiaTheme="minorHAnsi" w:hAnsi="Times New Roman" w:cs="Times New Roman"/>
          <w:noProof/>
          <w:color w:val="000000" w:themeColor="text1"/>
          <w:sz w:val="24"/>
          <w:szCs w:val="24"/>
          <w:lang w:eastAsia="en-US"/>
        </w:rPr>
        <w:t>s</w:t>
      </w:r>
      <w:r w:rsidR="00853B81" w:rsidRPr="00357722">
        <w:rPr>
          <w:rFonts w:ascii="Times New Roman" w:eastAsiaTheme="minorHAnsi" w:hAnsi="Times New Roman" w:cs="Times New Roman"/>
          <w:noProof/>
          <w:color w:val="000000" w:themeColor="text1"/>
          <w:sz w:val="24"/>
          <w:szCs w:val="24"/>
          <w:lang w:eastAsia="en-US"/>
        </w:rPr>
        <w:t>.</w:t>
      </w:r>
    </w:p>
    <w:p w14:paraId="65E9940F" w14:textId="649C4F54" w:rsidR="002E3D3A" w:rsidRDefault="004F271B" w:rsidP="00CA1364">
      <w:pPr>
        <w:spacing w:after="0" w:line="480" w:lineRule="auto"/>
        <w:ind w:firstLine="720"/>
        <w:jc w:val="both"/>
        <w:rPr>
          <w:rFonts w:ascii="Times New Roman" w:eastAsiaTheme="minorHAnsi" w:hAnsi="Times New Roman" w:cs="Times New Roman"/>
          <w:noProof/>
          <w:color w:val="000000" w:themeColor="text1"/>
          <w:sz w:val="24"/>
          <w:szCs w:val="24"/>
          <w:lang w:eastAsia="en-US"/>
        </w:rPr>
      </w:pPr>
      <w:r w:rsidRPr="00357722">
        <w:rPr>
          <w:rFonts w:ascii="Times New Roman" w:eastAsiaTheme="minorHAnsi" w:hAnsi="Times New Roman" w:cs="Times New Roman"/>
          <w:noProof/>
          <w:color w:val="000000" w:themeColor="text1"/>
          <w:sz w:val="24"/>
          <w:szCs w:val="24"/>
          <w:lang w:eastAsia="en-US"/>
        </w:rPr>
        <w:lastRenderedPageBreak/>
        <w:t>Our empirical analyse</w:t>
      </w:r>
      <w:r w:rsidR="00EB25AA" w:rsidRPr="00357722">
        <w:rPr>
          <w:rFonts w:ascii="Times New Roman" w:eastAsiaTheme="minorHAnsi" w:hAnsi="Times New Roman" w:cs="Times New Roman"/>
          <w:noProof/>
          <w:color w:val="000000" w:themeColor="text1"/>
          <w:sz w:val="24"/>
          <w:szCs w:val="24"/>
          <w:lang w:eastAsia="en-US"/>
        </w:rPr>
        <w:t xml:space="preserve">s imply that policymakers particularly in </w:t>
      </w:r>
      <w:r w:rsidRPr="00357722">
        <w:rPr>
          <w:rFonts w:ascii="Times New Roman" w:eastAsiaTheme="minorHAnsi" w:hAnsi="Times New Roman" w:cs="Times New Roman"/>
          <w:noProof/>
          <w:color w:val="000000" w:themeColor="text1"/>
          <w:sz w:val="24"/>
          <w:szCs w:val="24"/>
          <w:lang w:eastAsia="en-US"/>
        </w:rPr>
        <w:t>developing</w:t>
      </w:r>
      <w:r w:rsidR="00EB25AA" w:rsidRPr="00357722">
        <w:rPr>
          <w:rFonts w:ascii="Times New Roman" w:eastAsiaTheme="minorHAnsi" w:hAnsi="Times New Roman" w:cs="Times New Roman"/>
          <w:noProof/>
          <w:color w:val="000000" w:themeColor="text1"/>
          <w:sz w:val="24"/>
          <w:szCs w:val="24"/>
          <w:lang w:eastAsia="en-US"/>
        </w:rPr>
        <w:t xml:space="preserve"> countries focussing and making central banks transparent and improving economic freedom could be </w:t>
      </w:r>
      <w:r w:rsidR="00E30532" w:rsidRPr="00357722">
        <w:rPr>
          <w:rFonts w:ascii="Times New Roman" w:eastAsiaTheme="minorHAnsi" w:hAnsi="Times New Roman" w:cs="Times New Roman"/>
          <w:noProof/>
          <w:color w:val="000000" w:themeColor="text1"/>
          <w:sz w:val="24"/>
          <w:szCs w:val="24"/>
          <w:lang w:eastAsia="en-US"/>
        </w:rPr>
        <w:t>comp</w:t>
      </w:r>
      <w:r w:rsidR="00E30532">
        <w:rPr>
          <w:rFonts w:ascii="Times New Roman" w:eastAsiaTheme="minorHAnsi" w:hAnsi="Times New Roman" w:cs="Times New Roman"/>
          <w:noProof/>
          <w:color w:val="000000" w:themeColor="text1"/>
          <w:sz w:val="24"/>
          <w:szCs w:val="24"/>
          <w:lang w:eastAsia="en-US"/>
        </w:rPr>
        <w:t>l</w:t>
      </w:r>
      <w:r w:rsidR="00E30532" w:rsidRPr="00357722">
        <w:rPr>
          <w:rFonts w:ascii="Times New Roman" w:eastAsiaTheme="minorHAnsi" w:hAnsi="Times New Roman" w:cs="Times New Roman"/>
          <w:noProof/>
          <w:color w:val="000000" w:themeColor="text1"/>
          <w:sz w:val="24"/>
          <w:szCs w:val="24"/>
          <w:lang w:eastAsia="en-US"/>
        </w:rPr>
        <w:t xml:space="preserve">ementary </w:t>
      </w:r>
      <w:r w:rsidR="00EB25AA" w:rsidRPr="00357722">
        <w:rPr>
          <w:rFonts w:ascii="Times New Roman" w:eastAsiaTheme="minorHAnsi" w:hAnsi="Times New Roman" w:cs="Times New Roman"/>
          <w:noProof/>
          <w:color w:val="000000" w:themeColor="text1"/>
          <w:sz w:val="24"/>
          <w:szCs w:val="24"/>
          <w:lang w:eastAsia="en-US"/>
        </w:rPr>
        <w:t xml:space="preserve">policy tools to enhance financial development to provide funds to firms with greater investment opportunities for economic growth. </w:t>
      </w:r>
      <w:r w:rsidR="008A641E" w:rsidRPr="00357722">
        <w:rPr>
          <w:rFonts w:ascii="Times New Roman" w:eastAsiaTheme="minorHAnsi" w:hAnsi="Times New Roman" w:cs="Times New Roman"/>
          <w:noProof/>
          <w:color w:val="000000" w:themeColor="text1"/>
          <w:sz w:val="24"/>
          <w:szCs w:val="24"/>
          <w:lang w:eastAsia="en-US"/>
        </w:rPr>
        <w:t xml:space="preserve">Particularly, there should be </w:t>
      </w:r>
      <w:r w:rsidR="00E30532">
        <w:rPr>
          <w:rFonts w:ascii="Times New Roman" w:eastAsiaTheme="minorHAnsi" w:hAnsi="Times New Roman" w:cs="Times New Roman"/>
          <w:noProof/>
          <w:color w:val="000000" w:themeColor="text1"/>
          <w:sz w:val="24"/>
          <w:szCs w:val="24"/>
          <w:lang w:eastAsia="en-US"/>
        </w:rPr>
        <w:t xml:space="preserve">a </w:t>
      </w:r>
      <w:r w:rsidR="008A641E" w:rsidRPr="00357722">
        <w:rPr>
          <w:rFonts w:ascii="Times New Roman" w:eastAsiaTheme="minorHAnsi" w:hAnsi="Times New Roman" w:cs="Times New Roman"/>
          <w:noProof/>
          <w:color w:val="000000" w:themeColor="text1"/>
          <w:sz w:val="24"/>
          <w:szCs w:val="24"/>
          <w:lang w:eastAsia="en-US"/>
        </w:rPr>
        <w:t>higher level of institutional quality such as property rights, government integrity</w:t>
      </w:r>
      <w:r w:rsidR="00E30532">
        <w:rPr>
          <w:rFonts w:ascii="Times New Roman" w:eastAsiaTheme="minorHAnsi" w:hAnsi="Times New Roman" w:cs="Times New Roman"/>
          <w:noProof/>
          <w:color w:val="000000" w:themeColor="text1"/>
          <w:sz w:val="24"/>
          <w:szCs w:val="24"/>
          <w:lang w:eastAsia="en-US"/>
        </w:rPr>
        <w:t>,</w:t>
      </w:r>
      <w:r w:rsidR="008A641E" w:rsidRPr="00357722">
        <w:rPr>
          <w:rFonts w:ascii="Times New Roman" w:eastAsiaTheme="minorHAnsi" w:hAnsi="Times New Roman" w:cs="Times New Roman"/>
          <w:noProof/>
          <w:color w:val="000000" w:themeColor="text1"/>
          <w:sz w:val="24"/>
          <w:szCs w:val="24"/>
          <w:lang w:eastAsia="en-US"/>
        </w:rPr>
        <w:t xml:space="preserve"> and judicial effectiveness to reduce exploitation and duping of investors.</w:t>
      </w:r>
    </w:p>
    <w:p w14:paraId="6938F992" w14:textId="77777777" w:rsidR="00F528A8" w:rsidRDefault="00F528A8" w:rsidP="00F528A8">
      <w:pPr>
        <w:spacing w:after="0" w:line="480" w:lineRule="auto"/>
        <w:jc w:val="both"/>
        <w:rPr>
          <w:rFonts w:ascii="Times New Roman" w:eastAsiaTheme="minorHAnsi" w:hAnsi="Times New Roman" w:cs="Times New Roman"/>
          <w:noProof/>
          <w:color w:val="000000" w:themeColor="text1"/>
          <w:sz w:val="24"/>
          <w:szCs w:val="24"/>
          <w:lang w:eastAsia="en-US"/>
        </w:rPr>
      </w:pPr>
    </w:p>
    <w:p w14:paraId="07CF1512" w14:textId="6F8EFDE8" w:rsidR="00CE736B" w:rsidRPr="00F528A8" w:rsidRDefault="00F528A8" w:rsidP="00F528A8">
      <w:pPr>
        <w:spacing w:after="0" w:line="480" w:lineRule="auto"/>
        <w:jc w:val="both"/>
        <w:rPr>
          <w:rFonts w:ascii="Times New Roman" w:eastAsiaTheme="minorHAnsi" w:hAnsi="Times New Roman" w:cs="Times New Roman"/>
          <w:b/>
          <w:noProof/>
          <w:color w:val="000000" w:themeColor="text1"/>
          <w:sz w:val="24"/>
          <w:szCs w:val="24"/>
          <w:lang w:eastAsia="en-US"/>
        </w:rPr>
      </w:pPr>
      <w:r w:rsidRPr="00F528A8">
        <w:rPr>
          <w:rFonts w:ascii="Times New Roman" w:eastAsiaTheme="minorHAnsi" w:hAnsi="Times New Roman" w:cs="Times New Roman"/>
          <w:b/>
          <w:noProof/>
          <w:color w:val="000000" w:themeColor="text1"/>
          <w:sz w:val="24"/>
          <w:szCs w:val="24"/>
          <w:lang w:eastAsia="en-US"/>
        </w:rPr>
        <w:t>Availability of data</w:t>
      </w:r>
    </w:p>
    <w:p w14:paraId="2E680BF6" w14:textId="79E876A1" w:rsidR="00CE736B" w:rsidRPr="00357722" w:rsidRDefault="00CE736B" w:rsidP="00CE736B">
      <w:pPr>
        <w:spacing w:after="0" w:line="48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w:t>
      </w:r>
      <w:r w:rsidRPr="00CE736B">
        <w:rPr>
          <w:rFonts w:ascii="Times New Roman" w:eastAsiaTheme="minorHAnsi" w:hAnsi="Times New Roman" w:cs="Times New Roman"/>
          <w:noProof/>
          <w:color w:val="000000" w:themeColor="text1"/>
          <w:sz w:val="24"/>
          <w:szCs w:val="24"/>
          <w:lang w:eastAsia="en-US"/>
        </w:rPr>
        <w:t>The data that support the findings of this study are available from the corresponding author upon reasonable request</w:t>
      </w:r>
      <w:r>
        <w:rPr>
          <w:rFonts w:ascii="Times New Roman" w:eastAsiaTheme="minorHAnsi" w:hAnsi="Times New Roman" w:cs="Times New Roman"/>
          <w:noProof/>
          <w:color w:val="000000" w:themeColor="text1"/>
          <w:sz w:val="24"/>
          <w:szCs w:val="24"/>
          <w:lang w:eastAsia="en-US"/>
        </w:rPr>
        <w:t>”</w:t>
      </w:r>
      <w:r w:rsidRPr="00CE736B">
        <w:rPr>
          <w:rFonts w:ascii="Times New Roman" w:eastAsiaTheme="minorHAnsi" w:hAnsi="Times New Roman" w:cs="Times New Roman"/>
          <w:noProof/>
          <w:color w:val="000000" w:themeColor="text1"/>
          <w:sz w:val="24"/>
          <w:szCs w:val="24"/>
          <w:lang w:eastAsia="en-US"/>
        </w:rPr>
        <w:t>.</w:t>
      </w:r>
    </w:p>
    <w:p w14:paraId="2299928A" w14:textId="77777777" w:rsidR="00F80396" w:rsidRPr="00357722" w:rsidRDefault="00F80396" w:rsidP="002409E9">
      <w:pPr>
        <w:spacing w:line="480" w:lineRule="auto"/>
        <w:jc w:val="both"/>
        <w:rPr>
          <w:rFonts w:ascii="Times New Roman" w:eastAsiaTheme="minorHAnsi" w:hAnsi="Times New Roman" w:cs="Times New Roman"/>
          <w:noProof/>
          <w:color w:val="000000" w:themeColor="text1"/>
          <w:sz w:val="24"/>
          <w:szCs w:val="24"/>
          <w:lang w:eastAsia="en-US"/>
        </w:rPr>
      </w:pPr>
    </w:p>
    <w:p w14:paraId="055095FF" w14:textId="77777777" w:rsidR="00377EFF" w:rsidRPr="00357722" w:rsidRDefault="00377EFF" w:rsidP="002409E9">
      <w:pPr>
        <w:spacing w:line="480" w:lineRule="auto"/>
        <w:jc w:val="both"/>
        <w:rPr>
          <w:rFonts w:ascii="Times New Roman" w:eastAsiaTheme="minorHAnsi" w:hAnsi="Times New Roman" w:cs="Times New Roman"/>
          <w:noProof/>
          <w:color w:val="000000" w:themeColor="text1"/>
          <w:sz w:val="24"/>
          <w:szCs w:val="24"/>
          <w:lang w:eastAsia="en-US"/>
        </w:rPr>
        <w:sectPr w:rsidR="00377EFF" w:rsidRPr="00357722" w:rsidSect="00C34896">
          <w:pgSz w:w="11906" w:h="16838"/>
          <w:pgMar w:top="1440" w:right="1440" w:bottom="1440" w:left="993" w:header="708" w:footer="708" w:gutter="0"/>
          <w:cols w:space="708"/>
          <w:docGrid w:linePitch="360"/>
        </w:sectPr>
      </w:pPr>
    </w:p>
    <w:p w14:paraId="4351C71A" w14:textId="77777777" w:rsidR="00F6534A" w:rsidRPr="00357722" w:rsidRDefault="00F6534A" w:rsidP="00F6534A">
      <w:pPr>
        <w:spacing w:line="240" w:lineRule="auto"/>
        <w:jc w:val="both"/>
        <w:rPr>
          <w:rFonts w:ascii="Times New Roman" w:eastAsiaTheme="minorHAnsi" w:hAnsi="Times New Roman" w:cs="Times New Roman"/>
          <w:b/>
          <w:bCs/>
          <w:noProof/>
          <w:color w:val="000000" w:themeColor="text1"/>
          <w:sz w:val="24"/>
          <w:szCs w:val="24"/>
          <w:lang w:eastAsia="en-US"/>
        </w:rPr>
      </w:pPr>
      <w:bookmarkStart w:id="4" w:name="_Hlk40017939"/>
      <w:r w:rsidRPr="00357722">
        <w:rPr>
          <w:rFonts w:ascii="Times New Roman" w:eastAsiaTheme="minorHAnsi" w:hAnsi="Times New Roman" w:cs="Times New Roman"/>
          <w:b/>
          <w:bCs/>
          <w:noProof/>
          <w:color w:val="000000" w:themeColor="text1"/>
          <w:sz w:val="24"/>
          <w:szCs w:val="24"/>
          <w:lang w:eastAsia="en-US"/>
        </w:rPr>
        <w:lastRenderedPageBreak/>
        <w:t>References</w:t>
      </w:r>
    </w:p>
    <w:p w14:paraId="7AC4E29F" w14:textId="22E8D950" w:rsidR="00500B7A" w:rsidRPr="00357722" w:rsidRDefault="00F6534A" w:rsidP="00A9776E">
      <w:pPr>
        <w:spacing w:after="0" w:line="360" w:lineRule="auto"/>
        <w:ind w:left="397" w:hanging="397"/>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 xml:space="preserve">Acharya, V. V., Eisert, </w:t>
      </w:r>
      <w:r w:rsidR="00DC3C70">
        <w:rPr>
          <w:rFonts w:ascii="Times New Roman" w:hAnsi="Times New Roman" w:cs="Times New Roman"/>
          <w:sz w:val="24"/>
          <w:szCs w:val="24"/>
          <w:shd w:val="clear" w:color="auto" w:fill="FFFFFF"/>
        </w:rPr>
        <w:t xml:space="preserve">T., </w:t>
      </w:r>
      <w:proofErr w:type="spellStart"/>
      <w:r w:rsidR="00DC3C70">
        <w:rPr>
          <w:rFonts w:ascii="Times New Roman" w:hAnsi="Times New Roman" w:cs="Times New Roman"/>
          <w:sz w:val="24"/>
          <w:szCs w:val="24"/>
          <w:shd w:val="clear" w:color="auto" w:fill="FFFFFF"/>
        </w:rPr>
        <w:t>Eufinger</w:t>
      </w:r>
      <w:proofErr w:type="spellEnd"/>
      <w:r w:rsidR="00DC3C70">
        <w:rPr>
          <w:rFonts w:ascii="Times New Roman" w:hAnsi="Times New Roman" w:cs="Times New Roman"/>
          <w:sz w:val="24"/>
          <w:szCs w:val="24"/>
          <w:shd w:val="clear" w:color="auto" w:fill="FFFFFF"/>
        </w:rPr>
        <w:t>, C. &amp;</w:t>
      </w:r>
      <w:r w:rsidR="00EC758F" w:rsidRPr="00357722">
        <w:rPr>
          <w:rFonts w:ascii="Times New Roman" w:hAnsi="Times New Roman" w:cs="Times New Roman"/>
          <w:sz w:val="24"/>
          <w:szCs w:val="24"/>
          <w:shd w:val="clear" w:color="auto" w:fill="FFFFFF"/>
        </w:rPr>
        <w:t xml:space="preserve"> Hirsch, C. </w:t>
      </w:r>
      <w:r w:rsidR="00DC3C70">
        <w:rPr>
          <w:rFonts w:ascii="Times New Roman" w:hAnsi="Times New Roman" w:cs="Times New Roman"/>
          <w:sz w:val="24"/>
          <w:szCs w:val="24"/>
          <w:shd w:val="clear" w:color="auto" w:fill="FFFFFF"/>
        </w:rPr>
        <w:t>(</w:t>
      </w:r>
      <w:r w:rsidR="00EC758F" w:rsidRPr="00357722">
        <w:rPr>
          <w:rFonts w:ascii="Times New Roman" w:hAnsi="Times New Roman" w:cs="Times New Roman"/>
          <w:sz w:val="24"/>
          <w:szCs w:val="24"/>
          <w:shd w:val="clear" w:color="auto" w:fill="FFFFFF"/>
        </w:rPr>
        <w:t>2018</w:t>
      </w:r>
      <w:r w:rsidR="00DC3C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Real effects of the sovereign debt crisis in Europe: Evidence from syndicated loans. </w:t>
      </w:r>
      <w:r w:rsidRPr="001E2554">
        <w:rPr>
          <w:rFonts w:ascii="Times New Roman" w:hAnsi="Times New Roman" w:cs="Times New Roman"/>
          <w:i/>
          <w:sz w:val="24"/>
          <w:szCs w:val="24"/>
          <w:shd w:val="clear" w:color="auto" w:fill="FFFFFF"/>
        </w:rPr>
        <w:t>The Re</w:t>
      </w:r>
      <w:r w:rsidR="00EC758F" w:rsidRPr="001E2554">
        <w:rPr>
          <w:rFonts w:ascii="Times New Roman" w:hAnsi="Times New Roman" w:cs="Times New Roman"/>
          <w:i/>
          <w:sz w:val="24"/>
          <w:szCs w:val="24"/>
          <w:shd w:val="clear" w:color="auto" w:fill="FFFFFF"/>
        </w:rPr>
        <w:t>view of Financial Studies</w:t>
      </w:r>
      <w:r w:rsidR="00EC758F" w:rsidRPr="00357722">
        <w:rPr>
          <w:rFonts w:ascii="Times New Roman" w:hAnsi="Times New Roman" w:cs="Times New Roman"/>
          <w:sz w:val="24"/>
          <w:szCs w:val="24"/>
          <w:shd w:val="clear" w:color="auto" w:fill="FFFFFF"/>
        </w:rPr>
        <w:t> 31</w:t>
      </w:r>
      <w:r w:rsidRPr="00357722">
        <w:rPr>
          <w:rFonts w:ascii="Times New Roman" w:hAnsi="Times New Roman" w:cs="Times New Roman"/>
          <w:sz w:val="24"/>
          <w:szCs w:val="24"/>
          <w:shd w:val="clear" w:color="auto" w:fill="FFFFFF"/>
        </w:rPr>
        <w:t>, 2855</w:t>
      </w:r>
      <w:r w:rsidR="00A220B5"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2896.</w:t>
      </w:r>
    </w:p>
    <w:p w14:paraId="5188C549" w14:textId="4AB8B3A2" w:rsidR="00007495" w:rsidRPr="00357722" w:rsidRDefault="00007495" w:rsidP="00007495">
      <w:pPr>
        <w:spacing w:after="0" w:line="360" w:lineRule="auto"/>
        <w:ind w:left="397" w:hanging="397"/>
        <w:jc w:val="both"/>
        <w:rPr>
          <w:rFonts w:ascii="Times New Roman" w:hAnsi="Times New Roman" w:cs="Times New Roman"/>
          <w:sz w:val="24"/>
          <w:szCs w:val="24"/>
        </w:rPr>
      </w:pPr>
      <w:r w:rsidRPr="00357722">
        <w:rPr>
          <w:rFonts w:ascii="Times New Roman" w:hAnsi="Times New Roman" w:cs="Times New Roman"/>
          <w:sz w:val="24"/>
          <w:szCs w:val="24"/>
          <w:shd w:val="clear" w:color="auto" w:fill="FFFFFF"/>
        </w:rPr>
        <w:t xml:space="preserve">Agenor, P. R. </w:t>
      </w:r>
      <w:r w:rsidR="00DC3C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2001</w:t>
      </w:r>
      <w:r w:rsidR="00DC3C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Benefits and cost of international financial integration: Theory and facts. </w:t>
      </w:r>
      <w:r w:rsidRPr="001E2554">
        <w:rPr>
          <w:rFonts w:ascii="Times New Roman" w:hAnsi="Times New Roman" w:cs="Times New Roman"/>
          <w:i/>
          <w:sz w:val="24"/>
          <w:szCs w:val="24"/>
          <w:shd w:val="clear" w:color="auto" w:fill="FFFFFF"/>
        </w:rPr>
        <w:t>The World Economy</w:t>
      </w:r>
      <w:r w:rsidRPr="00357722">
        <w:rPr>
          <w:rFonts w:ascii="Times New Roman" w:hAnsi="Times New Roman" w:cs="Times New Roman"/>
          <w:sz w:val="24"/>
          <w:szCs w:val="24"/>
          <w:shd w:val="clear" w:color="auto" w:fill="FFFFFF"/>
        </w:rPr>
        <w:t xml:space="preserve"> 26, 1089–1118.</w:t>
      </w:r>
    </w:p>
    <w:p w14:paraId="7571688C" w14:textId="69CE4E15" w:rsidR="00007495" w:rsidRPr="00357722" w:rsidRDefault="00F6534A" w:rsidP="00A9776E">
      <w:pPr>
        <w:spacing w:after="0" w:line="360" w:lineRule="auto"/>
        <w:ind w:left="397" w:hanging="397"/>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Aggarwal, R., </w:t>
      </w:r>
      <w:proofErr w:type="spellStart"/>
      <w:r w:rsidRPr="00357722">
        <w:rPr>
          <w:rFonts w:ascii="Times New Roman" w:hAnsi="Times New Roman" w:cs="Times New Roman"/>
          <w:sz w:val="24"/>
          <w:szCs w:val="24"/>
          <w:shd w:val="clear" w:color="auto" w:fill="FFFFFF"/>
        </w:rPr>
        <w:t>Demirgüç</w:t>
      </w:r>
      <w:proofErr w:type="spellEnd"/>
      <w:r w:rsidRPr="00357722">
        <w:rPr>
          <w:rFonts w:ascii="Times New Roman" w:hAnsi="Times New Roman" w:cs="Times New Roman"/>
          <w:sz w:val="24"/>
          <w:szCs w:val="24"/>
          <w:shd w:val="clear" w:color="auto" w:fill="FFFFFF"/>
        </w:rPr>
        <w:t>-Kunt, A.</w:t>
      </w:r>
      <w:r w:rsidR="00DC3C70">
        <w:rPr>
          <w:rFonts w:ascii="Times New Roman" w:hAnsi="Times New Roman" w:cs="Times New Roman"/>
          <w:sz w:val="24"/>
          <w:szCs w:val="24"/>
          <w:shd w:val="clear" w:color="auto" w:fill="FFFFFF"/>
        </w:rPr>
        <w:t xml:space="preserve"> &amp;</w:t>
      </w:r>
      <w:r w:rsidR="00EC758F" w:rsidRPr="00357722">
        <w:rPr>
          <w:rFonts w:ascii="Times New Roman" w:hAnsi="Times New Roman" w:cs="Times New Roman"/>
          <w:sz w:val="24"/>
          <w:szCs w:val="24"/>
          <w:shd w:val="clear" w:color="auto" w:fill="FFFFFF"/>
        </w:rPr>
        <w:t xml:space="preserve"> Peria, M. </w:t>
      </w:r>
      <w:r w:rsidR="00DC3C70">
        <w:rPr>
          <w:rFonts w:ascii="Times New Roman" w:hAnsi="Times New Roman" w:cs="Times New Roman"/>
          <w:sz w:val="24"/>
          <w:szCs w:val="24"/>
          <w:shd w:val="clear" w:color="auto" w:fill="FFFFFF"/>
        </w:rPr>
        <w:t>(</w:t>
      </w:r>
      <w:r w:rsidR="00EC758F" w:rsidRPr="00357722">
        <w:rPr>
          <w:rFonts w:ascii="Times New Roman" w:hAnsi="Times New Roman" w:cs="Times New Roman"/>
          <w:sz w:val="24"/>
          <w:szCs w:val="24"/>
          <w:shd w:val="clear" w:color="auto" w:fill="FFFFFF"/>
        </w:rPr>
        <w:t>2011</w:t>
      </w:r>
      <w:r w:rsidR="00DC3C70">
        <w:rPr>
          <w:rFonts w:ascii="Times New Roman" w:hAnsi="Times New Roman" w:cs="Times New Roman"/>
          <w:sz w:val="24"/>
          <w:szCs w:val="24"/>
          <w:shd w:val="clear" w:color="auto" w:fill="FFFFFF"/>
        </w:rPr>
        <w:t>)</w:t>
      </w:r>
      <w:r w:rsidR="00EC758F" w:rsidRPr="00357722">
        <w:rPr>
          <w:rFonts w:ascii="Times New Roman" w:hAnsi="Times New Roman" w:cs="Times New Roman"/>
          <w:sz w:val="24"/>
          <w:szCs w:val="24"/>
          <w:shd w:val="clear" w:color="auto" w:fill="FFFFFF"/>
        </w:rPr>
        <w:t>.</w:t>
      </w:r>
      <w:r w:rsidR="00010798"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 xml:space="preserve">Do Remittances </w:t>
      </w:r>
      <w:r w:rsidR="001E2554">
        <w:rPr>
          <w:rFonts w:ascii="Times New Roman" w:hAnsi="Times New Roman" w:cs="Times New Roman"/>
          <w:sz w:val="24"/>
          <w:szCs w:val="24"/>
          <w:shd w:val="clear" w:color="auto" w:fill="FFFFFF"/>
        </w:rPr>
        <w:t xml:space="preserve">Promote Financial Development? </w:t>
      </w:r>
      <w:r w:rsidRPr="001E2554">
        <w:rPr>
          <w:rFonts w:ascii="Times New Roman" w:hAnsi="Times New Roman" w:cs="Times New Roman"/>
          <w:i/>
          <w:sz w:val="24"/>
          <w:szCs w:val="24"/>
          <w:shd w:val="clear" w:color="auto" w:fill="FFFFFF"/>
        </w:rPr>
        <w:t>Jour</w:t>
      </w:r>
      <w:r w:rsidR="00EC758F" w:rsidRPr="001E2554">
        <w:rPr>
          <w:rFonts w:ascii="Times New Roman" w:hAnsi="Times New Roman" w:cs="Times New Roman"/>
          <w:i/>
          <w:sz w:val="24"/>
          <w:szCs w:val="24"/>
          <w:shd w:val="clear" w:color="auto" w:fill="FFFFFF"/>
        </w:rPr>
        <w:t>nal of Development Economics</w:t>
      </w:r>
      <w:r w:rsidR="00EC758F" w:rsidRPr="00357722">
        <w:rPr>
          <w:rFonts w:ascii="Times New Roman" w:hAnsi="Times New Roman" w:cs="Times New Roman"/>
          <w:sz w:val="24"/>
          <w:szCs w:val="24"/>
          <w:shd w:val="clear" w:color="auto" w:fill="FFFFFF"/>
        </w:rPr>
        <w:t> 96,</w:t>
      </w:r>
      <w:r w:rsidRPr="00357722">
        <w:rPr>
          <w:rFonts w:ascii="Times New Roman" w:hAnsi="Times New Roman" w:cs="Times New Roman"/>
          <w:sz w:val="24"/>
          <w:szCs w:val="24"/>
          <w:shd w:val="clear" w:color="auto" w:fill="FFFFFF"/>
        </w:rPr>
        <w:t> 255–264</w:t>
      </w:r>
      <w:r w:rsidR="00007495" w:rsidRPr="00357722">
        <w:rPr>
          <w:rFonts w:ascii="Times New Roman" w:hAnsi="Times New Roman" w:cs="Times New Roman"/>
          <w:sz w:val="24"/>
          <w:szCs w:val="24"/>
          <w:shd w:val="clear" w:color="auto" w:fill="FFFFFF"/>
        </w:rPr>
        <w:t>.</w:t>
      </w:r>
    </w:p>
    <w:p w14:paraId="4D46012A" w14:textId="5F40A7C6" w:rsidR="00007495" w:rsidRPr="00357722" w:rsidRDefault="00DC3C70" w:rsidP="00007495">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shd w:val="clear" w:color="auto" w:fill="FFFFFF"/>
        </w:rPr>
        <w:t>Alesina, A. &amp;</w:t>
      </w:r>
      <w:r w:rsidR="00007495" w:rsidRPr="00357722">
        <w:rPr>
          <w:rFonts w:ascii="Times New Roman" w:hAnsi="Times New Roman" w:cs="Times New Roman"/>
          <w:sz w:val="24"/>
          <w:szCs w:val="24"/>
          <w:shd w:val="clear" w:color="auto" w:fill="FFFFFF"/>
        </w:rPr>
        <w:t xml:space="preserve"> Summers, L. H. </w:t>
      </w:r>
      <w:r>
        <w:rPr>
          <w:rFonts w:ascii="Times New Roman" w:hAnsi="Times New Roman" w:cs="Times New Roman"/>
          <w:sz w:val="24"/>
          <w:szCs w:val="24"/>
          <w:shd w:val="clear" w:color="auto" w:fill="FFFFFF"/>
        </w:rPr>
        <w:t>(</w:t>
      </w:r>
      <w:r w:rsidR="00007495" w:rsidRPr="00357722">
        <w:rPr>
          <w:rFonts w:ascii="Times New Roman" w:hAnsi="Times New Roman" w:cs="Times New Roman"/>
          <w:sz w:val="24"/>
          <w:szCs w:val="24"/>
          <w:shd w:val="clear" w:color="auto" w:fill="FFFFFF"/>
        </w:rPr>
        <w:t>1993</w:t>
      </w:r>
      <w:r>
        <w:rPr>
          <w:rFonts w:ascii="Times New Roman" w:hAnsi="Times New Roman" w:cs="Times New Roman"/>
          <w:sz w:val="24"/>
          <w:szCs w:val="24"/>
          <w:shd w:val="clear" w:color="auto" w:fill="FFFFFF"/>
        </w:rPr>
        <w:t>)</w:t>
      </w:r>
      <w:r w:rsidR="00007495" w:rsidRPr="00357722">
        <w:rPr>
          <w:rFonts w:ascii="Times New Roman" w:hAnsi="Times New Roman" w:cs="Times New Roman"/>
          <w:sz w:val="24"/>
          <w:szCs w:val="24"/>
          <w:shd w:val="clear" w:color="auto" w:fill="FFFFFF"/>
        </w:rPr>
        <w:t>. Central bank independence and macroeconomic performance: some comparative evidence. </w:t>
      </w:r>
      <w:r w:rsidR="00007495" w:rsidRPr="001E2554">
        <w:rPr>
          <w:rFonts w:ascii="Times New Roman" w:hAnsi="Times New Roman" w:cs="Times New Roman"/>
          <w:i/>
          <w:sz w:val="24"/>
          <w:szCs w:val="24"/>
          <w:shd w:val="clear" w:color="auto" w:fill="FFFFFF"/>
        </w:rPr>
        <w:t>Journal of Money, credit and Banking</w:t>
      </w:r>
      <w:r w:rsidR="00007495" w:rsidRPr="00357722">
        <w:rPr>
          <w:rFonts w:ascii="Times New Roman" w:hAnsi="Times New Roman" w:cs="Times New Roman"/>
          <w:sz w:val="24"/>
          <w:szCs w:val="24"/>
          <w:shd w:val="clear" w:color="auto" w:fill="FFFFFF"/>
        </w:rPr>
        <w:t> 25, 151–162.</w:t>
      </w:r>
    </w:p>
    <w:p w14:paraId="5BF22965" w14:textId="32D7CE90" w:rsidR="00A9776E" w:rsidRPr="00357722" w:rsidRDefault="00EC758F" w:rsidP="00007495">
      <w:pPr>
        <w:spacing w:after="0" w:line="360" w:lineRule="auto"/>
        <w:ind w:left="397" w:hanging="397"/>
        <w:jc w:val="both"/>
        <w:rPr>
          <w:rFonts w:ascii="Times New Roman" w:hAnsi="Times New Roman" w:cs="Times New Roman"/>
          <w:sz w:val="24"/>
          <w:szCs w:val="24"/>
        </w:rPr>
      </w:pPr>
      <w:r w:rsidRPr="00357722">
        <w:rPr>
          <w:rFonts w:ascii="Times New Roman" w:hAnsi="Times New Roman" w:cs="Times New Roman"/>
          <w:sz w:val="24"/>
          <w:szCs w:val="24"/>
          <w:shd w:val="clear" w:color="auto" w:fill="FFFFFF"/>
        </w:rPr>
        <w:t xml:space="preserve"> </w:t>
      </w:r>
      <w:bookmarkStart w:id="5" w:name="_Hlk39952847"/>
      <w:r w:rsidR="00DC3C70">
        <w:rPr>
          <w:rFonts w:ascii="Times New Roman" w:hAnsi="Times New Roman" w:cs="Times New Roman"/>
          <w:sz w:val="24"/>
          <w:szCs w:val="24"/>
          <w:shd w:val="clear" w:color="auto" w:fill="FFFFFF"/>
        </w:rPr>
        <w:t>Arcand, J., Berkes, E. &amp;</w:t>
      </w:r>
      <w:r w:rsidR="00007495" w:rsidRPr="00357722">
        <w:rPr>
          <w:rFonts w:ascii="Times New Roman" w:hAnsi="Times New Roman" w:cs="Times New Roman"/>
          <w:sz w:val="24"/>
          <w:szCs w:val="24"/>
          <w:shd w:val="clear" w:color="auto" w:fill="FFFFFF"/>
        </w:rPr>
        <w:t xml:space="preserve"> Panizza, U. </w:t>
      </w:r>
      <w:r w:rsidR="00DC3C70">
        <w:rPr>
          <w:rFonts w:ascii="Times New Roman" w:hAnsi="Times New Roman" w:cs="Times New Roman"/>
          <w:sz w:val="24"/>
          <w:szCs w:val="24"/>
          <w:shd w:val="clear" w:color="auto" w:fill="FFFFFF"/>
        </w:rPr>
        <w:t>(</w:t>
      </w:r>
      <w:r w:rsidR="00007495" w:rsidRPr="00357722">
        <w:rPr>
          <w:rFonts w:ascii="Times New Roman" w:hAnsi="Times New Roman" w:cs="Times New Roman"/>
          <w:sz w:val="24"/>
          <w:szCs w:val="24"/>
          <w:shd w:val="clear" w:color="auto" w:fill="FFFFFF"/>
        </w:rPr>
        <w:t>2012</w:t>
      </w:r>
      <w:r w:rsidR="00DC3C70">
        <w:rPr>
          <w:rFonts w:ascii="Times New Roman" w:hAnsi="Times New Roman" w:cs="Times New Roman"/>
          <w:sz w:val="24"/>
          <w:szCs w:val="24"/>
          <w:shd w:val="clear" w:color="auto" w:fill="FFFFFF"/>
        </w:rPr>
        <w:t>)</w:t>
      </w:r>
      <w:r w:rsidR="00007495" w:rsidRPr="00357722">
        <w:rPr>
          <w:rFonts w:ascii="Times New Roman" w:hAnsi="Times New Roman" w:cs="Times New Roman"/>
          <w:sz w:val="24"/>
          <w:szCs w:val="24"/>
          <w:shd w:val="clear" w:color="auto" w:fill="FFFFFF"/>
        </w:rPr>
        <w:t xml:space="preserve">. Too much finance? </w:t>
      </w:r>
      <w:r w:rsidR="00007495" w:rsidRPr="001E2554">
        <w:rPr>
          <w:rFonts w:ascii="Times New Roman" w:hAnsi="Times New Roman" w:cs="Times New Roman"/>
          <w:i/>
          <w:sz w:val="24"/>
          <w:szCs w:val="24"/>
          <w:shd w:val="clear" w:color="auto" w:fill="FFFFFF"/>
        </w:rPr>
        <w:t>International Monetary Fund, Research Department</w:t>
      </w:r>
      <w:r w:rsidR="00007495" w:rsidRPr="00357722">
        <w:rPr>
          <w:rFonts w:ascii="Times New Roman" w:hAnsi="Times New Roman" w:cs="Times New Roman"/>
          <w:sz w:val="24"/>
          <w:szCs w:val="24"/>
          <w:shd w:val="clear" w:color="auto" w:fill="FFFFFF"/>
        </w:rPr>
        <w:t>.</w:t>
      </w:r>
    </w:p>
    <w:bookmarkEnd w:id="5"/>
    <w:p w14:paraId="6415148B" w14:textId="13C0F9CE" w:rsidR="00A9776E" w:rsidRPr="00357722" w:rsidRDefault="00F6534A" w:rsidP="00A9776E">
      <w:pPr>
        <w:spacing w:after="0" w:line="360" w:lineRule="auto"/>
        <w:ind w:left="397" w:hanging="397"/>
        <w:jc w:val="both"/>
        <w:rPr>
          <w:rFonts w:ascii="Times New Roman" w:hAnsi="Times New Roman" w:cs="Times New Roman"/>
          <w:sz w:val="24"/>
          <w:szCs w:val="24"/>
          <w:shd w:val="clear" w:color="auto" w:fill="FFFFFF"/>
        </w:rPr>
      </w:pPr>
      <w:proofErr w:type="spellStart"/>
      <w:r w:rsidRPr="00357722">
        <w:rPr>
          <w:rFonts w:ascii="Times New Roman" w:hAnsi="Times New Roman" w:cs="Times New Roman"/>
          <w:sz w:val="24"/>
          <w:szCs w:val="24"/>
          <w:shd w:val="clear" w:color="auto" w:fill="FFFFFF"/>
        </w:rPr>
        <w:t>Baltag</w:t>
      </w:r>
      <w:r w:rsidR="00DC3C70">
        <w:rPr>
          <w:rFonts w:ascii="Times New Roman" w:hAnsi="Times New Roman" w:cs="Times New Roman"/>
          <w:sz w:val="24"/>
          <w:szCs w:val="24"/>
          <w:shd w:val="clear" w:color="auto" w:fill="FFFFFF"/>
        </w:rPr>
        <w:t>i</w:t>
      </w:r>
      <w:proofErr w:type="spellEnd"/>
      <w:r w:rsidR="00DC3C70">
        <w:rPr>
          <w:rFonts w:ascii="Times New Roman" w:hAnsi="Times New Roman" w:cs="Times New Roman"/>
          <w:sz w:val="24"/>
          <w:szCs w:val="24"/>
          <w:shd w:val="clear" w:color="auto" w:fill="FFFFFF"/>
        </w:rPr>
        <w:t>, B. H., Demetriades, P. O. &amp;</w:t>
      </w:r>
      <w:r w:rsidR="00010798" w:rsidRPr="00357722">
        <w:rPr>
          <w:rFonts w:ascii="Times New Roman" w:hAnsi="Times New Roman" w:cs="Times New Roman"/>
          <w:sz w:val="24"/>
          <w:szCs w:val="24"/>
          <w:shd w:val="clear" w:color="auto" w:fill="FFFFFF"/>
        </w:rPr>
        <w:t xml:space="preserve"> Law, S. H. </w:t>
      </w:r>
      <w:r w:rsidR="00DC3C70">
        <w:rPr>
          <w:rFonts w:ascii="Times New Roman" w:hAnsi="Times New Roman" w:cs="Times New Roman"/>
          <w:sz w:val="24"/>
          <w:szCs w:val="24"/>
          <w:shd w:val="clear" w:color="auto" w:fill="FFFFFF"/>
        </w:rPr>
        <w:t>(</w:t>
      </w:r>
      <w:r w:rsidR="00010798" w:rsidRPr="00357722">
        <w:rPr>
          <w:rFonts w:ascii="Times New Roman" w:hAnsi="Times New Roman" w:cs="Times New Roman"/>
          <w:sz w:val="24"/>
          <w:szCs w:val="24"/>
          <w:shd w:val="clear" w:color="auto" w:fill="FFFFFF"/>
        </w:rPr>
        <w:t>2009</w:t>
      </w:r>
      <w:r w:rsidR="00DC3C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Financial development and openness: Evidence from panel data. </w:t>
      </w:r>
      <w:r w:rsidRPr="001E2554">
        <w:rPr>
          <w:rFonts w:ascii="Times New Roman" w:hAnsi="Times New Roman" w:cs="Times New Roman"/>
          <w:i/>
          <w:sz w:val="24"/>
          <w:szCs w:val="24"/>
          <w:shd w:val="clear" w:color="auto" w:fill="FFFFFF"/>
        </w:rPr>
        <w:t>Journal</w:t>
      </w:r>
      <w:r w:rsidR="00010798" w:rsidRPr="001E2554">
        <w:rPr>
          <w:rFonts w:ascii="Times New Roman" w:hAnsi="Times New Roman" w:cs="Times New Roman"/>
          <w:i/>
          <w:sz w:val="24"/>
          <w:szCs w:val="24"/>
          <w:shd w:val="clear" w:color="auto" w:fill="FFFFFF"/>
        </w:rPr>
        <w:t xml:space="preserve"> of development economics</w:t>
      </w:r>
      <w:r w:rsidR="00010798" w:rsidRPr="00357722">
        <w:rPr>
          <w:rFonts w:ascii="Times New Roman" w:hAnsi="Times New Roman" w:cs="Times New Roman"/>
          <w:sz w:val="24"/>
          <w:szCs w:val="24"/>
          <w:shd w:val="clear" w:color="auto" w:fill="FFFFFF"/>
        </w:rPr>
        <w:t> 89</w:t>
      </w:r>
      <w:r w:rsidRPr="00357722">
        <w:rPr>
          <w:rFonts w:ascii="Times New Roman" w:hAnsi="Times New Roman" w:cs="Times New Roman"/>
          <w:sz w:val="24"/>
          <w:szCs w:val="24"/>
          <w:shd w:val="clear" w:color="auto" w:fill="FFFFFF"/>
        </w:rPr>
        <w:t>, 285</w:t>
      </w:r>
      <w:r w:rsidR="00010798"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296.</w:t>
      </w:r>
      <w:bookmarkStart w:id="6" w:name="_Hlk39707232"/>
    </w:p>
    <w:bookmarkEnd w:id="6"/>
    <w:p w14:paraId="757206A2" w14:textId="191F1CB2" w:rsidR="00A9776E" w:rsidRPr="00357722" w:rsidRDefault="000420DC" w:rsidP="00A9776E">
      <w:pPr>
        <w:spacing w:after="0" w:line="360" w:lineRule="auto"/>
        <w:ind w:left="397" w:hanging="397"/>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 xml:space="preserve">Beck, T., </w:t>
      </w:r>
      <w:proofErr w:type="spellStart"/>
      <w:r w:rsidR="00010798" w:rsidRPr="00357722">
        <w:rPr>
          <w:rFonts w:ascii="Times New Roman" w:hAnsi="Times New Roman" w:cs="Times New Roman"/>
          <w:sz w:val="24"/>
          <w:szCs w:val="24"/>
          <w:shd w:val="clear" w:color="auto" w:fill="FFFFFF"/>
        </w:rPr>
        <w:t>Demirgüç</w:t>
      </w:r>
      <w:proofErr w:type="spellEnd"/>
      <w:r w:rsidR="00010798" w:rsidRPr="00357722">
        <w:rPr>
          <w:rFonts w:ascii="Times New Roman" w:hAnsi="Times New Roman" w:cs="Times New Roman"/>
          <w:sz w:val="24"/>
          <w:szCs w:val="24"/>
          <w:shd w:val="clear" w:color="auto" w:fill="FFFFFF"/>
        </w:rPr>
        <w:t>-Kunt</w:t>
      </w:r>
      <w:r w:rsidR="00DC3C70">
        <w:rPr>
          <w:rFonts w:ascii="Times New Roman" w:hAnsi="Times New Roman" w:cs="Times New Roman"/>
          <w:sz w:val="24"/>
          <w:szCs w:val="24"/>
          <w:shd w:val="clear" w:color="auto" w:fill="FFFFFF"/>
        </w:rPr>
        <w:t>-Kunt, A. &amp;</w:t>
      </w:r>
      <w:r w:rsidRPr="00357722">
        <w:rPr>
          <w:rFonts w:ascii="Times New Roman" w:hAnsi="Times New Roman" w:cs="Times New Roman"/>
          <w:sz w:val="24"/>
          <w:szCs w:val="24"/>
          <w:shd w:val="clear" w:color="auto" w:fill="FFFFFF"/>
        </w:rPr>
        <w:t xml:space="preserve"> Levine, R. </w:t>
      </w:r>
      <w:r w:rsidR="00DC3C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2000</w:t>
      </w:r>
      <w:r w:rsidR="00DC3C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A new database on the structure and development of the financial sector. Policy Research Paper, vol. 2147. </w:t>
      </w:r>
      <w:r w:rsidRPr="001E2554">
        <w:rPr>
          <w:rFonts w:ascii="Times New Roman" w:hAnsi="Times New Roman" w:cs="Times New Roman"/>
          <w:i/>
          <w:sz w:val="24"/>
          <w:szCs w:val="24"/>
          <w:shd w:val="clear" w:color="auto" w:fill="FFFFFF"/>
        </w:rPr>
        <w:t>World Bank</w:t>
      </w:r>
      <w:r w:rsidRPr="00357722">
        <w:rPr>
          <w:rFonts w:ascii="Times New Roman" w:hAnsi="Times New Roman" w:cs="Times New Roman"/>
          <w:sz w:val="24"/>
          <w:szCs w:val="24"/>
          <w:shd w:val="clear" w:color="auto" w:fill="FFFFFF"/>
        </w:rPr>
        <w:t>, Washington, DC.</w:t>
      </w:r>
    </w:p>
    <w:p w14:paraId="04418689" w14:textId="1BD1800C" w:rsidR="00D97659" w:rsidRPr="00357722" w:rsidRDefault="00DC3C70" w:rsidP="00D97659">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Beck, T., </w:t>
      </w:r>
      <w:proofErr w:type="spellStart"/>
      <w:r>
        <w:rPr>
          <w:rFonts w:ascii="Times New Roman" w:hAnsi="Times New Roman" w:cs="Times New Roman"/>
          <w:sz w:val="24"/>
          <w:szCs w:val="24"/>
          <w:shd w:val="clear" w:color="auto" w:fill="FFFFFF"/>
        </w:rPr>
        <w:t>Demirgüç</w:t>
      </w:r>
      <w:proofErr w:type="spellEnd"/>
      <w:r>
        <w:rPr>
          <w:rFonts w:ascii="Times New Roman" w:hAnsi="Times New Roman" w:cs="Times New Roman"/>
          <w:sz w:val="24"/>
          <w:szCs w:val="24"/>
          <w:shd w:val="clear" w:color="auto" w:fill="FFFFFF"/>
        </w:rPr>
        <w:t>-Kunt, A. &amp;</w:t>
      </w:r>
      <w:r w:rsidR="00D97659" w:rsidRPr="00357722">
        <w:rPr>
          <w:rFonts w:ascii="Times New Roman" w:hAnsi="Times New Roman" w:cs="Times New Roman"/>
          <w:sz w:val="24"/>
          <w:szCs w:val="24"/>
          <w:shd w:val="clear" w:color="auto" w:fill="FFFFFF"/>
        </w:rPr>
        <w:t xml:space="preserve"> Levine, R. </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2010</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Financial institutions and markets across countries and over time: The updated financial development and structure database. </w:t>
      </w:r>
      <w:r w:rsidR="00D97659" w:rsidRPr="001E2554">
        <w:rPr>
          <w:rFonts w:ascii="Times New Roman" w:hAnsi="Times New Roman" w:cs="Times New Roman"/>
          <w:i/>
          <w:sz w:val="24"/>
          <w:szCs w:val="24"/>
          <w:shd w:val="clear" w:color="auto" w:fill="FFFFFF"/>
        </w:rPr>
        <w:t>The World Bank Economic Review</w:t>
      </w:r>
      <w:r w:rsidR="00D97659" w:rsidRPr="00357722">
        <w:rPr>
          <w:rFonts w:ascii="Times New Roman" w:hAnsi="Times New Roman" w:cs="Times New Roman"/>
          <w:sz w:val="24"/>
          <w:szCs w:val="24"/>
          <w:shd w:val="clear" w:color="auto" w:fill="FFFFFF"/>
        </w:rPr>
        <w:t> 24, 77–92.</w:t>
      </w:r>
    </w:p>
    <w:p w14:paraId="07E5C291" w14:textId="39C08792" w:rsidR="00D97659" w:rsidRPr="00357722" w:rsidRDefault="00DC3C70" w:rsidP="00D97659">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shd w:val="clear" w:color="auto" w:fill="FFFFFF"/>
        </w:rPr>
        <w:t>Bekaert, G., Harvey, C. R. &amp;</w:t>
      </w:r>
      <w:r w:rsidR="00D97659" w:rsidRPr="00357722">
        <w:rPr>
          <w:rFonts w:ascii="Times New Roman" w:hAnsi="Times New Roman" w:cs="Times New Roman"/>
          <w:sz w:val="24"/>
          <w:szCs w:val="24"/>
          <w:shd w:val="clear" w:color="auto" w:fill="FFFFFF"/>
        </w:rPr>
        <w:t xml:space="preserve"> Lundblad, C. </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2007</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xml:space="preserve">. Liquidity and expected returns: Lessons from emerging markets. </w:t>
      </w:r>
      <w:r w:rsidR="00D97659" w:rsidRPr="001E2554">
        <w:rPr>
          <w:rFonts w:ascii="Times New Roman" w:hAnsi="Times New Roman" w:cs="Times New Roman"/>
          <w:i/>
          <w:sz w:val="24"/>
          <w:szCs w:val="24"/>
          <w:shd w:val="clear" w:color="auto" w:fill="FFFFFF"/>
        </w:rPr>
        <w:t>Review of Financial Studies</w:t>
      </w:r>
      <w:r w:rsidR="00D97659" w:rsidRPr="00357722">
        <w:rPr>
          <w:rFonts w:ascii="Times New Roman" w:hAnsi="Times New Roman" w:cs="Times New Roman"/>
          <w:sz w:val="24"/>
          <w:szCs w:val="24"/>
          <w:shd w:val="clear" w:color="auto" w:fill="FFFFFF"/>
        </w:rPr>
        <w:t xml:space="preserve"> 20, 1783–1831.</w:t>
      </w:r>
    </w:p>
    <w:p w14:paraId="72587EA8" w14:textId="6704C1C9" w:rsidR="00A9776E" w:rsidRPr="00357722" w:rsidRDefault="00DC3C70" w:rsidP="00A9776E">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shd w:val="clear" w:color="auto" w:fill="FFFFFF"/>
        </w:rPr>
        <w:t>Beck, T. &amp; Levine, R.</w:t>
      </w:r>
      <w:r w:rsidR="000420DC" w:rsidRPr="0035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0420DC" w:rsidRPr="00357722">
        <w:rPr>
          <w:rFonts w:ascii="Times New Roman" w:hAnsi="Times New Roman" w:cs="Times New Roman"/>
          <w:sz w:val="24"/>
          <w:szCs w:val="24"/>
          <w:shd w:val="clear" w:color="auto" w:fill="FFFFFF"/>
        </w:rPr>
        <w:t>2004</w:t>
      </w:r>
      <w:r>
        <w:rPr>
          <w:rFonts w:ascii="Times New Roman" w:hAnsi="Times New Roman" w:cs="Times New Roman"/>
          <w:sz w:val="24"/>
          <w:szCs w:val="24"/>
          <w:shd w:val="clear" w:color="auto" w:fill="FFFFFF"/>
        </w:rPr>
        <w:t>)</w:t>
      </w:r>
      <w:r w:rsidR="000420DC" w:rsidRPr="00357722">
        <w:rPr>
          <w:rFonts w:ascii="Times New Roman" w:hAnsi="Times New Roman" w:cs="Times New Roman"/>
          <w:sz w:val="24"/>
          <w:szCs w:val="24"/>
          <w:shd w:val="clear" w:color="auto" w:fill="FFFFFF"/>
        </w:rPr>
        <w:t>. Legal institutions and financial development. In: Claude, Menard, Shirley, M. (Eds.), Handbook of New Institutional Economics. Kluwer Dordrecht, The Netherlands.</w:t>
      </w:r>
    </w:p>
    <w:p w14:paraId="379C2415" w14:textId="2A2A11EA" w:rsidR="00F6534A" w:rsidRPr="00357722" w:rsidRDefault="00DC3C70" w:rsidP="00A9776E">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shd w:val="clear" w:color="auto" w:fill="FFFFFF"/>
        </w:rPr>
        <w:t>Bell, A. &amp;</w:t>
      </w:r>
      <w:r w:rsidR="00010798" w:rsidRPr="00357722">
        <w:rPr>
          <w:rFonts w:ascii="Times New Roman" w:hAnsi="Times New Roman" w:cs="Times New Roman"/>
          <w:sz w:val="24"/>
          <w:szCs w:val="24"/>
          <w:shd w:val="clear" w:color="auto" w:fill="FFFFFF"/>
        </w:rPr>
        <w:t xml:space="preserve"> Jones, K. </w:t>
      </w:r>
      <w:r>
        <w:rPr>
          <w:rFonts w:ascii="Times New Roman" w:hAnsi="Times New Roman" w:cs="Times New Roman"/>
          <w:sz w:val="24"/>
          <w:szCs w:val="24"/>
          <w:shd w:val="clear" w:color="auto" w:fill="FFFFFF"/>
        </w:rPr>
        <w:t>(</w:t>
      </w:r>
      <w:r w:rsidR="00010798" w:rsidRPr="00357722">
        <w:rPr>
          <w:rFonts w:ascii="Times New Roman" w:hAnsi="Times New Roman" w:cs="Times New Roman"/>
          <w:sz w:val="24"/>
          <w:szCs w:val="24"/>
          <w:shd w:val="clear" w:color="auto" w:fill="FFFFFF"/>
        </w:rPr>
        <w:t>2015</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Explaining fixed effects: Random</w:t>
      </w:r>
      <w:r w:rsidR="00A249ED"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effects mode</w:t>
      </w:r>
      <w:r w:rsidR="00A249ED" w:rsidRPr="00357722">
        <w:rPr>
          <w:rFonts w:ascii="Times New Roman" w:hAnsi="Times New Roman" w:cs="Times New Roman"/>
          <w:sz w:val="24"/>
          <w:szCs w:val="24"/>
          <w:shd w:val="clear" w:color="auto" w:fill="FFFFFF"/>
        </w:rPr>
        <w:t>l</w:t>
      </w:r>
      <w:r w:rsidR="00F6534A" w:rsidRPr="00357722">
        <w:rPr>
          <w:rFonts w:ascii="Times New Roman" w:hAnsi="Times New Roman" w:cs="Times New Roman"/>
          <w:sz w:val="24"/>
          <w:szCs w:val="24"/>
          <w:shd w:val="clear" w:color="auto" w:fill="FFFFFF"/>
        </w:rPr>
        <w:t>ling of time-series cross-sectional and panel data. </w:t>
      </w:r>
      <w:r w:rsidR="00F6534A" w:rsidRPr="001E2554">
        <w:rPr>
          <w:rFonts w:ascii="Times New Roman" w:hAnsi="Times New Roman" w:cs="Times New Roman"/>
          <w:i/>
          <w:sz w:val="24"/>
          <w:szCs w:val="24"/>
          <w:shd w:val="clear" w:color="auto" w:fill="FFFFFF"/>
        </w:rPr>
        <w:t>Politic</w:t>
      </w:r>
      <w:r w:rsidR="00010798" w:rsidRPr="001E2554">
        <w:rPr>
          <w:rFonts w:ascii="Times New Roman" w:hAnsi="Times New Roman" w:cs="Times New Roman"/>
          <w:i/>
          <w:sz w:val="24"/>
          <w:szCs w:val="24"/>
          <w:shd w:val="clear" w:color="auto" w:fill="FFFFFF"/>
        </w:rPr>
        <w:t>al Science Research and Methods</w:t>
      </w:r>
      <w:r w:rsidR="00010798" w:rsidRPr="00357722">
        <w:rPr>
          <w:rFonts w:ascii="Times New Roman" w:hAnsi="Times New Roman" w:cs="Times New Roman"/>
          <w:sz w:val="24"/>
          <w:szCs w:val="24"/>
          <w:shd w:val="clear" w:color="auto" w:fill="FFFFFF"/>
        </w:rPr>
        <w:t> 3</w:t>
      </w:r>
      <w:r w:rsidR="00F6534A" w:rsidRPr="00357722">
        <w:rPr>
          <w:rFonts w:ascii="Times New Roman" w:hAnsi="Times New Roman" w:cs="Times New Roman"/>
          <w:sz w:val="24"/>
          <w:szCs w:val="24"/>
          <w:shd w:val="clear" w:color="auto" w:fill="FFFFFF"/>
        </w:rPr>
        <w:t>, 133-153.</w:t>
      </w:r>
    </w:p>
    <w:p w14:paraId="05FD59A2" w14:textId="6D117D9A" w:rsidR="00A9776E" w:rsidRPr="00357722" w:rsidRDefault="004D1322" w:rsidP="00A9776E">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eastAsia="Calibri" w:hAnsi="Times New Roman" w:cs="Times New Roman"/>
          <w:sz w:val="24"/>
          <w:szCs w:val="24"/>
          <w:lang w:eastAsia="en-US"/>
        </w:rPr>
        <w:t xml:space="preserve">Bernhard, W. </w:t>
      </w:r>
      <w:r w:rsidR="00DC3C70">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1998</w:t>
      </w:r>
      <w:r w:rsidR="00DC3C70">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 xml:space="preserve">. A Political Explanation of Variation in Central Bank Independence. </w:t>
      </w:r>
      <w:r w:rsidRPr="00357722">
        <w:rPr>
          <w:rFonts w:ascii="Times New Roman" w:eastAsia="Calibri" w:hAnsi="Times New Roman" w:cs="Times New Roman"/>
          <w:i/>
          <w:sz w:val="24"/>
          <w:szCs w:val="24"/>
          <w:lang w:eastAsia="en-US"/>
        </w:rPr>
        <w:t>American Political Science Review</w:t>
      </w:r>
      <w:r w:rsidRPr="00357722">
        <w:rPr>
          <w:rFonts w:ascii="Times New Roman" w:eastAsia="Calibri" w:hAnsi="Times New Roman" w:cs="Times New Roman"/>
          <w:sz w:val="24"/>
          <w:szCs w:val="24"/>
          <w:lang w:eastAsia="en-US"/>
        </w:rPr>
        <w:t xml:space="preserve">, 92: 311–327. </w:t>
      </w:r>
    </w:p>
    <w:p w14:paraId="3426460F" w14:textId="1EF965B3" w:rsidR="00A9776E" w:rsidRPr="00357722" w:rsidRDefault="00762CBC" w:rsidP="00A9776E">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eastAsia="Calibri" w:hAnsi="Times New Roman" w:cs="Times New Roman"/>
          <w:sz w:val="24"/>
          <w:szCs w:val="24"/>
          <w:lang w:eastAsia="en-US"/>
        </w:rPr>
        <w:t>Blinder, A.</w:t>
      </w:r>
      <w:r w:rsidR="00010798" w:rsidRPr="00357722">
        <w:rPr>
          <w:rFonts w:ascii="Times New Roman" w:eastAsia="Calibri" w:hAnsi="Times New Roman" w:cs="Times New Roman"/>
          <w:sz w:val="24"/>
          <w:szCs w:val="24"/>
          <w:lang w:eastAsia="en-US"/>
        </w:rPr>
        <w:t xml:space="preserve"> </w:t>
      </w:r>
      <w:r w:rsidRPr="00357722">
        <w:rPr>
          <w:rFonts w:ascii="Times New Roman" w:eastAsia="Calibri" w:hAnsi="Times New Roman" w:cs="Times New Roman"/>
          <w:sz w:val="24"/>
          <w:szCs w:val="24"/>
          <w:lang w:eastAsia="en-US"/>
        </w:rPr>
        <w:t xml:space="preserve">S. </w:t>
      </w:r>
      <w:r w:rsidR="00DC3C70">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1998</w:t>
      </w:r>
      <w:r w:rsidR="00DC3C70">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 Central banking in theory and practice, MIT Press, Cambridge, MA.</w:t>
      </w:r>
    </w:p>
    <w:p w14:paraId="2BCE301B" w14:textId="7BC2C26D" w:rsidR="00A9776E" w:rsidRDefault="00DC3C70" w:rsidP="00A9776E">
      <w:pPr>
        <w:spacing w:after="0" w:line="36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Boyd, J. H., Levine, R. &amp;</w:t>
      </w:r>
      <w:r w:rsidR="00010798" w:rsidRPr="00357722">
        <w:rPr>
          <w:rFonts w:ascii="Times New Roman" w:hAnsi="Times New Roman" w:cs="Times New Roman"/>
          <w:sz w:val="24"/>
          <w:szCs w:val="24"/>
          <w:shd w:val="clear" w:color="auto" w:fill="FFFFFF"/>
        </w:rPr>
        <w:t xml:space="preserve"> Smith, B. D. </w:t>
      </w:r>
      <w:r>
        <w:rPr>
          <w:rFonts w:ascii="Times New Roman" w:hAnsi="Times New Roman" w:cs="Times New Roman"/>
          <w:sz w:val="24"/>
          <w:szCs w:val="24"/>
          <w:shd w:val="clear" w:color="auto" w:fill="FFFFFF"/>
        </w:rPr>
        <w:t>(</w:t>
      </w:r>
      <w:r w:rsidR="00010798" w:rsidRPr="00357722">
        <w:rPr>
          <w:rFonts w:ascii="Times New Roman" w:hAnsi="Times New Roman" w:cs="Times New Roman"/>
          <w:sz w:val="24"/>
          <w:szCs w:val="24"/>
          <w:shd w:val="clear" w:color="auto" w:fill="FFFFFF"/>
        </w:rPr>
        <w:t>2001</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The impact of inflation on financial sector performance. </w:t>
      </w:r>
      <w:r w:rsidR="00F6534A" w:rsidRPr="001E2554">
        <w:rPr>
          <w:rFonts w:ascii="Times New Roman" w:hAnsi="Times New Roman" w:cs="Times New Roman"/>
          <w:i/>
          <w:sz w:val="24"/>
          <w:szCs w:val="24"/>
          <w:shd w:val="clear" w:color="auto" w:fill="FFFFFF"/>
        </w:rPr>
        <w:t xml:space="preserve">Journal of </w:t>
      </w:r>
      <w:r w:rsidR="00A249ED" w:rsidRPr="001E2554">
        <w:rPr>
          <w:rFonts w:ascii="Times New Roman" w:hAnsi="Times New Roman" w:cs="Times New Roman"/>
          <w:i/>
          <w:sz w:val="24"/>
          <w:szCs w:val="24"/>
          <w:shd w:val="clear" w:color="auto" w:fill="FFFFFF"/>
        </w:rPr>
        <w:t>M</w:t>
      </w:r>
      <w:r w:rsidR="0041631D" w:rsidRPr="001E2554">
        <w:rPr>
          <w:rFonts w:ascii="Times New Roman" w:hAnsi="Times New Roman" w:cs="Times New Roman"/>
          <w:i/>
          <w:sz w:val="24"/>
          <w:szCs w:val="24"/>
          <w:shd w:val="clear" w:color="auto" w:fill="FFFFFF"/>
        </w:rPr>
        <w:t>onetary Economics</w:t>
      </w:r>
      <w:r w:rsidR="00010798" w:rsidRPr="00357722">
        <w:rPr>
          <w:rFonts w:ascii="Times New Roman" w:hAnsi="Times New Roman" w:cs="Times New Roman"/>
          <w:sz w:val="24"/>
          <w:szCs w:val="24"/>
          <w:shd w:val="clear" w:color="auto" w:fill="FFFFFF"/>
        </w:rPr>
        <w:t> 47</w:t>
      </w:r>
      <w:r w:rsidR="00F6534A" w:rsidRPr="00357722">
        <w:rPr>
          <w:rFonts w:ascii="Times New Roman" w:hAnsi="Times New Roman" w:cs="Times New Roman"/>
          <w:sz w:val="24"/>
          <w:szCs w:val="24"/>
          <w:shd w:val="clear" w:color="auto" w:fill="FFFFFF"/>
        </w:rPr>
        <w:t>, 221</w:t>
      </w:r>
      <w:r w:rsidR="00010798"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248.</w:t>
      </w:r>
    </w:p>
    <w:p w14:paraId="696C3639" w14:textId="32A1BAE4" w:rsidR="00A46023" w:rsidRPr="00A46023" w:rsidRDefault="00A46023" w:rsidP="00A46023">
      <w:pPr>
        <w:spacing w:after="0" w:line="360" w:lineRule="auto"/>
        <w:ind w:left="426" w:hanging="426"/>
        <w:jc w:val="both"/>
        <w:rPr>
          <w:rFonts w:ascii="Times New Roman" w:hAnsi="Times New Roman" w:cs="Times New Roman"/>
          <w:sz w:val="24"/>
          <w:szCs w:val="24"/>
          <w:shd w:val="clear" w:color="auto" w:fill="FFFFFF"/>
        </w:rPr>
      </w:pPr>
      <w:r w:rsidRPr="00A46023">
        <w:rPr>
          <w:rFonts w:ascii="Times New Roman" w:hAnsi="Times New Roman" w:cs="Times New Roman"/>
          <w:sz w:val="24"/>
          <w:szCs w:val="24"/>
          <w:shd w:val="clear" w:color="auto" w:fill="FFFFFF"/>
        </w:rPr>
        <w:lastRenderedPageBreak/>
        <w:t xml:space="preserve">Brkić, I., </w:t>
      </w:r>
      <w:proofErr w:type="spellStart"/>
      <w:r w:rsidRPr="00A46023">
        <w:rPr>
          <w:rFonts w:ascii="Times New Roman" w:hAnsi="Times New Roman" w:cs="Times New Roman"/>
          <w:sz w:val="24"/>
          <w:szCs w:val="24"/>
          <w:shd w:val="clear" w:color="auto" w:fill="FFFFFF"/>
        </w:rPr>
        <w:t>Gradojević</w:t>
      </w:r>
      <w:proofErr w:type="spellEnd"/>
      <w:r w:rsidRPr="00A46023">
        <w:rPr>
          <w:rFonts w:ascii="Times New Roman" w:hAnsi="Times New Roman" w:cs="Times New Roman"/>
          <w:sz w:val="24"/>
          <w:szCs w:val="24"/>
          <w:shd w:val="clear" w:color="auto" w:fill="FFFFFF"/>
        </w:rPr>
        <w:t xml:space="preserve">, N., &amp; </w:t>
      </w:r>
      <w:proofErr w:type="spellStart"/>
      <w:r w:rsidRPr="00A46023">
        <w:rPr>
          <w:rFonts w:ascii="Times New Roman" w:hAnsi="Times New Roman" w:cs="Times New Roman"/>
          <w:sz w:val="24"/>
          <w:szCs w:val="24"/>
          <w:shd w:val="clear" w:color="auto" w:fill="FFFFFF"/>
        </w:rPr>
        <w:t>Ignjatijević</w:t>
      </w:r>
      <w:proofErr w:type="spellEnd"/>
      <w:r w:rsidRPr="00A46023">
        <w:rPr>
          <w:rFonts w:ascii="Times New Roman" w:hAnsi="Times New Roman" w:cs="Times New Roman"/>
          <w:sz w:val="24"/>
          <w:szCs w:val="24"/>
          <w:shd w:val="clear" w:color="auto" w:fill="FFFFFF"/>
        </w:rPr>
        <w:t>, S. (2020). The impact of economic freedom on economic growth? New European dynamic panel evidence. </w:t>
      </w:r>
      <w:r w:rsidRPr="00A46023">
        <w:rPr>
          <w:rFonts w:ascii="Times New Roman" w:hAnsi="Times New Roman" w:cs="Times New Roman"/>
          <w:i/>
          <w:iCs/>
          <w:sz w:val="24"/>
          <w:szCs w:val="24"/>
          <w:shd w:val="clear" w:color="auto" w:fill="FFFFFF"/>
        </w:rPr>
        <w:t>Journal of Risk and Financial Management</w:t>
      </w:r>
      <w:r w:rsidRPr="00A46023">
        <w:rPr>
          <w:rFonts w:ascii="Times New Roman" w:hAnsi="Times New Roman" w:cs="Times New Roman"/>
          <w:sz w:val="24"/>
          <w:szCs w:val="24"/>
          <w:shd w:val="clear" w:color="auto" w:fill="FFFFFF"/>
        </w:rPr>
        <w:t>, </w:t>
      </w:r>
      <w:r w:rsidRPr="00A46023">
        <w:rPr>
          <w:rFonts w:ascii="Times New Roman" w:hAnsi="Times New Roman" w:cs="Times New Roman"/>
          <w:i/>
          <w:iCs/>
          <w:sz w:val="24"/>
          <w:szCs w:val="24"/>
          <w:shd w:val="clear" w:color="auto" w:fill="FFFFFF"/>
        </w:rPr>
        <w:t>13</w:t>
      </w:r>
      <w:r w:rsidRPr="00A46023">
        <w:rPr>
          <w:rFonts w:ascii="Times New Roman" w:hAnsi="Times New Roman" w:cs="Times New Roman"/>
          <w:sz w:val="24"/>
          <w:szCs w:val="24"/>
          <w:shd w:val="clear" w:color="auto" w:fill="FFFFFF"/>
        </w:rPr>
        <w:t>(2), 26.</w:t>
      </w:r>
    </w:p>
    <w:p w14:paraId="7CFAEB67" w14:textId="5B57CAE1" w:rsidR="00A9776E" w:rsidRPr="00357722" w:rsidRDefault="00DC3C70" w:rsidP="00A9776E">
      <w:pPr>
        <w:spacing w:after="0" w:line="360" w:lineRule="auto"/>
        <w:ind w:left="426" w:hanging="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Caprio, G., Laeven, L.</w:t>
      </w:r>
      <w:r w:rsidR="00762CBC" w:rsidRPr="00357722">
        <w:rPr>
          <w:rFonts w:ascii="Times New Roman" w:eastAsia="Calibri" w:hAnsi="Times New Roman" w:cs="Times New Roman"/>
          <w:sz w:val="24"/>
          <w:szCs w:val="24"/>
          <w:lang w:eastAsia="en-US"/>
        </w:rPr>
        <w:t xml:space="preserve"> &amp; Levine, R. (2004). Governance and bank valuation. Mimeo. University of Minnesota.</w:t>
      </w:r>
    </w:p>
    <w:p w14:paraId="657B1653" w14:textId="2FCDD23B" w:rsidR="00A9776E" w:rsidRPr="00357722" w:rsidRDefault="00491BF0" w:rsidP="00A9776E">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Chen, N. F., Ro</w:t>
      </w:r>
      <w:r w:rsidR="00DC3C70">
        <w:rPr>
          <w:rFonts w:ascii="Times New Roman" w:hAnsi="Times New Roman" w:cs="Times New Roman"/>
          <w:sz w:val="24"/>
          <w:szCs w:val="24"/>
          <w:shd w:val="clear" w:color="auto" w:fill="FFFFFF"/>
        </w:rPr>
        <w:t>ll, R. &amp;</w:t>
      </w:r>
      <w:r w:rsidRPr="00357722">
        <w:rPr>
          <w:rFonts w:ascii="Times New Roman" w:hAnsi="Times New Roman" w:cs="Times New Roman"/>
          <w:sz w:val="24"/>
          <w:szCs w:val="24"/>
          <w:shd w:val="clear" w:color="auto" w:fill="FFFFFF"/>
        </w:rPr>
        <w:t xml:space="preserve"> Ross, S. A. </w:t>
      </w:r>
      <w:r w:rsidR="00DC3C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1986</w:t>
      </w:r>
      <w:r w:rsidR="00DC3C70">
        <w:rPr>
          <w:rFonts w:ascii="Times New Roman" w:hAnsi="Times New Roman" w:cs="Times New Roman"/>
          <w:sz w:val="24"/>
          <w:szCs w:val="24"/>
          <w:shd w:val="clear" w:color="auto" w:fill="FFFFFF"/>
        </w:rPr>
        <w:t>)</w:t>
      </w:r>
      <w:r w:rsidR="0041631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iCs/>
          <w:sz w:val="24"/>
          <w:szCs w:val="24"/>
          <w:shd w:val="clear" w:color="auto" w:fill="FFFFFF"/>
        </w:rPr>
        <w:t>Economic forces and the stock market</w:t>
      </w:r>
      <w:r w:rsidR="0041631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w:t>
      </w:r>
      <w:r w:rsidRPr="001E2554">
        <w:rPr>
          <w:rFonts w:ascii="Times New Roman" w:hAnsi="Times New Roman" w:cs="Times New Roman"/>
          <w:i/>
          <w:sz w:val="24"/>
          <w:szCs w:val="24"/>
          <w:shd w:val="clear" w:color="auto" w:fill="FFFFFF"/>
        </w:rPr>
        <w:t xml:space="preserve">Journal of Business </w:t>
      </w:r>
      <w:r w:rsidRPr="00357722">
        <w:rPr>
          <w:rFonts w:ascii="Times New Roman" w:hAnsi="Times New Roman" w:cs="Times New Roman"/>
          <w:sz w:val="24"/>
          <w:szCs w:val="24"/>
          <w:shd w:val="clear" w:color="auto" w:fill="FFFFFF"/>
        </w:rPr>
        <w:t>59, 383</w:t>
      </w:r>
      <w:r w:rsidR="0041631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403.</w:t>
      </w:r>
    </w:p>
    <w:p w14:paraId="1B4DC1F5" w14:textId="196321AF" w:rsidR="00A9776E" w:rsidRPr="00357722" w:rsidRDefault="00DC3C70" w:rsidP="00A9776E">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Chen, Y., Xie, Y., You, H. &amp;</w:t>
      </w:r>
      <w:r w:rsidR="0041631D" w:rsidRPr="00357722">
        <w:rPr>
          <w:rFonts w:ascii="Times New Roman" w:hAnsi="Times New Roman" w:cs="Times New Roman"/>
          <w:sz w:val="24"/>
          <w:szCs w:val="24"/>
          <w:shd w:val="clear" w:color="auto" w:fill="FFFFFF"/>
        </w:rPr>
        <w:t xml:space="preserve"> Zhang, Y. </w:t>
      </w:r>
      <w:r>
        <w:rPr>
          <w:rFonts w:ascii="Times New Roman" w:hAnsi="Times New Roman" w:cs="Times New Roman"/>
          <w:sz w:val="24"/>
          <w:szCs w:val="24"/>
          <w:shd w:val="clear" w:color="auto" w:fill="FFFFFF"/>
        </w:rPr>
        <w:t>(</w:t>
      </w:r>
      <w:r w:rsidR="0041631D" w:rsidRPr="00357722">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Does crackdown on corruption reduce stock price crash risk? Evidence from Chin</w:t>
      </w:r>
      <w:r w:rsidR="0041631D" w:rsidRPr="00357722">
        <w:rPr>
          <w:rFonts w:ascii="Times New Roman" w:hAnsi="Times New Roman" w:cs="Times New Roman"/>
          <w:sz w:val="24"/>
          <w:szCs w:val="24"/>
          <w:shd w:val="clear" w:color="auto" w:fill="FFFFFF"/>
        </w:rPr>
        <w:t>a. </w:t>
      </w:r>
      <w:r w:rsidR="0041631D" w:rsidRPr="001E2554">
        <w:rPr>
          <w:rFonts w:ascii="Times New Roman" w:hAnsi="Times New Roman" w:cs="Times New Roman"/>
          <w:i/>
          <w:sz w:val="24"/>
          <w:szCs w:val="24"/>
          <w:shd w:val="clear" w:color="auto" w:fill="FFFFFF"/>
        </w:rPr>
        <w:t>Journal of Corporate Finance</w:t>
      </w:r>
      <w:r w:rsidR="00F6534A" w:rsidRPr="00357722">
        <w:rPr>
          <w:rFonts w:ascii="Times New Roman" w:hAnsi="Times New Roman" w:cs="Times New Roman"/>
          <w:sz w:val="24"/>
          <w:szCs w:val="24"/>
          <w:shd w:val="clear" w:color="auto" w:fill="FFFFFF"/>
        </w:rPr>
        <w:t> 51, 125-141.</w:t>
      </w:r>
    </w:p>
    <w:p w14:paraId="697AD99E" w14:textId="21DDDF4C" w:rsidR="00A9776E" w:rsidRPr="00357722" w:rsidRDefault="00DC3C70" w:rsidP="00A9776E">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Chinn, M. D. &amp;</w:t>
      </w:r>
      <w:r w:rsidR="0041631D" w:rsidRPr="00357722">
        <w:rPr>
          <w:rFonts w:ascii="Times New Roman" w:hAnsi="Times New Roman" w:cs="Times New Roman"/>
          <w:sz w:val="24"/>
          <w:szCs w:val="24"/>
          <w:shd w:val="clear" w:color="auto" w:fill="FFFFFF"/>
        </w:rPr>
        <w:t xml:space="preserve"> Ito, H. </w:t>
      </w:r>
      <w:r>
        <w:rPr>
          <w:rFonts w:ascii="Times New Roman" w:hAnsi="Times New Roman" w:cs="Times New Roman"/>
          <w:sz w:val="24"/>
          <w:szCs w:val="24"/>
          <w:shd w:val="clear" w:color="auto" w:fill="FFFFFF"/>
        </w:rPr>
        <w:t>(</w:t>
      </w:r>
      <w:r w:rsidR="0041631D" w:rsidRPr="00357722">
        <w:rPr>
          <w:rFonts w:ascii="Times New Roman" w:hAnsi="Times New Roman" w:cs="Times New Roman"/>
          <w:sz w:val="24"/>
          <w:szCs w:val="24"/>
          <w:shd w:val="clear" w:color="auto" w:fill="FFFFFF"/>
        </w:rPr>
        <w:t>2006</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What matters for financial development? Capital controls, institutions, and interactions. </w:t>
      </w:r>
      <w:r w:rsidR="00F6534A" w:rsidRPr="001E2554">
        <w:rPr>
          <w:rFonts w:ascii="Times New Roman" w:hAnsi="Times New Roman" w:cs="Times New Roman"/>
          <w:i/>
          <w:sz w:val="24"/>
          <w:szCs w:val="24"/>
          <w:shd w:val="clear" w:color="auto" w:fill="FFFFFF"/>
        </w:rPr>
        <w:t>Journ</w:t>
      </w:r>
      <w:r w:rsidR="0041631D" w:rsidRPr="001E2554">
        <w:rPr>
          <w:rFonts w:ascii="Times New Roman" w:hAnsi="Times New Roman" w:cs="Times New Roman"/>
          <w:i/>
          <w:sz w:val="24"/>
          <w:szCs w:val="24"/>
          <w:shd w:val="clear" w:color="auto" w:fill="FFFFFF"/>
        </w:rPr>
        <w:t>al of development economics</w:t>
      </w:r>
      <w:r w:rsidR="0041631D" w:rsidRPr="00357722">
        <w:rPr>
          <w:rFonts w:ascii="Times New Roman" w:hAnsi="Times New Roman" w:cs="Times New Roman"/>
          <w:sz w:val="24"/>
          <w:szCs w:val="24"/>
          <w:shd w:val="clear" w:color="auto" w:fill="FFFFFF"/>
        </w:rPr>
        <w:t> 81</w:t>
      </w:r>
      <w:r w:rsidR="00F6534A" w:rsidRPr="00357722">
        <w:rPr>
          <w:rFonts w:ascii="Times New Roman" w:hAnsi="Times New Roman" w:cs="Times New Roman"/>
          <w:sz w:val="24"/>
          <w:szCs w:val="24"/>
          <w:shd w:val="clear" w:color="auto" w:fill="FFFFFF"/>
        </w:rPr>
        <w:t>, 163-192.</w:t>
      </w:r>
    </w:p>
    <w:p w14:paraId="6C2ACE58" w14:textId="144D954E" w:rsidR="00676830" w:rsidRPr="00357722" w:rsidRDefault="009E3470" w:rsidP="00A9776E">
      <w:pPr>
        <w:spacing w:after="0" w:line="360" w:lineRule="auto"/>
        <w:ind w:left="426" w:hanging="426"/>
        <w:jc w:val="both"/>
        <w:rPr>
          <w:rFonts w:ascii="Times New Roman" w:eastAsia="Calibri" w:hAnsi="Times New Roman" w:cs="Times New Roman"/>
          <w:sz w:val="24"/>
          <w:szCs w:val="24"/>
          <w:lang w:eastAsia="en-US"/>
        </w:rPr>
      </w:pPr>
      <w:proofErr w:type="spellStart"/>
      <w:r>
        <w:rPr>
          <w:rFonts w:ascii="Times New Roman" w:hAnsi="Times New Roman" w:cs="Times New Roman"/>
          <w:sz w:val="24"/>
          <w:szCs w:val="24"/>
          <w:shd w:val="clear" w:color="auto" w:fill="FFFFFF"/>
        </w:rPr>
        <w:t>Chortareas</w:t>
      </w:r>
      <w:proofErr w:type="spellEnd"/>
      <w:r>
        <w:rPr>
          <w:rFonts w:ascii="Times New Roman" w:hAnsi="Times New Roman" w:cs="Times New Roman"/>
          <w:sz w:val="24"/>
          <w:szCs w:val="24"/>
          <w:shd w:val="clear" w:color="auto" w:fill="FFFFFF"/>
        </w:rPr>
        <w:t xml:space="preserve">, G.E., </w:t>
      </w:r>
      <w:proofErr w:type="spellStart"/>
      <w:r>
        <w:rPr>
          <w:rFonts w:ascii="Times New Roman" w:hAnsi="Times New Roman" w:cs="Times New Roman"/>
          <w:sz w:val="24"/>
          <w:szCs w:val="24"/>
          <w:shd w:val="clear" w:color="auto" w:fill="FFFFFF"/>
        </w:rPr>
        <w:t>Girardone</w:t>
      </w:r>
      <w:proofErr w:type="spellEnd"/>
      <w:r>
        <w:rPr>
          <w:rFonts w:ascii="Times New Roman" w:hAnsi="Times New Roman" w:cs="Times New Roman"/>
          <w:sz w:val="24"/>
          <w:szCs w:val="24"/>
          <w:shd w:val="clear" w:color="auto" w:fill="FFFFFF"/>
        </w:rPr>
        <w:t>, C. &amp;</w:t>
      </w:r>
      <w:r w:rsidR="00676830" w:rsidRPr="00357722">
        <w:rPr>
          <w:rFonts w:ascii="Times New Roman" w:hAnsi="Times New Roman" w:cs="Times New Roman"/>
          <w:sz w:val="24"/>
          <w:szCs w:val="24"/>
          <w:shd w:val="clear" w:color="auto" w:fill="FFFFFF"/>
        </w:rPr>
        <w:t xml:space="preserve"> </w:t>
      </w:r>
      <w:proofErr w:type="spellStart"/>
      <w:r w:rsidR="00676830" w:rsidRPr="00357722">
        <w:rPr>
          <w:rFonts w:ascii="Times New Roman" w:hAnsi="Times New Roman" w:cs="Times New Roman"/>
          <w:sz w:val="24"/>
          <w:szCs w:val="24"/>
          <w:shd w:val="clear" w:color="auto" w:fill="FFFFFF"/>
        </w:rPr>
        <w:t>Ventouri</w:t>
      </w:r>
      <w:proofErr w:type="spellEnd"/>
      <w:r w:rsidR="00676830" w:rsidRPr="00357722">
        <w:rPr>
          <w:rFonts w:ascii="Times New Roman" w:hAnsi="Times New Roman" w:cs="Times New Roman"/>
          <w:sz w:val="24"/>
          <w:szCs w:val="24"/>
          <w:shd w:val="clear" w:color="auto" w:fill="FFFFFF"/>
        </w:rPr>
        <w:t xml:space="preserve">, A. </w:t>
      </w:r>
      <w:r>
        <w:rPr>
          <w:rFonts w:ascii="Times New Roman" w:hAnsi="Times New Roman" w:cs="Times New Roman"/>
          <w:sz w:val="24"/>
          <w:szCs w:val="24"/>
          <w:shd w:val="clear" w:color="auto" w:fill="FFFFFF"/>
        </w:rPr>
        <w:t>(</w:t>
      </w:r>
      <w:r w:rsidR="00676830" w:rsidRPr="00357722">
        <w:rPr>
          <w:rFonts w:ascii="Times New Roman" w:hAnsi="Times New Roman" w:cs="Times New Roman"/>
          <w:sz w:val="24"/>
          <w:szCs w:val="24"/>
          <w:shd w:val="clear" w:color="auto" w:fill="FFFFFF"/>
        </w:rPr>
        <w:t>2013</w:t>
      </w:r>
      <w:r>
        <w:rPr>
          <w:rFonts w:ascii="Times New Roman" w:hAnsi="Times New Roman" w:cs="Times New Roman"/>
          <w:sz w:val="24"/>
          <w:szCs w:val="24"/>
          <w:shd w:val="clear" w:color="auto" w:fill="FFFFFF"/>
        </w:rPr>
        <w:t>)</w:t>
      </w:r>
      <w:r w:rsidR="00676830" w:rsidRPr="00357722">
        <w:rPr>
          <w:rFonts w:ascii="Times New Roman" w:hAnsi="Times New Roman" w:cs="Times New Roman"/>
          <w:sz w:val="24"/>
          <w:szCs w:val="24"/>
          <w:shd w:val="clear" w:color="auto" w:fill="FFFFFF"/>
        </w:rPr>
        <w:t xml:space="preserve">. Financial freedom and bank efficiency: Evidence from European Union. </w:t>
      </w:r>
      <w:r w:rsidR="00676830" w:rsidRPr="001E2554">
        <w:rPr>
          <w:rFonts w:ascii="Times New Roman" w:hAnsi="Times New Roman" w:cs="Times New Roman"/>
          <w:i/>
          <w:sz w:val="24"/>
          <w:szCs w:val="24"/>
          <w:shd w:val="clear" w:color="auto" w:fill="FFFFFF"/>
        </w:rPr>
        <w:t>Journal of Banking &amp; Finance</w:t>
      </w:r>
      <w:r w:rsidR="00676830" w:rsidRPr="00357722">
        <w:rPr>
          <w:rFonts w:ascii="Times New Roman" w:hAnsi="Times New Roman" w:cs="Times New Roman"/>
          <w:sz w:val="24"/>
          <w:szCs w:val="24"/>
          <w:shd w:val="clear" w:color="auto" w:fill="FFFFFF"/>
        </w:rPr>
        <w:t>. 37</w:t>
      </w:r>
      <w:r w:rsidR="0041631D" w:rsidRPr="00357722">
        <w:rPr>
          <w:rFonts w:ascii="Times New Roman" w:hAnsi="Times New Roman" w:cs="Times New Roman"/>
          <w:sz w:val="24"/>
          <w:szCs w:val="24"/>
          <w:shd w:val="clear" w:color="auto" w:fill="FFFFFF"/>
        </w:rPr>
        <w:t>,</w:t>
      </w:r>
      <w:r w:rsidR="00676830" w:rsidRPr="00357722">
        <w:rPr>
          <w:rFonts w:ascii="Times New Roman" w:hAnsi="Times New Roman" w:cs="Times New Roman"/>
          <w:sz w:val="24"/>
          <w:szCs w:val="24"/>
          <w:shd w:val="clear" w:color="auto" w:fill="FFFFFF"/>
        </w:rPr>
        <w:t xml:space="preserve"> 1223–1231.</w:t>
      </w:r>
    </w:p>
    <w:p w14:paraId="28299631" w14:textId="51B9B2D1" w:rsidR="00A9776E" w:rsidRDefault="009E3470" w:rsidP="00A9776E">
      <w:pPr>
        <w:spacing w:after="0" w:line="360" w:lineRule="auto"/>
        <w:ind w:left="426" w:hanging="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Chortareas, G., Stasavage, D. &amp;</w:t>
      </w:r>
      <w:r w:rsidR="004D1322" w:rsidRPr="00357722">
        <w:rPr>
          <w:rFonts w:ascii="Times New Roman" w:eastAsia="Calibri" w:hAnsi="Times New Roman" w:cs="Times New Roman"/>
          <w:sz w:val="24"/>
          <w:szCs w:val="24"/>
          <w:lang w:eastAsia="en-US"/>
        </w:rPr>
        <w:t xml:space="preserve"> Sterne, G. </w:t>
      </w:r>
      <w:r>
        <w:rPr>
          <w:rFonts w:ascii="Times New Roman" w:eastAsia="Calibri" w:hAnsi="Times New Roman" w:cs="Times New Roman"/>
          <w:sz w:val="24"/>
          <w:szCs w:val="24"/>
          <w:lang w:eastAsia="en-US"/>
        </w:rPr>
        <w:t>(</w:t>
      </w:r>
      <w:r w:rsidR="004D1322" w:rsidRPr="00357722">
        <w:rPr>
          <w:rFonts w:ascii="Times New Roman" w:eastAsia="Calibri" w:hAnsi="Times New Roman" w:cs="Times New Roman"/>
          <w:sz w:val="24"/>
          <w:szCs w:val="24"/>
          <w:lang w:eastAsia="en-US"/>
        </w:rPr>
        <w:t>2002</w:t>
      </w:r>
      <w:r>
        <w:rPr>
          <w:rFonts w:ascii="Times New Roman" w:eastAsia="Calibri" w:hAnsi="Times New Roman" w:cs="Times New Roman"/>
          <w:sz w:val="24"/>
          <w:szCs w:val="24"/>
          <w:lang w:eastAsia="en-US"/>
        </w:rPr>
        <w:t>)</w:t>
      </w:r>
      <w:r w:rsidR="004D1322" w:rsidRPr="00357722">
        <w:rPr>
          <w:rFonts w:ascii="Times New Roman" w:eastAsia="Calibri" w:hAnsi="Times New Roman" w:cs="Times New Roman"/>
          <w:sz w:val="24"/>
          <w:szCs w:val="24"/>
          <w:lang w:eastAsia="en-US"/>
        </w:rPr>
        <w:t xml:space="preserve">. Monetary policy transparency, inflation and the sacrifice ratio. </w:t>
      </w:r>
      <w:r w:rsidR="004D1322" w:rsidRPr="001E2554">
        <w:rPr>
          <w:rFonts w:ascii="Times New Roman" w:eastAsia="Calibri" w:hAnsi="Times New Roman" w:cs="Times New Roman"/>
          <w:i/>
          <w:sz w:val="24"/>
          <w:szCs w:val="24"/>
          <w:lang w:eastAsia="en-US"/>
        </w:rPr>
        <w:t>International Journal of Financial Economics</w:t>
      </w:r>
      <w:r w:rsidR="004D1322" w:rsidRPr="00357722">
        <w:rPr>
          <w:rFonts w:ascii="Times New Roman" w:eastAsia="Calibri" w:hAnsi="Times New Roman" w:cs="Times New Roman"/>
          <w:sz w:val="24"/>
          <w:szCs w:val="24"/>
          <w:lang w:eastAsia="en-US"/>
        </w:rPr>
        <w:t xml:space="preserve"> 7</w:t>
      </w:r>
      <w:r w:rsidR="0041631D" w:rsidRPr="00357722">
        <w:rPr>
          <w:rFonts w:ascii="Times New Roman" w:eastAsia="Calibri" w:hAnsi="Times New Roman" w:cs="Times New Roman"/>
          <w:sz w:val="24"/>
          <w:szCs w:val="24"/>
          <w:lang w:eastAsia="en-US"/>
        </w:rPr>
        <w:t xml:space="preserve">, </w:t>
      </w:r>
      <w:r w:rsidR="004D1322" w:rsidRPr="00357722">
        <w:rPr>
          <w:rFonts w:ascii="Times New Roman" w:eastAsia="Calibri" w:hAnsi="Times New Roman" w:cs="Times New Roman"/>
          <w:sz w:val="24"/>
          <w:szCs w:val="24"/>
          <w:lang w:eastAsia="en-US"/>
        </w:rPr>
        <w:t xml:space="preserve">141–155. </w:t>
      </w:r>
      <w:bookmarkStart w:id="7" w:name="_Hlk39923036"/>
    </w:p>
    <w:p w14:paraId="2665CBE9" w14:textId="044061CD" w:rsidR="00A46023" w:rsidRPr="00357722" w:rsidRDefault="00A46023" w:rsidP="00A46023">
      <w:pPr>
        <w:spacing w:after="0" w:line="360" w:lineRule="auto"/>
        <w:ind w:left="426" w:hanging="426"/>
        <w:jc w:val="both"/>
        <w:rPr>
          <w:rFonts w:ascii="Times New Roman" w:eastAsia="Calibri" w:hAnsi="Times New Roman" w:cs="Times New Roman"/>
          <w:sz w:val="24"/>
          <w:szCs w:val="24"/>
          <w:lang w:eastAsia="en-US"/>
        </w:rPr>
      </w:pPr>
      <w:r w:rsidRPr="00A46023">
        <w:rPr>
          <w:rFonts w:ascii="Times New Roman" w:eastAsia="Calibri" w:hAnsi="Times New Roman" w:cs="Times New Roman"/>
          <w:sz w:val="24"/>
          <w:szCs w:val="24"/>
          <w:lang w:val="pt-BR" w:eastAsia="en-US"/>
        </w:rPr>
        <w:t xml:space="preserve">Ciftci, C., &amp; Durusu-Ciftci, D. (2022). </w:t>
      </w:r>
      <w:r w:rsidRPr="00A46023">
        <w:rPr>
          <w:rFonts w:ascii="Times New Roman" w:eastAsia="Calibri" w:hAnsi="Times New Roman" w:cs="Times New Roman"/>
          <w:sz w:val="24"/>
          <w:szCs w:val="24"/>
          <w:lang w:eastAsia="en-US"/>
        </w:rPr>
        <w:t>Economic freedom, foreign direct investment, and economic growth: The role of sub-components of freedom. </w:t>
      </w:r>
      <w:r w:rsidRPr="00A46023">
        <w:rPr>
          <w:rFonts w:ascii="Times New Roman" w:eastAsia="Calibri" w:hAnsi="Times New Roman" w:cs="Times New Roman"/>
          <w:i/>
          <w:iCs/>
          <w:sz w:val="24"/>
          <w:szCs w:val="24"/>
          <w:lang w:eastAsia="en-US"/>
        </w:rPr>
        <w:t>The Journal of International Trade &amp; Economic Development</w:t>
      </w:r>
      <w:r w:rsidRPr="00A46023">
        <w:rPr>
          <w:rFonts w:ascii="Times New Roman" w:eastAsia="Calibri" w:hAnsi="Times New Roman" w:cs="Times New Roman"/>
          <w:sz w:val="24"/>
          <w:szCs w:val="24"/>
          <w:lang w:eastAsia="en-US"/>
        </w:rPr>
        <w:t>, </w:t>
      </w:r>
      <w:r w:rsidRPr="00A46023">
        <w:rPr>
          <w:rFonts w:ascii="Times New Roman" w:eastAsia="Calibri" w:hAnsi="Times New Roman" w:cs="Times New Roman"/>
          <w:i/>
          <w:iCs/>
          <w:sz w:val="24"/>
          <w:szCs w:val="24"/>
          <w:lang w:eastAsia="en-US"/>
        </w:rPr>
        <w:t>31</w:t>
      </w:r>
      <w:r w:rsidRPr="00A46023">
        <w:rPr>
          <w:rFonts w:ascii="Times New Roman" w:eastAsia="Calibri" w:hAnsi="Times New Roman" w:cs="Times New Roman"/>
          <w:sz w:val="24"/>
          <w:szCs w:val="24"/>
          <w:lang w:eastAsia="en-US"/>
        </w:rPr>
        <w:t>(2), pp.233-254.</w:t>
      </w:r>
    </w:p>
    <w:p w14:paraId="6491E12F" w14:textId="77F52135" w:rsidR="00A9776E" w:rsidRPr="00357722" w:rsidRDefault="00F6534A" w:rsidP="00A9776E">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Claessens</w:t>
      </w:r>
      <w:bookmarkEnd w:id="7"/>
      <w:r w:rsidR="0041631D" w:rsidRPr="00357722">
        <w:rPr>
          <w:rFonts w:ascii="Times New Roman" w:hAnsi="Times New Roman" w:cs="Times New Roman"/>
          <w:sz w:val="24"/>
          <w:szCs w:val="24"/>
          <w:shd w:val="clear" w:color="auto" w:fill="FFFFFF"/>
        </w:rPr>
        <w:t xml:space="preserve">, S., </w:t>
      </w:r>
      <w:proofErr w:type="spellStart"/>
      <w:r w:rsidR="0041631D" w:rsidRPr="00357722">
        <w:rPr>
          <w:rFonts w:ascii="Times New Roman" w:hAnsi="Times New Roman" w:cs="Times New Roman"/>
          <w:sz w:val="24"/>
          <w:szCs w:val="24"/>
          <w:shd w:val="clear" w:color="auto" w:fill="FFFFFF"/>
        </w:rPr>
        <w:t>Demirgüç</w:t>
      </w:r>
      <w:proofErr w:type="spellEnd"/>
      <w:r w:rsidR="0041631D" w:rsidRPr="00357722">
        <w:rPr>
          <w:rFonts w:ascii="Times New Roman" w:hAnsi="Times New Roman" w:cs="Times New Roman"/>
          <w:sz w:val="24"/>
          <w:szCs w:val="24"/>
          <w:shd w:val="clear" w:color="auto" w:fill="FFFFFF"/>
        </w:rPr>
        <w:t>-Kunt, A.</w:t>
      </w:r>
      <w:r w:rsidR="009E3470">
        <w:rPr>
          <w:rFonts w:ascii="Times New Roman" w:hAnsi="Times New Roman" w:cs="Times New Roman"/>
          <w:sz w:val="24"/>
          <w:szCs w:val="24"/>
          <w:shd w:val="clear" w:color="auto" w:fill="FFFFFF"/>
        </w:rPr>
        <w:t xml:space="preserve"> &amp;</w:t>
      </w:r>
      <w:r w:rsidR="0041631D" w:rsidRPr="00357722">
        <w:rPr>
          <w:rFonts w:ascii="Times New Roman" w:hAnsi="Times New Roman" w:cs="Times New Roman"/>
          <w:sz w:val="24"/>
          <w:szCs w:val="24"/>
          <w:shd w:val="clear" w:color="auto" w:fill="FFFFFF"/>
        </w:rPr>
        <w:t xml:space="preserve"> </w:t>
      </w:r>
      <w:r w:rsidR="009E3470">
        <w:rPr>
          <w:rFonts w:ascii="Times New Roman" w:hAnsi="Times New Roman" w:cs="Times New Roman"/>
          <w:sz w:val="24"/>
          <w:szCs w:val="24"/>
          <w:shd w:val="clear" w:color="auto" w:fill="FFFFFF"/>
        </w:rPr>
        <w:t>Huizinga, H.</w:t>
      </w:r>
      <w:r w:rsidRPr="00357722">
        <w:rPr>
          <w:rFonts w:ascii="Times New Roman" w:hAnsi="Times New Roman" w:cs="Times New Roman"/>
          <w:sz w:val="24"/>
          <w:szCs w:val="24"/>
          <w:shd w:val="clear" w:color="auto" w:fill="FFFFFF"/>
        </w:rPr>
        <w:t xml:space="preserve"> </w:t>
      </w:r>
      <w:r w:rsidR="009E34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2001</w:t>
      </w:r>
      <w:r w:rsidR="009E34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How does foreign entry affect domestic banking </w:t>
      </w:r>
      <w:proofErr w:type="gramStart"/>
      <w:r w:rsidRPr="00357722">
        <w:rPr>
          <w:rFonts w:ascii="Times New Roman" w:hAnsi="Times New Roman" w:cs="Times New Roman"/>
          <w:sz w:val="24"/>
          <w:szCs w:val="24"/>
          <w:shd w:val="clear" w:color="auto" w:fill="FFFFFF"/>
        </w:rPr>
        <w:t>markets?.</w:t>
      </w:r>
      <w:proofErr w:type="gramEnd"/>
      <w:r w:rsidRPr="00357722">
        <w:rPr>
          <w:rFonts w:ascii="Times New Roman" w:hAnsi="Times New Roman" w:cs="Times New Roman"/>
          <w:sz w:val="24"/>
          <w:szCs w:val="24"/>
          <w:shd w:val="clear" w:color="auto" w:fill="FFFFFF"/>
        </w:rPr>
        <w:t> </w:t>
      </w:r>
      <w:r w:rsidRPr="001E2554">
        <w:rPr>
          <w:rFonts w:ascii="Times New Roman" w:hAnsi="Times New Roman" w:cs="Times New Roman"/>
          <w:i/>
          <w:sz w:val="24"/>
          <w:szCs w:val="24"/>
          <w:shd w:val="clear" w:color="auto" w:fill="FFFFFF"/>
        </w:rPr>
        <w:t xml:space="preserve">Journal </w:t>
      </w:r>
      <w:r w:rsidR="0041631D" w:rsidRPr="001E2554">
        <w:rPr>
          <w:rFonts w:ascii="Times New Roman" w:hAnsi="Times New Roman" w:cs="Times New Roman"/>
          <w:i/>
          <w:sz w:val="24"/>
          <w:szCs w:val="24"/>
          <w:shd w:val="clear" w:color="auto" w:fill="FFFFFF"/>
        </w:rPr>
        <w:t>of Banking &amp; Finance</w:t>
      </w:r>
      <w:r w:rsidR="0041631D" w:rsidRPr="00357722">
        <w:rPr>
          <w:rFonts w:ascii="Times New Roman" w:hAnsi="Times New Roman" w:cs="Times New Roman"/>
          <w:sz w:val="24"/>
          <w:szCs w:val="24"/>
          <w:shd w:val="clear" w:color="auto" w:fill="FFFFFF"/>
        </w:rPr>
        <w:t xml:space="preserve"> 25, </w:t>
      </w:r>
      <w:r w:rsidRPr="00357722">
        <w:rPr>
          <w:rFonts w:ascii="Times New Roman" w:hAnsi="Times New Roman" w:cs="Times New Roman"/>
          <w:sz w:val="24"/>
          <w:szCs w:val="24"/>
          <w:shd w:val="clear" w:color="auto" w:fill="FFFFFF"/>
        </w:rPr>
        <w:t>891-911.</w:t>
      </w:r>
    </w:p>
    <w:p w14:paraId="6FCAFF1B" w14:textId="546D20D2" w:rsidR="00E32468" w:rsidRPr="00357722" w:rsidRDefault="00E32468" w:rsidP="00A9776E">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Cla</w:t>
      </w:r>
      <w:r w:rsidR="009E3470">
        <w:rPr>
          <w:rFonts w:ascii="Times New Roman" w:hAnsi="Times New Roman" w:cs="Times New Roman"/>
          <w:sz w:val="24"/>
          <w:szCs w:val="24"/>
          <w:shd w:val="clear" w:color="auto" w:fill="FFFFFF"/>
        </w:rPr>
        <w:t xml:space="preserve">essens, S., </w:t>
      </w:r>
      <w:proofErr w:type="spellStart"/>
      <w:r w:rsidR="009E3470">
        <w:rPr>
          <w:rFonts w:ascii="Times New Roman" w:hAnsi="Times New Roman" w:cs="Times New Roman"/>
          <w:sz w:val="24"/>
          <w:szCs w:val="24"/>
          <w:shd w:val="clear" w:color="auto" w:fill="FFFFFF"/>
        </w:rPr>
        <w:t>Djanky</w:t>
      </w:r>
      <w:proofErr w:type="spellEnd"/>
      <w:r w:rsidR="009E3470">
        <w:rPr>
          <w:rFonts w:ascii="Times New Roman" w:hAnsi="Times New Roman" w:cs="Times New Roman"/>
          <w:sz w:val="24"/>
          <w:szCs w:val="24"/>
          <w:shd w:val="clear" w:color="auto" w:fill="FFFFFF"/>
        </w:rPr>
        <w:t>, S., Fan, J. &amp; Lang, L.</w:t>
      </w:r>
      <w:r w:rsidRPr="00357722">
        <w:rPr>
          <w:rFonts w:ascii="Times New Roman" w:hAnsi="Times New Roman" w:cs="Times New Roman"/>
          <w:sz w:val="24"/>
          <w:szCs w:val="24"/>
          <w:shd w:val="clear" w:color="auto" w:fill="FFFFFF"/>
        </w:rPr>
        <w:t xml:space="preserve"> </w:t>
      </w:r>
      <w:r w:rsidR="009E34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2002a</w:t>
      </w:r>
      <w:r w:rsidR="009E34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Expropriation of minority shareholders in East Asia. </w:t>
      </w:r>
      <w:r w:rsidRPr="001E2554">
        <w:rPr>
          <w:rFonts w:ascii="Times New Roman" w:hAnsi="Times New Roman" w:cs="Times New Roman"/>
          <w:i/>
          <w:sz w:val="24"/>
          <w:szCs w:val="24"/>
          <w:shd w:val="clear" w:color="auto" w:fill="FFFFFF"/>
        </w:rPr>
        <w:t>Journal of Finance</w:t>
      </w:r>
      <w:r w:rsidRPr="00357722">
        <w:rPr>
          <w:rFonts w:ascii="Times New Roman" w:hAnsi="Times New Roman" w:cs="Times New Roman"/>
          <w:sz w:val="24"/>
          <w:szCs w:val="24"/>
          <w:shd w:val="clear" w:color="auto" w:fill="FFFFFF"/>
        </w:rPr>
        <w:t xml:space="preserve"> 57.</w:t>
      </w:r>
    </w:p>
    <w:p w14:paraId="0BF23B3B" w14:textId="1F484DFD" w:rsidR="00B356AE" w:rsidRPr="00357722" w:rsidRDefault="009E3470" w:rsidP="00B356AE">
      <w:p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Colombo, J. A., </w:t>
      </w:r>
      <w:proofErr w:type="spellStart"/>
      <w:r>
        <w:rPr>
          <w:rFonts w:ascii="Times New Roman" w:eastAsia="Calibri" w:hAnsi="Times New Roman" w:cs="Times New Roman"/>
          <w:sz w:val="24"/>
          <w:szCs w:val="24"/>
        </w:rPr>
        <w:t>Loncan</w:t>
      </w:r>
      <w:proofErr w:type="spellEnd"/>
      <w:r>
        <w:rPr>
          <w:rFonts w:ascii="Times New Roman" w:eastAsia="Calibri" w:hAnsi="Times New Roman" w:cs="Times New Roman"/>
          <w:sz w:val="24"/>
          <w:szCs w:val="24"/>
        </w:rPr>
        <w:t>, T. R. &amp;</w:t>
      </w:r>
      <w:r w:rsidR="00B356AE" w:rsidRPr="00357722">
        <w:rPr>
          <w:rFonts w:ascii="Times New Roman" w:eastAsia="Calibri" w:hAnsi="Times New Roman" w:cs="Times New Roman"/>
          <w:sz w:val="24"/>
          <w:szCs w:val="24"/>
        </w:rPr>
        <w:t xml:space="preserve"> Caldeira J. F. </w:t>
      </w:r>
      <w:r>
        <w:rPr>
          <w:rFonts w:ascii="Times New Roman" w:eastAsia="Calibri" w:hAnsi="Times New Roman" w:cs="Times New Roman"/>
          <w:sz w:val="24"/>
          <w:szCs w:val="24"/>
        </w:rPr>
        <w:t>(</w:t>
      </w:r>
      <w:r w:rsidR="00B356AE" w:rsidRPr="00357722">
        <w:rPr>
          <w:rFonts w:ascii="Times New Roman" w:eastAsia="Calibri" w:hAnsi="Times New Roman" w:cs="Times New Roman"/>
          <w:sz w:val="24"/>
          <w:szCs w:val="24"/>
        </w:rPr>
        <w:t>2018</w:t>
      </w:r>
      <w:r>
        <w:rPr>
          <w:rFonts w:ascii="Times New Roman" w:eastAsia="Calibri" w:hAnsi="Times New Roman" w:cs="Times New Roman"/>
          <w:sz w:val="24"/>
          <w:szCs w:val="24"/>
        </w:rPr>
        <w:t>)</w:t>
      </w:r>
      <w:r w:rsidR="00B356AE" w:rsidRPr="00357722">
        <w:rPr>
          <w:rFonts w:ascii="Times New Roman" w:eastAsia="Calibri" w:hAnsi="Times New Roman" w:cs="Times New Roman"/>
          <w:sz w:val="24"/>
          <w:szCs w:val="24"/>
        </w:rPr>
        <w:t xml:space="preserve">. Do foreign portfolio capital affect domestic investment? Evidence from Brazil. International </w:t>
      </w:r>
      <w:r w:rsidR="00B356AE" w:rsidRPr="001E2554">
        <w:rPr>
          <w:rFonts w:ascii="Times New Roman" w:eastAsia="Calibri" w:hAnsi="Times New Roman" w:cs="Times New Roman"/>
          <w:i/>
          <w:sz w:val="24"/>
          <w:szCs w:val="24"/>
        </w:rPr>
        <w:t>Journal of Finance and Economics</w:t>
      </w:r>
      <w:r w:rsidR="00B356AE" w:rsidRPr="00357722">
        <w:rPr>
          <w:rFonts w:ascii="Times New Roman" w:eastAsia="Calibri" w:hAnsi="Times New Roman" w:cs="Times New Roman"/>
          <w:sz w:val="24"/>
          <w:szCs w:val="24"/>
        </w:rPr>
        <w:t>. Forthcoming.</w:t>
      </w:r>
    </w:p>
    <w:p w14:paraId="387EB14A" w14:textId="66EAFD49" w:rsidR="00A9776E" w:rsidRPr="00357722" w:rsidRDefault="00762CBC" w:rsidP="00A9776E">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eastAsia="Calibri" w:hAnsi="Times New Roman" w:cs="Times New Roman"/>
          <w:sz w:val="24"/>
          <w:szCs w:val="24"/>
          <w:lang w:eastAsia="en-US"/>
        </w:rPr>
        <w:t xml:space="preserve">Crowe, C., &amp; Meade, E. E. </w:t>
      </w:r>
      <w:r w:rsidR="009E3470">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2008</w:t>
      </w:r>
      <w:r w:rsidR="009E3470">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 xml:space="preserve">. Central bank independence and transparency: evolution and effectiveness. </w:t>
      </w:r>
      <w:r w:rsidRPr="001E2554">
        <w:rPr>
          <w:rFonts w:ascii="Times New Roman" w:eastAsia="Calibri" w:hAnsi="Times New Roman" w:cs="Times New Roman"/>
          <w:i/>
          <w:sz w:val="24"/>
          <w:szCs w:val="24"/>
          <w:lang w:eastAsia="en-US"/>
        </w:rPr>
        <w:t>European Journal of Political Economy</w:t>
      </w:r>
      <w:r w:rsidRPr="00357722">
        <w:rPr>
          <w:rFonts w:ascii="Times New Roman" w:eastAsia="Calibri" w:hAnsi="Times New Roman" w:cs="Times New Roman"/>
          <w:sz w:val="24"/>
          <w:szCs w:val="24"/>
          <w:lang w:eastAsia="en-US"/>
        </w:rPr>
        <w:t xml:space="preserve"> 24</w:t>
      </w:r>
      <w:r w:rsidR="0041631D" w:rsidRPr="00357722">
        <w:rPr>
          <w:rFonts w:ascii="Times New Roman" w:eastAsia="Calibri" w:hAnsi="Times New Roman" w:cs="Times New Roman"/>
          <w:sz w:val="24"/>
          <w:szCs w:val="24"/>
          <w:lang w:eastAsia="en-US"/>
        </w:rPr>
        <w:t>,</w:t>
      </w:r>
      <w:r w:rsidRPr="00357722">
        <w:rPr>
          <w:rFonts w:ascii="Times New Roman" w:eastAsia="Calibri" w:hAnsi="Times New Roman" w:cs="Times New Roman"/>
          <w:sz w:val="24"/>
          <w:szCs w:val="24"/>
          <w:lang w:eastAsia="en-US"/>
        </w:rPr>
        <w:t xml:space="preserve"> 763–777.</w:t>
      </w:r>
      <w:bookmarkStart w:id="8" w:name="_Hlk40019044"/>
    </w:p>
    <w:p w14:paraId="41E3CE81" w14:textId="5D576D77" w:rsidR="00D97659" w:rsidRPr="00357722" w:rsidRDefault="009E3470" w:rsidP="00D97659">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De Haan, J. &amp;</w:t>
      </w:r>
      <w:r w:rsidR="00D97659" w:rsidRPr="00357722">
        <w:rPr>
          <w:rFonts w:ascii="Times New Roman" w:hAnsi="Times New Roman" w:cs="Times New Roman"/>
          <w:sz w:val="24"/>
          <w:szCs w:val="24"/>
          <w:shd w:val="clear" w:color="auto" w:fill="FFFFFF"/>
        </w:rPr>
        <w:t xml:space="preserve"> Sturm, J. E. </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xml:space="preserve">. On the relationship between economic freedom and economic growth. </w:t>
      </w:r>
      <w:r w:rsidR="00D97659" w:rsidRPr="001E2554">
        <w:rPr>
          <w:rFonts w:ascii="Times New Roman" w:hAnsi="Times New Roman" w:cs="Times New Roman"/>
          <w:i/>
          <w:sz w:val="24"/>
          <w:szCs w:val="24"/>
          <w:shd w:val="clear" w:color="auto" w:fill="FFFFFF"/>
        </w:rPr>
        <w:t>European Journal of Political Economy</w:t>
      </w:r>
      <w:r w:rsidR="00D97659" w:rsidRPr="00357722">
        <w:rPr>
          <w:rFonts w:ascii="Times New Roman" w:hAnsi="Times New Roman" w:cs="Times New Roman"/>
          <w:sz w:val="24"/>
          <w:szCs w:val="24"/>
          <w:shd w:val="clear" w:color="auto" w:fill="FFFFFF"/>
        </w:rPr>
        <w:t xml:space="preserve"> 16, 215–241.</w:t>
      </w:r>
    </w:p>
    <w:p w14:paraId="5AA633C7" w14:textId="77777777" w:rsidR="00D97659" w:rsidRPr="00357722" w:rsidRDefault="00D97659" w:rsidP="00D97659">
      <w:pPr>
        <w:spacing w:after="0" w:line="360" w:lineRule="auto"/>
        <w:ind w:left="426" w:hanging="426"/>
        <w:jc w:val="both"/>
        <w:rPr>
          <w:rFonts w:ascii="Times New Roman" w:eastAsia="Calibri" w:hAnsi="Times New Roman" w:cs="Times New Roman"/>
          <w:sz w:val="24"/>
          <w:szCs w:val="24"/>
          <w:lang w:eastAsia="en-US"/>
        </w:rPr>
      </w:pPr>
      <w:proofErr w:type="spellStart"/>
      <w:r w:rsidRPr="00357722">
        <w:rPr>
          <w:rFonts w:ascii="Times New Roman" w:hAnsi="Times New Roman" w:cs="Times New Roman"/>
          <w:sz w:val="24"/>
          <w:szCs w:val="24"/>
          <w:shd w:val="clear" w:color="auto" w:fill="FFFFFF"/>
        </w:rPr>
        <w:t>Demirgüç</w:t>
      </w:r>
      <w:proofErr w:type="spellEnd"/>
      <w:r w:rsidRPr="00357722">
        <w:rPr>
          <w:rFonts w:ascii="Times New Roman" w:hAnsi="Times New Roman" w:cs="Times New Roman"/>
          <w:sz w:val="24"/>
          <w:szCs w:val="24"/>
          <w:shd w:val="clear" w:color="auto" w:fill="FFFFFF"/>
        </w:rPr>
        <w:t>-Kunt, A., Levine, R. 1996a. Stock markets, corporate finance, and economic growth: an overview. </w:t>
      </w:r>
      <w:r w:rsidRPr="001E2554">
        <w:rPr>
          <w:rFonts w:ascii="Times New Roman" w:hAnsi="Times New Roman" w:cs="Times New Roman"/>
          <w:i/>
          <w:sz w:val="24"/>
          <w:szCs w:val="24"/>
          <w:shd w:val="clear" w:color="auto" w:fill="FFFFFF"/>
        </w:rPr>
        <w:t>The World Bank Economic Review</w:t>
      </w:r>
      <w:r w:rsidRPr="00357722">
        <w:rPr>
          <w:rFonts w:ascii="Times New Roman" w:hAnsi="Times New Roman" w:cs="Times New Roman"/>
          <w:sz w:val="24"/>
          <w:szCs w:val="24"/>
          <w:shd w:val="clear" w:color="auto" w:fill="FFFFFF"/>
        </w:rPr>
        <w:t> 10, 223</w:t>
      </w:r>
      <w:r w:rsidRPr="00357722">
        <w:rPr>
          <w:rFonts w:ascii="Times New Roman" w:eastAsia="Calibri" w:hAnsi="Times New Roman" w:cs="Times New Roman"/>
          <w:sz w:val="24"/>
          <w:szCs w:val="24"/>
          <w:lang w:eastAsia="en-US"/>
        </w:rPr>
        <w:t>–</w:t>
      </w:r>
      <w:r w:rsidRPr="00357722">
        <w:rPr>
          <w:rFonts w:ascii="Times New Roman" w:hAnsi="Times New Roman" w:cs="Times New Roman"/>
          <w:sz w:val="24"/>
          <w:szCs w:val="24"/>
          <w:shd w:val="clear" w:color="auto" w:fill="FFFFFF"/>
        </w:rPr>
        <w:t xml:space="preserve">239. </w:t>
      </w:r>
    </w:p>
    <w:p w14:paraId="351D4185" w14:textId="1289326E" w:rsidR="00D97659" w:rsidRPr="00357722" w:rsidRDefault="009E3470" w:rsidP="00D97659">
      <w:pPr>
        <w:spacing w:after="0" w:line="360" w:lineRule="auto"/>
        <w:ind w:left="426" w:hanging="426"/>
        <w:jc w:val="both"/>
        <w:rPr>
          <w:rFonts w:ascii="Times New Roman" w:eastAsia="Calibri" w:hAnsi="Times New Roman" w:cs="Times New Roman"/>
          <w:sz w:val="24"/>
          <w:szCs w:val="24"/>
          <w:lang w:eastAsia="en-US"/>
        </w:rPr>
      </w:pPr>
      <w:proofErr w:type="spellStart"/>
      <w:r>
        <w:rPr>
          <w:rFonts w:ascii="Times New Roman" w:hAnsi="Times New Roman" w:cs="Times New Roman"/>
          <w:sz w:val="24"/>
          <w:szCs w:val="24"/>
          <w:shd w:val="clear" w:color="auto" w:fill="FFFFFF"/>
        </w:rPr>
        <w:t>Demirguc</w:t>
      </w:r>
      <w:proofErr w:type="spellEnd"/>
      <w:r>
        <w:rPr>
          <w:rFonts w:ascii="Times New Roman" w:hAnsi="Times New Roman" w:cs="Times New Roman"/>
          <w:sz w:val="24"/>
          <w:szCs w:val="24"/>
          <w:shd w:val="clear" w:color="auto" w:fill="FFFFFF"/>
        </w:rPr>
        <w:t>-Kunt, A. &amp;</w:t>
      </w:r>
      <w:r w:rsidR="00D97659" w:rsidRPr="00357722">
        <w:rPr>
          <w:rFonts w:ascii="Times New Roman" w:hAnsi="Times New Roman" w:cs="Times New Roman"/>
          <w:sz w:val="24"/>
          <w:szCs w:val="24"/>
          <w:shd w:val="clear" w:color="auto" w:fill="FFFFFF"/>
        </w:rPr>
        <w:t xml:space="preserve"> Levine, R. </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1996b</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xml:space="preserve">. Stock Market Development and Financial Intermediaries: Stylized Facts. </w:t>
      </w:r>
      <w:r w:rsidR="00D97659" w:rsidRPr="00357722">
        <w:rPr>
          <w:rFonts w:ascii="Times New Roman" w:hAnsi="Times New Roman" w:cs="Times New Roman"/>
          <w:i/>
          <w:iCs/>
          <w:sz w:val="24"/>
          <w:szCs w:val="24"/>
          <w:shd w:val="clear" w:color="auto" w:fill="FFFFFF"/>
        </w:rPr>
        <w:t>The World Bank Economic</w:t>
      </w:r>
      <w:r w:rsidR="00D97659" w:rsidRPr="00357722">
        <w:rPr>
          <w:rFonts w:ascii="Times New Roman" w:hAnsi="Times New Roman" w:cs="Times New Roman"/>
          <w:sz w:val="24"/>
          <w:szCs w:val="24"/>
          <w:shd w:val="clear" w:color="auto" w:fill="FFFFFF"/>
        </w:rPr>
        <w:t xml:space="preserve"> </w:t>
      </w:r>
      <w:r w:rsidR="00D97659" w:rsidRPr="00357722">
        <w:rPr>
          <w:rFonts w:ascii="Times New Roman" w:hAnsi="Times New Roman" w:cs="Times New Roman"/>
          <w:i/>
          <w:iCs/>
          <w:sz w:val="24"/>
          <w:szCs w:val="24"/>
          <w:shd w:val="clear" w:color="auto" w:fill="FFFFFF"/>
        </w:rPr>
        <w:t xml:space="preserve">Review </w:t>
      </w:r>
      <w:r w:rsidR="00D97659" w:rsidRPr="00357722">
        <w:rPr>
          <w:rFonts w:ascii="Times New Roman" w:hAnsi="Times New Roman" w:cs="Times New Roman"/>
          <w:sz w:val="24"/>
          <w:szCs w:val="24"/>
          <w:shd w:val="clear" w:color="auto" w:fill="FFFFFF"/>
        </w:rPr>
        <w:t>10, 291</w:t>
      </w:r>
      <w:r w:rsidR="00D97659" w:rsidRPr="00357722">
        <w:rPr>
          <w:rFonts w:ascii="Times New Roman" w:eastAsia="Calibri" w:hAnsi="Times New Roman" w:cs="Times New Roman"/>
          <w:sz w:val="24"/>
          <w:szCs w:val="24"/>
          <w:lang w:eastAsia="en-US"/>
        </w:rPr>
        <w:t>–</w:t>
      </w:r>
      <w:r w:rsidR="00D97659" w:rsidRPr="00357722">
        <w:rPr>
          <w:rFonts w:ascii="Times New Roman" w:hAnsi="Times New Roman" w:cs="Times New Roman"/>
          <w:sz w:val="24"/>
          <w:szCs w:val="24"/>
          <w:shd w:val="clear" w:color="auto" w:fill="FFFFFF"/>
        </w:rPr>
        <w:t>321.</w:t>
      </w:r>
    </w:p>
    <w:p w14:paraId="3E675831" w14:textId="5A32DCA8" w:rsidR="00D97659" w:rsidRPr="00357722" w:rsidRDefault="009E3470" w:rsidP="00D97659">
      <w:pPr>
        <w:spacing w:after="0" w:line="360" w:lineRule="auto"/>
        <w:ind w:left="426" w:hanging="426"/>
        <w:jc w:val="both"/>
        <w:rPr>
          <w:rFonts w:ascii="Times New Roman" w:eastAsia="Calibri" w:hAnsi="Times New Roman" w:cs="Times New Roman"/>
          <w:sz w:val="24"/>
          <w:szCs w:val="24"/>
          <w:lang w:eastAsia="en-US"/>
        </w:rPr>
      </w:pPr>
      <w:proofErr w:type="spellStart"/>
      <w:r>
        <w:rPr>
          <w:rFonts w:ascii="Times New Roman" w:hAnsi="Times New Roman" w:cs="Times New Roman"/>
          <w:sz w:val="24"/>
          <w:szCs w:val="24"/>
          <w:shd w:val="clear" w:color="auto" w:fill="FFFFFF"/>
        </w:rPr>
        <w:lastRenderedPageBreak/>
        <w:t>Demirguc</w:t>
      </w:r>
      <w:proofErr w:type="spellEnd"/>
      <w:r>
        <w:rPr>
          <w:rFonts w:ascii="Times New Roman" w:hAnsi="Times New Roman" w:cs="Times New Roman"/>
          <w:sz w:val="24"/>
          <w:szCs w:val="24"/>
          <w:shd w:val="clear" w:color="auto" w:fill="FFFFFF"/>
        </w:rPr>
        <w:t>-Kunt, A. &amp; Maksimovic, V.</w:t>
      </w:r>
      <w:r w:rsidR="00D97659" w:rsidRPr="0035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1998</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xml:space="preserve">. Law, finance, and firm growth. </w:t>
      </w:r>
      <w:r w:rsidR="00D97659" w:rsidRPr="001E2554">
        <w:rPr>
          <w:rFonts w:ascii="Times New Roman" w:hAnsi="Times New Roman" w:cs="Times New Roman"/>
          <w:i/>
          <w:sz w:val="24"/>
          <w:szCs w:val="24"/>
          <w:shd w:val="clear" w:color="auto" w:fill="FFFFFF"/>
        </w:rPr>
        <w:t xml:space="preserve">Journal of Finance </w:t>
      </w:r>
      <w:r w:rsidR="00D97659" w:rsidRPr="00357722">
        <w:rPr>
          <w:rFonts w:ascii="Times New Roman" w:hAnsi="Times New Roman" w:cs="Times New Roman"/>
          <w:sz w:val="24"/>
          <w:szCs w:val="24"/>
          <w:shd w:val="clear" w:color="auto" w:fill="FFFFFF"/>
        </w:rPr>
        <w:t xml:space="preserve">52, 2107–2139.  </w:t>
      </w:r>
    </w:p>
    <w:p w14:paraId="74A78BAC" w14:textId="46E2F842" w:rsidR="00D97659" w:rsidRPr="00357722" w:rsidRDefault="009E3470" w:rsidP="00D97659">
      <w:pPr>
        <w:spacing w:after="0" w:line="360" w:lineRule="auto"/>
        <w:ind w:left="426" w:hanging="426"/>
        <w:jc w:val="both"/>
        <w:rPr>
          <w:rFonts w:ascii="Times New Roman" w:eastAsia="Calibri" w:hAnsi="Times New Roman" w:cs="Times New Roman"/>
          <w:sz w:val="24"/>
          <w:szCs w:val="24"/>
          <w:lang w:eastAsia="en-US"/>
        </w:rPr>
      </w:pPr>
      <w:proofErr w:type="spellStart"/>
      <w:r>
        <w:rPr>
          <w:rFonts w:ascii="Times New Roman" w:hAnsi="Times New Roman" w:cs="Times New Roman"/>
          <w:sz w:val="24"/>
          <w:szCs w:val="24"/>
          <w:shd w:val="clear" w:color="auto" w:fill="FFFFFF"/>
        </w:rPr>
        <w:t>Demirguc</w:t>
      </w:r>
      <w:proofErr w:type="spellEnd"/>
      <w:r>
        <w:rPr>
          <w:rFonts w:ascii="Times New Roman" w:hAnsi="Times New Roman" w:cs="Times New Roman"/>
          <w:sz w:val="24"/>
          <w:szCs w:val="24"/>
          <w:shd w:val="clear" w:color="auto" w:fill="FFFFFF"/>
        </w:rPr>
        <w:t>-Kunt, A. &amp;</w:t>
      </w:r>
      <w:r w:rsidR="00D97659" w:rsidRPr="00357722">
        <w:rPr>
          <w:rFonts w:ascii="Times New Roman" w:hAnsi="Times New Roman" w:cs="Times New Roman"/>
          <w:sz w:val="24"/>
          <w:szCs w:val="24"/>
          <w:shd w:val="clear" w:color="auto" w:fill="FFFFFF"/>
        </w:rPr>
        <w:t xml:space="preserve"> Maksimovic, V. </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1999</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xml:space="preserve">. Institutions, financial markets, and firm debt maturity. </w:t>
      </w:r>
      <w:r w:rsidR="00D97659" w:rsidRPr="001E2554">
        <w:rPr>
          <w:rFonts w:ascii="Times New Roman" w:hAnsi="Times New Roman" w:cs="Times New Roman"/>
          <w:i/>
          <w:sz w:val="24"/>
          <w:szCs w:val="24"/>
          <w:shd w:val="clear" w:color="auto" w:fill="FFFFFF"/>
        </w:rPr>
        <w:t>Journal of Financial Economics</w:t>
      </w:r>
      <w:r w:rsidR="00D97659" w:rsidRPr="00357722">
        <w:rPr>
          <w:rFonts w:ascii="Times New Roman" w:hAnsi="Times New Roman" w:cs="Times New Roman"/>
          <w:sz w:val="24"/>
          <w:szCs w:val="24"/>
          <w:shd w:val="clear" w:color="auto" w:fill="FFFFFF"/>
        </w:rPr>
        <w:t xml:space="preserve"> 54, 295–336.</w:t>
      </w:r>
    </w:p>
    <w:p w14:paraId="5F0CA912" w14:textId="354E51E9" w:rsidR="00D97659" w:rsidRPr="00357722" w:rsidRDefault="009E3470" w:rsidP="00D97659">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 xml:space="preserve">Devereux, M. B. &amp; </w:t>
      </w:r>
      <w:r w:rsidR="00D97659" w:rsidRPr="00357722">
        <w:rPr>
          <w:rFonts w:ascii="Times New Roman" w:hAnsi="Times New Roman" w:cs="Times New Roman"/>
          <w:sz w:val="24"/>
          <w:szCs w:val="24"/>
          <w:shd w:val="clear" w:color="auto" w:fill="FFFFFF"/>
        </w:rPr>
        <w:t>Smith</w:t>
      </w:r>
      <w:r>
        <w:rPr>
          <w:rFonts w:ascii="Times New Roman" w:hAnsi="Times New Roman" w:cs="Times New Roman"/>
          <w:sz w:val="24"/>
          <w:szCs w:val="24"/>
          <w:shd w:val="clear" w:color="auto" w:fill="FFFFFF"/>
        </w:rPr>
        <w:t>, G</w:t>
      </w:r>
      <w:r w:rsidR="00D97659" w:rsidRPr="0035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 (</w:t>
      </w:r>
      <w:r w:rsidR="00D97659" w:rsidRPr="00357722">
        <w:rPr>
          <w:rFonts w:ascii="Times New Roman" w:hAnsi="Times New Roman" w:cs="Times New Roman"/>
          <w:sz w:val="24"/>
          <w:szCs w:val="24"/>
          <w:shd w:val="clear" w:color="auto" w:fill="FFFFFF"/>
        </w:rPr>
        <w:t>1994</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xml:space="preserve">. International Risk Sharing and Economic Growth. </w:t>
      </w:r>
      <w:r w:rsidR="00D97659" w:rsidRPr="001E2554">
        <w:rPr>
          <w:rFonts w:ascii="Times New Roman" w:hAnsi="Times New Roman" w:cs="Times New Roman"/>
          <w:i/>
          <w:iCs/>
          <w:sz w:val="24"/>
          <w:szCs w:val="24"/>
          <w:shd w:val="clear" w:color="auto" w:fill="FFFFFF"/>
        </w:rPr>
        <w:t>International Economic Review</w:t>
      </w:r>
      <w:r w:rsidR="00D97659" w:rsidRPr="00357722">
        <w:rPr>
          <w:rFonts w:ascii="Times New Roman" w:hAnsi="Times New Roman" w:cs="Times New Roman"/>
          <w:iCs/>
          <w:sz w:val="24"/>
          <w:szCs w:val="24"/>
          <w:shd w:val="clear" w:color="auto" w:fill="FFFFFF"/>
        </w:rPr>
        <w:t xml:space="preserve"> </w:t>
      </w:r>
      <w:r w:rsidR="00D97659" w:rsidRPr="00357722">
        <w:rPr>
          <w:rFonts w:ascii="Times New Roman" w:hAnsi="Times New Roman" w:cs="Times New Roman"/>
          <w:sz w:val="24"/>
          <w:szCs w:val="24"/>
          <w:shd w:val="clear" w:color="auto" w:fill="FFFFFF"/>
        </w:rPr>
        <w:t>35, 535–550.</w:t>
      </w:r>
    </w:p>
    <w:p w14:paraId="3B8C0256" w14:textId="04EDF9E7" w:rsidR="00D97659" w:rsidRPr="00357722" w:rsidRDefault="009E3470" w:rsidP="00D97659">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Dincer, N. N. &amp;</w:t>
      </w:r>
      <w:r w:rsidR="00D97659" w:rsidRPr="00357722">
        <w:rPr>
          <w:rFonts w:ascii="Times New Roman" w:hAnsi="Times New Roman" w:cs="Times New Roman"/>
          <w:sz w:val="24"/>
          <w:szCs w:val="24"/>
          <w:shd w:val="clear" w:color="auto" w:fill="FFFFFF"/>
        </w:rPr>
        <w:t xml:space="preserve"> Eichengreen, B. </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2013</w:t>
      </w:r>
      <w:r>
        <w:rPr>
          <w:rFonts w:ascii="Times New Roman" w:hAnsi="Times New Roman" w:cs="Times New Roman"/>
          <w:sz w:val="24"/>
          <w:szCs w:val="24"/>
          <w:shd w:val="clear" w:color="auto" w:fill="FFFFFF"/>
        </w:rPr>
        <w:t>)</w:t>
      </w:r>
      <w:r w:rsidR="00D97659" w:rsidRPr="00357722">
        <w:rPr>
          <w:rFonts w:ascii="Times New Roman" w:hAnsi="Times New Roman" w:cs="Times New Roman"/>
          <w:sz w:val="24"/>
          <w:szCs w:val="24"/>
          <w:shd w:val="clear" w:color="auto" w:fill="FFFFFF"/>
        </w:rPr>
        <w:t>. Central bank transparency and independence: updates and new measures.</w:t>
      </w:r>
    </w:p>
    <w:bookmarkEnd w:id="8"/>
    <w:p w14:paraId="5E3D954F" w14:textId="7E551B09" w:rsidR="00C6354D" w:rsidRPr="00357722" w:rsidRDefault="004670B6" w:rsidP="00C6354D">
      <w:pPr>
        <w:spacing w:after="0" w:line="360" w:lineRule="auto"/>
        <w:ind w:left="426" w:hanging="426"/>
        <w:jc w:val="both"/>
        <w:rPr>
          <w:rFonts w:ascii="Times New Roman" w:eastAsia="Calibri" w:hAnsi="Times New Roman" w:cs="Times New Roman"/>
          <w:sz w:val="24"/>
          <w:szCs w:val="24"/>
          <w:lang w:eastAsia="en-US"/>
        </w:rPr>
      </w:pPr>
      <w:proofErr w:type="spellStart"/>
      <w:r w:rsidRPr="00357722">
        <w:rPr>
          <w:rFonts w:ascii="Times New Roman" w:hAnsi="Times New Roman" w:cs="Times New Roman"/>
          <w:sz w:val="24"/>
          <w:szCs w:val="24"/>
          <w:shd w:val="clear" w:color="auto" w:fill="FFFFFF"/>
        </w:rPr>
        <w:t>Djankov</w:t>
      </w:r>
      <w:proofErr w:type="spellEnd"/>
      <w:r w:rsidRPr="00357722">
        <w:rPr>
          <w:rFonts w:ascii="Times New Roman" w:hAnsi="Times New Roman" w:cs="Times New Roman"/>
          <w:sz w:val="24"/>
          <w:szCs w:val="24"/>
          <w:shd w:val="clear" w:color="auto" w:fill="FFFFFF"/>
        </w:rPr>
        <w:t xml:space="preserve">, S., La </w:t>
      </w:r>
      <w:r w:rsidR="009E3470">
        <w:rPr>
          <w:rFonts w:ascii="Times New Roman" w:hAnsi="Times New Roman" w:cs="Times New Roman"/>
          <w:sz w:val="24"/>
          <w:szCs w:val="24"/>
          <w:shd w:val="clear" w:color="auto" w:fill="FFFFFF"/>
        </w:rPr>
        <w:t>Porta, R., Lopez-de-Silanes, F. &amp;</w:t>
      </w:r>
      <w:r w:rsidRPr="00357722">
        <w:rPr>
          <w:rFonts w:ascii="Times New Roman" w:hAnsi="Times New Roman" w:cs="Times New Roman"/>
          <w:sz w:val="24"/>
          <w:szCs w:val="24"/>
          <w:shd w:val="clear" w:color="auto" w:fill="FFFFFF"/>
        </w:rPr>
        <w:t xml:space="preserve"> Shleifer, A. </w:t>
      </w:r>
      <w:r w:rsidR="009E34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2003</w:t>
      </w:r>
      <w:r w:rsidR="009E34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Courts. </w:t>
      </w:r>
      <w:r w:rsidRPr="00357722">
        <w:rPr>
          <w:rFonts w:ascii="Times New Roman" w:hAnsi="Times New Roman" w:cs="Times New Roman"/>
          <w:i/>
          <w:iCs/>
          <w:sz w:val="24"/>
          <w:szCs w:val="24"/>
          <w:shd w:val="clear" w:color="auto" w:fill="FFFFFF"/>
        </w:rPr>
        <w:t>Quarterly Journal of Economics</w:t>
      </w:r>
      <w:r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i/>
          <w:iCs/>
          <w:sz w:val="24"/>
          <w:szCs w:val="24"/>
          <w:shd w:val="clear" w:color="auto" w:fill="FFFFFF"/>
        </w:rPr>
        <w:t>118</w:t>
      </w:r>
      <w:r w:rsidRPr="00357722">
        <w:rPr>
          <w:rFonts w:ascii="Times New Roman" w:hAnsi="Times New Roman" w:cs="Times New Roman"/>
          <w:sz w:val="24"/>
          <w:szCs w:val="24"/>
          <w:shd w:val="clear" w:color="auto" w:fill="FFFFFF"/>
        </w:rPr>
        <w:t>, 453–517.</w:t>
      </w:r>
      <w:bookmarkStart w:id="9" w:name="_Hlk39409611"/>
    </w:p>
    <w:p w14:paraId="34421513" w14:textId="77777777" w:rsidR="00C6354D" w:rsidRPr="00357722" w:rsidRDefault="00F6534A" w:rsidP="00C6354D">
      <w:pPr>
        <w:spacing w:after="0" w:line="360" w:lineRule="auto"/>
        <w:ind w:left="426" w:hanging="426"/>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Driessen, J., &amp; Laeven</w:t>
      </w:r>
      <w:bookmarkEnd w:id="9"/>
      <w:r w:rsidRPr="00357722">
        <w:rPr>
          <w:rFonts w:ascii="Times New Roman" w:hAnsi="Times New Roman" w:cs="Times New Roman"/>
          <w:sz w:val="24"/>
          <w:szCs w:val="24"/>
          <w:shd w:val="clear" w:color="auto" w:fill="FFFFFF"/>
        </w:rPr>
        <w:t>, L. (2007). International portfolio diversification benefits: Cross-country evidence from a local perspectiv</w:t>
      </w:r>
      <w:r w:rsidR="00C6354D" w:rsidRPr="00357722">
        <w:rPr>
          <w:rFonts w:ascii="Times New Roman" w:hAnsi="Times New Roman" w:cs="Times New Roman"/>
          <w:sz w:val="24"/>
          <w:szCs w:val="24"/>
          <w:shd w:val="clear" w:color="auto" w:fill="FFFFFF"/>
        </w:rPr>
        <w:t>e. </w:t>
      </w:r>
      <w:r w:rsidR="00C6354D" w:rsidRPr="001E2554">
        <w:rPr>
          <w:rFonts w:ascii="Times New Roman" w:hAnsi="Times New Roman" w:cs="Times New Roman"/>
          <w:i/>
          <w:sz w:val="24"/>
          <w:szCs w:val="24"/>
          <w:shd w:val="clear" w:color="auto" w:fill="FFFFFF"/>
        </w:rPr>
        <w:t>Journal of Banking &amp; Finance</w:t>
      </w:r>
      <w:r w:rsidR="00C6354D" w:rsidRPr="00357722">
        <w:rPr>
          <w:rFonts w:ascii="Times New Roman" w:hAnsi="Times New Roman" w:cs="Times New Roman"/>
          <w:sz w:val="24"/>
          <w:szCs w:val="24"/>
          <w:shd w:val="clear" w:color="auto" w:fill="FFFFFF"/>
        </w:rPr>
        <w:t> 31</w:t>
      </w:r>
      <w:r w:rsidRPr="00357722">
        <w:rPr>
          <w:rFonts w:ascii="Times New Roman" w:hAnsi="Times New Roman" w:cs="Times New Roman"/>
          <w:sz w:val="24"/>
          <w:szCs w:val="24"/>
          <w:shd w:val="clear" w:color="auto" w:fill="FFFFFF"/>
        </w:rPr>
        <w:t>, 1693</w:t>
      </w:r>
      <w:r w:rsidR="00C6354D" w:rsidRPr="00357722">
        <w:rPr>
          <w:rFonts w:ascii="Times New Roman" w:eastAsia="Calibri" w:hAnsi="Times New Roman" w:cs="Times New Roman"/>
          <w:sz w:val="24"/>
          <w:szCs w:val="24"/>
          <w:lang w:eastAsia="en-US"/>
        </w:rPr>
        <w:t>–</w:t>
      </w:r>
      <w:r w:rsidRPr="00357722">
        <w:rPr>
          <w:rFonts w:ascii="Times New Roman" w:hAnsi="Times New Roman" w:cs="Times New Roman"/>
          <w:sz w:val="24"/>
          <w:szCs w:val="24"/>
          <w:shd w:val="clear" w:color="auto" w:fill="FFFFFF"/>
        </w:rPr>
        <w:t>1712.</w:t>
      </w:r>
    </w:p>
    <w:p w14:paraId="2ABF7185" w14:textId="7A5B9D16" w:rsidR="00D97659" w:rsidRPr="00357722" w:rsidRDefault="009E3470" w:rsidP="00D97659">
      <w:pPr>
        <w:spacing w:after="0" w:line="360" w:lineRule="auto"/>
        <w:ind w:left="426" w:hanging="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Eichler, S. &amp;</w:t>
      </w:r>
      <w:r w:rsidR="00D97659" w:rsidRPr="00357722">
        <w:rPr>
          <w:rFonts w:ascii="Times New Roman" w:eastAsia="Calibri" w:hAnsi="Times New Roman" w:cs="Times New Roman"/>
          <w:sz w:val="24"/>
          <w:szCs w:val="24"/>
          <w:lang w:eastAsia="en-US"/>
        </w:rPr>
        <w:t xml:space="preserve"> Littke, H. C. N. </w:t>
      </w:r>
      <w:r>
        <w:rPr>
          <w:rFonts w:ascii="Times New Roman" w:eastAsia="Calibri" w:hAnsi="Times New Roman" w:cs="Times New Roman"/>
          <w:sz w:val="24"/>
          <w:szCs w:val="24"/>
          <w:lang w:eastAsia="en-US"/>
        </w:rPr>
        <w:t>(</w:t>
      </w:r>
      <w:r w:rsidR="00D97659" w:rsidRPr="00357722">
        <w:rPr>
          <w:rFonts w:ascii="Times New Roman" w:eastAsia="Calibri" w:hAnsi="Times New Roman" w:cs="Times New Roman"/>
          <w:sz w:val="24"/>
          <w:szCs w:val="24"/>
          <w:lang w:eastAsia="en-US"/>
        </w:rPr>
        <w:t>2018</w:t>
      </w:r>
      <w:r>
        <w:rPr>
          <w:rFonts w:ascii="Times New Roman" w:eastAsia="Calibri" w:hAnsi="Times New Roman" w:cs="Times New Roman"/>
          <w:sz w:val="24"/>
          <w:szCs w:val="24"/>
          <w:lang w:eastAsia="en-US"/>
        </w:rPr>
        <w:t>)</w:t>
      </w:r>
      <w:r w:rsidR="00D97659" w:rsidRPr="00357722">
        <w:rPr>
          <w:rFonts w:ascii="Times New Roman" w:eastAsia="Calibri" w:hAnsi="Times New Roman" w:cs="Times New Roman"/>
          <w:sz w:val="24"/>
          <w:szCs w:val="24"/>
          <w:lang w:eastAsia="en-US"/>
        </w:rPr>
        <w:t xml:space="preserve">. Central bank transparency and the volatility of exchange rates. </w:t>
      </w:r>
      <w:r w:rsidR="00D97659" w:rsidRPr="001E2554">
        <w:rPr>
          <w:rFonts w:ascii="Times New Roman" w:eastAsia="Calibri" w:hAnsi="Times New Roman" w:cs="Times New Roman"/>
          <w:i/>
          <w:sz w:val="24"/>
          <w:szCs w:val="24"/>
          <w:lang w:eastAsia="en-US"/>
        </w:rPr>
        <w:t>Journal of International Money and Finance</w:t>
      </w:r>
      <w:r w:rsidR="00D97659" w:rsidRPr="00357722">
        <w:rPr>
          <w:rFonts w:ascii="Times New Roman" w:eastAsia="Calibri" w:hAnsi="Times New Roman" w:cs="Times New Roman"/>
          <w:sz w:val="24"/>
          <w:szCs w:val="24"/>
          <w:lang w:eastAsia="en-US"/>
        </w:rPr>
        <w:t xml:space="preserve">, 89, 23–49. </w:t>
      </w:r>
    </w:p>
    <w:p w14:paraId="67C58AC8" w14:textId="09876CA4" w:rsidR="00F6534A" w:rsidRPr="00357722" w:rsidRDefault="009E3470"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Eijffinger, S. C. &amp;</w:t>
      </w:r>
      <w:r w:rsidR="0041631D" w:rsidRPr="00357722">
        <w:rPr>
          <w:rFonts w:ascii="Times New Roman" w:hAnsi="Times New Roman" w:cs="Times New Roman"/>
          <w:sz w:val="24"/>
          <w:szCs w:val="24"/>
          <w:shd w:val="clear" w:color="auto" w:fill="FFFFFF"/>
        </w:rPr>
        <w:t xml:space="preserve"> Geraats, P. M. </w:t>
      </w:r>
      <w:r>
        <w:rPr>
          <w:rFonts w:ascii="Times New Roman" w:hAnsi="Times New Roman" w:cs="Times New Roman"/>
          <w:sz w:val="24"/>
          <w:szCs w:val="24"/>
          <w:shd w:val="clear" w:color="auto" w:fill="FFFFFF"/>
        </w:rPr>
        <w:t>(</w:t>
      </w:r>
      <w:r w:rsidR="0041631D" w:rsidRPr="00357722">
        <w:rPr>
          <w:rFonts w:ascii="Times New Roman" w:hAnsi="Times New Roman" w:cs="Times New Roman"/>
          <w:sz w:val="24"/>
          <w:szCs w:val="24"/>
          <w:shd w:val="clear" w:color="auto" w:fill="FFFFFF"/>
        </w:rPr>
        <w:t>2006</w:t>
      </w:r>
      <w:r>
        <w:rPr>
          <w:rFonts w:ascii="Times New Roman" w:hAnsi="Times New Roman" w:cs="Times New Roman"/>
          <w:sz w:val="24"/>
          <w:szCs w:val="24"/>
          <w:shd w:val="clear" w:color="auto" w:fill="FFFFFF"/>
        </w:rPr>
        <w:t>)</w:t>
      </w:r>
      <w:r w:rsidR="0041631D"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xml:space="preserve"> How transparent are central banks? </w:t>
      </w:r>
      <w:r w:rsidR="00F6534A" w:rsidRPr="001E2554">
        <w:rPr>
          <w:rFonts w:ascii="Times New Roman" w:hAnsi="Times New Roman" w:cs="Times New Roman"/>
          <w:i/>
          <w:sz w:val="24"/>
          <w:szCs w:val="24"/>
          <w:shd w:val="clear" w:color="auto" w:fill="FFFFFF"/>
        </w:rPr>
        <w:t>European Jo</w:t>
      </w:r>
      <w:r w:rsidR="0041631D" w:rsidRPr="001E2554">
        <w:rPr>
          <w:rFonts w:ascii="Times New Roman" w:hAnsi="Times New Roman" w:cs="Times New Roman"/>
          <w:i/>
          <w:sz w:val="24"/>
          <w:szCs w:val="24"/>
          <w:shd w:val="clear" w:color="auto" w:fill="FFFFFF"/>
        </w:rPr>
        <w:t>urnal of Political Economy</w:t>
      </w:r>
      <w:r w:rsidR="0041631D" w:rsidRPr="00357722">
        <w:rPr>
          <w:rFonts w:ascii="Times New Roman" w:hAnsi="Times New Roman" w:cs="Times New Roman"/>
          <w:sz w:val="24"/>
          <w:szCs w:val="24"/>
          <w:shd w:val="clear" w:color="auto" w:fill="FFFFFF"/>
        </w:rPr>
        <w:t xml:space="preserve"> 22, </w:t>
      </w:r>
      <w:r w:rsidR="00F6534A" w:rsidRPr="00357722">
        <w:rPr>
          <w:rFonts w:ascii="Times New Roman" w:hAnsi="Times New Roman" w:cs="Times New Roman"/>
          <w:sz w:val="24"/>
          <w:szCs w:val="24"/>
          <w:shd w:val="clear" w:color="auto" w:fill="FFFFFF"/>
        </w:rPr>
        <w:t>1</w:t>
      </w:r>
      <w:r w:rsidR="0041631D" w:rsidRPr="00357722">
        <w:rPr>
          <w:rFonts w:ascii="Times New Roman" w:eastAsia="Calibri" w:hAnsi="Times New Roman" w:cs="Times New Roman"/>
          <w:sz w:val="24"/>
          <w:szCs w:val="24"/>
          <w:lang w:eastAsia="en-US"/>
        </w:rPr>
        <w:t>–</w:t>
      </w:r>
      <w:r w:rsidR="00F6534A" w:rsidRPr="00357722">
        <w:rPr>
          <w:rFonts w:ascii="Times New Roman" w:hAnsi="Times New Roman" w:cs="Times New Roman"/>
          <w:sz w:val="24"/>
          <w:szCs w:val="24"/>
          <w:shd w:val="clear" w:color="auto" w:fill="FFFFFF"/>
        </w:rPr>
        <w:t>21</w:t>
      </w:r>
      <w:r w:rsidR="00762CBC" w:rsidRPr="00357722">
        <w:rPr>
          <w:rFonts w:ascii="Times New Roman" w:hAnsi="Times New Roman" w:cs="Times New Roman"/>
          <w:sz w:val="24"/>
          <w:szCs w:val="24"/>
          <w:shd w:val="clear" w:color="auto" w:fill="FFFFFF"/>
        </w:rPr>
        <w:t>.</w:t>
      </w:r>
    </w:p>
    <w:p w14:paraId="5028F6F5" w14:textId="795782F6" w:rsidR="00C6354D" w:rsidRPr="00357722" w:rsidRDefault="00F6534A"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Errunza</w:t>
      </w:r>
      <w:r w:rsidR="0041631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V</w:t>
      </w:r>
      <w:r w:rsidR="0041631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w:t>
      </w:r>
      <w:r w:rsidR="009E3470">
        <w:rPr>
          <w:rFonts w:ascii="Times New Roman" w:hAnsi="Times New Roman" w:cs="Times New Roman"/>
          <w:sz w:val="24"/>
          <w:szCs w:val="24"/>
          <w:shd w:val="clear" w:color="auto" w:fill="FFFFFF"/>
        </w:rPr>
        <w:t>(</w:t>
      </w:r>
      <w:r w:rsidR="0041631D" w:rsidRPr="00357722">
        <w:rPr>
          <w:rFonts w:ascii="Times New Roman" w:hAnsi="Times New Roman" w:cs="Times New Roman"/>
          <w:sz w:val="24"/>
          <w:szCs w:val="24"/>
          <w:shd w:val="clear" w:color="auto" w:fill="FFFFFF"/>
        </w:rPr>
        <w:t>2001</w:t>
      </w:r>
      <w:r w:rsidR="009E3470">
        <w:rPr>
          <w:rFonts w:ascii="Times New Roman" w:hAnsi="Times New Roman" w:cs="Times New Roman"/>
          <w:sz w:val="24"/>
          <w:szCs w:val="24"/>
          <w:shd w:val="clear" w:color="auto" w:fill="FFFFFF"/>
        </w:rPr>
        <w:t>)</w:t>
      </w:r>
      <w:r w:rsidR="0041631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Foreign portfolio equity investments, financial liberalizat</w:t>
      </w:r>
      <w:r w:rsidR="009E3470">
        <w:rPr>
          <w:rFonts w:ascii="Times New Roman" w:hAnsi="Times New Roman" w:cs="Times New Roman"/>
          <w:sz w:val="24"/>
          <w:szCs w:val="24"/>
          <w:shd w:val="clear" w:color="auto" w:fill="FFFFFF"/>
        </w:rPr>
        <w:t xml:space="preserve">ion, and economic development. </w:t>
      </w:r>
      <w:r w:rsidRPr="001E2554">
        <w:rPr>
          <w:rFonts w:ascii="Times New Roman" w:hAnsi="Times New Roman" w:cs="Times New Roman"/>
          <w:i/>
          <w:sz w:val="24"/>
          <w:szCs w:val="24"/>
          <w:shd w:val="clear" w:color="auto" w:fill="FFFFFF"/>
        </w:rPr>
        <w:t>Rev</w:t>
      </w:r>
      <w:r w:rsidR="006769CF" w:rsidRPr="001E2554">
        <w:rPr>
          <w:rFonts w:ascii="Times New Roman" w:hAnsi="Times New Roman" w:cs="Times New Roman"/>
          <w:i/>
          <w:sz w:val="24"/>
          <w:szCs w:val="24"/>
          <w:shd w:val="clear" w:color="auto" w:fill="FFFFFF"/>
        </w:rPr>
        <w:t>iew of</w:t>
      </w:r>
      <w:r w:rsidRPr="001E2554">
        <w:rPr>
          <w:rFonts w:ascii="Times New Roman" w:hAnsi="Times New Roman" w:cs="Times New Roman"/>
          <w:i/>
          <w:sz w:val="24"/>
          <w:szCs w:val="24"/>
          <w:shd w:val="clear" w:color="auto" w:fill="FFFFFF"/>
        </w:rPr>
        <w:t xml:space="preserve"> Int</w:t>
      </w:r>
      <w:r w:rsidR="006769CF" w:rsidRPr="001E2554">
        <w:rPr>
          <w:rFonts w:ascii="Times New Roman" w:hAnsi="Times New Roman" w:cs="Times New Roman"/>
          <w:i/>
          <w:sz w:val="24"/>
          <w:szCs w:val="24"/>
          <w:shd w:val="clear" w:color="auto" w:fill="FFFFFF"/>
        </w:rPr>
        <w:t>ernational</w:t>
      </w:r>
      <w:r w:rsidRPr="001E2554">
        <w:rPr>
          <w:rFonts w:ascii="Times New Roman" w:hAnsi="Times New Roman" w:cs="Times New Roman"/>
          <w:i/>
          <w:sz w:val="24"/>
          <w:szCs w:val="24"/>
          <w:shd w:val="clear" w:color="auto" w:fill="FFFFFF"/>
        </w:rPr>
        <w:t xml:space="preserve"> Econ</w:t>
      </w:r>
      <w:r w:rsidR="006769CF" w:rsidRPr="001E2554">
        <w:rPr>
          <w:rFonts w:ascii="Times New Roman" w:hAnsi="Times New Roman" w:cs="Times New Roman"/>
          <w:i/>
          <w:sz w:val="24"/>
          <w:szCs w:val="24"/>
          <w:shd w:val="clear" w:color="auto" w:fill="FFFFFF"/>
        </w:rPr>
        <w:t>omics</w:t>
      </w:r>
      <w:r w:rsidR="006769CF" w:rsidRPr="00357722">
        <w:rPr>
          <w:rFonts w:ascii="Times New Roman" w:hAnsi="Times New Roman" w:cs="Times New Roman"/>
          <w:sz w:val="24"/>
          <w:szCs w:val="24"/>
          <w:shd w:val="clear" w:color="auto" w:fill="FFFFFF"/>
        </w:rPr>
        <w:t xml:space="preserve"> 9,</w:t>
      </w:r>
      <w:r w:rsidRPr="00357722">
        <w:rPr>
          <w:rFonts w:ascii="Times New Roman" w:hAnsi="Times New Roman" w:cs="Times New Roman"/>
          <w:sz w:val="24"/>
          <w:szCs w:val="24"/>
          <w:shd w:val="clear" w:color="auto" w:fill="FFFFFF"/>
        </w:rPr>
        <w:t>703–726.</w:t>
      </w:r>
    </w:p>
    <w:p w14:paraId="03A88004" w14:textId="37D3E78E" w:rsidR="00C6354D" w:rsidRPr="00357722" w:rsidRDefault="009E3470"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Errunza, V. R. &amp;</w:t>
      </w:r>
      <w:r w:rsidR="006769CF" w:rsidRPr="00357722">
        <w:rPr>
          <w:rFonts w:ascii="Times New Roman" w:hAnsi="Times New Roman" w:cs="Times New Roman"/>
          <w:sz w:val="24"/>
          <w:szCs w:val="24"/>
          <w:shd w:val="clear" w:color="auto" w:fill="FFFFFF"/>
        </w:rPr>
        <w:t xml:space="preserve"> Miller, D. P. </w:t>
      </w:r>
      <w:r>
        <w:rPr>
          <w:rFonts w:ascii="Times New Roman" w:hAnsi="Times New Roman" w:cs="Times New Roman"/>
          <w:sz w:val="24"/>
          <w:szCs w:val="24"/>
          <w:shd w:val="clear" w:color="auto" w:fill="FFFFFF"/>
        </w:rPr>
        <w:t>(</w:t>
      </w:r>
      <w:r w:rsidR="006769CF" w:rsidRPr="00357722">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Market segmentation and the cost of the capital in international equity markets. </w:t>
      </w:r>
      <w:r w:rsidR="00F6534A" w:rsidRPr="001E2554">
        <w:rPr>
          <w:rFonts w:ascii="Times New Roman" w:hAnsi="Times New Roman" w:cs="Times New Roman"/>
          <w:i/>
          <w:sz w:val="24"/>
          <w:szCs w:val="24"/>
          <w:shd w:val="clear" w:color="auto" w:fill="FFFFFF"/>
        </w:rPr>
        <w:t>Journal of Fina</w:t>
      </w:r>
      <w:r w:rsidR="006769CF" w:rsidRPr="001E2554">
        <w:rPr>
          <w:rFonts w:ascii="Times New Roman" w:hAnsi="Times New Roman" w:cs="Times New Roman"/>
          <w:i/>
          <w:sz w:val="24"/>
          <w:szCs w:val="24"/>
          <w:shd w:val="clear" w:color="auto" w:fill="FFFFFF"/>
        </w:rPr>
        <w:t>ncial and Quantitative analysis</w:t>
      </w:r>
      <w:r w:rsidR="006769CF" w:rsidRPr="00357722">
        <w:rPr>
          <w:rFonts w:ascii="Times New Roman" w:hAnsi="Times New Roman" w:cs="Times New Roman"/>
          <w:sz w:val="24"/>
          <w:szCs w:val="24"/>
          <w:shd w:val="clear" w:color="auto" w:fill="FFFFFF"/>
        </w:rPr>
        <w:t> 35</w:t>
      </w:r>
      <w:r w:rsidR="00F6534A" w:rsidRPr="00357722">
        <w:rPr>
          <w:rFonts w:ascii="Times New Roman" w:hAnsi="Times New Roman" w:cs="Times New Roman"/>
          <w:sz w:val="24"/>
          <w:szCs w:val="24"/>
          <w:shd w:val="clear" w:color="auto" w:fill="FFFFFF"/>
        </w:rPr>
        <w:t>, 577</w:t>
      </w:r>
      <w:r w:rsidR="006769CF" w:rsidRPr="00357722">
        <w:rPr>
          <w:rFonts w:ascii="Times New Roman" w:eastAsia="Calibri" w:hAnsi="Times New Roman" w:cs="Times New Roman"/>
          <w:sz w:val="24"/>
          <w:szCs w:val="24"/>
          <w:lang w:eastAsia="en-US"/>
        </w:rPr>
        <w:t>–</w:t>
      </w:r>
      <w:r w:rsidR="00F6534A" w:rsidRPr="00357722">
        <w:rPr>
          <w:rFonts w:ascii="Times New Roman" w:hAnsi="Times New Roman" w:cs="Times New Roman"/>
          <w:sz w:val="24"/>
          <w:szCs w:val="24"/>
          <w:shd w:val="clear" w:color="auto" w:fill="FFFFFF"/>
        </w:rPr>
        <w:t>600.</w:t>
      </w:r>
      <w:bookmarkStart w:id="10" w:name="_Hlk39708193"/>
    </w:p>
    <w:bookmarkEnd w:id="10"/>
    <w:p w14:paraId="0BF1FE43" w14:textId="58E21445" w:rsidR="00F04D47" w:rsidRPr="00357722" w:rsidRDefault="009E3470" w:rsidP="00F04D47">
      <w:pPr>
        <w:spacing w:after="0" w:line="360" w:lineRule="auto"/>
        <w:ind w:left="426" w:hanging="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Fausch, J. &amp;</w:t>
      </w:r>
      <w:r w:rsidR="00F04D47" w:rsidRPr="00357722">
        <w:rPr>
          <w:rFonts w:ascii="Times New Roman" w:eastAsia="Calibri" w:hAnsi="Times New Roman" w:cs="Times New Roman"/>
          <w:sz w:val="24"/>
          <w:szCs w:val="24"/>
          <w:lang w:eastAsia="en-US"/>
        </w:rPr>
        <w:t xml:space="preserve"> Sigonius, M. </w:t>
      </w:r>
      <w:r>
        <w:rPr>
          <w:rFonts w:ascii="Times New Roman" w:eastAsia="Calibri" w:hAnsi="Times New Roman" w:cs="Times New Roman"/>
          <w:sz w:val="24"/>
          <w:szCs w:val="24"/>
          <w:lang w:eastAsia="en-US"/>
        </w:rPr>
        <w:t>(</w:t>
      </w:r>
      <w:r w:rsidR="00F04D47" w:rsidRPr="00357722">
        <w:rPr>
          <w:rFonts w:ascii="Times New Roman" w:eastAsia="Calibri" w:hAnsi="Times New Roman" w:cs="Times New Roman"/>
          <w:sz w:val="24"/>
          <w:szCs w:val="24"/>
          <w:lang w:eastAsia="en-US"/>
        </w:rPr>
        <w:t>2018</w:t>
      </w:r>
      <w:r>
        <w:rPr>
          <w:rFonts w:ascii="Times New Roman" w:eastAsia="Calibri" w:hAnsi="Times New Roman" w:cs="Times New Roman"/>
          <w:sz w:val="24"/>
          <w:szCs w:val="24"/>
          <w:lang w:eastAsia="en-US"/>
        </w:rPr>
        <w:t>)</w:t>
      </w:r>
      <w:r w:rsidR="00F04D47" w:rsidRPr="00357722">
        <w:rPr>
          <w:rFonts w:ascii="Times New Roman" w:eastAsia="Calibri" w:hAnsi="Times New Roman" w:cs="Times New Roman"/>
          <w:sz w:val="24"/>
          <w:szCs w:val="24"/>
          <w:lang w:eastAsia="en-US"/>
        </w:rPr>
        <w:t xml:space="preserve">. The impact of ECB monetary policy surprises on the German stock market. </w:t>
      </w:r>
      <w:r w:rsidR="00F04D47" w:rsidRPr="00357722">
        <w:rPr>
          <w:rFonts w:ascii="Times New Roman" w:eastAsia="Calibri" w:hAnsi="Times New Roman" w:cs="Times New Roman"/>
          <w:i/>
          <w:sz w:val="24"/>
          <w:szCs w:val="24"/>
          <w:lang w:eastAsia="en-US"/>
        </w:rPr>
        <w:t>Journal of Macroeconomics,</w:t>
      </w:r>
      <w:r w:rsidR="00F04D47" w:rsidRPr="00357722">
        <w:rPr>
          <w:rFonts w:ascii="Times New Roman" w:eastAsia="Calibri" w:hAnsi="Times New Roman" w:cs="Times New Roman"/>
          <w:sz w:val="24"/>
          <w:szCs w:val="24"/>
          <w:lang w:eastAsia="en-US"/>
        </w:rPr>
        <w:t xml:space="preserve"> 55, 46–63. </w:t>
      </w:r>
    </w:p>
    <w:p w14:paraId="6D914DAC" w14:textId="0CAFAC86" w:rsidR="00932313" w:rsidRPr="00357722" w:rsidRDefault="009E3470" w:rsidP="00C6354D">
      <w:pPr>
        <w:spacing w:after="0" w:line="36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Garcia, V.F. &amp;</w:t>
      </w:r>
      <w:r w:rsidR="00725BE9" w:rsidRPr="00357722">
        <w:rPr>
          <w:rFonts w:ascii="Times New Roman" w:hAnsi="Times New Roman" w:cs="Times New Roman"/>
          <w:sz w:val="24"/>
          <w:szCs w:val="24"/>
          <w:shd w:val="clear" w:color="auto" w:fill="FFFFFF"/>
        </w:rPr>
        <w:t xml:space="preserve"> Liu, L. </w:t>
      </w:r>
      <w:r>
        <w:rPr>
          <w:rFonts w:ascii="Times New Roman" w:hAnsi="Times New Roman" w:cs="Times New Roman"/>
          <w:sz w:val="24"/>
          <w:szCs w:val="24"/>
          <w:shd w:val="clear" w:color="auto" w:fill="FFFFFF"/>
        </w:rPr>
        <w:t>(</w:t>
      </w:r>
      <w:r w:rsidR="00725BE9" w:rsidRPr="00357722">
        <w:rPr>
          <w:rFonts w:ascii="Times New Roman" w:hAnsi="Times New Roman" w:cs="Times New Roman"/>
          <w:sz w:val="24"/>
          <w:szCs w:val="24"/>
          <w:shd w:val="clear" w:color="auto" w:fill="FFFFFF"/>
        </w:rPr>
        <w:t>1999</w:t>
      </w:r>
      <w:r>
        <w:rPr>
          <w:rFonts w:ascii="Times New Roman" w:hAnsi="Times New Roman" w:cs="Times New Roman"/>
          <w:sz w:val="24"/>
          <w:szCs w:val="24"/>
          <w:shd w:val="clear" w:color="auto" w:fill="FFFFFF"/>
        </w:rPr>
        <w:t>)</w:t>
      </w:r>
      <w:r w:rsidR="00725BE9" w:rsidRPr="00357722">
        <w:rPr>
          <w:rFonts w:ascii="Times New Roman" w:hAnsi="Times New Roman" w:cs="Times New Roman"/>
          <w:sz w:val="24"/>
          <w:szCs w:val="24"/>
          <w:shd w:val="clear" w:color="auto" w:fill="FFFFFF"/>
        </w:rPr>
        <w:t xml:space="preserve">. Macroeconomic determinants of stock market development. </w:t>
      </w:r>
      <w:r w:rsidR="00725BE9" w:rsidRPr="00430809">
        <w:rPr>
          <w:rFonts w:ascii="Times New Roman" w:hAnsi="Times New Roman" w:cs="Times New Roman"/>
          <w:i/>
          <w:sz w:val="24"/>
          <w:szCs w:val="24"/>
          <w:shd w:val="clear" w:color="auto" w:fill="FFFFFF"/>
        </w:rPr>
        <w:t>Journal of Applied Economics</w:t>
      </w:r>
      <w:r w:rsidR="00725BE9" w:rsidRPr="00357722">
        <w:rPr>
          <w:rFonts w:ascii="Times New Roman" w:hAnsi="Times New Roman" w:cs="Times New Roman"/>
          <w:sz w:val="24"/>
          <w:szCs w:val="24"/>
          <w:shd w:val="clear" w:color="auto" w:fill="FFFFFF"/>
        </w:rPr>
        <w:t xml:space="preserve"> 2, 29–59.</w:t>
      </w:r>
    </w:p>
    <w:p w14:paraId="47A96AE7" w14:textId="578F13A3" w:rsidR="00F04D47" w:rsidRPr="00357722" w:rsidRDefault="009E3470" w:rsidP="00F04D47">
      <w:pPr>
        <w:spacing w:after="0" w:line="360" w:lineRule="auto"/>
        <w:ind w:left="426" w:hanging="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Gelos, R. G. &amp;</w:t>
      </w:r>
      <w:r w:rsidR="00F04D47" w:rsidRPr="00357722">
        <w:rPr>
          <w:rFonts w:ascii="Times New Roman" w:eastAsia="Calibri" w:hAnsi="Times New Roman" w:cs="Times New Roman"/>
          <w:sz w:val="24"/>
          <w:szCs w:val="24"/>
          <w:lang w:eastAsia="en-US"/>
        </w:rPr>
        <w:t xml:space="preserve"> Wei, S. J. </w:t>
      </w:r>
      <w:r>
        <w:rPr>
          <w:rFonts w:ascii="Times New Roman" w:eastAsia="Calibri" w:hAnsi="Times New Roman" w:cs="Times New Roman"/>
          <w:sz w:val="24"/>
          <w:szCs w:val="24"/>
          <w:lang w:eastAsia="en-US"/>
        </w:rPr>
        <w:t>(</w:t>
      </w:r>
      <w:r w:rsidR="00F04D47" w:rsidRPr="00357722">
        <w:rPr>
          <w:rFonts w:ascii="Times New Roman" w:eastAsia="Calibri" w:hAnsi="Times New Roman" w:cs="Times New Roman"/>
          <w:sz w:val="24"/>
          <w:szCs w:val="24"/>
          <w:lang w:eastAsia="en-US"/>
        </w:rPr>
        <w:t>2005</w:t>
      </w:r>
      <w:r>
        <w:rPr>
          <w:rFonts w:ascii="Times New Roman" w:eastAsia="Calibri" w:hAnsi="Times New Roman" w:cs="Times New Roman"/>
          <w:sz w:val="24"/>
          <w:szCs w:val="24"/>
          <w:lang w:eastAsia="en-US"/>
        </w:rPr>
        <w:t>)</w:t>
      </w:r>
      <w:r w:rsidR="00F04D47" w:rsidRPr="00357722">
        <w:rPr>
          <w:rFonts w:ascii="Times New Roman" w:eastAsia="Calibri" w:hAnsi="Times New Roman" w:cs="Times New Roman"/>
          <w:sz w:val="24"/>
          <w:szCs w:val="24"/>
          <w:lang w:eastAsia="en-US"/>
        </w:rPr>
        <w:t xml:space="preserve">. Transparency and international portfolio holdings. </w:t>
      </w:r>
      <w:r w:rsidR="00F04D47" w:rsidRPr="00430809">
        <w:rPr>
          <w:rFonts w:ascii="Times New Roman" w:eastAsia="Calibri" w:hAnsi="Times New Roman" w:cs="Times New Roman"/>
          <w:i/>
          <w:sz w:val="24"/>
          <w:szCs w:val="24"/>
          <w:lang w:eastAsia="en-US"/>
        </w:rPr>
        <w:t>Journal of Finance</w:t>
      </w:r>
      <w:r w:rsidR="00F04D47" w:rsidRPr="00357722">
        <w:rPr>
          <w:rFonts w:ascii="Times New Roman" w:eastAsia="Calibri" w:hAnsi="Times New Roman" w:cs="Times New Roman"/>
          <w:sz w:val="24"/>
          <w:szCs w:val="24"/>
          <w:lang w:eastAsia="en-US"/>
        </w:rPr>
        <w:t xml:space="preserve"> 60: 2987–3020.</w:t>
      </w:r>
    </w:p>
    <w:p w14:paraId="68FCAFF5" w14:textId="77777777" w:rsidR="00F04D47" w:rsidRPr="00357722" w:rsidRDefault="00F04D47" w:rsidP="00F04D47">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eastAsia="Calibri" w:hAnsi="Times New Roman" w:cs="Times New Roman"/>
          <w:sz w:val="24"/>
          <w:szCs w:val="24"/>
          <w:lang w:eastAsia="en-US"/>
        </w:rPr>
        <w:t xml:space="preserve">Geraats, P. M. (2002). Central bank transparency. </w:t>
      </w:r>
      <w:r w:rsidRPr="00430809">
        <w:rPr>
          <w:rFonts w:ascii="Times New Roman" w:eastAsia="Calibri" w:hAnsi="Times New Roman" w:cs="Times New Roman"/>
          <w:i/>
          <w:sz w:val="24"/>
          <w:szCs w:val="24"/>
          <w:lang w:eastAsia="en-US"/>
        </w:rPr>
        <w:t>The Economic Journal</w:t>
      </w:r>
      <w:r w:rsidRPr="00357722">
        <w:rPr>
          <w:rFonts w:ascii="Times New Roman" w:eastAsia="Calibri" w:hAnsi="Times New Roman" w:cs="Times New Roman"/>
          <w:sz w:val="24"/>
          <w:szCs w:val="24"/>
          <w:lang w:eastAsia="en-US"/>
        </w:rPr>
        <w:t xml:space="preserve"> 112, 532–565.</w:t>
      </w:r>
    </w:p>
    <w:p w14:paraId="40C0B1AA" w14:textId="465912C7" w:rsidR="001A513C" w:rsidRPr="00357722" w:rsidRDefault="001A513C" w:rsidP="00F04D47">
      <w:pPr>
        <w:spacing w:after="0" w:line="360" w:lineRule="auto"/>
        <w:ind w:left="426" w:hanging="426"/>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Glaeser, E. L., La P</w:t>
      </w:r>
      <w:r w:rsidR="009E3470">
        <w:rPr>
          <w:rFonts w:ascii="Times New Roman" w:hAnsi="Times New Roman" w:cs="Times New Roman"/>
          <w:sz w:val="24"/>
          <w:szCs w:val="24"/>
          <w:shd w:val="clear" w:color="auto" w:fill="FFFFFF"/>
        </w:rPr>
        <w:t xml:space="preserve">orta, R., </w:t>
      </w:r>
      <w:proofErr w:type="spellStart"/>
      <w:r w:rsidR="009E3470">
        <w:rPr>
          <w:rFonts w:ascii="Times New Roman" w:hAnsi="Times New Roman" w:cs="Times New Roman"/>
          <w:sz w:val="24"/>
          <w:szCs w:val="24"/>
          <w:shd w:val="clear" w:color="auto" w:fill="FFFFFF"/>
        </w:rPr>
        <w:t>Lopeez</w:t>
      </w:r>
      <w:proofErr w:type="spellEnd"/>
      <w:r w:rsidR="009E3470">
        <w:rPr>
          <w:rFonts w:ascii="Times New Roman" w:hAnsi="Times New Roman" w:cs="Times New Roman"/>
          <w:sz w:val="24"/>
          <w:szCs w:val="24"/>
          <w:shd w:val="clear" w:color="auto" w:fill="FFFFFF"/>
        </w:rPr>
        <w:t>-De-Silanes, F. &amp;</w:t>
      </w:r>
      <w:r w:rsidRPr="00357722">
        <w:rPr>
          <w:rFonts w:ascii="Times New Roman" w:hAnsi="Times New Roman" w:cs="Times New Roman"/>
          <w:sz w:val="24"/>
          <w:szCs w:val="24"/>
          <w:shd w:val="clear" w:color="auto" w:fill="FFFFFF"/>
        </w:rPr>
        <w:t xml:space="preserve"> Shleifer, A. </w:t>
      </w:r>
      <w:r w:rsidR="009E3470">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2004</w:t>
      </w:r>
      <w:r w:rsidR="009E3470">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 xml:space="preserve">. Do institutions cause growth? </w:t>
      </w:r>
      <w:r w:rsidRPr="00430809">
        <w:rPr>
          <w:rFonts w:ascii="Times New Roman" w:hAnsi="Times New Roman" w:cs="Times New Roman"/>
          <w:i/>
          <w:iCs/>
          <w:sz w:val="24"/>
          <w:szCs w:val="24"/>
          <w:shd w:val="clear" w:color="auto" w:fill="FFFFFF"/>
        </w:rPr>
        <w:t>Journal of Economic Growth</w:t>
      </w:r>
      <w:r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iCs/>
          <w:sz w:val="24"/>
          <w:szCs w:val="24"/>
          <w:shd w:val="clear" w:color="auto" w:fill="FFFFFF"/>
        </w:rPr>
        <w:t>9</w:t>
      </w:r>
      <w:r w:rsidRPr="00357722">
        <w:rPr>
          <w:rFonts w:ascii="Times New Roman" w:hAnsi="Times New Roman" w:cs="Times New Roman"/>
          <w:sz w:val="24"/>
          <w:szCs w:val="24"/>
          <w:shd w:val="clear" w:color="auto" w:fill="FFFFFF"/>
        </w:rPr>
        <w:t>, 271–303.</w:t>
      </w:r>
    </w:p>
    <w:p w14:paraId="74D45591" w14:textId="3EAA1B13" w:rsidR="00F04D47" w:rsidRPr="004514AF" w:rsidRDefault="009E3470" w:rsidP="004514AF">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Greenwood, J. &amp;</w:t>
      </w:r>
      <w:r w:rsidR="00F04D47" w:rsidRPr="00357722">
        <w:rPr>
          <w:rFonts w:ascii="Times New Roman" w:hAnsi="Times New Roman" w:cs="Times New Roman"/>
          <w:sz w:val="24"/>
          <w:szCs w:val="24"/>
          <w:shd w:val="clear" w:color="auto" w:fill="FFFFFF"/>
        </w:rPr>
        <w:t xml:space="preserve"> Jovanovic., B. </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1990</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 xml:space="preserve">. Financial development, growth, and the distribution of income. </w:t>
      </w:r>
      <w:r w:rsidR="00F04D47" w:rsidRPr="00430809">
        <w:rPr>
          <w:rFonts w:ascii="Times New Roman" w:hAnsi="Times New Roman" w:cs="Times New Roman"/>
          <w:i/>
          <w:sz w:val="24"/>
          <w:szCs w:val="24"/>
          <w:shd w:val="clear" w:color="auto" w:fill="FFFFFF"/>
        </w:rPr>
        <w:t>Journal of Political Economy</w:t>
      </w:r>
      <w:r w:rsidR="00F04D47" w:rsidRPr="00357722">
        <w:rPr>
          <w:rFonts w:ascii="Times New Roman" w:hAnsi="Times New Roman" w:cs="Times New Roman"/>
          <w:sz w:val="24"/>
          <w:szCs w:val="24"/>
          <w:shd w:val="clear" w:color="auto" w:fill="FFFFFF"/>
        </w:rPr>
        <w:t xml:space="preserve"> 98, 1076-l 108.</w:t>
      </w:r>
    </w:p>
    <w:p w14:paraId="32A91E8A" w14:textId="1601CFE4" w:rsidR="00F04D47" w:rsidRPr="00357722" w:rsidRDefault="009E3470" w:rsidP="00F04D47">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 xml:space="preserve">Gropp, R., Mosk, T., </w:t>
      </w:r>
      <w:proofErr w:type="spellStart"/>
      <w:r>
        <w:rPr>
          <w:rFonts w:ascii="Times New Roman" w:hAnsi="Times New Roman" w:cs="Times New Roman"/>
          <w:sz w:val="24"/>
          <w:szCs w:val="24"/>
          <w:shd w:val="clear" w:color="auto" w:fill="FFFFFF"/>
        </w:rPr>
        <w:t>Ongena</w:t>
      </w:r>
      <w:proofErr w:type="spellEnd"/>
      <w:r>
        <w:rPr>
          <w:rFonts w:ascii="Times New Roman" w:hAnsi="Times New Roman" w:cs="Times New Roman"/>
          <w:sz w:val="24"/>
          <w:szCs w:val="24"/>
          <w:shd w:val="clear" w:color="auto" w:fill="FFFFFF"/>
        </w:rPr>
        <w:t>, S. &amp;</w:t>
      </w:r>
      <w:r w:rsidR="00F04D47" w:rsidRPr="00357722">
        <w:rPr>
          <w:rFonts w:ascii="Times New Roman" w:hAnsi="Times New Roman" w:cs="Times New Roman"/>
          <w:sz w:val="24"/>
          <w:szCs w:val="24"/>
          <w:shd w:val="clear" w:color="auto" w:fill="FFFFFF"/>
        </w:rPr>
        <w:t xml:space="preserve"> </w:t>
      </w:r>
      <w:proofErr w:type="spellStart"/>
      <w:r w:rsidR="00F04D47" w:rsidRPr="00357722">
        <w:rPr>
          <w:rFonts w:ascii="Times New Roman" w:hAnsi="Times New Roman" w:cs="Times New Roman"/>
          <w:sz w:val="24"/>
          <w:szCs w:val="24"/>
          <w:shd w:val="clear" w:color="auto" w:fill="FFFFFF"/>
        </w:rPr>
        <w:t>Wix</w:t>
      </w:r>
      <w:proofErr w:type="spellEnd"/>
      <w:r w:rsidR="00F04D47" w:rsidRPr="00357722">
        <w:rPr>
          <w:rFonts w:ascii="Times New Roman" w:hAnsi="Times New Roman" w:cs="Times New Roman"/>
          <w:sz w:val="24"/>
          <w:szCs w:val="24"/>
          <w:shd w:val="clear" w:color="auto" w:fill="FFFFFF"/>
        </w:rPr>
        <w:t xml:space="preserve">, C. </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 Banks response to higher capital requirements: Evidence from a quasi-natural experiment. </w:t>
      </w:r>
      <w:r w:rsidR="00F04D47" w:rsidRPr="00430809">
        <w:rPr>
          <w:rFonts w:ascii="Times New Roman" w:hAnsi="Times New Roman" w:cs="Times New Roman"/>
          <w:i/>
          <w:sz w:val="24"/>
          <w:szCs w:val="24"/>
          <w:shd w:val="clear" w:color="auto" w:fill="FFFFFF"/>
        </w:rPr>
        <w:t>The Review of Financial Studies</w:t>
      </w:r>
      <w:r w:rsidR="00F04D47" w:rsidRPr="00357722">
        <w:rPr>
          <w:rFonts w:ascii="Times New Roman" w:hAnsi="Times New Roman" w:cs="Times New Roman"/>
          <w:sz w:val="24"/>
          <w:szCs w:val="24"/>
          <w:shd w:val="clear" w:color="auto" w:fill="FFFFFF"/>
        </w:rPr>
        <w:t> 32, 266–299.</w:t>
      </w:r>
    </w:p>
    <w:p w14:paraId="7BDB9BC2" w14:textId="3F73DD8C" w:rsidR="00F04D47" w:rsidRPr="00357722" w:rsidRDefault="001E0B16" w:rsidP="00F04D47">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lastRenderedPageBreak/>
        <w:t>Grubel, H. G.</w:t>
      </w:r>
      <w:r w:rsidR="00F04D47" w:rsidRPr="0035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1968</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 xml:space="preserve">. Internationally diversified portfolios: welfare gains and capital flows. </w:t>
      </w:r>
      <w:r w:rsidR="00F04D47" w:rsidRPr="00430809">
        <w:rPr>
          <w:rFonts w:ascii="Times New Roman" w:hAnsi="Times New Roman" w:cs="Times New Roman"/>
          <w:i/>
          <w:sz w:val="24"/>
          <w:szCs w:val="24"/>
          <w:shd w:val="clear" w:color="auto" w:fill="FFFFFF"/>
        </w:rPr>
        <w:t>American Economic Review</w:t>
      </w:r>
      <w:r w:rsidR="00F04D47" w:rsidRPr="00357722">
        <w:rPr>
          <w:rFonts w:ascii="Times New Roman" w:hAnsi="Times New Roman" w:cs="Times New Roman"/>
          <w:sz w:val="24"/>
          <w:szCs w:val="24"/>
          <w:shd w:val="clear" w:color="auto" w:fill="FFFFFF"/>
        </w:rPr>
        <w:t xml:space="preserve"> 58, 1299–1314.</w:t>
      </w:r>
    </w:p>
    <w:p w14:paraId="5C2DC363" w14:textId="3A22582D" w:rsidR="00C6354D" w:rsidRPr="00357722" w:rsidRDefault="006769CF" w:rsidP="00F04D47">
      <w:pPr>
        <w:spacing w:after="0" w:line="360" w:lineRule="auto"/>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 xml:space="preserve">Gujarati, D.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2003</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xml:space="preserve"> Basic Econometrics (4th ed). New York: McGraw-Hill</w:t>
      </w:r>
    </w:p>
    <w:p w14:paraId="473EECA6" w14:textId="108A657C" w:rsidR="00C6354D" w:rsidRPr="00357722" w:rsidRDefault="00F6534A" w:rsidP="00C6354D">
      <w:pPr>
        <w:spacing w:after="0" w:line="360" w:lineRule="auto"/>
        <w:ind w:left="426" w:hanging="426"/>
        <w:jc w:val="both"/>
        <w:rPr>
          <w:rFonts w:ascii="Times New Roman" w:eastAsia="Calibri" w:hAnsi="Times New Roman" w:cs="Times New Roman"/>
          <w:sz w:val="24"/>
          <w:szCs w:val="24"/>
          <w:lang w:eastAsia="en-US"/>
        </w:rPr>
      </w:pPr>
      <w:proofErr w:type="gramStart"/>
      <w:r w:rsidRPr="00357722">
        <w:rPr>
          <w:rFonts w:ascii="Times New Roman" w:hAnsi="Times New Roman" w:cs="Times New Roman"/>
          <w:sz w:val="24"/>
          <w:szCs w:val="24"/>
          <w:shd w:val="clear" w:color="auto" w:fill="FFFFFF"/>
        </w:rPr>
        <w:t xml:space="preserve">Gul </w:t>
      </w:r>
      <w:r w:rsidR="006769CF" w:rsidRPr="00357722">
        <w:rPr>
          <w:rFonts w:ascii="Times New Roman" w:hAnsi="Times New Roman" w:cs="Times New Roman"/>
          <w:sz w:val="24"/>
          <w:szCs w:val="24"/>
          <w:shd w:val="clear" w:color="auto" w:fill="FFFFFF"/>
        </w:rPr>
        <w:t>,</w:t>
      </w:r>
      <w:proofErr w:type="gramEnd"/>
      <w:r w:rsidRPr="00357722">
        <w:rPr>
          <w:rFonts w:ascii="Times New Roman" w:hAnsi="Times New Roman" w:cs="Times New Roman"/>
          <w:sz w:val="24"/>
          <w:szCs w:val="24"/>
          <w:shd w:val="clear" w:color="auto" w:fill="FFFFFF"/>
        </w:rPr>
        <w:t>F</w:t>
      </w:r>
      <w:r w:rsidR="006769CF"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A</w:t>
      </w:r>
      <w:r w:rsidR="006769CF"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Kim</w:t>
      </w:r>
      <w:r w:rsidR="006769CF"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J</w:t>
      </w:r>
      <w:r w:rsidR="006769CF"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B</w:t>
      </w:r>
      <w:r w:rsidR="006769CF" w:rsidRPr="00357722">
        <w:rPr>
          <w:rFonts w:ascii="Times New Roman" w:hAnsi="Times New Roman" w:cs="Times New Roman"/>
          <w:sz w:val="24"/>
          <w:szCs w:val="24"/>
          <w:shd w:val="clear" w:color="auto" w:fill="FFFFFF"/>
        </w:rPr>
        <w:t>.</w:t>
      </w:r>
      <w:r w:rsidR="001E0B16">
        <w:rPr>
          <w:rFonts w:ascii="Times New Roman" w:hAnsi="Times New Roman" w:cs="Times New Roman"/>
          <w:sz w:val="24"/>
          <w:szCs w:val="24"/>
          <w:shd w:val="clear" w:color="auto" w:fill="FFFFFF"/>
        </w:rPr>
        <w:t xml:space="preserve"> &amp;</w:t>
      </w:r>
      <w:r w:rsidRPr="00357722">
        <w:rPr>
          <w:rFonts w:ascii="Times New Roman" w:hAnsi="Times New Roman" w:cs="Times New Roman"/>
          <w:sz w:val="24"/>
          <w:szCs w:val="24"/>
          <w:shd w:val="clear" w:color="auto" w:fill="FFFFFF"/>
        </w:rPr>
        <w:t xml:space="preserve"> Qiu</w:t>
      </w:r>
      <w:r w:rsidR="006769CF"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A</w:t>
      </w:r>
      <w:r w:rsidR="006769CF"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w:t>
      </w:r>
      <w:r w:rsidR="006769CF" w:rsidRPr="00357722">
        <w:rPr>
          <w:rFonts w:ascii="Times New Roman" w:hAnsi="Times New Roman" w:cs="Times New Roman"/>
          <w:sz w:val="24"/>
          <w:szCs w:val="24"/>
          <w:shd w:val="clear" w:color="auto" w:fill="FFFFFF"/>
        </w:rPr>
        <w:t>2010</w:t>
      </w:r>
      <w:r w:rsidR="001E0B16">
        <w:rPr>
          <w:rFonts w:ascii="Times New Roman" w:hAnsi="Times New Roman" w:cs="Times New Roman"/>
          <w:sz w:val="24"/>
          <w:szCs w:val="24"/>
          <w:shd w:val="clear" w:color="auto" w:fill="FFFFFF"/>
        </w:rPr>
        <w:t>)</w:t>
      </w:r>
      <w:r w:rsidR="006769CF"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Ownership concentration, foreign shareholding, audit quality, and stock price synchronicity: Evidence from China. </w:t>
      </w:r>
      <w:r w:rsidRPr="00430809">
        <w:rPr>
          <w:rFonts w:ascii="Times New Roman" w:hAnsi="Times New Roman" w:cs="Times New Roman"/>
          <w:i/>
          <w:sz w:val="24"/>
          <w:szCs w:val="24"/>
          <w:shd w:val="clear" w:color="auto" w:fill="FFFFFF"/>
        </w:rPr>
        <w:t>J</w:t>
      </w:r>
      <w:r w:rsidR="006769CF" w:rsidRPr="00430809">
        <w:rPr>
          <w:rFonts w:ascii="Times New Roman" w:hAnsi="Times New Roman" w:cs="Times New Roman"/>
          <w:i/>
          <w:sz w:val="24"/>
          <w:szCs w:val="24"/>
          <w:shd w:val="clear" w:color="auto" w:fill="FFFFFF"/>
        </w:rPr>
        <w:t>ournal of</w:t>
      </w:r>
      <w:r w:rsidRPr="00430809">
        <w:rPr>
          <w:rFonts w:ascii="Times New Roman" w:hAnsi="Times New Roman" w:cs="Times New Roman"/>
          <w:i/>
          <w:sz w:val="24"/>
          <w:szCs w:val="24"/>
          <w:shd w:val="clear" w:color="auto" w:fill="FFFFFF"/>
        </w:rPr>
        <w:t xml:space="preserve"> Financ</w:t>
      </w:r>
      <w:r w:rsidR="006769CF" w:rsidRPr="00430809">
        <w:rPr>
          <w:rFonts w:ascii="Times New Roman" w:hAnsi="Times New Roman" w:cs="Times New Roman"/>
          <w:i/>
          <w:sz w:val="24"/>
          <w:szCs w:val="24"/>
          <w:shd w:val="clear" w:color="auto" w:fill="FFFFFF"/>
        </w:rPr>
        <w:t>ial</w:t>
      </w:r>
      <w:r w:rsidRPr="00430809">
        <w:rPr>
          <w:rFonts w:ascii="Times New Roman" w:hAnsi="Times New Roman" w:cs="Times New Roman"/>
          <w:i/>
          <w:sz w:val="24"/>
          <w:szCs w:val="24"/>
          <w:shd w:val="clear" w:color="auto" w:fill="FFFFFF"/>
        </w:rPr>
        <w:t xml:space="preserve"> Econ</w:t>
      </w:r>
      <w:r w:rsidR="006769CF" w:rsidRPr="00430809">
        <w:rPr>
          <w:rFonts w:ascii="Times New Roman" w:hAnsi="Times New Roman" w:cs="Times New Roman"/>
          <w:i/>
          <w:sz w:val="24"/>
          <w:szCs w:val="24"/>
          <w:shd w:val="clear" w:color="auto" w:fill="FFFFFF"/>
        </w:rPr>
        <w:t>omics</w:t>
      </w:r>
      <w:r w:rsidR="006769CF" w:rsidRPr="00357722">
        <w:rPr>
          <w:rFonts w:ascii="Times New Roman" w:hAnsi="Times New Roman" w:cs="Times New Roman"/>
          <w:sz w:val="24"/>
          <w:szCs w:val="24"/>
          <w:shd w:val="clear" w:color="auto" w:fill="FFFFFF"/>
        </w:rPr>
        <w:t xml:space="preserve"> 95, </w:t>
      </w:r>
      <w:r w:rsidR="00430809">
        <w:rPr>
          <w:rFonts w:ascii="Times New Roman" w:hAnsi="Times New Roman" w:cs="Times New Roman"/>
          <w:sz w:val="24"/>
          <w:szCs w:val="24"/>
          <w:shd w:val="clear" w:color="auto" w:fill="FFFFFF"/>
        </w:rPr>
        <w:t>425–442.</w:t>
      </w:r>
    </w:p>
    <w:p w14:paraId="4EDF733A" w14:textId="76E3F92D" w:rsidR="00C6354D" w:rsidRPr="00357722" w:rsidRDefault="001E0B16" w:rsidP="00C6354D">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Hail, L. &amp;</w:t>
      </w:r>
      <w:r w:rsidR="00077E09" w:rsidRPr="00357722">
        <w:rPr>
          <w:rFonts w:ascii="Times New Roman" w:hAnsi="Times New Roman" w:cs="Times New Roman"/>
          <w:sz w:val="24"/>
          <w:szCs w:val="24"/>
        </w:rPr>
        <w:t xml:space="preserve"> </w:t>
      </w:r>
      <w:proofErr w:type="spellStart"/>
      <w:r w:rsidR="00077E09" w:rsidRPr="00357722">
        <w:rPr>
          <w:rFonts w:ascii="Times New Roman" w:hAnsi="Times New Roman" w:cs="Times New Roman"/>
          <w:sz w:val="24"/>
          <w:szCs w:val="24"/>
        </w:rPr>
        <w:t>Leuz</w:t>
      </w:r>
      <w:proofErr w:type="spellEnd"/>
      <w:r w:rsidR="00077E09" w:rsidRPr="00357722">
        <w:rPr>
          <w:rFonts w:ascii="Times New Roman" w:hAnsi="Times New Roman" w:cs="Times New Roman"/>
          <w:sz w:val="24"/>
          <w:szCs w:val="24"/>
        </w:rPr>
        <w:t xml:space="preserve">, C. </w:t>
      </w:r>
      <w:r>
        <w:rPr>
          <w:rFonts w:ascii="Times New Roman" w:hAnsi="Times New Roman" w:cs="Times New Roman"/>
          <w:sz w:val="24"/>
          <w:szCs w:val="24"/>
        </w:rPr>
        <w:t>(</w:t>
      </w:r>
      <w:r w:rsidR="00077E09" w:rsidRPr="00357722">
        <w:rPr>
          <w:rFonts w:ascii="Times New Roman" w:hAnsi="Times New Roman" w:cs="Times New Roman"/>
          <w:sz w:val="24"/>
          <w:szCs w:val="24"/>
        </w:rPr>
        <w:t>2006</w:t>
      </w:r>
      <w:r>
        <w:rPr>
          <w:rFonts w:ascii="Times New Roman" w:hAnsi="Times New Roman" w:cs="Times New Roman"/>
          <w:sz w:val="24"/>
          <w:szCs w:val="24"/>
        </w:rPr>
        <w:t>)</w:t>
      </w:r>
      <w:r w:rsidR="00077E09" w:rsidRPr="00357722">
        <w:rPr>
          <w:rFonts w:ascii="Times New Roman" w:hAnsi="Times New Roman" w:cs="Times New Roman"/>
          <w:sz w:val="24"/>
          <w:szCs w:val="24"/>
        </w:rPr>
        <w:t>. International Differences in Cost of Equity: Do Legal Institutions and Securities Regulation Matter</w:t>
      </w:r>
      <w:r w:rsidR="00077E09" w:rsidRPr="00430809">
        <w:rPr>
          <w:rFonts w:ascii="Times New Roman" w:hAnsi="Times New Roman" w:cs="Times New Roman"/>
          <w:i/>
          <w:sz w:val="24"/>
          <w:szCs w:val="24"/>
        </w:rPr>
        <w:t xml:space="preserve">? </w:t>
      </w:r>
      <w:r w:rsidR="00077E09" w:rsidRPr="00430809">
        <w:rPr>
          <w:rFonts w:ascii="Times New Roman" w:hAnsi="Times New Roman" w:cs="Times New Roman"/>
          <w:i/>
          <w:iCs/>
          <w:sz w:val="24"/>
          <w:szCs w:val="24"/>
        </w:rPr>
        <w:t>Journal of Accounting Research</w:t>
      </w:r>
      <w:r w:rsidR="00077E09" w:rsidRPr="00357722">
        <w:rPr>
          <w:rFonts w:ascii="Times New Roman" w:hAnsi="Times New Roman" w:cs="Times New Roman"/>
          <w:sz w:val="24"/>
          <w:szCs w:val="24"/>
        </w:rPr>
        <w:t xml:space="preserve"> 44,</w:t>
      </w:r>
      <w:r w:rsidR="00077E09" w:rsidRPr="00357722">
        <w:rPr>
          <w:rFonts w:ascii="Times New Roman" w:hAnsi="Times New Roman" w:cs="Times New Roman"/>
          <w:i/>
          <w:sz w:val="24"/>
          <w:szCs w:val="24"/>
        </w:rPr>
        <w:t xml:space="preserve"> </w:t>
      </w:r>
      <w:r w:rsidR="00077E09" w:rsidRPr="00357722">
        <w:rPr>
          <w:rFonts w:ascii="Times New Roman" w:hAnsi="Times New Roman" w:cs="Times New Roman"/>
          <w:sz w:val="24"/>
          <w:szCs w:val="24"/>
        </w:rPr>
        <w:t>485</w:t>
      </w:r>
      <w:r w:rsidR="00077E09" w:rsidRPr="00357722">
        <w:rPr>
          <w:rFonts w:ascii="Times New Roman" w:eastAsia="Calibri" w:hAnsi="Times New Roman" w:cs="Times New Roman"/>
          <w:sz w:val="24"/>
          <w:szCs w:val="24"/>
        </w:rPr>
        <w:t>–</w:t>
      </w:r>
      <w:r w:rsidR="00077E09" w:rsidRPr="00357722">
        <w:rPr>
          <w:rFonts w:ascii="Times New Roman" w:hAnsi="Times New Roman" w:cs="Times New Roman"/>
          <w:sz w:val="24"/>
          <w:szCs w:val="24"/>
        </w:rPr>
        <w:t xml:space="preserve">531. </w:t>
      </w:r>
    </w:p>
    <w:p w14:paraId="05DD8600" w14:textId="445092B6" w:rsidR="00C6354D" w:rsidRDefault="00F6534A" w:rsidP="00C6354D">
      <w:pPr>
        <w:spacing w:after="0" w:line="360" w:lineRule="auto"/>
        <w:ind w:left="397" w:hanging="397"/>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Hair, J., Black, W. C., B</w:t>
      </w:r>
      <w:r w:rsidR="001E0B16">
        <w:rPr>
          <w:rFonts w:ascii="Times New Roman" w:hAnsi="Times New Roman" w:cs="Times New Roman"/>
          <w:sz w:val="24"/>
          <w:szCs w:val="24"/>
          <w:shd w:val="clear" w:color="auto" w:fill="FFFFFF"/>
        </w:rPr>
        <w:t>abin, B. J., Anderson, R. E. &amp;</w:t>
      </w:r>
      <w:r w:rsidR="006769CF" w:rsidRPr="00357722">
        <w:rPr>
          <w:rFonts w:ascii="Times New Roman" w:hAnsi="Times New Roman" w:cs="Times New Roman"/>
          <w:sz w:val="24"/>
          <w:szCs w:val="24"/>
          <w:shd w:val="clear" w:color="auto" w:fill="FFFFFF"/>
        </w:rPr>
        <w:t xml:space="preserve"> Tatham, R. L. </w:t>
      </w:r>
      <w:r w:rsidR="001E0B16">
        <w:rPr>
          <w:rFonts w:ascii="Times New Roman" w:hAnsi="Times New Roman" w:cs="Times New Roman"/>
          <w:sz w:val="24"/>
          <w:szCs w:val="24"/>
          <w:shd w:val="clear" w:color="auto" w:fill="FFFFFF"/>
        </w:rPr>
        <w:t>(</w:t>
      </w:r>
      <w:r w:rsidR="006769CF" w:rsidRPr="00357722">
        <w:rPr>
          <w:rFonts w:ascii="Times New Roman" w:hAnsi="Times New Roman" w:cs="Times New Roman"/>
          <w:sz w:val="24"/>
          <w:szCs w:val="24"/>
          <w:shd w:val="clear" w:color="auto" w:fill="FFFFFF"/>
        </w:rPr>
        <w:t>2010</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Multivariate data analysis Upper Saddle River: Pearson Prentice Hall. Links.</w:t>
      </w:r>
    </w:p>
    <w:p w14:paraId="22262FA9" w14:textId="4B66A3EF" w:rsidR="00A46023" w:rsidRDefault="00A46023" w:rsidP="00A46023">
      <w:pPr>
        <w:spacing w:after="0" w:line="360" w:lineRule="auto"/>
        <w:ind w:left="397" w:hanging="397"/>
        <w:jc w:val="both"/>
        <w:rPr>
          <w:rFonts w:ascii="Times New Roman" w:hAnsi="Times New Roman" w:cs="Times New Roman"/>
          <w:sz w:val="24"/>
          <w:szCs w:val="24"/>
          <w:shd w:val="clear" w:color="auto" w:fill="FFFFFF"/>
        </w:rPr>
      </w:pPr>
      <w:proofErr w:type="spellStart"/>
      <w:r w:rsidRPr="00A46023">
        <w:rPr>
          <w:rFonts w:ascii="Times New Roman" w:hAnsi="Times New Roman" w:cs="Times New Roman"/>
          <w:sz w:val="24"/>
          <w:szCs w:val="24"/>
          <w:shd w:val="clear" w:color="auto" w:fill="FFFFFF"/>
        </w:rPr>
        <w:t>Haydaroglu</w:t>
      </w:r>
      <w:proofErr w:type="spellEnd"/>
      <w:r w:rsidRPr="00A46023">
        <w:rPr>
          <w:rFonts w:ascii="Times New Roman" w:hAnsi="Times New Roman" w:cs="Times New Roman"/>
          <w:sz w:val="24"/>
          <w:szCs w:val="24"/>
          <w:shd w:val="clear" w:color="auto" w:fill="FFFFFF"/>
        </w:rPr>
        <w:t>, C. (2016). The effect of foreign direct investment and economic freedom on economic growth: the case of BRICS countries. </w:t>
      </w:r>
      <w:r w:rsidRPr="00A46023">
        <w:rPr>
          <w:rFonts w:ascii="Times New Roman" w:hAnsi="Times New Roman" w:cs="Times New Roman"/>
          <w:i/>
          <w:iCs/>
          <w:sz w:val="24"/>
          <w:szCs w:val="24"/>
          <w:shd w:val="clear" w:color="auto" w:fill="FFFFFF"/>
        </w:rPr>
        <w:t>Research in World Economy</w:t>
      </w:r>
      <w:r w:rsidRPr="00A46023">
        <w:rPr>
          <w:rFonts w:ascii="Times New Roman" w:hAnsi="Times New Roman" w:cs="Times New Roman"/>
          <w:sz w:val="24"/>
          <w:szCs w:val="24"/>
          <w:shd w:val="clear" w:color="auto" w:fill="FFFFFF"/>
        </w:rPr>
        <w:t>, </w:t>
      </w:r>
      <w:r w:rsidRPr="00A46023">
        <w:rPr>
          <w:rFonts w:ascii="Times New Roman" w:hAnsi="Times New Roman" w:cs="Times New Roman"/>
          <w:i/>
          <w:iCs/>
          <w:sz w:val="24"/>
          <w:szCs w:val="24"/>
          <w:shd w:val="clear" w:color="auto" w:fill="FFFFFF"/>
        </w:rPr>
        <w:t>7</w:t>
      </w:r>
      <w:r w:rsidRPr="00A46023">
        <w:rPr>
          <w:rFonts w:ascii="Times New Roman" w:hAnsi="Times New Roman" w:cs="Times New Roman"/>
          <w:sz w:val="24"/>
          <w:szCs w:val="24"/>
          <w:shd w:val="clear" w:color="auto" w:fill="FFFFFF"/>
        </w:rPr>
        <w:t>(1), pp.1-10.</w:t>
      </w:r>
    </w:p>
    <w:p w14:paraId="4AE3551A" w14:textId="70207E53" w:rsidR="00A46023" w:rsidRPr="00A46023" w:rsidRDefault="00A46023" w:rsidP="00A46023">
      <w:pPr>
        <w:spacing w:after="0" w:line="360" w:lineRule="auto"/>
        <w:ind w:left="397" w:hanging="397"/>
        <w:jc w:val="both"/>
        <w:rPr>
          <w:rFonts w:ascii="Times New Roman" w:hAnsi="Times New Roman" w:cs="Times New Roman"/>
          <w:sz w:val="24"/>
          <w:szCs w:val="24"/>
          <w:shd w:val="clear" w:color="auto" w:fill="FFFFFF"/>
        </w:rPr>
      </w:pPr>
      <w:r w:rsidRPr="00A46023">
        <w:rPr>
          <w:rFonts w:ascii="Times New Roman" w:hAnsi="Times New Roman" w:cs="Times New Roman"/>
          <w:sz w:val="24"/>
          <w:szCs w:val="24"/>
          <w:shd w:val="clear" w:color="auto" w:fill="FFFFFF"/>
        </w:rPr>
        <w:t>Heckelman, J. C. (2000). Economic freedom and economic growth: A short-run causal investigation. </w:t>
      </w:r>
      <w:r w:rsidRPr="00A46023">
        <w:rPr>
          <w:rFonts w:ascii="Times New Roman" w:hAnsi="Times New Roman" w:cs="Times New Roman"/>
          <w:i/>
          <w:iCs/>
          <w:sz w:val="24"/>
          <w:szCs w:val="24"/>
          <w:shd w:val="clear" w:color="auto" w:fill="FFFFFF"/>
        </w:rPr>
        <w:t>Journal of Applied Economics</w:t>
      </w:r>
      <w:r w:rsidRPr="00A46023">
        <w:rPr>
          <w:rFonts w:ascii="Times New Roman" w:hAnsi="Times New Roman" w:cs="Times New Roman"/>
          <w:sz w:val="24"/>
          <w:szCs w:val="24"/>
          <w:shd w:val="clear" w:color="auto" w:fill="FFFFFF"/>
        </w:rPr>
        <w:t>, </w:t>
      </w:r>
      <w:r w:rsidRPr="00A46023">
        <w:rPr>
          <w:rFonts w:ascii="Times New Roman" w:hAnsi="Times New Roman" w:cs="Times New Roman"/>
          <w:i/>
          <w:iCs/>
          <w:sz w:val="24"/>
          <w:szCs w:val="24"/>
          <w:shd w:val="clear" w:color="auto" w:fill="FFFFFF"/>
        </w:rPr>
        <w:t>3</w:t>
      </w:r>
      <w:r w:rsidRPr="00A46023">
        <w:rPr>
          <w:rFonts w:ascii="Times New Roman" w:hAnsi="Times New Roman" w:cs="Times New Roman"/>
          <w:sz w:val="24"/>
          <w:szCs w:val="24"/>
          <w:shd w:val="clear" w:color="auto" w:fill="FFFFFF"/>
        </w:rPr>
        <w:t>(1), 71-91.</w:t>
      </w:r>
    </w:p>
    <w:p w14:paraId="5DB57EFB" w14:textId="7CFF2008" w:rsidR="00C6354D" w:rsidRDefault="00F6534A" w:rsidP="00C6354D">
      <w:pPr>
        <w:spacing w:after="0" w:line="360" w:lineRule="auto"/>
        <w:ind w:left="397" w:hanging="397"/>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Henry</w:t>
      </w:r>
      <w:r w:rsidR="006769CF"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P</w:t>
      </w:r>
      <w:r w:rsidR="006769CF"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B</w:t>
      </w:r>
      <w:r w:rsidR="006769CF"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w:t>
      </w:r>
      <w:r w:rsidR="006769CF" w:rsidRPr="00357722">
        <w:rPr>
          <w:rFonts w:ascii="Times New Roman" w:hAnsi="Times New Roman" w:cs="Times New Roman"/>
          <w:sz w:val="24"/>
          <w:szCs w:val="24"/>
          <w:shd w:val="clear" w:color="auto" w:fill="FFFFFF"/>
        </w:rPr>
        <w:t>2000</w:t>
      </w:r>
      <w:r w:rsidR="001E0B16">
        <w:rPr>
          <w:rFonts w:ascii="Times New Roman" w:hAnsi="Times New Roman" w:cs="Times New Roman"/>
          <w:sz w:val="24"/>
          <w:szCs w:val="24"/>
          <w:shd w:val="clear" w:color="auto" w:fill="FFFFFF"/>
        </w:rPr>
        <w:t>)</w:t>
      </w:r>
      <w:r w:rsidR="006769CF"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Stock market liberalization, economic reform and emerging market equity prices. J</w:t>
      </w:r>
      <w:r w:rsidR="006769CF" w:rsidRPr="00357722">
        <w:rPr>
          <w:rFonts w:ascii="Times New Roman" w:hAnsi="Times New Roman" w:cs="Times New Roman"/>
          <w:sz w:val="24"/>
          <w:szCs w:val="24"/>
          <w:shd w:val="clear" w:color="auto" w:fill="FFFFFF"/>
        </w:rPr>
        <w:t>ournal of</w:t>
      </w:r>
      <w:r w:rsidRPr="00357722">
        <w:rPr>
          <w:rFonts w:ascii="Times New Roman" w:hAnsi="Times New Roman" w:cs="Times New Roman"/>
          <w:sz w:val="24"/>
          <w:szCs w:val="24"/>
          <w:shd w:val="clear" w:color="auto" w:fill="FFFFFF"/>
        </w:rPr>
        <w:t xml:space="preserve"> Finan</w:t>
      </w:r>
      <w:r w:rsidR="006769CF" w:rsidRPr="00357722">
        <w:rPr>
          <w:rFonts w:ascii="Times New Roman" w:hAnsi="Times New Roman" w:cs="Times New Roman"/>
          <w:sz w:val="24"/>
          <w:szCs w:val="24"/>
          <w:shd w:val="clear" w:color="auto" w:fill="FFFFFF"/>
        </w:rPr>
        <w:t xml:space="preserve">ce 55, </w:t>
      </w:r>
      <w:r w:rsidRPr="00357722">
        <w:rPr>
          <w:rFonts w:ascii="Times New Roman" w:hAnsi="Times New Roman" w:cs="Times New Roman"/>
          <w:sz w:val="24"/>
          <w:szCs w:val="24"/>
          <w:shd w:val="clear" w:color="auto" w:fill="FFFFFF"/>
        </w:rPr>
        <w:t>529–564.</w:t>
      </w:r>
    </w:p>
    <w:p w14:paraId="3E5982A8" w14:textId="68616A58" w:rsidR="00A46023" w:rsidRPr="00357722" w:rsidRDefault="00A46023" w:rsidP="00A46023">
      <w:pPr>
        <w:spacing w:after="0" w:line="360" w:lineRule="auto"/>
        <w:ind w:left="397" w:hanging="397"/>
        <w:jc w:val="both"/>
        <w:rPr>
          <w:rFonts w:ascii="Times New Roman" w:hAnsi="Times New Roman" w:cs="Times New Roman"/>
          <w:sz w:val="24"/>
          <w:szCs w:val="24"/>
          <w:shd w:val="clear" w:color="auto" w:fill="FFFFFF"/>
        </w:rPr>
      </w:pPr>
      <w:r w:rsidRPr="00A46023">
        <w:rPr>
          <w:rFonts w:ascii="Times New Roman" w:hAnsi="Times New Roman" w:cs="Times New Roman"/>
          <w:sz w:val="24"/>
          <w:szCs w:val="24"/>
          <w:shd w:val="clear" w:color="auto" w:fill="FFFFFF"/>
        </w:rPr>
        <w:t xml:space="preserve">Heritage (2022) Country Ranking, </w:t>
      </w:r>
      <w:r w:rsidRPr="00A46023">
        <w:rPr>
          <w:rFonts w:ascii="Times New Roman" w:hAnsi="Times New Roman" w:cs="Times New Roman"/>
          <w:i/>
          <w:sz w:val="24"/>
          <w:szCs w:val="24"/>
          <w:shd w:val="clear" w:color="auto" w:fill="FFFFFF"/>
        </w:rPr>
        <w:t>The Heritage Foundation 2022 index of economic freedom</w:t>
      </w:r>
      <w:r w:rsidRPr="00A46023">
        <w:rPr>
          <w:rFonts w:ascii="Times New Roman" w:hAnsi="Times New Roman" w:cs="Times New Roman"/>
          <w:sz w:val="24"/>
          <w:szCs w:val="24"/>
          <w:shd w:val="clear" w:color="auto" w:fill="FFFFFF"/>
        </w:rPr>
        <w:t xml:space="preserve">, available from </w:t>
      </w:r>
      <w:hyperlink r:id="rId12" w:history="1">
        <w:r w:rsidRPr="00A46023">
          <w:rPr>
            <w:rStyle w:val="Hyperlink"/>
            <w:rFonts w:ascii="Times New Roman" w:hAnsi="Times New Roman" w:cs="Times New Roman"/>
            <w:sz w:val="24"/>
            <w:szCs w:val="24"/>
            <w:shd w:val="clear" w:color="auto" w:fill="FFFFFF"/>
          </w:rPr>
          <w:t>https://www.heritage.org/index/ranking</w:t>
        </w:r>
      </w:hyperlink>
      <w:r w:rsidRPr="00A46023">
        <w:rPr>
          <w:rFonts w:ascii="Times New Roman" w:hAnsi="Times New Roman" w:cs="Times New Roman"/>
          <w:sz w:val="24"/>
          <w:szCs w:val="24"/>
          <w:shd w:val="clear" w:color="auto" w:fill="FFFFFF"/>
        </w:rPr>
        <w:t>, accessed 2 October 2022</w:t>
      </w:r>
    </w:p>
    <w:p w14:paraId="3E9AFA83" w14:textId="5FA5EF8E" w:rsidR="00F04D47" w:rsidRPr="00357722" w:rsidRDefault="00F04D47" w:rsidP="00F04D47">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 xml:space="preserve">Heritage Foundation (2017). </w:t>
      </w:r>
      <w:r w:rsidRPr="00357722">
        <w:rPr>
          <w:rFonts w:ascii="Times New Roman" w:hAnsi="Times New Roman" w:cs="Times New Roman"/>
          <w:i/>
          <w:iCs/>
          <w:sz w:val="24"/>
          <w:szCs w:val="24"/>
          <w:shd w:val="clear" w:color="auto" w:fill="FFFFFF"/>
        </w:rPr>
        <w:t xml:space="preserve">2017 index of financial freedom. </w:t>
      </w:r>
      <w:r w:rsidRPr="00357722">
        <w:rPr>
          <w:rFonts w:ascii="Times New Roman" w:hAnsi="Times New Roman" w:cs="Times New Roman"/>
          <w:sz w:val="24"/>
          <w:szCs w:val="24"/>
          <w:shd w:val="clear" w:color="auto" w:fill="FFFFFF"/>
        </w:rPr>
        <w:t>https://www.heritage.org/index/financial-freedom.</w:t>
      </w:r>
    </w:p>
    <w:p w14:paraId="1701A7FA" w14:textId="3C41896D" w:rsidR="00C6354D" w:rsidRPr="00357722" w:rsidRDefault="001E0B16" w:rsidP="00C6354D">
      <w:pPr>
        <w:spacing w:after="0" w:line="360" w:lineRule="auto"/>
        <w:ind w:left="397" w:hanging="397"/>
        <w:jc w:val="both"/>
        <w:rPr>
          <w:rFonts w:ascii="Times New Roman" w:hAnsi="Times New Roman" w:cs="Times New Roman"/>
          <w:sz w:val="24"/>
          <w:szCs w:val="24"/>
        </w:rPr>
      </w:pPr>
      <w:r>
        <w:rPr>
          <w:rFonts w:ascii="Times New Roman" w:hAnsi="Times New Roman" w:cs="Times New Roman"/>
          <w:color w:val="000000" w:themeColor="text1"/>
          <w:sz w:val="24"/>
          <w:szCs w:val="24"/>
        </w:rPr>
        <w:t>Horváth, R. &amp;</w:t>
      </w:r>
      <w:r w:rsidR="006769CF" w:rsidRPr="00357722">
        <w:rPr>
          <w:rFonts w:ascii="Times New Roman" w:hAnsi="Times New Roman" w:cs="Times New Roman"/>
          <w:color w:val="000000" w:themeColor="text1"/>
          <w:sz w:val="24"/>
          <w:szCs w:val="24"/>
        </w:rPr>
        <w:t xml:space="preserve"> Vaško, D. </w:t>
      </w:r>
      <w:r>
        <w:rPr>
          <w:rFonts w:ascii="Times New Roman" w:hAnsi="Times New Roman" w:cs="Times New Roman"/>
          <w:color w:val="000000" w:themeColor="text1"/>
          <w:sz w:val="24"/>
          <w:szCs w:val="24"/>
        </w:rPr>
        <w:t>(</w:t>
      </w:r>
      <w:r w:rsidR="006769CF" w:rsidRPr="00357722">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00B373DF" w:rsidRPr="00357722">
        <w:rPr>
          <w:rFonts w:ascii="Times New Roman" w:hAnsi="Times New Roman" w:cs="Times New Roman"/>
          <w:color w:val="000000" w:themeColor="text1"/>
          <w:sz w:val="24"/>
          <w:szCs w:val="24"/>
        </w:rPr>
        <w:t>. Central bank transparency and financial stability.</w:t>
      </w:r>
      <w:r w:rsidR="006769CF" w:rsidRPr="00357722">
        <w:rPr>
          <w:rFonts w:ascii="Times New Roman" w:hAnsi="Times New Roman" w:cs="Times New Roman"/>
          <w:color w:val="000000" w:themeColor="text1"/>
          <w:sz w:val="24"/>
          <w:szCs w:val="24"/>
        </w:rPr>
        <w:t> </w:t>
      </w:r>
      <w:r w:rsidR="006769CF" w:rsidRPr="00430809">
        <w:rPr>
          <w:rFonts w:ascii="Times New Roman" w:hAnsi="Times New Roman" w:cs="Times New Roman"/>
          <w:i/>
          <w:color w:val="000000" w:themeColor="text1"/>
          <w:sz w:val="24"/>
          <w:szCs w:val="24"/>
        </w:rPr>
        <w:t>Journal of Financial Stability</w:t>
      </w:r>
      <w:r w:rsidR="00B373DF" w:rsidRPr="00357722">
        <w:rPr>
          <w:rFonts w:ascii="Times New Roman" w:hAnsi="Times New Roman" w:cs="Times New Roman"/>
          <w:color w:val="000000" w:themeColor="text1"/>
          <w:sz w:val="24"/>
          <w:szCs w:val="24"/>
        </w:rPr>
        <w:t> 22, 45</w:t>
      </w:r>
      <w:r w:rsidR="006769CF" w:rsidRPr="00357722">
        <w:rPr>
          <w:rFonts w:ascii="Times New Roman" w:hAnsi="Times New Roman" w:cs="Times New Roman"/>
          <w:color w:val="000000" w:themeColor="text1"/>
          <w:sz w:val="24"/>
          <w:szCs w:val="24"/>
        </w:rPr>
        <w:t>–</w:t>
      </w:r>
      <w:r w:rsidR="00B373DF" w:rsidRPr="00357722">
        <w:rPr>
          <w:rFonts w:ascii="Times New Roman" w:hAnsi="Times New Roman" w:cs="Times New Roman"/>
          <w:color w:val="000000" w:themeColor="text1"/>
          <w:sz w:val="24"/>
          <w:szCs w:val="24"/>
        </w:rPr>
        <w:t xml:space="preserve">56. </w:t>
      </w:r>
    </w:p>
    <w:p w14:paraId="4A14F9BF" w14:textId="44674B77" w:rsidR="001A4DB9" w:rsidRPr="00357722" w:rsidRDefault="001E0B16" w:rsidP="00C6354D">
      <w:pPr>
        <w:spacing w:after="0" w:line="360" w:lineRule="auto"/>
        <w:ind w:left="397" w:hanging="397"/>
        <w:jc w:val="both"/>
        <w:rPr>
          <w:rFonts w:ascii="Times New Roman" w:hAnsi="Times New Roman" w:cs="Times New Roman"/>
          <w:sz w:val="24"/>
          <w:szCs w:val="24"/>
        </w:rPr>
      </w:pPr>
      <w:r>
        <w:rPr>
          <w:rFonts w:ascii="Times New Roman" w:hAnsi="Times New Roman" w:cs="Times New Roman"/>
          <w:color w:val="000000" w:themeColor="text1"/>
          <w:sz w:val="24"/>
          <w:szCs w:val="24"/>
        </w:rPr>
        <w:t>Keefer, P.</w:t>
      </w:r>
      <w:r w:rsidR="001A4DB9" w:rsidRPr="003577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A4DB9" w:rsidRPr="00357722">
        <w:rPr>
          <w:rFonts w:ascii="Times New Roman" w:hAnsi="Times New Roman" w:cs="Times New Roman"/>
          <w:color w:val="000000" w:themeColor="text1"/>
          <w:sz w:val="24"/>
          <w:szCs w:val="24"/>
        </w:rPr>
        <w:t>2008</w:t>
      </w:r>
      <w:r>
        <w:rPr>
          <w:rFonts w:ascii="Times New Roman" w:hAnsi="Times New Roman" w:cs="Times New Roman"/>
          <w:color w:val="000000" w:themeColor="text1"/>
          <w:sz w:val="24"/>
          <w:szCs w:val="24"/>
        </w:rPr>
        <w:t>)</w:t>
      </w:r>
      <w:r w:rsidR="001A4DB9" w:rsidRPr="00357722">
        <w:rPr>
          <w:rFonts w:ascii="Times New Roman" w:hAnsi="Times New Roman" w:cs="Times New Roman"/>
          <w:color w:val="000000" w:themeColor="text1"/>
          <w:sz w:val="24"/>
          <w:szCs w:val="24"/>
        </w:rPr>
        <w:t>. Beyond legal origin and checks and balances: political credibility, citizen information, and financial sector development. In: Haber, S., North, D., Weingast, B. (Eds.), Political Institutions and Financial Development. Stanford University Press, Stanford, CA, pp. 125–155.</w:t>
      </w:r>
      <w:r w:rsidR="00DA5F62" w:rsidRPr="00357722">
        <w:rPr>
          <w:rFonts w:ascii="Times New Roman" w:hAnsi="Times New Roman" w:cs="Times New Roman"/>
          <w:color w:val="000000" w:themeColor="text1"/>
          <w:sz w:val="24"/>
          <w:szCs w:val="24"/>
        </w:rPr>
        <w:t xml:space="preserve"> </w:t>
      </w:r>
    </w:p>
    <w:p w14:paraId="7CA47D62" w14:textId="24352021"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Klomp, J. &amp;</w:t>
      </w:r>
      <w:r w:rsidR="00F04D47" w:rsidRPr="00357722">
        <w:rPr>
          <w:rFonts w:ascii="Times New Roman" w:eastAsia="Calibri" w:hAnsi="Times New Roman" w:cs="Times New Roman"/>
          <w:sz w:val="24"/>
          <w:szCs w:val="24"/>
          <w:lang w:eastAsia="en-US"/>
        </w:rPr>
        <w:t xml:space="preserve"> de Haan, J. </w:t>
      </w:r>
      <w:r>
        <w:rPr>
          <w:rFonts w:ascii="Times New Roman" w:eastAsia="Calibri" w:hAnsi="Times New Roman" w:cs="Times New Roman"/>
          <w:sz w:val="24"/>
          <w:szCs w:val="24"/>
          <w:lang w:eastAsia="en-US"/>
        </w:rPr>
        <w:t>(</w:t>
      </w:r>
      <w:r w:rsidR="00F04D47" w:rsidRPr="00357722">
        <w:rPr>
          <w:rFonts w:ascii="Times New Roman" w:eastAsia="Calibri" w:hAnsi="Times New Roman" w:cs="Times New Roman"/>
          <w:sz w:val="24"/>
          <w:szCs w:val="24"/>
          <w:lang w:eastAsia="en-US"/>
        </w:rPr>
        <w:t>2009</w:t>
      </w:r>
      <w:r>
        <w:rPr>
          <w:rFonts w:ascii="Times New Roman" w:eastAsia="Calibri" w:hAnsi="Times New Roman" w:cs="Times New Roman"/>
          <w:sz w:val="24"/>
          <w:szCs w:val="24"/>
          <w:lang w:eastAsia="en-US"/>
        </w:rPr>
        <w:t>)</w:t>
      </w:r>
      <w:r w:rsidR="006769CF" w:rsidRPr="00357722">
        <w:rPr>
          <w:rFonts w:ascii="Times New Roman" w:eastAsia="Calibri" w:hAnsi="Times New Roman" w:cs="Times New Roman"/>
          <w:sz w:val="24"/>
          <w:szCs w:val="24"/>
          <w:lang w:eastAsia="en-US"/>
        </w:rPr>
        <w:t>.</w:t>
      </w:r>
      <w:r w:rsidR="004D1322" w:rsidRPr="00357722">
        <w:rPr>
          <w:rFonts w:ascii="Times New Roman" w:eastAsia="Calibri" w:hAnsi="Times New Roman" w:cs="Times New Roman"/>
          <w:sz w:val="24"/>
          <w:szCs w:val="24"/>
          <w:lang w:eastAsia="en-US"/>
        </w:rPr>
        <w:t xml:space="preserve"> Central bank independence and financial stability. </w:t>
      </w:r>
      <w:r w:rsidR="004D1322" w:rsidRPr="00430809">
        <w:rPr>
          <w:rFonts w:ascii="Times New Roman" w:eastAsia="Calibri" w:hAnsi="Times New Roman" w:cs="Times New Roman"/>
          <w:i/>
          <w:sz w:val="24"/>
          <w:szCs w:val="24"/>
          <w:lang w:eastAsia="en-US"/>
        </w:rPr>
        <w:t>Journal of Financial Stability</w:t>
      </w:r>
      <w:r w:rsidR="004D1322" w:rsidRPr="00357722">
        <w:rPr>
          <w:rFonts w:ascii="Times New Roman" w:eastAsia="Calibri" w:hAnsi="Times New Roman" w:cs="Times New Roman"/>
          <w:sz w:val="24"/>
          <w:szCs w:val="24"/>
          <w:lang w:eastAsia="en-US"/>
        </w:rPr>
        <w:t xml:space="preserve"> 5</w:t>
      </w:r>
      <w:r w:rsidR="006769CF" w:rsidRPr="00357722">
        <w:rPr>
          <w:rFonts w:ascii="Times New Roman" w:eastAsia="Calibri" w:hAnsi="Times New Roman" w:cs="Times New Roman"/>
          <w:sz w:val="24"/>
          <w:szCs w:val="24"/>
          <w:lang w:eastAsia="en-US"/>
        </w:rPr>
        <w:t xml:space="preserve">, </w:t>
      </w:r>
      <w:r w:rsidR="004D1322" w:rsidRPr="00357722">
        <w:rPr>
          <w:rFonts w:ascii="Times New Roman" w:eastAsia="Calibri" w:hAnsi="Times New Roman" w:cs="Times New Roman"/>
          <w:sz w:val="24"/>
          <w:szCs w:val="24"/>
          <w:lang w:eastAsia="en-US"/>
        </w:rPr>
        <w:t xml:space="preserve">321–338. </w:t>
      </w:r>
    </w:p>
    <w:p w14:paraId="7ACA5294" w14:textId="122C2E94" w:rsidR="00C6354D" w:rsidRPr="00357722" w:rsidRDefault="00AF3411"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color w:val="000000" w:themeColor="text1"/>
          <w:sz w:val="24"/>
          <w:szCs w:val="24"/>
        </w:rPr>
        <w:t>King, R</w:t>
      </w:r>
      <w:r w:rsidR="00F04D47" w:rsidRPr="00357722">
        <w:rPr>
          <w:rFonts w:ascii="Times New Roman" w:hAnsi="Times New Roman" w:cs="Times New Roman"/>
          <w:color w:val="000000" w:themeColor="text1"/>
          <w:sz w:val="24"/>
          <w:szCs w:val="24"/>
        </w:rPr>
        <w:t xml:space="preserve">. </w:t>
      </w:r>
      <w:r w:rsidR="001E0B16">
        <w:rPr>
          <w:rFonts w:ascii="Times New Roman" w:hAnsi="Times New Roman" w:cs="Times New Roman"/>
          <w:color w:val="000000" w:themeColor="text1"/>
          <w:sz w:val="24"/>
          <w:szCs w:val="24"/>
        </w:rPr>
        <w:t>G. &amp;</w:t>
      </w:r>
      <w:r w:rsidRPr="00357722">
        <w:rPr>
          <w:rFonts w:ascii="Times New Roman" w:hAnsi="Times New Roman" w:cs="Times New Roman"/>
          <w:color w:val="000000" w:themeColor="text1"/>
          <w:sz w:val="24"/>
          <w:szCs w:val="24"/>
        </w:rPr>
        <w:t xml:space="preserve"> Levine</w:t>
      </w:r>
      <w:r w:rsidR="006769CF" w:rsidRPr="00357722">
        <w:rPr>
          <w:rFonts w:ascii="Times New Roman" w:hAnsi="Times New Roman" w:cs="Times New Roman"/>
          <w:color w:val="000000" w:themeColor="text1"/>
          <w:sz w:val="24"/>
          <w:szCs w:val="24"/>
        </w:rPr>
        <w:t>, R</w:t>
      </w:r>
      <w:r w:rsidRPr="00357722">
        <w:rPr>
          <w:rFonts w:ascii="Times New Roman" w:hAnsi="Times New Roman" w:cs="Times New Roman"/>
          <w:color w:val="000000" w:themeColor="text1"/>
          <w:sz w:val="24"/>
          <w:szCs w:val="24"/>
        </w:rPr>
        <w:t xml:space="preserve">. </w:t>
      </w:r>
      <w:r w:rsidR="001E0B16">
        <w:rPr>
          <w:rFonts w:ascii="Times New Roman" w:hAnsi="Times New Roman" w:cs="Times New Roman"/>
          <w:color w:val="000000" w:themeColor="text1"/>
          <w:sz w:val="24"/>
          <w:szCs w:val="24"/>
        </w:rPr>
        <w:t>(</w:t>
      </w:r>
      <w:r w:rsidRPr="00357722">
        <w:rPr>
          <w:rFonts w:ascii="Times New Roman" w:hAnsi="Times New Roman" w:cs="Times New Roman"/>
          <w:color w:val="000000" w:themeColor="text1"/>
          <w:sz w:val="24"/>
          <w:szCs w:val="24"/>
        </w:rPr>
        <w:t>1993a</w:t>
      </w:r>
      <w:r w:rsidR="001E0B16">
        <w:rPr>
          <w:rFonts w:ascii="Times New Roman" w:hAnsi="Times New Roman" w:cs="Times New Roman"/>
          <w:color w:val="000000" w:themeColor="text1"/>
          <w:sz w:val="24"/>
          <w:szCs w:val="24"/>
        </w:rPr>
        <w:t>)</w:t>
      </w:r>
      <w:r w:rsidRPr="00357722">
        <w:rPr>
          <w:rFonts w:ascii="Times New Roman" w:hAnsi="Times New Roman" w:cs="Times New Roman"/>
          <w:color w:val="000000" w:themeColor="text1"/>
          <w:sz w:val="24"/>
          <w:szCs w:val="24"/>
        </w:rPr>
        <w:t xml:space="preserve">. Finance and Growth: </w:t>
      </w:r>
      <w:proofErr w:type="spellStart"/>
      <w:r w:rsidRPr="00357722">
        <w:rPr>
          <w:rFonts w:ascii="Times New Roman" w:hAnsi="Times New Roman" w:cs="Times New Roman"/>
          <w:color w:val="000000" w:themeColor="text1"/>
          <w:sz w:val="24"/>
          <w:szCs w:val="24"/>
        </w:rPr>
        <w:t>Schumpete</w:t>
      </w:r>
      <w:proofErr w:type="spellEnd"/>
      <w:r w:rsidRPr="00357722">
        <w:rPr>
          <w:rFonts w:ascii="Times New Roman" w:hAnsi="Times New Roman" w:cs="Times New Roman"/>
          <w:color w:val="000000" w:themeColor="text1"/>
          <w:sz w:val="24"/>
          <w:szCs w:val="24"/>
        </w:rPr>
        <w:t xml:space="preserve"> Might Be Right</w:t>
      </w:r>
      <w:r w:rsidR="006769CF" w:rsidRPr="00357722">
        <w:rPr>
          <w:rFonts w:ascii="Times New Roman" w:hAnsi="Times New Roman" w:cs="Times New Roman"/>
          <w:color w:val="000000" w:themeColor="text1"/>
          <w:sz w:val="24"/>
          <w:szCs w:val="24"/>
        </w:rPr>
        <w:t>.</w:t>
      </w:r>
      <w:r w:rsidRPr="00357722">
        <w:rPr>
          <w:rFonts w:ascii="Times New Roman" w:hAnsi="Times New Roman" w:cs="Times New Roman"/>
          <w:color w:val="000000" w:themeColor="text1"/>
          <w:sz w:val="24"/>
          <w:szCs w:val="24"/>
        </w:rPr>
        <w:t xml:space="preserve"> </w:t>
      </w:r>
      <w:r w:rsidRPr="00357722">
        <w:rPr>
          <w:rFonts w:ascii="Times New Roman" w:hAnsi="Times New Roman" w:cs="Times New Roman"/>
          <w:i/>
          <w:iCs/>
          <w:color w:val="000000" w:themeColor="text1"/>
          <w:sz w:val="24"/>
          <w:szCs w:val="24"/>
        </w:rPr>
        <w:t xml:space="preserve">Quarterly Journal of Economics </w:t>
      </w:r>
      <w:r w:rsidRPr="00357722">
        <w:rPr>
          <w:rFonts w:ascii="Times New Roman" w:hAnsi="Times New Roman" w:cs="Times New Roman"/>
          <w:color w:val="000000" w:themeColor="text1"/>
          <w:sz w:val="24"/>
          <w:szCs w:val="24"/>
        </w:rPr>
        <w:t>108, 717</w:t>
      </w:r>
      <w:r w:rsidR="006769CF" w:rsidRPr="00357722">
        <w:rPr>
          <w:rFonts w:ascii="Times New Roman" w:hAnsi="Times New Roman" w:cs="Times New Roman"/>
          <w:color w:val="000000" w:themeColor="text1"/>
          <w:sz w:val="24"/>
          <w:szCs w:val="24"/>
        </w:rPr>
        <w:t>–737</w:t>
      </w:r>
      <w:r w:rsidRPr="00357722">
        <w:rPr>
          <w:rFonts w:ascii="Times New Roman" w:hAnsi="Times New Roman" w:cs="Times New Roman"/>
          <w:color w:val="000000" w:themeColor="text1"/>
          <w:sz w:val="24"/>
          <w:szCs w:val="24"/>
        </w:rPr>
        <w:t>.</w:t>
      </w:r>
    </w:p>
    <w:p w14:paraId="25F307E8" w14:textId="6EBF5618"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Kwabi, F. O., Boateng, A. &amp;</w:t>
      </w:r>
      <w:r w:rsidR="00CD2B0D" w:rsidRPr="00357722">
        <w:rPr>
          <w:rFonts w:ascii="Times New Roman" w:hAnsi="Times New Roman" w:cs="Times New Roman"/>
          <w:sz w:val="24"/>
          <w:szCs w:val="24"/>
          <w:shd w:val="clear" w:color="auto" w:fill="FFFFFF"/>
        </w:rPr>
        <w:t xml:space="preserve"> Adegbite, E. </w:t>
      </w:r>
      <w:r>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xml:space="preserve">. The impact of stringent insider trading laws and institutional quality on </w:t>
      </w:r>
      <w:r w:rsidR="00A249ED" w:rsidRPr="00357722">
        <w:rPr>
          <w:rFonts w:ascii="Times New Roman" w:hAnsi="Times New Roman" w:cs="Times New Roman"/>
          <w:sz w:val="24"/>
          <w:szCs w:val="24"/>
          <w:shd w:val="clear" w:color="auto" w:fill="FFFFFF"/>
        </w:rPr>
        <w:t xml:space="preserve">the </w:t>
      </w:r>
      <w:r w:rsidR="00F6534A" w:rsidRPr="00357722">
        <w:rPr>
          <w:rFonts w:ascii="Times New Roman" w:hAnsi="Times New Roman" w:cs="Times New Roman"/>
          <w:sz w:val="24"/>
          <w:szCs w:val="24"/>
          <w:shd w:val="clear" w:color="auto" w:fill="FFFFFF"/>
        </w:rPr>
        <w:t>cost of capital. </w:t>
      </w:r>
      <w:r w:rsidR="00F6534A" w:rsidRPr="00430809">
        <w:rPr>
          <w:rFonts w:ascii="Times New Roman" w:hAnsi="Times New Roman" w:cs="Times New Roman"/>
          <w:i/>
          <w:sz w:val="24"/>
          <w:szCs w:val="24"/>
          <w:shd w:val="clear" w:color="auto" w:fill="FFFFFF"/>
        </w:rPr>
        <w:t>Internation</w:t>
      </w:r>
      <w:r w:rsidR="00CD2B0D" w:rsidRPr="00430809">
        <w:rPr>
          <w:rFonts w:ascii="Times New Roman" w:hAnsi="Times New Roman" w:cs="Times New Roman"/>
          <w:i/>
          <w:sz w:val="24"/>
          <w:szCs w:val="24"/>
          <w:shd w:val="clear" w:color="auto" w:fill="FFFFFF"/>
        </w:rPr>
        <w:t>al Review of Financial Analysis</w:t>
      </w:r>
      <w:r w:rsidR="00F6534A" w:rsidRPr="00357722">
        <w:rPr>
          <w:rFonts w:ascii="Times New Roman" w:hAnsi="Times New Roman" w:cs="Times New Roman"/>
          <w:sz w:val="24"/>
          <w:szCs w:val="24"/>
          <w:shd w:val="clear" w:color="auto" w:fill="FFFFFF"/>
        </w:rPr>
        <w:t> 60, 127</w:t>
      </w:r>
      <w:r w:rsidR="00CD2B0D" w:rsidRPr="00357722">
        <w:rPr>
          <w:rFonts w:ascii="Times New Roman" w:hAnsi="Times New Roman" w:cs="Times New Roman"/>
          <w:color w:val="000000" w:themeColor="text1"/>
          <w:sz w:val="24"/>
          <w:szCs w:val="24"/>
        </w:rPr>
        <w:t>–</w:t>
      </w:r>
      <w:r w:rsidR="00F6534A" w:rsidRPr="00357722">
        <w:rPr>
          <w:rFonts w:ascii="Times New Roman" w:hAnsi="Times New Roman" w:cs="Times New Roman"/>
          <w:sz w:val="24"/>
          <w:szCs w:val="24"/>
          <w:shd w:val="clear" w:color="auto" w:fill="FFFFFF"/>
        </w:rPr>
        <w:t>137.</w:t>
      </w:r>
    </w:p>
    <w:p w14:paraId="023A2B5C" w14:textId="77777777" w:rsidR="00C6354D" w:rsidRDefault="00F6534A" w:rsidP="00C6354D">
      <w:pPr>
        <w:spacing w:after="0" w:line="360" w:lineRule="auto"/>
        <w:ind w:left="426" w:hanging="426"/>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lastRenderedPageBreak/>
        <w:t>Kwabi, F. O., Thapa, C., Paudyal, K., &amp; Neupane, S. (2020). Suboptimal international equity portfolio diversification and stock market development. </w:t>
      </w:r>
      <w:r w:rsidRPr="00F70F0F">
        <w:rPr>
          <w:rFonts w:ascii="Times New Roman" w:hAnsi="Times New Roman" w:cs="Times New Roman"/>
          <w:i/>
          <w:sz w:val="24"/>
          <w:szCs w:val="24"/>
          <w:shd w:val="clear" w:color="auto" w:fill="FFFFFF"/>
        </w:rPr>
        <w:t>Review of Quan</w:t>
      </w:r>
      <w:r w:rsidR="00CD2B0D" w:rsidRPr="00F70F0F">
        <w:rPr>
          <w:rFonts w:ascii="Times New Roman" w:hAnsi="Times New Roman" w:cs="Times New Roman"/>
          <w:i/>
          <w:sz w:val="24"/>
          <w:szCs w:val="24"/>
          <w:shd w:val="clear" w:color="auto" w:fill="FFFFFF"/>
        </w:rPr>
        <w:t>titative Finance and Accounting</w:t>
      </w:r>
      <w:r w:rsidR="00CD2B0D" w:rsidRPr="00357722">
        <w:rPr>
          <w:rFonts w:ascii="Times New Roman" w:hAnsi="Times New Roman" w:cs="Times New Roman"/>
          <w:sz w:val="24"/>
          <w:szCs w:val="24"/>
          <w:shd w:val="clear" w:color="auto" w:fill="FFFFFF"/>
        </w:rPr>
        <w:t> 54</w:t>
      </w:r>
      <w:r w:rsidRPr="00357722">
        <w:rPr>
          <w:rFonts w:ascii="Times New Roman" w:hAnsi="Times New Roman" w:cs="Times New Roman"/>
          <w:sz w:val="24"/>
          <w:szCs w:val="24"/>
          <w:shd w:val="clear" w:color="auto" w:fill="FFFFFF"/>
        </w:rPr>
        <w:t>, 389</w:t>
      </w:r>
      <w:r w:rsidR="00CD2B0D" w:rsidRPr="00357722">
        <w:rPr>
          <w:rFonts w:ascii="Times New Roman" w:hAnsi="Times New Roman" w:cs="Times New Roman"/>
          <w:color w:val="000000" w:themeColor="text1"/>
          <w:sz w:val="24"/>
          <w:szCs w:val="24"/>
        </w:rPr>
        <w:t>–</w:t>
      </w:r>
      <w:r w:rsidRPr="00357722">
        <w:rPr>
          <w:rFonts w:ascii="Times New Roman" w:hAnsi="Times New Roman" w:cs="Times New Roman"/>
          <w:sz w:val="24"/>
          <w:szCs w:val="24"/>
          <w:shd w:val="clear" w:color="auto" w:fill="FFFFFF"/>
        </w:rPr>
        <w:t>412.</w:t>
      </w:r>
    </w:p>
    <w:p w14:paraId="5E5B848D" w14:textId="46469BA7" w:rsidR="00357722" w:rsidRPr="00357722" w:rsidRDefault="00357722"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 xml:space="preserve">Laeven. M. L. </w:t>
      </w:r>
      <w:r w:rsidR="001E0B1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2014</w:t>
      </w:r>
      <w:r w:rsidR="001E0B1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 development of local capital markets: Rationale and challenges. IMF Working Paper 14/234. </w:t>
      </w:r>
    </w:p>
    <w:p w14:paraId="20263EAC" w14:textId="70DF8274" w:rsidR="00C6354D" w:rsidRPr="00357722" w:rsidRDefault="004E7893"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La Porta, R., Lop</w:t>
      </w:r>
      <w:r w:rsidR="001E0B16">
        <w:rPr>
          <w:rFonts w:ascii="Times New Roman" w:hAnsi="Times New Roman" w:cs="Times New Roman"/>
          <w:sz w:val="24"/>
          <w:szCs w:val="24"/>
          <w:shd w:val="clear" w:color="auto" w:fill="FFFFFF"/>
        </w:rPr>
        <w:t xml:space="preserve">ez-de-Silanes, F., Shleifer, A. &amp; </w:t>
      </w:r>
      <w:proofErr w:type="spellStart"/>
      <w:r w:rsidR="001E0B16">
        <w:rPr>
          <w:rFonts w:ascii="Times New Roman" w:hAnsi="Times New Roman" w:cs="Times New Roman"/>
          <w:sz w:val="24"/>
          <w:szCs w:val="24"/>
          <w:shd w:val="clear" w:color="auto" w:fill="FFFFFF"/>
        </w:rPr>
        <w:t>Vishny</w:t>
      </w:r>
      <w:proofErr w:type="spellEnd"/>
      <w:r w:rsidR="001E0B16">
        <w:rPr>
          <w:rFonts w:ascii="Times New Roman" w:hAnsi="Times New Roman" w:cs="Times New Roman"/>
          <w:sz w:val="24"/>
          <w:szCs w:val="24"/>
          <w:shd w:val="clear" w:color="auto" w:fill="FFFFFF"/>
        </w:rPr>
        <w:t>, R.</w:t>
      </w:r>
      <w:r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1997</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Legal determinants of external finance. </w:t>
      </w:r>
      <w:r w:rsidRPr="00F70F0F">
        <w:rPr>
          <w:rFonts w:ascii="Times New Roman" w:hAnsi="Times New Roman" w:cs="Times New Roman"/>
          <w:i/>
          <w:sz w:val="24"/>
          <w:szCs w:val="24"/>
          <w:shd w:val="clear" w:color="auto" w:fill="FFFFFF"/>
        </w:rPr>
        <w:t>Journal of Finance</w:t>
      </w:r>
      <w:r w:rsidRPr="00357722">
        <w:rPr>
          <w:rFonts w:ascii="Times New Roman" w:hAnsi="Times New Roman" w:cs="Times New Roman"/>
          <w:sz w:val="24"/>
          <w:szCs w:val="24"/>
          <w:shd w:val="clear" w:color="auto" w:fill="FFFFFF"/>
        </w:rPr>
        <w:t xml:space="preserve"> 52, 1131–1150. </w:t>
      </w:r>
    </w:p>
    <w:p w14:paraId="33D4AFE5" w14:textId="1DB479E4" w:rsidR="00C6354D" w:rsidRPr="00357722" w:rsidRDefault="004E7893"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La Porta, R., Lopez-de-Silane</w:t>
      </w:r>
      <w:r w:rsidR="001E0B16">
        <w:rPr>
          <w:rFonts w:ascii="Times New Roman" w:hAnsi="Times New Roman" w:cs="Times New Roman"/>
          <w:sz w:val="24"/>
          <w:szCs w:val="24"/>
          <w:shd w:val="clear" w:color="auto" w:fill="FFFFFF"/>
        </w:rPr>
        <w:t>s, F., Shleifer, A. &amp;</w:t>
      </w:r>
      <w:r w:rsidR="00CD2B0D" w:rsidRPr="00357722">
        <w:rPr>
          <w:rFonts w:ascii="Times New Roman" w:hAnsi="Times New Roman" w:cs="Times New Roman"/>
          <w:sz w:val="24"/>
          <w:szCs w:val="24"/>
          <w:shd w:val="clear" w:color="auto" w:fill="FFFFFF"/>
        </w:rPr>
        <w:t xml:space="preserve"> </w:t>
      </w:r>
      <w:proofErr w:type="spellStart"/>
      <w:r w:rsidR="00CD2B0D" w:rsidRPr="00357722">
        <w:rPr>
          <w:rFonts w:ascii="Times New Roman" w:hAnsi="Times New Roman" w:cs="Times New Roman"/>
          <w:sz w:val="24"/>
          <w:szCs w:val="24"/>
          <w:shd w:val="clear" w:color="auto" w:fill="FFFFFF"/>
        </w:rPr>
        <w:t>Vishny</w:t>
      </w:r>
      <w:proofErr w:type="spellEnd"/>
      <w:r w:rsidR="00CD2B0D" w:rsidRPr="00357722">
        <w:rPr>
          <w:rFonts w:ascii="Times New Roman" w:hAnsi="Times New Roman" w:cs="Times New Roman"/>
          <w:sz w:val="24"/>
          <w:szCs w:val="24"/>
          <w:shd w:val="clear" w:color="auto" w:fill="FFFFFF"/>
        </w:rPr>
        <w:t>, R.</w:t>
      </w:r>
      <w:r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1998</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Law and finance. </w:t>
      </w:r>
      <w:r w:rsidRPr="00F70F0F">
        <w:rPr>
          <w:rFonts w:ascii="Times New Roman" w:hAnsi="Times New Roman" w:cs="Times New Roman"/>
          <w:i/>
          <w:sz w:val="24"/>
          <w:szCs w:val="24"/>
          <w:shd w:val="clear" w:color="auto" w:fill="FFFFFF"/>
        </w:rPr>
        <w:t>Journal of Political Economy</w:t>
      </w:r>
      <w:r w:rsidRPr="00357722">
        <w:rPr>
          <w:rFonts w:ascii="Times New Roman" w:hAnsi="Times New Roman" w:cs="Times New Roman"/>
          <w:sz w:val="24"/>
          <w:szCs w:val="24"/>
          <w:shd w:val="clear" w:color="auto" w:fill="FFFFFF"/>
        </w:rPr>
        <w:t xml:space="preserve"> 106, 1113–1155.</w:t>
      </w:r>
    </w:p>
    <w:p w14:paraId="62E293DC" w14:textId="4C0ECFFA" w:rsidR="00C6354D" w:rsidRPr="00357722" w:rsidRDefault="00F6534A" w:rsidP="00C6354D">
      <w:pPr>
        <w:spacing w:after="0" w:line="360" w:lineRule="auto"/>
        <w:ind w:left="426" w:hanging="426"/>
        <w:jc w:val="both"/>
        <w:rPr>
          <w:rFonts w:ascii="Times New Roman" w:eastAsia="Calibri" w:hAnsi="Times New Roman" w:cs="Times New Roman"/>
          <w:sz w:val="24"/>
          <w:szCs w:val="24"/>
          <w:lang w:eastAsia="en-US"/>
        </w:rPr>
      </w:pPr>
      <w:proofErr w:type="gramStart"/>
      <w:r w:rsidRPr="00357722">
        <w:rPr>
          <w:rFonts w:ascii="Times New Roman" w:hAnsi="Times New Roman" w:cs="Times New Roman"/>
          <w:sz w:val="24"/>
          <w:szCs w:val="24"/>
          <w:shd w:val="clear" w:color="auto" w:fill="FFFFFF"/>
        </w:rPr>
        <w:t xml:space="preserve">La </w:t>
      </w:r>
      <w:r w:rsidR="00E32468"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Porta</w:t>
      </w:r>
      <w:proofErr w:type="gramEnd"/>
      <w:r w:rsidRPr="00357722">
        <w:rPr>
          <w:rFonts w:ascii="Times New Roman" w:hAnsi="Times New Roman" w:cs="Times New Roman"/>
          <w:sz w:val="24"/>
          <w:szCs w:val="24"/>
          <w:shd w:val="clear" w:color="auto" w:fill="FFFFFF"/>
        </w:rPr>
        <w:t>, R., Lopez-</w:t>
      </w:r>
      <w:r w:rsidR="001E0B16">
        <w:rPr>
          <w:rFonts w:ascii="Times New Roman" w:hAnsi="Times New Roman" w:cs="Times New Roman"/>
          <w:sz w:val="24"/>
          <w:szCs w:val="24"/>
          <w:shd w:val="clear" w:color="auto" w:fill="FFFFFF"/>
        </w:rPr>
        <w:t>de-Silanes, F., Shleifer, A. &amp;</w:t>
      </w:r>
      <w:r w:rsidR="00C6354D" w:rsidRPr="00357722">
        <w:rPr>
          <w:rFonts w:ascii="Times New Roman" w:hAnsi="Times New Roman" w:cs="Times New Roman"/>
          <w:sz w:val="24"/>
          <w:szCs w:val="24"/>
          <w:shd w:val="clear" w:color="auto" w:fill="FFFFFF"/>
        </w:rPr>
        <w:t xml:space="preserve"> </w:t>
      </w:r>
      <w:proofErr w:type="spellStart"/>
      <w:r w:rsidRPr="00357722">
        <w:rPr>
          <w:rFonts w:ascii="Times New Roman" w:hAnsi="Times New Roman" w:cs="Times New Roman"/>
          <w:sz w:val="24"/>
          <w:szCs w:val="24"/>
          <w:shd w:val="clear" w:color="auto" w:fill="FFFFFF"/>
        </w:rPr>
        <w:t>Vishny</w:t>
      </w:r>
      <w:proofErr w:type="spellEnd"/>
      <w:r w:rsidRPr="00357722">
        <w:rPr>
          <w:rFonts w:ascii="Times New Roman" w:hAnsi="Times New Roman" w:cs="Times New Roman"/>
          <w:sz w:val="24"/>
          <w:szCs w:val="24"/>
          <w:shd w:val="clear" w:color="auto" w:fill="FFFFFF"/>
        </w:rPr>
        <w:t>, R. (1999). The quality of government. </w:t>
      </w:r>
      <w:r w:rsidRPr="00F70F0F">
        <w:rPr>
          <w:rFonts w:ascii="Times New Roman" w:hAnsi="Times New Roman" w:cs="Times New Roman"/>
          <w:i/>
          <w:sz w:val="24"/>
          <w:szCs w:val="24"/>
          <w:shd w:val="clear" w:color="auto" w:fill="FFFFFF"/>
        </w:rPr>
        <w:t>The Journal of L</w:t>
      </w:r>
      <w:r w:rsidR="00CD2B0D" w:rsidRPr="00F70F0F">
        <w:rPr>
          <w:rFonts w:ascii="Times New Roman" w:hAnsi="Times New Roman" w:cs="Times New Roman"/>
          <w:i/>
          <w:sz w:val="24"/>
          <w:szCs w:val="24"/>
          <w:shd w:val="clear" w:color="auto" w:fill="FFFFFF"/>
        </w:rPr>
        <w:t>aw, Economics, and Organization</w:t>
      </w:r>
      <w:r w:rsidR="00CD2B0D" w:rsidRPr="00357722">
        <w:rPr>
          <w:rFonts w:ascii="Times New Roman" w:hAnsi="Times New Roman" w:cs="Times New Roman"/>
          <w:sz w:val="24"/>
          <w:szCs w:val="24"/>
          <w:shd w:val="clear" w:color="auto" w:fill="FFFFFF"/>
        </w:rPr>
        <w:t xml:space="preserve"> 15, </w:t>
      </w:r>
      <w:r w:rsidRPr="00357722">
        <w:rPr>
          <w:rFonts w:ascii="Times New Roman" w:hAnsi="Times New Roman" w:cs="Times New Roman"/>
          <w:sz w:val="24"/>
          <w:szCs w:val="24"/>
          <w:shd w:val="clear" w:color="auto" w:fill="FFFFFF"/>
        </w:rPr>
        <w:t>222</w:t>
      </w:r>
      <w:r w:rsidR="00CD2B0D" w:rsidRPr="00357722">
        <w:rPr>
          <w:rFonts w:ascii="Times New Roman" w:hAnsi="Times New Roman" w:cs="Times New Roman"/>
          <w:color w:val="000000" w:themeColor="text1"/>
          <w:sz w:val="24"/>
          <w:szCs w:val="24"/>
        </w:rPr>
        <w:t>–</w:t>
      </w:r>
      <w:r w:rsidRPr="00357722">
        <w:rPr>
          <w:rFonts w:ascii="Times New Roman" w:hAnsi="Times New Roman" w:cs="Times New Roman"/>
          <w:sz w:val="24"/>
          <w:szCs w:val="24"/>
          <w:shd w:val="clear" w:color="auto" w:fill="FFFFFF"/>
        </w:rPr>
        <w:t>279</w:t>
      </w:r>
      <w:r w:rsidR="00CD2B0D" w:rsidRPr="00357722">
        <w:rPr>
          <w:rFonts w:ascii="Times New Roman" w:hAnsi="Times New Roman" w:cs="Times New Roman"/>
          <w:sz w:val="24"/>
          <w:szCs w:val="24"/>
          <w:shd w:val="clear" w:color="auto" w:fill="FFFFFF"/>
        </w:rPr>
        <w:t>.</w:t>
      </w:r>
    </w:p>
    <w:p w14:paraId="0155BE50" w14:textId="7820FDD3" w:rsidR="00C6354D" w:rsidRPr="00357722" w:rsidRDefault="00F6534A" w:rsidP="00C6354D">
      <w:pPr>
        <w:spacing w:after="0" w:line="360" w:lineRule="auto"/>
        <w:ind w:left="426" w:hanging="426"/>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Lau</w:t>
      </w:r>
      <w:r w:rsidR="00CD2B0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S</w:t>
      </w:r>
      <w:r w:rsidR="00CD2B0D"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T, Ng</w:t>
      </w:r>
      <w:r w:rsidR="00CD2B0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L</w:t>
      </w:r>
      <w:r w:rsidR="00CD2B0D" w:rsidRPr="00357722">
        <w:rPr>
          <w:rFonts w:ascii="Times New Roman" w:hAnsi="Times New Roman" w:cs="Times New Roman"/>
          <w:sz w:val="24"/>
          <w:szCs w:val="24"/>
          <w:shd w:val="clear" w:color="auto" w:fill="FFFFFF"/>
        </w:rPr>
        <w:t>.</w:t>
      </w:r>
      <w:r w:rsidR="001E0B16">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 xml:space="preserve"> Zhang</w:t>
      </w:r>
      <w:r w:rsidR="00CD2B0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B</w:t>
      </w:r>
      <w:r w:rsidR="00CD2B0D"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2010</w:t>
      </w:r>
      <w:r w:rsidR="001E0B16">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The world price of home bias. </w:t>
      </w:r>
      <w:r w:rsidRPr="00F70F0F">
        <w:rPr>
          <w:rFonts w:ascii="Times New Roman" w:hAnsi="Times New Roman" w:cs="Times New Roman"/>
          <w:i/>
          <w:sz w:val="24"/>
          <w:szCs w:val="24"/>
          <w:shd w:val="clear" w:color="auto" w:fill="FFFFFF"/>
        </w:rPr>
        <w:t>J</w:t>
      </w:r>
      <w:r w:rsidR="00CD2B0D" w:rsidRPr="00F70F0F">
        <w:rPr>
          <w:rFonts w:ascii="Times New Roman" w:hAnsi="Times New Roman" w:cs="Times New Roman"/>
          <w:i/>
          <w:sz w:val="24"/>
          <w:szCs w:val="24"/>
          <w:shd w:val="clear" w:color="auto" w:fill="FFFFFF"/>
        </w:rPr>
        <w:t>ournal of</w:t>
      </w:r>
      <w:r w:rsidRPr="00F70F0F">
        <w:rPr>
          <w:rFonts w:ascii="Times New Roman" w:hAnsi="Times New Roman" w:cs="Times New Roman"/>
          <w:i/>
          <w:sz w:val="24"/>
          <w:szCs w:val="24"/>
          <w:shd w:val="clear" w:color="auto" w:fill="FFFFFF"/>
        </w:rPr>
        <w:t xml:space="preserve"> Financ</w:t>
      </w:r>
      <w:r w:rsidR="00CD2B0D" w:rsidRPr="00F70F0F">
        <w:rPr>
          <w:rFonts w:ascii="Times New Roman" w:hAnsi="Times New Roman" w:cs="Times New Roman"/>
          <w:i/>
          <w:sz w:val="24"/>
          <w:szCs w:val="24"/>
          <w:shd w:val="clear" w:color="auto" w:fill="FFFFFF"/>
        </w:rPr>
        <w:t>ial</w:t>
      </w:r>
      <w:r w:rsidRPr="00F70F0F">
        <w:rPr>
          <w:rFonts w:ascii="Times New Roman" w:hAnsi="Times New Roman" w:cs="Times New Roman"/>
          <w:i/>
          <w:sz w:val="24"/>
          <w:szCs w:val="24"/>
          <w:shd w:val="clear" w:color="auto" w:fill="FFFFFF"/>
        </w:rPr>
        <w:t xml:space="preserve"> Econ</w:t>
      </w:r>
      <w:r w:rsidR="00CD2B0D" w:rsidRPr="00F70F0F">
        <w:rPr>
          <w:rFonts w:ascii="Times New Roman" w:hAnsi="Times New Roman" w:cs="Times New Roman"/>
          <w:i/>
          <w:sz w:val="24"/>
          <w:szCs w:val="24"/>
          <w:shd w:val="clear" w:color="auto" w:fill="FFFFFF"/>
        </w:rPr>
        <w:t>omics</w:t>
      </w:r>
      <w:r w:rsidR="00CD2B0D" w:rsidRPr="00357722">
        <w:rPr>
          <w:rFonts w:ascii="Times New Roman" w:hAnsi="Times New Roman" w:cs="Times New Roman"/>
          <w:sz w:val="24"/>
          <w:szCs w:val="24"/>
          <w:shd w:val="clear" w:color="auto" w:fill="FFFFFF"/>
        </w:rPr>
        <w:t xml:space="preserve"> </w:t>
      </w:r>
      <w:proofErr w:type="gramStart"/>
      <w:r w:rsidR="00CD2B0D" w:rsidRPr="00357722">
        <w:rPr>
          <w:rFonts w:ascii="Times New Roman" w:hAnsi="Times New Roman" w:cs="Times New Roman"/>
          <w:sz w:val="24"/>
          <w:szCs w:val="24"/>
          <w:shd w:val="clear" w:color="auto" w:fill="FFFFFF"/>
        </w:rPr>
        <w:t xml:space="preserve">97,  </w:t>
      </w:r>
      <w:r w:rsidRPr="00357722">
        <w:rPr>
          <w:rFonts w:ascii="Times New Roman" w:hAnsi="Times New Roman" w:cs="Times New Roman"/>
          <w:sz w:val="24"/>
          <w:szCs w:val="24"/>
          <w:shd w:val="clear" w:color="auto" w:fill="FFFFFF"/>
        </w:rPr>
        <w:t>191</w:t>
      </w:r>
      <w:proofErr w:type="gramEnd"/>
      <w:r w:rsidRPr="00357722">
        <w:rPr>
          <w:rFonts w:ascii="Times New Roman" w:hAnsi="Times New Roman" w:cs="Times New Roman"/>
          <w:sz w:val="24"/>
          <w:szCs w:val="24"/>
          <w:shd w:val="clear" w:color="auto" w:fill="FFFFFF"/>
        </w:rPr>
        <w:t>–217</w:t>
      </w:r>
      <w:r w:rsidR="00CD2B0D" w:rsidRPr="00357722">
        <w:rPr>
          <w:rFonts w:ascii="Times New Roman" w:hAnsi="Times New Roman" w:cs="Times New Roman"/>
          <w:sz w:val="24"/>
          <w:szCs w:val="24"/>
          <w:shd w:val="clear" w:color="auto" w:fill="FFFFFF"/>
        </w:rPr>
        <w:t>.</w:t>
      </w:r>
    </w:p>
    <w:p w14:paraId="4FB22549" w14:textId="7BA63384" w:rsidR="00F04D47" w:rsidRPr="00357722" w:rsidRDefault="001E0B16" w:rsidP="00F04D47">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Law, S. H., Azman-Saini, W. &amp;</w:t>
      </w:r>
      <w:r w:rsidR="00F04D47" w:rsidRPr="00357722">
        <w:rPr>
          <w:rFonts w:ascii="Times New Roman" w:hAnsi="Times New Roman" w:cs="Times New Roman"/>
          <w:sz w:val="24"/>
          <w:szCs w:val="24"/>
          <w:shd w:val="clear" w:color="auto" w:fill="FFFFFF"/>
        </w:rPr>
        <w:t xml:space="preserve"> Ibrahim, M. H. </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2013</w:t>
      </w:r>
      <w:r>
        <w:rPr>
          <w:rFonts w:ascii="Times New Roman" w:hAnsi="Times New Roman" w:cs="Times New Roman"/>
          <w:sz w:val="24"/>
          <w:szCs w:val="24"/>
          <w:shd w:val="clear" w:color="auto" w:fill="FFFFFF"/>
        </w:rPr>
        <w:t>)</w:t>
      </w:r>
      <w:r w:rsidR="00F04D47" w:rsidRPr="00357722">
        <w:rPr>
          <w:rFonts w:ascii="Times New Roman" w:hAnsi="Times New Roman" w:cs="Times New Roman"/>
          <w:sz w:val="24"/>
          <w:szCs w:val="24"/>
          <w:shd w:val="clear" w:color="auto" w:fill="FFFFFF"/>
        </w:rPr>
        <w:t>. Institutional quality thresholds and the finan</w:t>
      </w:r>
      <w:r w:rsidR="00F70F0F">
        <w:rPr>
          <w:rFonts w:ascii="Times New Roman" w:hAnsi="Times New Roman" w:cs="Times New Roman"/>
          <w:sz w:val="24"/>
          <w:szCs w:val="24"/>
          <w:shd w:val="clear" w:color="auto" w:fill="FFFFFF"/>
        </w:rPr>
        <w:t>ce–Growth nexus.</w:t>
      </w:r>
      <w:r w:rsidR="00F04D47" w:rsidRPr="00357722">
        <w:rPr>
          <w:rFonts w:ascii="Times New Roman" w:hAnsi="Times New Roman" w:cs="Times New Roman"/>
          <w:sz w:val="24"/>
          <w:szCs w:val="24"/>
          <w:shd w:val="clear" w:color="auto" w:fill="FFFFFF"/>
        </w:rPr>
        <w:t xml:space="preserve"> </w:t>
      </w:r>
      <w:r w:rsidR="00F04D47" w:rsidRPr="00F70F0F">
        <w:rPr>
          <w:rFonts w:ascii="Times New Roman" w:hAnsi="Times New Roman" w:cs="Times New Roman"/>
          <w:i/>
          <w:sz w:val="24"/>
          <w:szCs w:val="24"/>
          <w:shd w:val="clear" w:color="auto" w:fill="FFFFFF"/>
        </w:rPr>
        <w:t>Journal of Banking and Finance</w:t>
      </w:r>
      <w:r w:rsidR="00F04D47" w:rsidRPr="00357722">
        <w:rPr>
          <w:rFonts w:ascii="Times New Roman" w:hAnsi="Times New Roman" w:cs="Times New Roman"/>
          <w:sz w:val="24"/>
          <w:szCs w:val="24"/>
          <w:shd w:val="clear" w:color="auto" w:fill="FFFFFF"/>
        </w:rPr>
        <w:t xml:space="preserve"> 37, 5373</w:t>
      </w:r>
      <w:r w:rsidR="00F04D47" w:rsidRPr="00357722">
        <w:rPr>
          <w:rFonts w:ascii="Times New Roman" w:hAnsi="Times New Roman" w:cs="Times New Roman"/>
          <w:color w:val="000000" w:themeColor="text1"/>
          <w:sz w:val="24"/>
          <w:szCs w:val="24"/>
        </w:rPr>
        <w:t>–</w:t>
      </w:r>
      <w:r w:rsidR="00F04D47" w:rsidRPr="00357722">
        <w:rPr>
          <w:rFonts w:ascii="Times New Roman" w:hAnsi="Times New Roman" w:cs="Times New Roman"/>
          <w:sz w:val="24"/>
          <w:szCs w:val="24"/>
          <w:shd w:val="clear" w:color="auto" w:fill="FFFFFF"/>
        </w:rPr>
        <w:t>5381.</w:t>
      </w:r>
    </w:p>
    <w:p w14:paraId="3F3201D4" w14:textId="4EB320D5" w:rsidR="00C6354D" w:rsidRPr="00357722" w:rsidRDefault="00F6534A"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L</w:t>
      </w:r>
      <w:r w:rsidR="00CD2B0D" w:rsidRPr="00357722">
        <w:rPr>
          <w:rFonts w:ascii="Times New Roman" w:hAnsi="Times New Roman" w:cs="Times New Roman"/>
          <w:sz w:val="24"/>
          <w:szCs w:val="24"/>
          <w:shd w:val="clear" w:color="auto" w:fill="FFFFFF"/>
        </w:rPr>
        <w:t xml:space="preserve">essard, D. R. </w:t>
      </w:r>
      <w:r w:rsidR="001E0B16">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1976</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World, country, and industry relationships in equity returns: implications for risk reduction through international diversificat</w:t>
      </w:r>
      <w:r w:rsidR="00CD2B0D" w:rsidRPr="00357722">
        <w:rPr>
          <w:rFonts w:ascii="Times New Roman" w:hAnsi="Times New Roman" w:cs="Times New Roman"/>
          <w:sz w:val="24"/>
          <w:szCs w:val="24"/>
          <w:shd w:val="clear" w:color="auto" w:fill="FFFFFF"/>
        </w:rPr>
        <w:t>ion. </w:t>
      </w:r>
      <w:r w:rsidR="00CD2B0D" w:rsidRPr="00F70F0F">
        <w:rPr>
          <w:rFonts w:ascii="Times New Roman" w:hAnsi="Times New Roman" w:cs="Times New Roman"/>
          <w:i/>
          <w:sz w:val="24"/>
          <w:szCs w:val="24"/>
          <w:shd w:val="clear" w:color="auto" w:fill="FFFFFF"/>
        </w:rPr>
        <w:t>Financial analysts journal</w:t>
      </w:r>
      <w:r w:rsidR="00CD2B0D" w:rsidRPr="00357722">
        <w:rPr>
          <w:rFonts w:ascii="Times New Roman" w:hAnsi="Times New Roman" w:cs="Times New Roman"/>
          <w:sz w:val="24"/>
          <w:szCs w:val="24"/>
          <w:shd w:val="clear" w:color="auto" w:fill="FFFFFF"/>
        </w:rPr>
        <w:t> 32</w:t>
      </w:r>
      <w:r w:rsidRPr="00357722">
        <w:rPr>
          <w:rFonts w:ascii="Times New Roman" w:hAnsi="Times New Roman" w:cs="Times New Roman"/>
          <w:sz w:val="24"/>
          <w:szCs w:val="24"/>
          <w:shd w:val="clear" w:color="auto" w:fill="FFFFFF"/>
        </w:rPr>
        <w:t>, 32</w:t>
      </w:r>
      <w:r w:rsidR="00CD2B0D" w:rsidRPr="00357722">
        <w:rPr>
          <w:rFonts w:ascii="Times New Roman" w:hAnsi="Times New Roman" w:cs="Times New Roman"/>
          <w:color w:val="000000" w:themeColor="text1"/>
          <w:sz w:val="24"/>
          <w:szCs w:val="24"/>
        </w:rPr>
        <w:t>–</w:t>
      </w:r>
      <w:r w:rsidRPr="00357722">
        <w:rPr>
          <w:rFonts w:ascii="Times New Roman" w:hAnsi="Times New Roman" w:cs="Times New Roman"/>
          <w:sz w:val="24"/>
          <w:szCs w:val="24"/>
          <w:shd w:val="clear" w:color="auto" w:fill="FFFFFF"/>
        </w:rPr>
        <w:t>38.</w:t>
      </w:r>
      <w:bookmarkStart w:id="11" w:name="_Hlk40021797"/>
    </w:p>
    <w:p w14:paraId="442D696B" w14:textId="0E36D954"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Levine, R. &amp;</w:t>
      </w:r>
      <w:r w:rsidR="00CD2B0D" w:rsidRPr="00357722">
        <w:rPr>
          <w:rFonts w:ascii="Times New Roman" w:hAnsi="Times New Roman" w:cs="Times New Roman"/>
          <w:sz w:val="24"/>
          <w:szCs w:val="24"/>
          <w:shd w:val="clear" w:color="auto" w:fill="FFFFFF"/>
        </w:rPr>
        <w:t xml:space="preserve"> Zervos, S. </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1998</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xml:space="preserve">. </w:t>
      </w:r>
      <w:bookmarkEnd w:id="11"/>
      <w:r w:rsidR="00F6534A" w:rsidRPr="00357722">
        <w:rPr>
          <w:rFonts w:ascii="Times New Roman" w:hAnsi="Times New Roman" w:cs="Times New Roman"/>
          <w:sz w:val="24"/>
          <w:szCs w:val="24"/>
          <w:shd w:val="clear" w:color="auto" w:fill="FFFFFF"/>
        </w:rPr>
        <w:t>Stock markets, banks, and economic growth. </w:t>
      </w:r>
      <w:r w:rsidR="00F6534A" w:rsidRPr="00F70F0F">
        <w:rPr>
          <w:rFonts w:ascii="Times New Roman" w:hAnsi="Times New Roman" w:cs="Times New Roman"/>
          <w:i/>
          <w:sz w:val="24"/>
          <w:szCs w:val="24"/>
          <w:shd w:val="clear" w:color="auto" w:fill="FFFFFF"/>
        </w:rPr>
        <w:t>American economic review</w:t>
      </w:r>
      <w:r w:rsidR="00CD2B0D" w:rsidRPr="00357722">
        <w:rPr>
          <w:rFonts w:ascii="Times New Roman" w:hAnsi="Times New Roman" w:cs="Times New Roman"/>
          <w:sz w:val="24"/>
          <w:szCs w:val="24"/>
          <w:shd w:val="clear" w:color="auto" w:fill="FFFFFF"/>
        </w:rPr>
        <w:t xml:space="preserve"> 88</w:t>
      </w:r>
      <w:r w:rsidR="00F6534A" w:rsidRPr="00357722">
        <w:rPr>
          <w:rFonts w:ascii="Times New Roman" w:hAnsi="Times New Roman" w:cs="Times New Roman"/>
          <w:sz w:val="24"/>
          <w:szCs w:val="24"/>
          <w:shd w:val="clear" w:color="auto" w:fill="FFFFFF"/>
        </w:rPr>
        <w:t>, 537</w:t>
      </w:r>
      <w:r w:rsidR="00CD2B0D" w:rsidRPr="00357722">
        <w:rPr>
          <w:rFonts w:ascii="Times New Roman" w:hAnsi="Times New Roman" w:cs="Times New Roman"/>
          <w:color w:val="000000" w:themeColor="text1"/>
          <w:sz w:val="24"/>
          <w:szCs w:val="24"/>
        </w:rPr>
        <w:t>–</w:t>
      </w:r>
      <w:r w:rsidR="00F6534A" w:rsidRPr="00357722">
        <w:rPr>
          <w:rFonts w:ascii="Times New Roman" w:hAnsi="Times New Roman" w:cs="Times New Roman"/>
          <w:sz w:val="24"/>
          <w:szCs w:val="24"/>
          <w:shd w:val="clear" w:color="auto" w:fill="FFFFFF"/>
        </w:rPr>
        <w:t>558.</w:t>
      </w:r>
    </w:p>
    <w:p w14:paraId="651DB421" w14:textId="58638EB0"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Liang, Q. &amp;</w:t>
      </w:r>
      <w:r w:rsidR="008F1FD8" w:rsidRPr="00357722">
        <w:rPr>
          <w:rFonts w:ascii="Times New Roman" w:hAnsi="Times New Roman" w:cs="Times New Roman"/>
          <w:sz w:val="24"/>
          <w:szCs w:val="24"/>
          <w:shd w:val="clear" w:color="auto" w:fill="FFFFFF"/>
        </w:rPr>
        <w:t xml:space="preserve"> Teng, J. Z. </w:t>
      </w:r>
      <w:r>
        <w:rPr>
          <w:rFonts w:ascii="Times New Roman" w:hAnsi="Times New Roman" w:cs="Times New Roman"/>
          <w:sz w:val="24"/>
          <w:szCs w:val="24"/>
          <w:shd w:val="clear" w:color="auto" w:fill="FFFFFF"/>
        </w:rPr>
        <w:t>(</w:t>
      </w:r>
      <w:r w:rsidR="008F1FD8" w:rsidRPr="00357722">
        <w:rPr>
          <w:rFonts w:ascii="Times New Roman" w:hAnsi="Times New Roman" w:cs="Times New Roman"/>
          <w:sz w:val="24"/>
          <w:szCs w:val="24"/>
          <w:shd w:val="clear" w:color="auto" w:fill="FFFFFF"/>
        </w:rPr>
        <w:t>2006</w:t>
      </w:r>
      <w:r>
        <w:rPr>
          <w:rFonts w:ascii="Times New Roman" w:hAnsi="Times New Roman" w:cs="Times New Roman"/>
          <w:sz w:val="24"/>
          <w:szCs w:val="24"/>
          <w:shd w:val="clear" w:color="auto" w:fill="FFFFFF"/>
        </w:rPr>
        <w:t>)</w:t>
      </w:r>
      <w:r w:rsidR="008F1FD8" w:rsidRPr="00357722">
        <w:rPr>
          <w:rFonts w:ascii="Times New Roman" w:hAnsi="Times New Roman" w:cs="Times New Roman"/>
          <w:sz w:val="24"/>
          <w:szCs w:val="24"/>
          <w:shd w:val="clear" w:color="auto" w:fill="FFFFFF"/>
        </w:rPr>
        <w:t xml:space="preserve">. Financial development and economic growth: Evidence from China. </w:t>
      </w:r>
      <w:r w:rsidR="008F1FD8" w:rsidRPr="00F70F0F">
        <w:rPr>
          <w:rFonts w:ascii="Times New Roman" w:hAnsi="Times New Roman" w:cs="Times New Roman"/>
          <w:i/>
          <w:sz w:val="24"/>
          <w:szCs w:val="24"/>
          <w:shd w:val="clear" w:color="auto" w:fill="FFFFFF"/>
        </w:rPr>
        <w:t>China Economic Review</w:t>
      </w:r>
      <w:r w:rsidR="008F1FD8" w:rsidRPr="00357722">
        <w:rPr>
          <w:rFonts w:ascii="Times New Roman" w:hAnsi="Times New Roman" w:cs="Times New Roman"/>
          <w:sz w:val="24"/>
          <w:szCs w:val="24"/>
          <w:shd w:val="clear" w:color="auto" w:fill="FFFFFF"/>
        </w:rPr>
        <w:t xml:space="preserve"> 17, 395–411.</w:t>
      </w:r>
    </w:p>
    <w:p w14:paraId="21E466AD" w14:textId="12C2A37B" w:rsidR="00C6354D" w:rsidRPr="00357722" w:rsidRDefault="00CD2B0D"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 xml:space="preserve">Mauro, P.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1998</w:t>
      </w:r>
      <w:r w:rsidR="001E0B16">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Corruption and the composition of government expenditure. </w:t>
      </w:r>
      <w:r w:rsidR="00F6534A" w:rsidRPr="00F70F0F">
        <w:rPr>
          <w:rFonts w:ascii="Times New Roman" w:hAnsi="Times New Roman" w:cs="Times New Roman"/>
          <w:i/>
          <w:sz w:val="24"/>
          <w:szCs w:val="24"/>
          <w:shd w:val="clear" w:color="auto" w:fill="FFFFFF"/>
        </w:rPr>
        <w:t xml:space="preserve">Journal of Public </w:t>
      </w:r>
      <w:r w:rsidR="00A249ED" w:rsidRPr="00F70F0F">
        <w:rPr>
          <w:rFonts w:ascii="Times New Roman" w:hAnsi="Times New Roman" w:cs="Times New Roman"/>
          <w:i/>
          <w:sz w:val="24"/>
          <w:szCs w:val="24"/>
          <w:shd w:val="clear" w:color="auto" w:fill="FFFFFF"/>
        </w:rPr>
        <w:t>E</w:t>
      </w:r>
      <w:r w:rsidRPr="00F70F0F">
        <w:rPr>
          <w:rFonts w:ascii="Times New Roman" w:hAnsi="Times New Roman" w:cs="Times New Roman"/>
          <w:i/>
          <w:sz w:val="24"/>
          <w:szCs w:val="24"/>
          <w:shd w:val="clear" w:color="auto" w:fill="FFFFFF"/>
        </w:rPr>
        <w:t>conomics</w:t>
      </w:r>
      <w:r w:rsidRPr="00357722">
        <w:rPr>
          <w:rFonts w:ascii="Times New Roman" w:hAnsi="Times New Roman" w:cs="Times New Roman"/>
          <w:sz w:val="24"/>
          <w:szCs w:val="24"/>
          <w:shd w:val="clear" w:color="auto" w:fill="FFFFFF"/>
        </w:rPr>
        <w:t> 69</w:t>
      </w:r>
      <w:r w:rsidR="00F6534A" w:rsidRPr="00357722">
        <w:rPr>
          <w:rFonts w:ascii="Times New Roman" w:hAnsi="Times New Roman" w:cs="Times New Roman"/>
          <w:sz w:val="24"/>
          <w:szCs w:val="24"/>
          <w:shd w:val="clear" w:color="auto" w:fill="FFFFFF"/>
        </w:rPr>
        <w:t>, 263</w:t>
      </w:r>
      <w:r w:rsidRPr="00357722">
        <w:rPr>
          <w:rFonts w:ascii="Times New Roman" w:hAnsi="Times New Roman" w:cs="Times New Roman"/>
          <w:color w:val="000000" w:themeColor="text1"/>
          <w:sz w:val="24"/>
          <w:szCs w:val="24"/>
        </w:rPr>
        <w:t>–</w:t>
      </w:r>
      <w:r w:rsidR="00F6534A" w:rsidRPr="00357722">
        <w:rPr>
          <w:rFonts w:ascii="Times New Roman" w:hAnsi="Times New Roman" w:cs="Times New Roman"/>
          <w:sz w:val="24"/>
          <w:szCs w:val="24"/>
          <w:shd w:val="clear" w:color="auto" w:fill="FFFFFF"/>
        </w:rPr>
        <w:t>279.</w:t>
      </w:r>
      <w:r w:rsidRPr="00357722">
        <w:rPr>
          <w:rFonts w:ascii="Times New Roman" w:hAnsi="Times New Roman" w:cs="Times New Roman"/>
          <w:sz w:val="24"/>
          <w:szCs w:val="24"/>
          <w:shd w:val="clear" w:color="auto" w:fill="FFFFFF"/>
        </w:rPr>
        <w:t xml:space="preserve"> </w:t>
      </w:r>
      <w:bookmarkStart w:id="12" w:name="_Hlk39950956"/>
    </w:p>
    <w:bookmarkEnd w:id="12"/>
    <w:p w14:paraId="34A29D3A" w14:textId="0A080AC3"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 xml:space="preserve">Meade, E. E. </w:t>
      </w:r>
      <w:proofErr w:type="gramStart"/>
      <w:r>
        <w:rPr>
          <w:rFonts w:ascii="Times New Roman" w:hAnsi="Times New Roman" w:cs="Times New Roman"/>
          <w:sz w:val="24"/>
          <w:szCs w:val="24"/>
          <w:shd w:val="clear" w:color="auto" w:fill="FFFFFF"/>
        </w:rPr>
        <w:t>&amp;</w:t>
      </w:r>
      <w:r w:rsidR="00CD2B0D" w:rsidRPr="00357722">
        <w:rPr>
          <w:rFonts w:ascii="Times New Roman" w:hAnsi="Times New Roman" w:cs="Times New Roman"/>
          <w:sz w:val="24"/>
          <w:szCs w:val="24"/>
          <w:shd w:val="clear" w:color="auto" w:fill="FFFFFF"/>
        </w:rPr>
        <w:t xml:space="preserve">  Stasavage</w:t>
      </w:r>
      <w:proofErr w:type="gramEnd"/>
      <w:r w:rsidR="00CD2B0D" w:rsidRPr="00357722">
        <w:rPr>
          <w:rFonts w:ascii="Times New Roman" w:hAnsi="Times New Roman" w:cs="Times New Roman"/>
          <w:sz w:val="24"/>
          <w:szCs w:val="24"/>
          <w:shd w:val="clear" w:color="auto" w:fill="FFFFFF"/>
        </w:rPr>
        <w:t xml:space="preserve">, D. </w:t>
      </w:r>
      <w:r>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2008</w:t>
      </w:r>
      <w:r>
        <w:rPr>
          <w:rFonts w:ascii="Times New Roman" w:hAnsi="Times New Roman" w:cs="Times New Roman"/>
          <w:sz w:val="24"/>
          <w:szCs w:val="24"/>
          <w:shd w:val="clear" w:color="auto" w:fill="FFFFFF"/>
        </w:rPr>
        <w:t>)</w:t>
      </w:r>
      <w:r w:rsidR="00B373DF" w:rsidRPr="00357722">
        <w:rPr>
          <w:rFonts w:ascii="Times New Roman" w:hAnsi="Times New Roman" w:cs="Times New Roman"/>
          <w:sz w:val="24"/>
          <w:szCs w:val="24"/>
          <w:shd w:val="clear" w:color="auto" w:fill="FFFFFF"/>
        </w:rPr>
        <w:t>. Publicity of debate and the incentive to dissent: evidence from the US Federal Reserve</w:t>
      </w:r>
      <w:r w:rsidR="00CD2B0D" w:rsidRPr="00357722">
        <w:rPr>
          <w:rFonts w:ascii="Times New Roman" w:hAnsi="Times New Roman" w:cs="Times New Roman"/>
          <w:sz w:val="24"/>
          <w:szCs w:val="24"/>
          <w:shd w:val="clear" w:color="auto" w:fill="FFFFFF"/>
        </w:rPr>
        <w:t>. </w:t>
      </w:r>
      <w:r w:rsidR="00CD2B0D" w:rsidRPr="00F70F0F">
        <w:rPr>
          <w:rFonts w:ascii="Times New Roman" w:hAnsi="Times New Roman" w:cs="Times New Roman"/>
          <w:i/>
          <w:sz w:val="24"/>
          <w:szCs w:val="24"/>
          <w:shd w:val="clear" w:color="auto" w:fill="FFFFFF"/>
        </w:rPr>
        <w:t>The Economic Journal</w:t>
      </w:r>
      <w:r w:rsidR="00CD2B0D" w:rsidRPr="00357722">
        <w:rPr>
          <w:rFonts w:ascii="Times New Roman" w:hAnsi="Times New Roman" w:cs="Times New Roman"/>
          <w:sz w:val="24"/>
          <w:szCs w:val="24"/>
          <w:shd w:val="clear" w:color="auto" w:fill="FFFFFF"/>
        </w:rPr>
        <w:t> 118</w:t>
      </w:r>
      <w:r w:rsidR="00B373DF" w:rsidRPr="00357722">
        <w:rPr>
          <w:rFonts w:ascii="Times New Roman" w:hAnsi="Times New Roman" w:cs="Times New Roman"/>
          <w:sz w:val="24"/>
          <w:szCs w:val="24"/>
          <w:shd w:val="clear" w:color="auto" w:fill="FFFFFF"/>
        </w:rPr>
        <w:t>, 695</w:t>
      </w:r>
      <w:r w:rsidR="00CD2B0D" w:rsidRPr="00357722">
        <w:rPr>
          <w:rFonts w:ascii="Times New Roman" w:hAnsi="Times New Roman" w:cs="Times New Roman"/>
          <w:color w:val="000000" w:themeColor="text1"/>
          <w:sz w:val="24"/>
          <w:szCs w:val="24"/>
        </w:rPr>
        <w:t>–</w:t>
      </w:r>
      <w:r w:rsidR="00B373DF" w:rsidRPr="00357722">
        <w:rPr>
          <w:rFonts w:ascii="Times New Roman" w:hAnsi="Times New Roman" w:cs="Times New Roman"/>
          <w:sz w:val="24"/>
          <w:szCs w:val="24"/>
          <w:shd w:val="clear" w:color="auto" w:fill="FFFFFF"/>
        </w:rPr>
        <w:t>717.</w:t>
      </w:r>
      <w:r w:rsidR="00CD2B0D" w:rsidRPr="00357722">
        <w:rPr>
          <w:rFonts w:ascii="Times New Roman" w:hAnsi="Times New Roman" w:cs="Times New Roman"/>
          <w:sz w:val="24"/>
          <w:szCs w:val="24"/>
          <w:shd w:val="clear" w:color="auto" w:fill="FFFFFF"/>
        </w:rPr>
        <w:t xml:space="preserve"> </w:t>
      </w:r>
    </w:p>
    <w:p w14:paraId="744264BE" w14:textId="55DB0AC0" w:rsidR="00C6354D" w:rsidRPr="00357722" w:rsidRDefault="00F6534A" w:rsidP="00C6354D">
      <w:pPr>
        <w:spacing w:after="0" w:line="360" w:lineRule="auto"/>
        <w:ind w:left="426" w:hanging="426"/>
        <w:jc w:val="both"/>
        <w:rPr>
          <w:rFonts w:ascii="Times New Roman" w:eastAsia="Calibri" w:hAnsi="Times New Roman" w:cs="Times New Roman"/>
          <w:sz w:val="24"/>
          <w:szCs w:val="24"/>
          <w:lang w:eastAsia="en-US"/>
        </w:rPr>
      </w:pPr>
      <w:proofErr w:type="spellStart"/>
      <w:r w:rsidRPr="00357722">
        <w:rPr>
          <w:rFonts w:ascii="Times New Roman" w:hAnsi="Times New Roman" w:cs="Times New Roman"/>
          <w:sz w:val="24"/>
          <w:szCs w:val="24"/>
          <w:shd w:val="clear" w:color="auto" w:fill="FFFFFF"/>
        </w:rPr>
        <w:t>Naszodi</w:t>
      </w:r>
      <w:proofErr w:type="spellEnd"/>
      <w:r w:rsidRPr="00357722">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 xml:space="preserve"> A., </w:t>
      </w:r>
      <w:proofErr w:type="spellStart"/>
      <w:r w:rsidR="00CD2B0D" w:rsidRPr="00357722">
        <w:rPr>
          <w:rFonts w:ascii="Times New Roman" w:hAnsi="Times New Roman" w:cs="Times New Roman"/>
          <w:sz w:val="24"/>
          <w:szCs w:val="24"/>
          <w:shd w:val="clear" w:color="auto" w:fill="FFFFFF"/>
        </w:rPr>
        <w:t>Csavas</w:t>
      </w:r>
      <w:proofErr w:type="spellEnd"/>
      <w:r w:rsidR="00CD2B0D" w:rsidRPr="00357722">
        <w:rPr>
          <w:rFonts w:ascii="Times New Roman" w:hAnsi="Times New Roman" w:cs="Times New Roman"/>
          <w:sz w:val="24"/>
          <w:szCs w:val="24"/>
          <w:shd w:val="clear" w:color="auto" w:fill="FFFFFF"/>
        </w:rPr>
        <w:t>, C</w:t>
      </w:r>
      <w:r w:rsidR="001E0B16">
        <w:rPr>
          <w:rFonts w:ascii="Times New Roman" w:hAnsi="Times New Roman" w:cs="Times New Roman"/>
          <w:sz w:val="24"/>
          <w:szCs w:val="24"/>
          <w:shd w:val="clear" w:color="auto" w:fill="FFFFFF"/>
        </w:rPr>
        <w:t>, Erhart, S. &amp;</w:t>
      </w:r>
      <w:r w:rsidR="00CD2B0D" w:rsidRPr="00357722">
        <w:rPr>
          <w:rFonts w:ascii="Times New Roman" w:hAnsi="Times New Roman" w:cs="Times New Roman"/>
          <w:sz w:val="24"/>
          <w:szCs w:val="24"/>
          <w:shd w:val="clear" w:color="auto" w:fill="FFFFFF"/>
        </w:rPr>
        <w:t xml:space="preserve"> </w:t>
      </w:r>
      <w:proofErr w:type="spellStart"/>
      <w:r w:rsidR="00CD2B0D" w:rsidRPr="00357722">
        <w:rPr>
          <w:rFonts w:ascii="Times New Roman" w:hAnsi="Times New Roman" w:cs="Times New Roman"/>
          <w:sz w:val="24"/>
          <w:szCs w:val="24"/>
          <w:shd w:val="clear" w:color="auto" w:fill="FFFFFF"/>
        </w:rPr>
        <w:t>Felcserb</w:t>
      </w:r>
      <w:proofErr w:type="spellEnd"/>
      <w:r w:rsidR="00CD2B0D" w:rsidRPr="00357722">
        <w:rPr>
          <w:rFonts w:ascii="Times New Roman" w:hAnsi="Times New Roman" w:cs="Times New Roman"/>
          <w:sz w:val="24"/>
          <w:szCs w:val="24"/>
          <w:shd w:val="clear" w:color="auto" w:fill="FFFFFF"/>
        </w:rPr>
        <w:t xml:space="preserve">, D. </w:t>
      </w:r>
      <w:r w:rsidR="001E0B16">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2016</w:t>
      </w:r>
      <w:r w:rsidR="001E0B16">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Which aspects of central bank transparency matter? A comprehensive analysis of the effect of t</w:t>
      </w:r>
      <w:r w:rsidR="00F70F0F">
        <w:rPr>
          <w:rFonts w:ascii="Times New Roman" w:hAnsi="Times New Roman" w:cs="Times New Roman"/>
          <w:sz w:val="24"/>
          <w:szCs w:val="24"/>
          <w:shd w:val="clear" w:color="auto" w:fill="FFFFFF"/>
        </w:rPr>
        <w:t>ransparency on survey forecasts.</w:t>
      </w:r>
      <w:r w:rsidRPr="00357722">
        <w:rPr>
          <w:rFonts w:ascii="Times New Roman" w:hAnsi="Times New Roman" w:cs="Times New Roman"/>
          <w:sz w:val="24"/>
          <w:szCs w:val="24"/>
          <w:shd w:val="clear" w:color="auto" w:fill="FFFFFF"/>
        </w:rPr>
        <w:t> </w:t>
      </w:r>
      <w:r w:rsidRPr="00F70F0F">
        <w:rPr>
          <w:rFonts w:ascii="Times New Roman" w:hAnsi="Times New Roman" w:cs="Times New Roman"/>
          <w:i/>
          <w:sz w:val="24"/>
          <w:szCs w:val="24"/>
          <w:shd w:val="clear" w:color="auto" w:fill="FFFFFF"/>
        </w:rPr>
        <w:t>International Journal of Central Banking</w:t>
      </w:r>
      <w:r w:rsidR="00CD2B0D" w:rsidRPr="00357722">
        <w:rPr>
          <w:rFonts w:ascii="Times New Roman" w:hAnsi="Times New Roman" w:cs="Times New Roman"/>
          <w:sz w:val="24"/>
          <w:szCs w:val="24"/>
          <w:shd w:val="clear" w:color="auto" w:fill="FFFFFF"/>
        </w:rPr>
        <w:t>.</w:t>
      </w:r>
    </w:p>
    <w:p w14:paraId="2F0C690B" w14:textId="51FF9619"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proofErr w:type="spellStart"/>
      <w:r>
        <w:rPr>
          <w:rFonts w:ascii="Times New Roman" w:hAnsi="Times New Roman" w:cs="Times New Roman"/>
          <w:sz w:val="24"/>
          <w:szCs w:val="24"/>
          <w:shd w:val="clear" w:color="auto" w:fill="FFFFFF"/>
        </w:rPr>
        <w:t>Neter</w:t>
      </w:r>
      <w:proofErr w:type="spellEnd"/>
      <w:r>
        <w:rPr>
          <w:rFonts w:ascii="Times New Roman" w:hAnsi="Times New Roman" w:cs="Times New Roman"/>
          <w:sz w:val="24"/>
          <w:szCs w:val="24"/>
          <w:shd w:val="clear" w:color="auto" w:fill="FFFFFF"/>
        </w:rPr>
        <w:t>, J., Wasserman, W. &amp;</w:t>
      </w:r>
      <w:r w:rsidR="00CD2B0D" w:rsidRPr="00357722">
        <w:rPr>
          <w:rFonts w:ascii="Times New Roman" w:hAnsi="Times New Roman" w:cs="Times New Roman"/>
          <w:sz w:val="24"/>
          <w:szCs w:val="24"/>
          <w:shd w:val="clear" w:color="auto" w:fill="FFFFFF"/>
        </w:rPr>
        <w:t xml:space="preserve"> Kutner, M. H. </w:t>
      </w:r>
      <w:r>
        <w:rPr>
          <w:rFonts w:ascii="Times New Roman" w:hAnsi="Times New Roman" w:cs="Times New Roman"/>
          <w:sz w:val="24"/>
          <w:szCs w:val="24"/>
          <w:shd w:val="clear" w:color="auto" w:fill="FFFFFF"/>
        </w:rPr>
        <w:t>(</w:t>
      </w:r>
      <w:r w:rsidR="00CD2B0D" w:rsidRPr="00357722">
        <w:rPr>
          <w:rFonts w:ascii="Times New Roman" w:hAnsi="Times New Roman" w:cs="Times New Roman"/>
          <w:sz w:val="24"/>
          <w:szCs w:val="24"/>
          <w:shd w:val="clear" w:color="auto" w:fill="FFFFFF"/>
        </w:rPr>
        <w:t>1990</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Applied statistical models. Richard D. Irwin, Inc., Burr Ridge, IL.</w:t>
      </w:r>
    </w:p>
    <w:p w14:paraId="32AEB80E" w14:textId="0CF607B9"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proofErr w:type="spellStart"/>
      <w:r>
        <w:rPr>
          <w:rFonts w:ascii="Times New Roman" w:hAnsi="Times New Roman" w:cs="Times New Roman"/>
          <w:color w:val="222222"/>
          <w:sz w:val="24"/>
          <w:szCs w:val="24"/>
          <w:shd w:val="clear" w:color="auto" w:fill="FFFFFF"/>
        </w:rPr>
        <w:t>Niţescu</w:t>
      </w:r>
      <w:proofErr w:type="spellEnd"/>
      <w:r>
        <w:rPr>
          <w:rFonts w:ascii="Times New Roman" w:hAnsi="Times New Roman" w:cs="Times New Roman"/>
          <w:color w:val="222222"/>
          <w:sz w:val="24"/>
          <w:szCs w:val="24"/>
          <w:shd w:val="clear" w:color="auto" w:fill="FFFFFF"/>
        </w:rPr>
        <w:t xml:space="preserve">, D. C., </w:t>
      </w:r>
      <w:proofErr w:type="spellStart"/>
      <w:r>
        <w:rPr>
          <w:rFonts w:ascii="Times New Roman" w:hAnsi="Times New Roman" w:cs="Times New Roman"/>
          <w:color w:val="222222"/>
          <w:sz w:val="24"/>
          <w:szCs w:val="24"/>
          <w:shd w:val="clear" w:color="auto" w:fill="FFFFFF"/>
        </w:rPr>
        <w:t>Dună</w:t>
      </w:r>
      <w:proofErr w:type="spellEnd"/>
      <w:r>
        <w:rPr>
          <w:rFonts w:ascii="Times New Roman" w:hAnsi="Times New Roman" w:cs="Times New Roman"/>
          <w:color w:val="222222"/>
          <w:sz w:val="24"/>
          <w:szCs w:val="24"/>
          <w:shd w:val="clear" w:color="auto" w:fill="FFFFFF"/>
        </w:rPr>
        <w:t>, F. A. &amp;</w:t>
      </w:r>
      <w:r w:rsidR="00CD2B0D" w:rsidRPr="00357722">
        <w:rPr>
          <w:rFonts w:ascii="Times New Roman" w:hAnsi="Times New Roman" w:cs="Times New Roman"/>
          <w:color w:val="222222"/>
          <w:sz w:val="24"/>
          <w:szCs w:val="24"/>
          <w:shd w:val="clear" w:color="auto" w:fill="FFFFFF"/>
        </w:rPr>
        <w:t xml:space="preserve"> </w:t>
      </w:r>
      <w:proofErr w:type="spellStart"/>
      <w:r w:rsidR="00CD2B0D" w:rsidRPr="00357722">
        <w:rPr>
          <w:rFonts w:ascii="Times New Roman" w:hAnsi="Times New Roman" w:cs="Times New Roman"/>
          <w:color w:val="222222"/>
          <w:sz w:val="24"/>
          <w:szCs w:val="24"/>
          <w:shd w:val="clear" w:color="auto" w:fill="FFFFFF"/>
        </w:rPr>
        <w:t>Ciurel</w:t>
      </w:r>
      <w:proofErr w:type="spellEnd"/>
      <w:r w:rsidR="00CD2B0D" w:rsidRPr="00357722">
        <w:rPr>
          <w:rFonts w:ascii="Times New Roman" w:hAnsi="Times New Roman" w:cs="Times New Roman"/>
          <w:color w:val="222222"/>
          <w:sz w:val="24"/>
          <w:szCs w:val="24"/>
          <w:shd w:val="clear" w:color="auto" w:fill="FFFFFF"/>
        </w:rPr>
        <w:t xml:space="preserve">, A. D. </w:t>
      </w:r>
      <w:r>
        <w:rPr>
          <w:rFonts w:ascii="Times New Roman" w:hAnsi="Times New Roman" w:cs="Times New Roman"/>
          <w:color w:val="222222"/>
          <w:sz w:val="24"/>
          <w:szCs w:val="24"/>
          <w:shd w:val="clear" w:color="auto" w:fill="FFFFFF"/>
        </w:rPr>
        <w:t>(</w:t>
      </w:r>
      <w:r w:rsidR="00CD2B0D" w:rsidRPr="00357722">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w:t>
      </w:r>
      <w:r w:rsidR="000B2314" w:rsidRPr="00357722">
        <w:rPr>
          <w:rFonts w:ascii="Times New Roman" w:hAnsi="Times New Roman" w:cs="Times New Roman"/>
          <w:color w:val="222222"/>
          <w:sz w:val="24"/>
          <w:szCs w:val="24"/>
          <w:shd w:val="clear" w:color="auto" w:fill="FFFFFF"/>
        </w:rPr>
        <w:t xml:space="preserve">. Banking sector and bank liquidity-key actors within financial </w:t>
      </w:r>
      <w:proofErr w:type="gramStart"/>
      <w:r w:rsidR="000B2314" w:rsidRPr="00357722">
        <w:rPr>
          <w:rFonts w:ascii="Times New Roman" w:hAnsi="Times New Roman" w:cs="Times New Roman"/>
          <w:color w:val="222222"/>
          <w:sz w:val="24"/>
          <w:szCs w:val="24"/>
          <w:shd w:val="clear" w:color="auto" w:fill="FFFFFF"/>
        </w:rPr>
        <w:t>crises?.</w:t>
      </w:r>
      <w:proofErr w:type="gramEnd"/>
      <w:r w:rsidR="000B2314" w:rsidRPr="00357722">
        <w:rPr>
          <w:rFonts w:ascii="Times New Roman" w:hAnsi="Times New Roman" w:cs="Times New Roman"/>
          <w:color w:val="222222"/>
          <w:sz w:val="24"/>
          <w:szCs w:val="24"/>
          <w:shd w:val="clear" w:color="auto" w:fill="FFFFFF"/>
        </w:rPr>
        <w:t> </w:t>
      </w:r>
      <w:r w:rsidR="000B2314" w:rsidRPr="00F70F0F">
        <w:rPr>
          <w:rFonts w:ascii="Times New Roman" w:hAnsi="Times New Roman" w:cs="Times New Roman"/>
          <w:i/>
          <w:iCs/>
          <w:color w:val="222222"/>
          <w:sz w:val="24"/>
          <w:szCs w:val="24"/>
          <w:shd w:val="clear" w:color="auto" w:fill="FFFFFF"/>
        </w:rPr>
        <w:t>Theoretical &amp; Applied Economics</w:t>
      </w:r>
      <w:r w:rsidR="000B2314" w:rsidRPr="00357722">
        <w:rPr>
          <w:rFonts w:ascii="Times New Roman" w:hAnsi="Times New Roman" w:cs="Times New Roman"/>
          <w:color w:val="222222"/>
          <w:sz w:val="24"/>
          <w:szCs w:val="24"/>
          <w:shd w:val="clear" w:color="auto" w:fill="FFFFFF"/>
        </w:rPr>
        <w:t> </w:t>
      </w:r>
      <w:r w:rsidR="000B2314" w:rsidRPr="00357722">
        <w:rPr>
          <w:rFonts w:ascii="Times New Roman" w:hAnsi="Times New Roman" w:cs="Times New Roman"/>
          <w:iCs/>
          <w:color w:val="222222"/>
          <w:sz w:val="24"/>
          <w:szCs w:val="24"/>
          <w:shd w:val="clear" w:color="auto" w:fill="FFFFFF"/>
        </w:rPr>
        <w:t>27</w:t>
      </w:r>
      <w:r w:rsidR="007F1635" w:rsidRPr="00357722">
        <w:rPr>
          <w:rFonts w:ascii="Times New Roman" w:hAnsi="Times New Roman" w:cs="Times New Roman"/>
          <w:iCs/>
          <w:color w:val="222222"/>
          <w:sz w:val="24"/>
          <w:szCs w:val="24"/>
          <w:shd w:val="clear" w:color="auto" w:fill="FFFFFF"/>
        </w:rPr>
        <w:t>, 147</w:t>
      </w:r>
      <w:r w:rsidR="007F1635" w:rsidRPr="00357722">
        <w:rPr>
          <w:rFonts w:ascii="Times New Roman" w:hAnsi="Times New Roman" w:cs="Times New Roman"/>
          <w:color w:val="000000" w:themeColor="text1"/>
          <w:sz w:val="24"/>
          <w:szCs w:val="24"/>
        </w:rPr>
        <w:t>–168.</w:t>
      </w:r>
    </w:p>
    <w:p w14:paraId="5E0682C3" w14:textId="7D3F7704" w:rsidR="00C6354D" w:rsidRPr="00357722" w:rsidRDefault="007F1635"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 xml:space="preserve">Nordhaus, W. D. </w:t>
      </w:r>
      <w:r w:rsidR="008F3275">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1975</w:t>
      </w:r>
      <w:r w:rsidR="008F3275">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The political business cycle.</w:t>
      </w:r>
      <w:r w:rsidRPr="00357722">
        <w:rPr>
          <w:rFonts w:ascii="Times New Roman" w:hAnsi="Times New Roman" w:cs="Times New Roman"/>
          <w:sz w:val="24"/>
          <w:szCs w:val="24"/>
          <w:shd w:val="clear" w:color="auto" w:fill="FFFFFF"/>
        </w:rPr>
        <w:t> </w:t>
      </w:r>
      <w:r w:rsidRPr="00F70F0F">
        <w:rPr>
          <w:rFonts w:ascii="Times New Roman" w:hAnsi="Times New Roman" w:cs="Times New Roman"/>
          <w:i/>
          <w:sz w:val="24"/>
          <w:szCs w:val="24"/>
          <w:shd w:val="clear" w:color="auto" w:fill="FFFFFF"/>
        </w:rPr>
        <w:t>The review of economic studies</w:t>
      </w:r>
      <w:r w:rsidRPr="00357722">
        <w:rPr>
          <w:rFonts w:ascii="Times New Roman" w:hAnsi="Times New Roman" w:cs="Times New Roman"/>
          <w:sz w:val="24"/>
          <w:szCs w:val="24"/>
          <w:shd w:val="clear" w:color="auto" w:fill="FFFFFF"/>
        </w:rPr>
        <w:t> 42</w:t>
      </w:r>
      <w:r w:rsidR="00F6534A" w:rsidRPr="00357722">
        <w:rPr>
          <w:rFonts w:ascii="Times New Roman" w:hAnsi="Times New Roman" w:cs="Times New Roman"/>
          <w:sz w:val="24"/>
          <w:szCs w:val="24"/>
          <w:shd w:val="clear" w:color="auto" w:fill="FFFFFF"/>
        </w:rPr>
        <w:t>, 169</w:t>
      </w:r>
      <w:r w:rsidRPr="00357722">
        <w:rPr>
          <w:rFonts w:ascii="Times New Roman" w:hAnsi="Times New Roman" w:cs="Times New Roman"/>
          <w:color w:val="000000" w:themeColor="text1"/>
          <w:sz w:val="24"/>
          <w:szCs w:val="24"/>
        </w:rPr>
        <w:t>–</w:t>
      </w:r>
      <w:r w:rsidR="00F6534A" w:rsidRPr="00357722">
        <w:rPr>
          <w:rFonts w:ascii="Times New Roman" w:hAnsi="Times New Roman" w:cs="Times New Roman"/>
          <w:sz w:val="24"/>
          <w:szCs w:val="24"/>
          <w:shd w:val="clear" w:color="auto" w:fill="FFFFFF"/>
        </w:rPr>
        <w:t>190.</w:t>
      </w:r>
    </w:p>
    <w:p w14:paraId="5E0E8A26" w14:textId="057C207D" w:rsidR="00C6354D" w:rsidRPr="00357722" w:rsidRDefault="007F1635"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lastRenderedPageBreak/>
        <w:t>North, D.</w:t>
      </w:r>
      <w:r w:rsidR="002172B9"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w:t>
      </w:r>
      <w:r w:rsidR="002172B9" w:rsidRPr="00357722">
        <w:rPr>
          <w:rFonts w:ascii="Times New Roman" w:hAnsi="Times New Roman" w:cs="Times New Roman"/>
          <w:sz w:val="24"/>
          <w:szCs w:val="24"/>
          <w:shd w:val="clear" w:color="auto" w:fill="FFFFFF"/>
        </w:rPr>
        <w:t>1990</w:t>
      </w:r>
      <w:r w:rsidR="001E0B16">
        <w:rPr>
          <w:rFonts w:ascii="Times New Roman" w:hAnsi="Times New Roman" w:cs="Times New Roman"/>
          <w:sz w:val="24"/>
          <w:szCs w:val="24"/>
          <w:shd w:val="clear" w:color="auto" w:fill="FFFFFF"/>
        </w:rPr>
        <w:t>)</w:t>
      </w:r>
      <w:r w:rsidR="002172B9" w:rsidRPr="00357722">
        <w:rPr>
          <w:rFonts w:ascii="Times New Roman" w:hAnsi="Times New Roman" w:cs="Times New Roman"/>
          <w:sz w:val="24"/>
          <w:szCs w:val="24"/>
          <w:shd w:val="clear" w:color="auto" w:fill="FFFFFF"/>
        </w:rPr>
        <w:t>. Institutions, Institutional Change, and Economic Performance. Cambridge University Press, New York, NY.</w:t>
      </w:r>
    </w:p>
    <w:p w14:paraId="0E3BB903" w14:textId="60E616C5"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 xml:space="preserve">North, D. C., </w:t>
      </w:r>
      <w:proofErr w:type="spellStart"/>
      <w:proofErr w:type="gramStart"/>
      <w:r>
        <w:rPr>
          <w:rFonts w:ascii="Times New Roman" w:hAnsi="Times New Roman" w:cs="Times New Roman"/>
          <w:sz w:val="24"/>
          <w:szCs w:val="24"/>
          <w:shd w:val="clear" w:color="auto" w:fill="FFFFFF"/>
        </w:rPr>
        <w:t>Summerhill,W</w:t>
      </w:r>
      <w:proofErr w:type="spellEnd"/>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R. &amp; </w:t>
      </w:r>
      <w:r w:rsidR="004670B6" w:rsidRPr="00357722">
        <w:rPr>
          <w:rFonts w:ascii="Times New Roman" w:hAnsi="Times New Roman" w:cs="Times New Roman"/>
          <w:sz w:val="24"/>
          <w:szCs w:val="24"/>
          <w:shd w:val="clear" w:color="auto" w:fill="FFFFFF"/>
        </w:rPr>
        <w:t xml:space="preserve">Weingast, B. </w:t>
      </w:r>
      <w:r>
        <w:rPr>
          <w:rFonts w:ascii="Times New Roman" w:hAnsi="Times New Roman" w:cs="Times New Roman"/>
          <w:sz w:val="24"/>
          <w:szCs w:val="24"/>
          <w:shd w:val="clear" w:color="auto" w:fill="FFFFFF"/>
        </w:rPr>
        <w:t>(</w:t>
      </w:r>
      <w:r w:rsidR="004670B6" w:rsidRPr="00357722">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w:t>
      </w:r>
      <w:r w:rsidR="004670B6" w:rsidRPr="00357722">
        <w:rPr>
          <w:rFonts w:ascii="Times New Roman" w:hAnsi="Times New Roman" w:cs="Times New Roman"/>
          <w:sz w:val="24"/>
          <w:szCs w:val="24"/>
          <w:shd w:val="clear" w:color="auto" w:fill="FFFFFF"/>
        </w:rPr>
        <w:t>. Order, disorder and economic change: Latin America</w:t>
      </w:r>
      <w:r w:rsidR="00C6354D" w:rsidRPr="00357722">
        <w:rPr>
          <w:rFonts w:ascii="Times New Roman" w:eastAsia="Calibri" w:hAnsi="Times New Roman" w:cs="Times New Roman"/>
          <w:sz w:val="24"/>
          <w:szCs w:val="24"/>
          <w:lang w:eastAsia="en-US"/>
        </w:rPr>
        <w:t xml:space="preserve"> </w:t>
      </w:r>
      <w:r w:rsidR="004670B6" w:rsidRPr="00357722">
        <w:rPr>
          <w:rFonts w:ascii="Times New Roman" w:hAnsi="Times New Roman" w:cs="Times New Roman"/>
          <w:sz w:val="24"/>
          <w:szCs w:val="24"/>
          <w:shd w:val="clear" w:color="auto" w:fill="FFFFFF"/>
        </w:rPr>
        <w:t xml:space="preserve">vs. North America. In B. B. de Mesquita &amp; H. Root (Eds.), </w:t>
      </w:r>
      <w:r w:rsidR="004670B6" w:rsidRPr="00357722">
        <w:rPr>
          <w:rFonts w:ascii="Times New Roman" w:hAnsi="Times New Roman" w:cs="Times New Roman"/>
          <w:i/>
          <w:iCs/>
          <w:sz w:val="24"/>
          <w:szCs w:val="24"/>
          <w:shd w:val="clear" w:color="auto" w:fill="FFFFFF"/>
        </w:rPr>
        <w:t>Governing for prosperity</w:t>
      </w:r>
      <w:r w:rsidR="004670B6" w:rsidRPr="00357722">
        <w:rPr>
          <w:rFonts w:ascii="Times New Roman" w:hAnsi="Times New Roman" w:cs="Times New Roman"/>
          <w:sz w:val="24"/>
          <w:szCs w:val="24"/>
          <w:shd w:val="clear" w:color="auto" w:fill="FFFFFF"/>
        </w:rPr>
        <w:t>. New Haven: Yale</w:t>
      </w:r>
      <w:r w:rsidR="00C6354D" w:rsidRPr="00357722">
        <w:rPr>
          <w:rFonts w:ascii="Times New Roman" w:eastAsia="Calibri" w:hAnsi="Times New Roman" w:cs="Times New Roman"/>
          <w:sz w:val="24"/>
          <w:szCs w:val="24"/>
          <w:lang w:eastAsia="en-US"/>
        </w:rPr>
        <w:t xml:space="preserve"> </w:t>
      </w:r>
      <w:r w:rsidR="004670B6" w:rsidRPr="00357722">
        <w:rPr>
          <w:rFonts w:ascii="Times New Roman" w:hAnsi="Times New Roman" w:cs="Times New Roman"/>
          <w:sz w:val="24"/>
          <w:szCs w:val="24"/>
          <w:shd w:val="clear" w:color="auto" w:fill="FFFFFF"/>
        </w:rPr>
        <w:t>University Press.</w:t>
      </w:r>
    </w:p>
    <w:p w14:paraId="31C85ADF" w14:textId="060F1F30"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Pastor, L. &amp;</w:t>
      </w:r>
      <w:r w:rsidR="007F1635" w:rsidRPr="00357722">
        <w:rPr>
          <w:rFonts w:ascii="Times New Roman" w:hAnsi="Times New Roman" w:cs="Times New Roman"/>
          <w:sz w:val="24"/>
          <w:szCs w:val="24"/>
          <w:shd w:val="clear" w:color="auto" w:fill="FFFFFF"/>
        </w:rPr>
        <w:t xml:space="preserve"> Veronesi, P. </w:t>
      </w:r>
      <w:r>
        <w:rPr>
          <w:rFonts w:ascii="Times New Roman" w:hAnsi="Times New Roman" w:cs="Times New Roman"/>
          <w:sz w:val="24"/>
          <w:szCs w:val="24"/>
          <w:shd w:val="clear" w:color="auto" w:fill="FFFFFF"/>
        </w:rPr>
        <w:t>(</w:t>
      </w:r>
      <w:r w:rsidR="007F1635" w:rsidRPr="00357722">
        <w:rPr>
          <w:rFonts w:ascii="Times New Roman" w:hAnsi="Times New Roman" w:cs="Times New Roman"/>
          <w:sz w:val="24"/>
          <w:szCs w:val="24"/>
          <w:shd w:val="clear" w:color="auto" w:fill="FFFFFF"/>
        </w:rPr>
        <w:t>2012</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Uncertainty about government policy and stock</w:t>
      </w:r>
      <w:r w:rsidR="007F1635" w:rsidRPr="00357722">
        <w:rPr>
          <w:rFonts w:ascii="Times New Roman" w:hAnsi="Times New Roman" w:cs="Times New Roman"/>
          <w:sz w:val="24"/>
          <w:szCs w:val="24"/>
          <w:shd w:val="clear" w:color="auto" w:fill="FFFFFF"/>
        </w:rPr>
        <w:t xml:space="preserve"> prices. </w:t>
      </w:r>
      <w:r w:rsidR="007F1635" w:rsidRPr="00F70F0F">
        <w:rPr>
          <w:rFonts w:ascii="Times New Roman" w:hAnsi="Times New Roman" w:cs="Times New Roman"/>
          <w:i/>
          <w:sz w:val="24"/>
          <w:szCs w:val="24"/>
          <w:shd w:val="clear" w:color="auto" w:fill="FFFFFF"/>
        </w:rPr>
        <w:t>The journal of Finance</w:t>
      </w:r>
      <w:r w:rsidR="00B42073" w:rsidRPr="00357722">
        <w:rPr>
          <w:rFonts w:ascii="Times New Roman" w:hAnsi="Times New Roman" w:cs="Times New Roman"/>
          <w:sz w:val="24"/>
          <w:szCs w:val="24"/>
          <w:shd w:val="clear" w:color="auto" w:fill="FFFFFF"/>
        </w:rPr>
        <w:t> 67</w:t>
      </w:r>
      <w:r w:rsidR="00F6534A" w:rsidRPr="00357722">
        <w:rPr>
          <w:rFonts w:ascii="Times New Roman" w:hAnsi="Times New Roman" w:cs="Times New Roman"/>
          <w:sz w:val="24"/>
          <w:szCs w:val="24"/>
          <w:shd w:val="clear" w:color="auto" w:fill="FFFFFF"/>
        </w:rPr>
        <w:t>, 1219</w:t>
      </w:r>
      <w:r w:rsidR="00B42073" w:rsidRPr="00357722">
        <w:rPr>
          <w:rFonts w:ascii="Times New Roman" w:hAnsi="Times New Roman" w:cs="Times New Roman"/>
          <w:color w:val="000000" w:themeColor="text1"/>
          <w:sz w:val="24"/>
          <w:szCs w:val="24"/>
        </w:rPr>
        <w:t>–</w:t>
      </w:r>
      <w:r w:rsidR="00F6534A" w:rsidRPr="00357722">
        <w:rPr>
          <w:rFonts w:ascii="Times New Roman" w:hAnsi="Times New Roman" w:cs="Times New Roman"/>
          <w:sz w:val="24"/>
          <w:szCs w:val="24"/>
          <w:shd w:val="clear" w:color="auto" w:fill="FFFFFF"/>
        </w:rPr>
        <w:t>1264.</w:t>
      </w:r>
      <w:r w:rsidR="00B42073" w:rsidRPr="00357722">
        <w:rPr>
          <w:rFonts w:ascii="Times New Roman" w:hAnsi="Times New Roman" w:cs="Times New Roman"/>
          <w:sz w:val="24"/>
          <w:szCs w:val="24"/>
          <w:shd w:val="clear" w:color="auto" w:fill="FFFFFF"/>
        </w:rPr>
        <w:t xml:space="preserve"> </w:t>
      </w:r>
      <w:bookmarkStart w:id="13" w:name="_Hlk39948824"/>
    </w:p>
    <w:p w14:paraId="78CE9390" w14:textId="0E0DAC64"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Pastor, L. &amp;</w:t>
      </w:r>
      <w:r w:rsidR="00B42073" w:rsidRPr="00357722">
        <w:rPr>
          <w:rFonts w:ascii="Times New Roman" w:hAnsi="Times New Roman" w:cs="Times New Roman"/>
          <w:sz w:val="24"/>
          <w:szCs w:val="24"/>
          <w:shd w:val="clear" w:color="auto" w:fill="FFFFFF"/>
        </w:rPr>
        <w:t xml:space="preserve"> Veronesi, P. </w:t>
      </w:r>
      <w:r>
        <w:rPr>
          <w:rFonts w:ascii="Times New Roman" w:hAnsi="Times New Roman" w:cs="Times New Roman"/>
          <w:sz w:val="24"/>
          <w:szCs w:val="24"/>
          <w:shd w:val="clear" w:color="auto" w:fill="FFFFFF"/>
        </w:rPr>
        <w:t>(</w:t>
      </w:r>
      <w:r w:rsidR="00B42073" w:rsidRPr="00357722">
        <w:rPr>
          <w:rFonts w:ascii="Times New Roman" w:hAnsi="Times New Roman" w:cs="Times New Roman"/>
          <w:sz w:val="24"/>
          <w:szCs w:val="24"/>
          <w:shd w:val="clear" w:color="auto" w:fill="FFFFFF"/>
        </w:rPr>
        <w:t>2013</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xml:space="preserve">. </w:t>
      </w:r>
      <w:bookmarkEnd w:id="13"/>
      <w:r w:rsidR="00F6534A" w:rsidRPr="00357722">
        <w:rPr>
          <w:rFonts w:ascii="Times New Roman" w:hAnsi="Times New Roman" w:cs="Times New Roman"/>
          <w:sz w:val="24"/>
          <w:szCs w:val="24"/>
          <w:shd w:val="clear" w:color="auto" w:fill="FFFFFF"/>
        </w:rPr>
        <w:t>Political uncertainty and risk premia. </w:t>
      </w:r>
      <w:r w:rsidR="00F6534A" w:rsidRPr="00F70F0F">
        <w:rPr>
          <w:rFonts w:ascii="Times New Roman" w:hAnsi="Times New Roman" w:cs="Times New Roman"/>
          <w:i/>
          <w:sz w:val="24"/>
          <w:szCs w:val="24"/>
          <w:shd w:val="clear" w:color="auto" w:fill="FFFFFF"/>
        </w:rPr>
        <w:t xml:space="preserve">Journal of </w:t>
      </w:r>
      <w:r w:rsidR="00A249ED" w:rsidRPr="00F70F0F">
        <w:rPr>
          <w:rFonts w:ascii="Times New Roman" w:hAnsi="Times New Roman" w:cs="Times New Roman"/>
          <w:i/>
          <w:sz w:val="24"/>
          <w:szCs w:val="24"/>
          <w:shd w:val="clear" w:color="auto" w:fill="FFFFFF"/>
        </w:rPr>
        <w:t>F</w:t>
      </w:r>
      <w:r w:rsidR="00F6534A" w:rsidRPr="00F70F0F">
        <w:rPr>
          <w:rFonts w:ascii="Times New Roman" w:hAnsi="Times New Roman" w:cs="Times New Roman"/>
          <w:i/>
          <w:sz w:val="24"/>
          <w:szCs w:val="24"/>
          <w:shd w:val="clear" w:color="auto" w:fill="FFFFFF"/>
        </w:rPr>
        <w:t>inancial E</w:t>
      </w:r>
      <w:r w:rsidR="00B42073" w:rsidRPr="00F70F0F">
        <w:rPr>
          <w:rFonts w:ascii="Times New Roman" w:hAnsi="Times New Roman" w:cs="Times New Roman"/>
          <w:i/>
          <w:sz w:val="24"/>
          <w:szCs w:val="24"/>
          <w:shd w:val="clear" w:color="auto" w:fill="FFFFFF"/>
        </w:rPr>
        <w:t xml:space="preserve">conomics </w:t>
      </w:r>
      <w:r w:rsidR="00B42073" w:rsidRPr="00357722">
        <w:rPr>
          <w:rFonts w:ascii="Times New Roman" w:hAnsi="Times New Roman" w:cs="Times New Roman"/>
          <w:sz w:val="24"/>
          <w:szCs w:val="24"/>
          <w:shd w:val="clear" w:color="auto" w:fill="FFFFFF"/>
        </w:rPr>
        <w:t>110</w:t>
      </w:r>
      <w:r w:rsidR="00F6534A" w:rsidRPr="00357722">
        <w:rPr>
          <w:rFonts w:ascii="Times New Roman" w:hAnsi="Times New Roman" w:cs="Times New Roman"/>
          <w:sz w:val="24"/>
          <w:szCs w:val="24"/>
          <w:shd w:val="clear" w:color="auto" w:fill="FFFFFF"/>
        </w:rPr>
        <w:t>, 520</w:t>
      </w:r>
      <w:r w:rsidR="00B42073" w:rsidRPr="00357722">
        <w:rPr>
          <w:rFonts w:ascii="Times New Roman" w:hAnsi="Times New Roman" w:cs="Times New Roman"/>
          <w:color w:val="000000" w:themeColor="text1"/>
          <w:sz w:val="24"/>
          <w:szCs w:val="24"/>
        </w:rPr>
        <w:t>–</w:t>
      </w:r>
      <w:r w:rsidR="00F6534A" w:rsidRPr="00357722">
        <w:rPr>
          <w:rFonts w:ascii="Times New Roman" w:hAnsi="Times New Roman" w:cs="Times New Roman"/>
          <w:sz w:val="24"/>
          <w:szCs w:val="24"/>
          <w:shd w:val="clear" w:color="auto" w:fill="FFFFFF"/>
        </w:rPr>
        <w:t>545.</w:t>
      </w:r>
    </w:p>
    <w:p w14:paraId="552EC1DF" w14:textId="6019436F"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Rajan, R. G. &amp;</w:t>
      </w:r>
      <w:r w:rsidR="00B42073" w:rsidRPr="00357722">
        <w:rPr>
          <w:rFonts w:ascii="Times New Roman" w:hAnsi="Times New Roman" w:cs="Times New Roman"/>
          <w:sz w:val="24"/>
          <w:szCs w:val="24"/>
          <w:shd w:val="clear" w:color="auto" w:fill="FFFFFF"/>
        </w:rPr>
        <w:t xml:space="preserve"> Zingales, L. </w:t>
      </w:r>
      <w:r>
        <w:rPr>
          <w:rFonts w:ascii="Times New Roman" w:hAnsi="Times New Roman" w:cs="Times New Roman"/>
          <w:sz w:val="24"/>
          <w:szCs w:val="24"/>
          <w:shd w:val="clear" w:color="auto" w:fill="FFFFFF"/>
        </w:rPr>
        <w:t>(</w:t>
      </w:r>
      <w:r w:rsidR="00B42073" w:rsidRPr="00357722">
        <w:rPr>
          <w:rFonts w:ascii="Times New Roman" w:hAnsi="Times New Roman" w:cs="Times New Roman"/>
          <w:sz w:val="24"/>
          <w:szCs w:val="24"/>
          <w:shd w:val="clear" w:color="auto" w:fill="FFFFFF"/>
        </w:rPr>
        <w:t>2003</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The great reversals: the politics of financial development in the twentieth century. </w:t>
      </w:r>
      <w:r w:rsidR="00F6534A" w:rsidRPr="00F70F0F">
        <w:rPr>
          <w:rFonts w:ascii="Times New Roman" w:hAnsi="Times New Roman" w:cs="Times New Roman"/>
          <w:i/>
          <w:sz w:val="24"/>
          <w:szCs w:val="24"/>
          <w:shd w:val="clear" w:color="auto" w:fill="FFFFFF"/>
        </w:rPr>
        <w:t>Journ</w:t>
      </w:r>
      <w:r w:rsidR="00B42073" w:rsidRPr="00F70F0F">
        <w:rPr>
          <w:rFonts w:ascii="Times New Roman" w:hAnsi="Times New Roman" w:cs="Times New Roman"/>
          <w:i/>
          <w:sz w:val="24"/>
          <w:szCs w:val="24"/>
          <w:shd w:val="clear" w:color="auto" w:fill="FFFFFF"/>
        </w:rPr>
        <w:t>al of financial economics</w:t>
      </w:r>
      <w:r w:rsidR="00B42073" w:rsidRPr="00357722">
        <w:rPr>
          <w:rFonts w:ascii="Times New Roman" w:hAnsi="Times New Roman" w:cs="Times New Roman"/>
          <w:sz w:val="24"/>
          <w:szCs w:val="24"/>
          <w:shd w:val="clear" w:color="auto" w:fill="FFFFFF"/>
        </w:rPr>
        <w:t> 69</w:t>
      </w:r>
      <w:r w:rsidR="00F6534A" w:rsidRPr="00357722">
        <w:rPr>
          <w:rFonts w:ascii="Times New Roman" w:hAnsi="Times New Roman" w:cs="Times New Roman"/>
          <w:sz w:val="24"/>
          <w:szCs w:val="24"/>
          <w:shd w:val="clear" w:color="auto" w:fill="FFFFFF"/>
        </w:rPr>
        <w:t>, 5</w:t>
      </w:r>
      <w:r w:rsidR="00B42073" w:rsidRPr="00357722">
        <w:rPr>
          <w:rFonts w:ascii="Times New Roman" w:hAnsi="Times New Roman" w:cs="Times New Roman"/>
          <w:color w:val="000000" w:themeColor="text1"/>
          <w:sz w:val="24"/>
          <w:szCs w:val="24"/>
        </w:rPr>
        <w:t>–</w:t>
      </w:r>
      <w:r w:rsidR="00F6534A" w:rsidRPr="00357722">
        <w:rPr>
          <w:rFonts w:ascii="Times New Roman" w:hAnsi="Times New Roman" w:cs="Times New Roman"/>
          <w:sz w:val="24"/>
          <w:szCs w:val="24"/>
          <w:shd w:val="clear" w:color="auto" w:fill="FFFFFF"/>
        </w:rPr>
        <w:t>50.</w:t>
      </w:r>
      <w:r w:rsidR="00B42073" w:rsidRPr="00357722">
        <w:rPr>
          <w:rFonts w:ascii="Times New Roman" w:hAnsi="Times New Roman" w:cs="Times New Roman"/>
          <w:sz w:val="24"/>
          <w:szCs w:val="24"/>
          <w:shd w:val="clear" w:color="auto" w:fill="FFFFFF"/>
        </w:rPr>
        <w:t xml:space="preserve"> </w:t>
      </w:r>
    </w:p>
    <w:p w14:paraId="53C99682" w14:textId="7BB79F75"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Roe, M.</w:t>
      </w:r>
      <w:r w:rsidR="001A4DB9" w:rsidRPr="0035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1A4DB9" w:rsidRPr="00357722">
        <w:rPr>
          <w:rFonts w:ascii="Times New Roman" w:hAnsi="Times New Roman" w:cs="Times New Roman"/>
          <w:sz w:val="24"/>
          <w:szCs w:val="24"/>
          <w:shd w:val="clear" w:color="auto" w:fill="FFFFFF"/>
        </w:rPr>
        <w:t>2006</w:t>
      </w:r>
      <w:r>
        <w:rPr>
          <w:rFonts w:ascii="Times New Roman" w:hAnsi="Times New Roman" w:cs="Times New Roman"/>
          <w:sz w:val="24"/>
          <w:szCs w:val="24"/>
          <w:shd w:val="clear" w:color="auto" w:fill="FFFFFF"/>
        </w:rPr>
        <w:t>)</w:t>
      </w:r>
      <w:r w:rsidR="001A4DB9" w:rsidRPr="00357722">
        <w:rPr>
          <w:rFonts w:ascii="Times New Roman" w:hAnsi="Times New Roman" w:cs="Times New Roman"/>
          <w:sz w:val="24"/>
          <w:szCs w:val="24"/>
          <w:shd w:val="clear" w:color="auto" w:fill="FFFFFF"/>
        </w:rPr>
        <w:t>. Legal origins, politics, and modern stock markets. Harvard Law Review 120, 460–527.</w:t>
      </w:r>
    </w:p>
    <w:p w14:paraId="4A77069A" w14:textId="79AC3ADC" w:rsidR="00C6354D" w:rsidRPr="00357722" w:rsidRDefault="001E0B16" w:rsidP="00C6354D">
      <w:pPr>
        <w:spacing w:after="0" w:line="360" w:lineRule="auto"/>
        <w:ind w:left="426" w:hanging="426"/>
        <w:jc w:val="both"/>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Roe, M. &amp; Siegel, J.</w:t>
      </w:r>
      <w:r w:rsidR="001A4DB9" w:rsidRPr="0035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1A4DB9" w:rsidRPr="00357722">
        <w:rPr>
          <w:rFonts w:ascii="Times New Roman" w:hAnsi="Times New Roman" w:cs="Times New Roman"/>
          <w:sz w:val="24"/>
          <w:szCs w:val="24"/>
          <w:shd w:val="clear" w:color="auto" w:fill="FFFFFF"/>
        </w:rPr>
        <w:t>2008</w:t>
      </w:r>
      <w:r>
        <w:rPr>
          <w:rFonts w:ascii="Times New Roman" w:hAnsi="Times New Roman" w:cs="Times New Roman"/>
          <w:sz w:val="24"/>
          <w:szCs w:val="24"/>
          <w:shd w:val="clear" w:color="auto" w:fill="FFFFFF"/>
        </w:rPr>
        <w:t>)</w:t>
      </w:r>
      <w:r w:rsidR="001A4DB9" w:rsidRPr="00357722">
        <w:rPr>
          <w:rFonts w:ascii="Times New Roman" w:hAnsi="Times New Roman" w:cs="Times New Roman"/>
          <w:sz w:val="24"/>
          <w:szCs w:val="24"/>
          <w:shd w:val="clear" w:color="auto" w:fill="FFFFFF"/>
        </w:rPr>
        <w:t>. Political instability: its effects on financial development, its roots in the severity of economic inequality. Unpublished working paper. Harvard University.</w:t>
      </w:r>
    </w:p>
    <w:p w14:paraId="3B0C92F6" w14:textId="2D748747" w:rsidR="00C6354D" w:rsidRPr="00357722" w:rsidRDefault="00676830"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Roe, M.</w:t>
      </w:r>
      <w:r w:rsidR="00B42073"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J. &amp;</w:t>
      </w:r>
      <w:r w:rsidRPr="00357722">
        <w:rPr>
          <w:rFonts w:ascii="Times New Roman" w:hAnsi="Times New Roman" w:cs="Times New Roman"/>
          <w:sz w:val="24"/>
          <w:szCs w:val="24"/>
          <w:shd w:val="clear" w:color="auto" w:fill="FFFFFF"/>
        </w:rPr>
        <w:t xml:space="preserve"> Siegel, J. I.</w:t>
      </w:r>
      <w:r w:rsidR="00B42073" w:rsidRPr="00357722">
        <w:rPr>
          <w:rFonts w:ascii="Times New Roman" w:hAnsi="Times New Roman" w:cs="Times New Roman"/>
          <w:sz w:val="24"/>
          <w:szCs w:val="24"/>
          <w:shd w:val="clear" w:color="auto" w:fill="FFFFFF"/>
        </w:rPr>
        <w:t xml:space="preserve"> </w:t>
      </w:r>
      <w:r w:rsidR="001E0B16">
        <w:rPr>
          <w:rFonts w:ascii="Times New Roman" w:hAnsi="Times New Roman" w:cs="Times New Roman"/>
          <w:sz w:val="24"/>
          <w:szCs w:val="24"/>
          <w:shd w:val="clear" w:color="auto" w:fill="FFFFFF"/>
        </w:rPr>
        <w:t>(</w:t>
      </w:r>
      <w:r w:rsidR="00594B84">
        <w:rPr>
          <w:rFonts w:ascii="Times New Roman" w:hAnsi="Times New Roman" w:cs="Times New Roman"/>
          <w:sz w:val="24"/>
          <w:szCs w:val="24"/>
          <w:shd w:val="clear" w:color="auto" w:fill="FFFFFF"/>
        </w:rPr>
        <w:t>2011</w:t>
      </w:r>
      <w:r w:rsidR="001E0B16">
        <w:rPr>
          <w:rFonts w:ascii="Times New Roman" w:hAnsi="Times New Roman" w:cs="Times New Roman"/>
          <w:sz w:val="24"/>
          <w:szCs w:val="24"/>
          <w:shd w:val="clear" w:color="auto" w:fill="FFFFFF"/>
        </w:rPr>
        <w:t>)</w:t>
      </w:r>
      <w:r w:rsidR="00594B84">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w:t>
      </w:r>
      <w:r w:rsidR="00B42073" w:rsidRPr="00357722">
        <w:rPr>
          <w:rFonts w:ascii="Times New Roman" w:hAnsi="Times New Roman" w:cs="Times New Roman"/>
          <w:sz w:val="24"/>
          <w:szCs w:val="24"/>
          <w:shd w:val="clear" w:color="auto" w:fill="FFFFFF"/>
        </w:rPr>
        <w:t>P</w:t>
      </w:r>
      <w:r w:rsidRPr="00357722">
        <w:rPr>
          <w:rFonts w:ascii="Times New Roman" w:hAnsi="Times New Roman" w:cs="Times New Roman"/>
          <w:sz w:val="24"/>
          <w:szCs w:val="24"/>
          <w:shd w:val="clear" w:color="auto" w:fill="FFFFFF"/>
        </w:rPr>
        <w:t xml:space="preserve">olitical </w:t>
      </w:r>
      <w:r w:rsidR="00B42073" w:rsidRPr="00357722">
        <w:rPr>
          <w:rFonts w:ascii="Times New Roman" w:hAnsi="Times New Roman" w:cs="Times New Roman"/>
          <w:sz w:val="24"/>
          <w:szCs w:val="24"/>
          <w:shd w:val="clear" w:color="auto" w:fill="FFFFFF"/>
        </w:rPr>
        <w:t>i</w:t>
      </w:r>
      <w:r w:rsidRPr="00357722">
        <w:rPr>
          <w:rFonts w:ascii="Times New Roman" w:hAnsi="Times New Roman" w:cs="Times New Roman"/>
          <w:sz w:val="24"/>
          <w:szCs w:val="24"/>
          <w:shd w:val="clear" w:color="auto" w:fill="FFFFFF"/>
        </w:rPr>
        <w:t xml:space="preserve">nstability: </w:t>
      </w:r>
      <w:r w:rsidR="00B42073" w:rsidRPr="00357722">
        <w:rPr>
          <w:rFonts w:ascii="Times New Roman" w:hAnsi="Times New Roman" w:cs="Times New Roman"/>
          <w:sz w:val="24"/>
          <w:szCs w:val="24"/>
          <w:shd w:val="clear" w:color="auto" w:fill="FFFFFF"/>
        </w:rPr>
        <w:t>e</w:t>
      </w:r>
      <w:r w:rsidRPr="00357722">
        <w:rPr>
          <w:rFonts w:ascii="Times New Roman" w:hAnsi="Times New Roman" w:cs="Times New Roman"/>
          <w:sz w:val="24"/>
          <w:szCs w:val="24"/>
          <w:shd w:val="clear" w:color="auto" w:fill="FFFFFF"/>
        </w:rPr>
        <w:t xml:space="preserve">ffects on </w:t>
      </w:r>
      <w:r w:rsidR="00B42073" w:rsidRPr="00357722">
        <w:rPr>
          <w:rFonts w:ascii="Times New Roman" w:hAnsi="Times New Roman" w:cs="Times New Roman"/>
          <w:sz w:val="24"/>
          <w:szCs w:val="24"/>
          <w:shd w:val="clear" w:color="auto" w:fill="FFFFFF"/>
        </w:rPr>
        <w:t>f</w:t>
      </w:r>
      <w:r w:rsidRPr="00357722">
        <w:rPr>
          <w:rFonts w:ascii="Times New Roman" w:hAnsi="Times New Roman" w:cs="Times New Roman"/>
          <w:sz w:val="24"/>
          <w:szCs w:val="24"/>
          <w:shd w:val="clear" w:color="auto" w:fill="FFFFFF"/>
        </w:rPr>
        <w:t xml:space="preserve">inancial </w:t>
      </w:r>
      <w:r w:rsidR="00B42073" w:rsidRPr="00357722">
        <w:rPr>
          <w:rFonts w:ascii="Times New Roman" w:hAnsi="Times New Roman" w:cs="Times New Roman"/>
          <w:sz w:val="24"/>
          <w:szCs w:val="24"/>
          <w:shd w:val="clear" w:color="auto" w:fill="FFFFFF"/>
        </w:rPr>
        <w:t>d</w:t>
      </w:r>
      <w:r w:rsidRPr="00357722">
        <w:rPr>
          <w:rFonts w:ascii="Times New Roman" w:hAnsi="Times New Roman" w:cs="Times New Roman"/>
          <w:sz w:val="24"/>
          <w:szCs w:val="24"/>
          <w:shd w:val="clear" w:color="auto" w:fill="FFFFFF"/>
        </w:rPr>
        <w:t>evelopment,</w:t>
      </w:r>
      <w:r w:rsidR="00B42073" w:rsidRPr="00357722">
        <w:rPr>
          <w:rFonts w:ascii="Times New Roman" w:hAnsi="Times New Roman" w:cs="Times New Roman"/>
          <w:sz w:val="24"/>
          <w:szCs w:val="24"/>
          <w:shd w:val="clear" w:color="auto" w:fill="FFFFFF"/>
        </w:rPr>
        <w:t xml:space="preserve"> r</w:t>
      </w:r>
      <w:r w:rsidRPr="00357722">
        <w:rPr>
          <w:rFonts w:ascii="Times New Roman" w:hAnsi="Times New Roman" w:cs="Times New Roman"/>
          <w:sz w:val="24"/>
          <w:szCs w:val="24"/>
          <w:shd w:val="clear" w:color="auto" w:fill="FFFFFF"/>
        </w:rPr>
        <w:t xml:space="preserve">oots in the </w:t>
      </w:r>
      <w:r w:rsidR="00B42073" w:rsidRPr="00357722">
        <w:rPr>
          <w:rFonts w:ascii="Times New Roman" w:hAnsi="Times New Roman" w:cs="Times New Roman"/>
          <w:sz w:val="24"/>
          <w:szCs w:val="24"/>
          <w:shd w:val="clear" w:color="auto" w:fill="FFFFFF"/>
        </w:rPr>
        <w:t>s</w:t>
      </w:r>
      <w:r w:rsidRPr="00357722">
        <w:rPr>
          <w:rFonts w:ascii="Times New Roman" w:hAnsi="Times New Roman" w:cs="Times New Roman"/>
          <w:sz w:val="24"/>
          <w:szCs w:val="24"/>
          <w:shd w:val="clear" w:color="auto" w:fill="FFFFFF"/>
        </w:rPr>
        <w:t xml:space="preserve">everity of </w:t>
      </w:r>
      <w:r w:rsidR="00B42073" w:rsidRPr="00357722">
        <w:rPr>
          <w:rFonts w:ascii="Times New Roman" w:hAnsi="Times New Roman" w:cs="Times New Roman"/>
          <w:sz w:val="24"/>
          <w:szCs w:val="24"/>
          <w:shd w:val="clear" w:color="auto" w:fill="FFFFFF"/>
        </w:rPr>
        <w:t>e</w:t>
      </w:r>
      <w:r w:rsidRPr="00357722">
        <w:rPr>
          <w:rFonts w:ascii="Times New Roman" w:hAnsi="Times New Roman" w:cs="Times New Roman"/>
          <w:sz w:val="24"/>
          <w:szCs w:val="24"/>
          <w:shd w:val="clear" w:color="auto" w:fill="FFFFFF"/>
        </w:rPr>
        <w:t xml:space="preserve">conomic </w:t>
      </w:r>
      <w:r w:rsidR="00B42073" w:rsidRPr="00357722">
        <w:rPr>
          <w:rFonts w:ascii="Times New Roman" w:hAnsi="Times New Roman" w:cs="Times New Roman"/>
          <w:sz w:val="24"/>
          <w:szCs w:val="24"/>
          <w:shd w:val="clear" w:color="auto" w:fill="FFFFFF"/>
        </w:rPr>
        <w:t>i</w:t>
      </w:r>
      <w:r w:rsidRPr="00357722">
        <w:rPr>
          <w:rFonts w:ascii="Times New Roman" w:hAnsi="Times New Roman" w:cs="Times New Roman"/>
          <w:sz w:val="24"/>
          <w:szCs w:val="24"/>
          <w:shd w:val="clear" w:color="auto" w:fill="FFFFFF"/>
        </w:rPr>
        <w:t>nequality</w:t>
      </w:r>
      <w:r w:rsidR="00B42073"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w:t>
      </w:r>
      <w:r w:rsidRPr="00F70F0F">
        <w:rPr>
          <w:rFonts w:ascii="Times New Roman" w:hAnsi="Times New Roman" w:cs="Times New Roman"/>
          <w:i/>
          <w:sz w:val="24"/>
          <w:szCs w:val="24"/>
          <w:shd w:val="clear" w:color="auto" w:fill="FFFFFF"/>
        </w:rPr>
        <w:t>Journal of Comparative Economics</w:t>
      </w:r>
      <w:r w:rsidR="00B42073" w:rsidRPr="00357722">
        <w:rPr>
          <w:rFonts w:ascii="Times New Roman" w:hAnsi="Times New Roman" w:cs="Times New Roman"/>
          <w:sz w:val="24"/>
          <w:szCs w:val="24"/>
          <w:shd w:val="clear" w:color="auto" w:fill="FFFFFF"/>
        </w:rPr>
        <w:t xml:space="preserve"> 39, </w:t>
      </w:r>
      <w:r w:rsidR="00B42073" w:rsidRPr="00357722">
        <w:rPr>
          <w:rFonts w:ascii="Times New Roman" w:hAnsi="Times New Roman" w:cs="Times New Roman"/>
          <w:color w:val="2E2E2E"/>
          <w:sz w:val="24"/>
          <w:szCs w:val="24"/>
        </w:rPr>
        <w:t>279-309.</w:t>
      </w:r>
    </w:p>
    <w:p w14:paraId="4BE98CC2" w14:textId="7EEFD3DE" w:rsidR="00C6354D" w:rsidRPr="00357722" w:rsidRDefault="004670B6"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Rosenberg, N</w:t>
      </w:r>
      <w:r w:rsidR="001E0B16">
        <w:rPr>
          <w:rFonts w:ascii="Times New Roman" w:hAnsi="Times New Roman" w:cs="Times New Roman"/>
          <w:sz w:val="24"/>
          <w:szCs w:val="24"/>
          <w:shd w:val="clear" w:color="auto" w:fill="FFFFFF"/>
        </w:rPr>
        <w:t>. &amp;</w:t>
      </w:r>
      <w:r w:rsidRPr="00357722">
        <w:rPr>
          <w:rFonts w:ascii="Times New Roman" w:hAnsi="Times New Roman" w:cs="Times New Roman"/>
          <w:sz w:val="24"/>
          <w:szCs w:val="24"/>
          <w:shd w:val="clear" w:color="auto" w:fill="FFFFFF"/>
        </w:rPr>
        <w:t xml:space="preserve"> </w:t>
      </w:r>
      <w:proofErr w:type="spellStart"/>
      <w:r w:rsidRPr="00357722">
        <w:rPr>
          <w:rFonts w:ascii="Times New Roman" w:hAnsi="Times New Roman" w:cs="Times New Roman"/>
          <w:sz w:val="24"/>
          <w:szCs w:val="24"/>
          <w:shd w:val="clear" w:color="auto" w:fill="FFFFFF"/>
        </w:rPr>
        <w:t>Birdzell</w:t>
      </w:r>
      <w:proofErr w:type="spellEnd"/>
      <w:r w:rsidRPr="00357722">
        <w:rPr>
          <w:rFonts w:ascii="Times New Roman" w:hAnsi="Times New Roman" w:cs="Times New Roman"/>
          <w:sz w:val="24"/>
          <w:szCs w:val="24"/>
          <w:shd w:val="clear" w:color="auto" w:fill="FFFFFF"/>
        </w:rPr>
        <w:t xml:space="preserve">, L.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1986</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iCs/>
          <w:sz w:val="24"/>
          <w:szCs w:val="24"/>
          <w:shd w:val="clear" w:color="auto" w:fill="FFFFFF"/>
        </w:rPr>
        <w:t>How the West grew rich</w:t>
      </w:r>
      <w:r w:rsidRPr="00357722">
        <w:rPr>
          <w:rFonts w:ascii="Times New Roman" w:hAnsi="Times New Roman" w:cs="Times New Roman"/>
          <w:sz w:val="24"/>
          <w:szCs w:val="24"/>
          <w:shd w:val="clear" w:color="auto" w:fill="FFFFFF"/>
        </w:rPr>
        <w:t>. New York: Basic Books.</w:t>
      </w:r>
    </w:p>
    <w:p w14:paraId="026623BC" w14:textId="46078F17" w:rsidR="00C6354D" w:rsidRPr="00357722" w:rsidRDefault="00F6534A" w:rsidP="00C6354D">
      <w:pPr>
        <w:spacing w:after="0" w:line="360" w:lineRule="auto"/>
        <w:ind w:left="426" w:hanging="426"/>
        <w:jc w:val="both"/>
        <w:rPr>
          <w:rFonts w:ascii="Times New Roman" w:eastAsia="Calibri" w:hAnsi="Times New Roman" w:cs="Times New Roman"/>
          <w:sz w:val="24"/>
          <w:szCs w:val="24"/>
          <w:lang w:eastAsia="en-US"/>
        </w:rPr>
      </w:pPr>
      <w:proofErr w:type="spellStart"/>
      <w:r w:rsidRPr="00357722">
        <w:rPr>
          <w:rFonts w:ascii="Times New Roman" w:hAnsi="Times New Roman" w:cs="Times New Roman"/>
          <w:sz w:val="24"/>
          <w:szCs w:val="24"/>
          <w:shd w:val="clear" w:color="auto" w:fill="FFFFFF"/>
        </w:rPr>
        <w:t>Nouriel</w:t>
      </w:r>
      <w:proofErr w:type="spellEnd"/>
      <w:r w:rsidR="001E0B16">
        <w:rPr>
          <w:rFonts w:ascii="Times New Roman" w:hAnsi="Times New Roman" w:cs="Times New Roman"/>
          <w:sz w:val="24"/>
          <w:szCs w:val="24"/>
          <w:shd w:val="clear" w:color="auto" w:fill="FFFFFF"/>
        </w:rPr>
        <w:t>, R. &amp;</w:t>
      </w:r>
      <w:r w:rsidR="00B42073"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Sala-</w:t>
      </w:r>
      <w:proofErr w:type="spellStart"/>
      <w:r w:rsidRPr="00357722">
        <w:rPr>
          <w:rFonts w:ascii="Times New Roman" w:hAnsi="Times New Roman" w:cs="Times New Roman"/>
          <w:sz w:val="24"/>
          <w:szCs w:val="24"/>
          <w:shd w:val="clear" w:color="auto" w:fill="FFFFFF"/>
        </w:rPr>
        <w:t>i</w:t>
      </w:r>
      <w:proofErr w:type="spellEnd"/>
      <w:r w:rsidR="00B42073" w:rsidRPr="00357722">
        <w:rPr>
          <w:rFonts w:ascii="Times New Roman" w:hAnsi="Times New Roman" w:cs="Times New Roman"/>
          <w:sz w:val="24"/>
          <w:szCs w:val="24"/>
          <w:shd w:val="clear" w:color="auto" w:fill="FFFFFF"/>
        </w:rPr>
        <w:t xml:space="preserve">-Martin, X. </w:t>
      </w:r>
      <w:r w:rsidR="001E0B16">
        <w:rPr>
          <w:rFonts w:ascii="Times New Roman" w:hAnsi="Times New Roman" w:cs="Times New Roman"/>
          <w:sz w:val="24"/>
          <w:szCs w:val="24"/>
          <w:shd w:val="clear" w:color="auto" w:fill="FFFFFF"/>
        </w:rPr>
        <w:t>(</w:t>
      </w:r>
      <w:r w:rsidR="00B42073" w:rsidRPr="00357722">
        <w:rPr>
          <w:rFonts w:ascii="Times New Roman" w:hAnsi="Times New Roman" w:cs="Times New Roman"/>
          <w:sz w:val="24"/>
          <w:szCs w:val="24"/>
          <w:shd w:val="clear" w:color="auto" w:fill="FFFFFF"/>
        </w:rPr>
        <w:t>1992</w:t>
      </w:r>
      <w:r w:rsidR="001E0B16">
        <w:rPr>
          <w:rFonts w:ascii="Times New Roman" w:hAnsi="Times New Roman" w:cs="Times New Roman"/>
          <w:sz w:val="24"/>
          <w:szCs w:val="24"/>
          <w:shd w:val="clear" w:color="auto" w:fill="FFFFFF"/>
        </w:rPr>
        <w:t>)</w:t>
      </w:r>
      <w:r w:rsidR="00B42073" w:rsidRPr="00357722">
        <w:rPr>
          <w:rFonts w:ascii="Times New Roman" w:hAnsi="Times New Roman" w:cs="Times New Roman"/>
          <w:sz w:val="24"/>
          <w:szCs w:val="24"/>
          <w:shd w:val="clear" w:color="auto" w:fill="FFFFFF"/>
        </w:rPr>
        <w:t xml:space="preserve">. </w:t>
      </w:r>
      <w:r w:rsidRPr="00357722">
        <w:rPr>
          <w:rFonts w:ascii="Times New Roman" w:hAnsi="Times New Roman" w:cs="Times New Roman"/>
          <w:sz w:val="24"/>
          <w:szCs w:val="24"/>
          <w:shd w:val="clear" w:color="auto" w:fill="FFFFFF"/>
        </w:rPr>
        <w:t>Financial r</w:t>
      </w:r>
      <w:r w:rsidR="00B42073" w:rsidRPr="00357722">
        <w:rPr>
          <w:rFonts w:ascii="Times New Roman" w:hAnsi="Times New Roman" w:cs="Times New Roman"/>
          <w:sz w:val="24"/>
          <w:szCs w:val="24"/>
          <w:shd w:val="clear" w:color="auto" w:fill="FFFFFF"/>
        </w:rPr>
        <w:t xml:space="preserve">epression and economic growth. </w:t>
      </w:r>
      <w:r w:rsidRPr="00F70F0F">
        <w:rPr>
          <w:rFonts w:ascii="Times New Roman" w:hAnsi="Times New Roman" w:cs="Times New Roman"/>
          <w:i/>
          <w:sz w:val="24"/>
          <w:szCs w:val="24"/>
          <w:shd w:val="clear" w:color="auto" w:fill="FFFFFF"/>
        </w:rPr>
        <w:t>Journal</w:t>
      </w:r>
      <w:r w:rsidR="00B42073" w:rsidRPr="00F70F0F">
        <w:rPr>
          <w:rFonts w:ascii="Times New Roman" w:hAnsi="Times New Roman" w:cs="Times New Roman"/>
          <w:i/>
          <w:sz w:val="24"/>
          <w:szCs w:val="24"/>
          <w:shd w:val="clear" w:color="auto" w:fill="FFFFFF"/>
        </w:rPr>
        <w:t xml:space="preserve"> of Development Economics </w:t>
      </w:r>
      <w:r w:rsidR="00B42073" w:rsidRPr="00357722">
        <w:rPr>
          <w:rFonts w:ascii="Times New Roman" w:hAnsi="Times New Roman" w:cs="Times New Roman"/>
          <w:sz w:val="24"/>
          <w:szCs w:val="24"/>
          <w:shd w:val="clear" w:color="auto" w:fill="FFFFFF"/>
        </w:rPr>
        <w:t>39, 5</w:t>
      </w:r>
      <w:r w:rsidR="00B42073" w:rsidRPr="00357722">
        <w:rPr>
          <w:rFonts w:ascii="Times New Roman" w:hAnsi="Times New Roman" w:cs="Times New Roman"/>
          <w:color w:val="000000" w:themeColor="text1"/>
          <w:sz w:val="24"/>
          <w:szCs w:val="24"/>
        </w:rPr>
        <w:t>–30.</w:t>
      </w:r>
    </w:p>
    <w:p w14:paraId="36BEE382" w14:textId="0BC16B36" w:rsidR="00F04D47" w:rsidRPr="00357722" w:rsidRDefault="00F04D47" w:rsidP="00F04D47">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 xml:space="preserve">Sobiech, I.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2019</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Remittances, finance and growth: Does financial development foster the impact of remittances on economic </w:t>
      </w:r>
      <w:proofErr w:type="gramStart"/>
      <w:r w:rsidRPr="00357722">
        <w:rPr>
          <w:rFonts w:ascii="Times New Roman" w:hAnsi="Times New Roman" w:cs="Times New Roman"/>
          <w:sz w:val="24"/>
          <w:szCs w:val="24"/>
          <w:shd w:val="clear" w:color="auto" w:fill="FFFFFF"/>
        </w:rPr>
        <w:t>growth?.</w:t>
      </w:r>
      <w:proofErr w:type="gramEnd"/>
      <w:r w:rsidRPr="00357722">
        <w:rPr>
          <w:rFonts w:ascii="Times New Roman" w:hAnsi="Times New Roman" w:cs="Times New Roman"/>
          <w:sz w:val="24"/>
          <w:szCs w:val="24"/>
          <w:shd w:val="clear" w:color="auto" w:fill="FFFFFF"/>
        </w:rPr>
        <w:t> </w:t>
      </w:r>
      <w:r w:rsidRPr="00F70F0F">
        <w:rPr>
          <w:rFonts w:ascii="Times New Roman" w:hAnsi="Times New Roman" w:cs="Times New Roman"/>
          <w:i/>
          <w:sz w:val="24"/>
          <w:szCs w:val="24"/>
          <w:shd w:val="clear" w:color="auto" w:fill="FFFFFF"/>
        </w:rPr>
        <w:t>World Development</w:t>
      </w:r>
      <w:r w:rsidRPr="00357722">
        <w:rPr>
          <w:rFonts w:ascii="Times New Roman" w:hAnsi="Times New Roman" w:cs="Times New Roman"/>
          <w:sz w:val="24"/>
          <w:szCs w:val="24"/>
          <w:shd w:val="clear" w:color="auto" w:fill="FFFFFF"/>
        </w:rPr>
        <w:t> 113, 44–59.</w:t>
      </w:r>
    </w:p>
    <w:p w14:paraId="710C2E5D" w14:textId="74769632" w:rsidR="00F04D47" w:rsidRPr="00357722" w:rsidRDefault="00F04D47" w:rsidP="00F04D47">
      <w:pPr>
        <w:spacing w:after="0" w:line="360" w:lineRule="auto"/>
        <w:ind w:left="426" w:hanging="426"/>
        <w:jc w:val="both"/>
        <w:rPr>
          <w:rFonts w:ascii="Times New Roman" w:eastAsia="Calibri" w:hAnsi="Times New Roman" w:cs="Times New Roman"/>
          <w:sz w:val="24"/>
          <w:szCs w:val="24"/>
          <w:lang w:eastAsia="en-US"/>
        </w:rPr>
      </w:pPr>
      <w:bookmarkStart w:id="14" w:name="_Hlk39922858"/>
      <w:r w:rsidRPr="00357722">
        <w:rPr>
          <w:rFonts w:ascii="Times New Roman" w:hAnsi="Times New Roman" w:cs="Times New Roman"/>
          <w:sz w:val="24"/>
          <w:szCs w:val="24"/>
          <w:shd w:val="clear" w:color="auto" w:fill="FFFFFF"/>
        </w:rPr>
        <w:t xml:space="preserve">Stiglitz, J. E.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2000</w:t>
      </w:r>
      <w:bookmarkEnd w:id="14"/>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Capital market liberalization, economic growth, and instability. </w:t>
      </w:r>
      <w:r w:rsidRPr="00F70F0F">
        <w:rPr>
          <w:rFonts w:ascii="Times New Roman" w:hAnsi="Times New Roman" w:cs="Times New Roman"/>
          <w:i/>
          <w:sz w:val="24"/>
          <w:szCs w:val="24"/>
          <w:shd w:val="clear" w:color="auto" w:fill="FFFFFF"/>
        </w:rPr>
        <w:t>World Development</w:t>
      </w:r>
      <w:r w:rsidRPr="00357722">
        <w:rPr>
          <w:rFonts w:ascii="Times New Roman" w:hAnsi="Times New Roman" w:cs="Times New Roman"/>
          <w:sz w:val="24"/>
          <w:szCs w:val="24"/>
          <w:shd w:val="clear" w:color="auto" w:fill="FFFFFF"/>
        </w:rPr>
        <w:t xml:space="preserve"> 28, 1075–1086. </w:t>
      </w:r>
    </w:p>
    <w:p w14:paraId="5F9DD883" w14:textId="626E273D" w:rsidR="00C6354D" w:rsidRPr="00357722" w:rsidRDefault="00F6534A"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Stulz</w:t>
      </w:r>
      <w:r w:rsidR="00B42073"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R</w:t>
      </w:r>
      <w:r w:rsidR="00B42073" w:rsidRPr="00357722">
        <w:rPr>
          <w:rFonts w:ascii="Times New Roman" w:hAnsi="Times New Roman" w:cs="Times New Roman"/>
          <w:sz w:val="24"/>
          <w:szCs w:val="24"/>
          <w:shd w:val="clear" w:color="auto" w:fill="FFFFFF"/>
        </w:rPr>
        <w:t xml:space="preserve">. M. </w:t>
      </w:r>
      <w:r w:rsidR="001E0B16">
        <w:rPr>
          <w:rFonts w:ascii="Times New Roman" w:hAnsi="Times New Roman" w:cs="Times New Roman"/>
          <w:sz w:val="24"/>
          <w:szCs w:val="24"/>
          <w:shd w:val="clear" w:color="auto" w:fill="FFFFFF"/>
        </w:rPr>
        <w:t>(</w:t>
      </w:r>
      <w:r w:rsidR="00B42073" w:rsidRPr="00357722">
        <w:rPr>
          <w:rFonts w:ascii="Times New Roman" w:hAnsi="Times New Roman" w:cs="Times New Roman"/>
          <w:sz w:val="24"/>
          <w:szCs w:val="24"/>
          <w:shd w:val="clear" w:color="auto" w:fill="FFFFFF"/>
        </w:rPr>
        <w:t>1999</w:t>
      </w:r>
      <w:r w:rsidR="001E0B16">
        <w:rPr>
          <w:rFonts w:ascii="Times New Roman" w:hAnsi="Times New Roman" w:cs="Times New Roman"/>
          <w:sz w:val="24"/>
          <w:szCs w:val="24"/>
          <w:shd w:val="clear" w:color="auto" w:fill="FFFFFF"/>
        </w:rPr>
        <w:t>)</w:t>
      </w:r>
      <w:r w:rsidR="00B42073" w:rsidRPr="00357722">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xml:space="preserve"> Globalization, corporate finance, and the cost of capital. </w:t>
      </w:r>
      <w:r w:rsidRPr="00F70F0F">
        <w:rPr>
          <w:rFonts w:ascii="Times New Roman" w:hAnsi="Times New Roman" w:cs="Times New Roman"/>
          <w:i/>
          <w:sz w:val="24"/>
          <w:szCs w:val="24"/>
          <w:shd w:val="clear" w:color="auto" w:fill="FFFFFF"/>
        </w:rPr>
        <w:t>J</w:t>
      </w:r>
      <w:r w:rsidR="00B42073" w:rsidRPr="00F70F0F">
        <w:rPr>
          <w:rFonts w:ascii="Times New Roman" w:hAnsi="Times New Roman" w:cs="Times New Roman"/>
          <w:i/>
          <w:sz w:val="24"/>
          <w:szCs w:val="24"/>
          <w:shd w:val="clear" w:color="auto" w:fill="FFFFFF"/>
        </w:rPr>
        <w:t>ournal of</w:t>
      </w:r>
      <w:r w:rsidRPr="00F70F0F">
        <w:rPr>
          <w:rFonts w:ascii="Times New Roman" w:hAnsi="Times New Roman" w:cs="Times New Roman"/>
          <w:i/>
          <w:sz w:val="24"/>
          <w:szCs w:val="24"/>
          <w:shd w:val="clear" w:color="auto" w:fill="FFFFFF"/>
        </w:rPr>
        <w:t xml:space="preserve"> Appl</w:t>
      </w:r>
      <w:r w:rsidR="00B42073" w:rsidRPr="00F70F0F">
        <w:rPr>
          <w:rFonts w:ascii="Times New Roman" w:hAnsi="Times New Roman" w:cs="Times New Roman"/>
          <w:i/>
          <w:sz w:val="24"/>
          <w:szCs w:val="24"/>
          <w:shd w:val="clear" w:color="auto" w:fill="FFFFFF"/>
        </w:rPr>
        <w:t>ied</w:t>
      </w:r>
      <w:r w:rsidRPr="00F70F0F">
        <w:rPr>
          <w:rFonts w:ascii="Times New Roman" w:hAnsi="Times New Roman" w:cs="Times New Roman"/>
          <w:i/>
          <w:sz w:val="24"/>
          <w:szCs w:val="24"/>
          <w:shd w:val="clear" w:color="auto" w:fill="FFFFFF"/>
        </w:rPr>
        <w:t xml:space="preserve"> Corp</w:t>
      </w:r>
      <w:r w:rsidR="00B42073" w:rsidRPr="00F70F0F">
        <w:rPr>
          <w:rFonts w:ascii="Times New Roman" w:hAnsi="Times New Roman" w:cs="Times New Roman"/>
          <w:i/>
          <w:sz w:val="24"/>
          <w:szCs w:val="24"/>
          <w:shd w:val="clear" w:color="auto" w:fill="FFFFFF"/>
        </w:rPr>
        <w:t>orate</w:t>
      </w:r>
      <w:r w:rsidRPr="00F70F0F">
        <w:rPr>
          <w:rFonts w:ascii="Times New Roman" w:hAnsi="Times New Roman" w:cs="Times New Roman"/>
          <w:i/>
          <w:sz w:val="24"/>
          <w:szCs w:val="24"/>
          <w:shd w:val="clear" w:color="auto" w:fill="FFFFFF"/>
        </w:rPr>
        <w:t xml:space="preserve"> Finan</w:t>
      </w:r>
      <w:r w:rsidR="00B42073" w:rsidRPr="00F70F0F">
        <w:rPr>
          <w:rFonts w:ascii="Times New Roman" w:hAnsi="Times New Roman" w:cs="Times New Roman"/>
          <w:i/>
          <w:sz w:val="24"/>
          <w:szCs w:val="24"/>
          <w:shd w:val="clear" w:color="auto" w:fill="FFFFFF"/>
        </w:rPr>
        <w:t>ce</w:t>
      </w:r>
      <w:r w:rsidR="00B42073" w:rsidRPr="00357722">
        <w:rPr>
          <w:rFonts w:ascii="Times New Roman" w:hAnsi="Times New Roman" w:cs="Times New Roman"/>
          <w:sz w:val="24"/>
          <w:szCs w:val="24"/>
          <w:shd w:val="clear" w:color="auto" w:fill="FFFFFF"/>
        </w:rPr>
        <w:t xml:space="preserve"> 12, </w:t>
      </w:r>
      <w:r w:rsidRPr="00357722">
        <w:rPr>
          <w:rFonts w:ascii="Times New Roman" w:hAnsi="Times New Roman" w:cs="Times New Roman"/>
          <w:sz w:val="24"/>
          <w:szCs w:val="24"/>
          <w:shd w:val="clear" w:color="auto" w:fill="FFFFFF"/>
        </w:rPr>
        <w:t>8–25.</w:t>
      </w:r>
    </w:p>
    <w:p w14:paraId="7302D2AD" w14:textId="6C13BF01" w:rsidR="00C6354D" w:rsidRPr="00357722" w:rsidRDefault="00B42073"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t xml:space="preserve">Stulz, R. M. </w:t>
      </w:r>
      <w:r w:rsidR="001E0B16">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2005</w:t>
      </w:r>
      <w:r w:rsidR="001E0B16">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The limits of financial global</w:t>
      </w:r>
      <w:r w:rsidR="003C7C66" w:rsidRPr="00357722">
        <w:rPr>
          <w:rFonts w:ascii="Times New Roman" w:hAnsi="Times New Roman" w:cs="Times New Roman"/>
          <w:sz w:val="24"/>
          <w:szCs w:val="24"/>
          <w:shd w:val="clear" w:color="auto" w:fill="FFFFFF"/>
        </w:rPr>
        <w:t>ization. The journal of finance 60</w:t>
      </w:r>
      <w:r w:rsidR="00F6534A" w:rsidRPr="00357722">
        <w:rPr>
          <w:rFonts w:ascii="Times New Roman" w:hAnsi="Times New Roman" w:cs="Times New Roman"/>
          <w:sz w:val="24"/>
          <w:szCs w:val="24"/>
          <w:shd w:val="clear" w:color="auto" w:fill="FFFFFF"/>
        </w:rPr>
        <w:t>, 1595</w:t>
      </w:r>
      <w:r w:rsidR="003C7C66"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1638.</w:t>
      </w:r>
      <w:r w:rsidR="003C7C66" w:rsidRPr="00357722">
        <w:rPr>
          <w:rFonts w:ascii="Times New Roman" w:hAnsi="Times New Roman" w:cs="Times New Roman"/>
          <w:sz w:val="24"/>
          <w:szCs w:val="24"/>
          <w:shd w:val="clear" w:color="auto" w:fill="FFFFFF"/>
        </w:rPr>
        <w:t xml:space="preserve"> </w:t>
      </w:r>
    </w:p>
    <w:p w14:paraId="7B87AA02" w14:textId="41AC2145" w:rsidR="00C6354D" w:rsidRDefault="00F6534A" w:rsidP="00C6354D">
      <w:pPr>
        <w:spacing w:after="0" w:line="360" w:lineRule="auto"/>
        <w:ind w:left="426" w:hanging="426"/>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Shleifer, A.</w:t>
      </w:r>
      <w:r w:rsidR="00F70F0F">
        <w:rPr>
          <w:rFonts w:ascii="Times New Roman" w:hAnsi="Times New Roman" w:cs="Times New Roman"/>
          <w:sz w:val="24"/>
          <w:szCs w:val="24"/>
          <w:shd w:val="clear" w:color="auto" w:fill="FFFFFF"/>
        </w:rPr>
        <w:t xml:space="preserve"> &amp;</w:t>
      </w:r>
      <w:r w:rsidR="003C7C66" w:rsidRPr="00357722">
        <w:rPr>
          <w:rFonts w:ascii="Times New Roman" w:hAnsi="Times New Roman" w:cs="Times New Roman"/>
          <w:sz w:val="24"/>
          <w:szCs w:val="24"/>
          <w:shd w:val="clear" w:color="auto" w:fill="FFFFFF"/>
        </w:rPr>
        <w:t xml:space="preserve"> </w:t>
      </w:r>
      <w:proofErr w:type="spellStart"/>
      <w:r w:rsidRPr="00357722">
        <w:rPr>
          <w:rFonts w:ascii="Times New Roman" w:hAnsi="Times New Roman" w:cs="Times New Roman"/>
          <w:sz w:val="24"/>
          <w:szCs w:val="24"/>
          <w:shd w:val="clear" w:color="auto" w:fill="FFFFFF"/>
        </w:rPr>
        <w:t>Vishny</w:t>
      </w:r>
      <w:proofErr w:type="spellEnd"/>
      <w:r w:rsidRPr="00357722">
        <w:rPr>
          <w:rFonts w:ascii="Times New Roman" w:hAnsi="Times New Roman" w:cs="Times New Roman"/>
          <w:sz w:val="24"/>
          <w:szCs w:val="24"/>
          <w:shd w:val="clear" w:color="auto" w:fill="FFFFFF"/>
        </w:rPr>
        <w:t>, R. W.</w:t>
      </w:r>
      <w:r w:rsidR="003C7C66" w:rsidRPr="00357722">
        <w:rPr>
          <w:rFonts w:ascii="Times New Roman" w:hAnsi="Times New Roman" w:cs="Times New Roman"/>
          <w:sz w:val="24"/>
          <w:szCs w:val="24"/>
          <w:shd w:val="clear" w:color="auto" w:fill="FFFFFF"/>
        </w:rPr>
        <w:t> </w:t>
      </w:r>
      <w:r w:rsidR="00F70F0F">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1993</w:t>
      </w:r>
      <w:r w:rsidR="00F70F0F">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w:t>
      </w:r>
      <w:r w:rsidR="003C7C66" w:rsidRPr="00357722">
        <w:rPr>
          <w:rFonts w:ascii="Times New Roman" w:hAnsi="Times New Roman" w:cs="Times New Roman"/>
          <w:sz w:val="24"/>
          <w:szCs w:val="24"/>
          <w:shd w:val="clear" w:color="auto" w:fill="FFFFFF"/>
        </w:rPr>
        <w:t>Corruption</w:t>
      </w:r>
      <w:r w:rsidRPr="00357722">
        <w:rPr>
          <w:rFonts w:ascii="Times New Roman" w:hAnsi="Times New Roman" w:cs="Times New Roman"/>
          <w:sz w:val="24"/>
          <w:szCs w:val="24"/>
          <w:shd w:val="clear" w:color="auto" w:fill="FFFFFF"/>
        </w:rPr>
        <w:t>. </w:t>
      </w:r>
      <w:r w:rsidRPr="00F70F0F">
        <w:rPr>
          <w:rFonts w:ascii="Times New Roman" w:hAnsi="Times New Roman" w:cs="Times New Roman"/>
          <w:i/>
          <w:sz w:val="24"/>
          <w:szCs w:val="24"/>
          <w:shd w:val="clear" w:color="auto" w:fill="FFFFFF"/>
        </w:rPr>
        <w:t>Quarterly Journal of Economics</w:t>
      </w:r>
      <w:r w:rsidRPr="00357722">
        <w:rPr>
          <w:rFonts w:ascii="Times New Roman" w:hAnsi="Times New Roman" w:cs="Times New Roman"/>
          <w:sz w:val="24"/>
          <w:szCs w:val="24"/>
          <w:shd w:val="clear" w:color="auto" w:fill="FFFFFF"/>
        </w:rPr>
        <w:t>, 108, 599–617</w:t>
      </w:r>
    </w:p>
    <w:p w14:paraId="7E974399" w14:textId="166BAF43" w:rsidR="008F3275" w:rsidRPr="00357722" w:rsidRDefault="008F3275" w:rsidP="008F3275">
      <w:pPr>
        <w:spacing w:after="0" w:line="360" w:lineRule="auto"/>
        <w:ind w:left="426" w:hanging="426"/>
        <w:jc w:val="both"/>
        <w:rPr>
          <w:rFonts w:ascii="Times New Roman" w:eastAsia="Calibri" w:hAnsi="Times New Roman" w:cs="Times New Roman"/>
          <w:sz w:val="24"/>
          <w:szCs w:val="24"/>
          <w:lang w:eastAsia="en-US"/>
        </w:rPr>
      </w:pPr>
      <w:proofErr w:type="spellStart"/>
      <w:r w:rsidRPr="008F3275">
        <w:rPr>
          <w:rFonts w:ascii="Times New Roman" w:eastAsia="Calibri" w:hAnsi="Times New Roman" w:cs="Times New Roman"/>
          <w:sz w:val="24"/>
          <w:szCs w:val="24"/>
          <w:lang w:eastAsia="en-US"/>
        </w:rPr>
        <w:t>Tayssir</w:t>
      </w:r>
      <w:proofErr w:type="spellEnd"/>
      <w:r w:rsidRPr="008F3275">
        <w:rPr>
          <w:rFonts w:ascii="Times New Roman" w:eastAsia="Calibri" w:hAnsi="Times New Roman" w:cs="Times New Roman"/>
          <w:sz w:val="24"/>
          <w:szCs w:val="24"/>
          <w:lang w:eastAsia="en-US"/>
        </w:rPr>
        <w:t xml:space="preserve">, O., &amp; </w:t>
      </w:r>
      <w:proofErr w:type="spellStart"/>
      <w:r w:rsidRPr="008F3275">
        <w:rPr>
          <w:rFonts w:ascii="Times New Roman" w:eastAsia="Calibri" w:hAnsi="Times New Roman" w:cs="Times New Roman"/>
          <w:sz w:val="24"/>
          <w:szCs w:val="24"/>
          <w:lang w:eastAsia="en-US"/>
        </w:rPr>
        <w:t>Feryel</w:t>
      </w:r>
      <w:proofErr w:type="spellEnd"/>
      <w:r w:rsidRPr="008F3275">
        <w:rPr>
          <w:rFonts w:ascii="Times New Roman" w:eastAsia="Calibri" w:hAnsi="Times New Roman" w:cs="Times New Roman"/>
          <w:sz w:val="24"/>
          <w:szCs w:val="24"/>
          <w:lang w:eastAsia="en-US"/>
        </w:rPr>
        <w:t xml:space="preserve">, O. (2018). Does central banking promote financial </w:t>
      </w:r>
      <w:proofErr w:type="gramStart"/>
      <w:r w:rsidRPr="008F3275">
        <w:rPr>
          <w:rFonts w:ascii="Times New Roman" w:eastAsia="Calibri" w:hAnsi="Times New Roman" w:cs="Times New Roman"/>
          <w:sz w:val="24"/>
          <w:szCs w:val="24"/>
          <w:lang w:eastAsia="en-US"/>
        </w:rPr>
        <w:t>development?.</w:t>
      </w:r>
      <w:proofErr w:type="gramEnd"/>
      <w:r w:rsidRPr="008F3275">
        <w:rPr>
          <w:rFonts w:ascii="Times New Roman" w:eastAsia="Calibri" w:hAnsi="Times New Roman" w:cs="Times New Roman"/>
          <w:sz w:val="24"/>
          <w:szCs w:val="24"/>
          <w:lang w:eastAsia="en-US"/>
        </w:rPr>
        <w:t> </w:t>
      </w:r>
      <w:r w:rsidRPr="008F3275">
        <w:rPr>
          <w:rFonts w:ascii="Times New Roman" w:eastAsia="Calibri" w:hAnsi="Times New Roman" w:cs="Times New Roman"/>
          <w:i/>
          <w:iCs/>
          <w:sz w:val="24"/>
          <w:szCs w:val="24"/>
          <w:lang w:eastAsia="en-US"/>
        </w:rPr>
        <w:t>Borsa Istanbul Review</w:t>
      </w:r>
      <w:r w:rsidRPr="008F3275">
        <w:rPr>
          <w:rFonts w:ascii="Times New Roman" w:eastAsia="Calibri" w:hAnsi="Times New Roman" w:cs="Times New Roman"/>
          <w:sz w:val="24"/>
          <w:szCs w:val="24"/>
          <w:lang w:eastAsia="en-US"/>
        </w:rPr>
        <w:t>, </w:t>
      </w:r>
      <w:r w:rsidRPr="008F3275">
        <w:rPr>
          <w:rFonts w:ascii="Times New Roman" w:eastAsia="Calibri" w:hAnsi="Times New Roman" w:cs="Times New Roman"/>
          <w:i/>
          <w:iCs/>
          <w:sz w:val="24"/>
          <w:szCs w:val="24"/>
          <w:lang w:eastAsia="en-US"/>
        </w:rPr>
        <w:t>18</w:t>
      </w:r>
      <w:r w:rsidRPr="008F3275">
        <w:rPr>
          <w:rFonts w:ascii="Times New Roman" w:eastAsia="Calibri" w:hAnsi="Times New Roman" w:cs="Times New Roman"/>
          <w:sz w:val="24"/>
          <w:szCs w:val="24"/>
          <w:lang w:eastAsia="en-US"/>
        </w:rPr>
        <w:t>, 52–75.</w:t>
      </w:r>
    </w:p>
    <w:p w14:paraId="1329921A" w14:textId="0183C1C4" w:rsidR="00C6354D" w:rsidRPr="00357722" w:rsidRDefault="00F70F0F" w:rsidP="00C6354D">
      <w:pPr>
        <w:spacing w:after="0" w:line="36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Thapa, C., Paudyal, K. &amp;</w:t>
      </w:r>
      <w:r w:rsidR="003C7C66" w:rsidRPr="00357722">
        <w:rPr>
          <w:rFonts w:ascii="Times New Roman" w:hAnsi="Times New Roman" w:cs="Times New Roman"/>
          <w:sz w:val="24"/>
          <w:szCs w:val="24"/>
          <w:shd w:val="clear" w:color="auto" w:fill="FFFFFF"/>
        </w:rPr>
        <w:t xml:space="preserve"> Neupane, S. </w:t>
      </w:r>
      <w:r>
        <w:rPr>
          <w:rFonts w:ascii="Times New Roman" w:hAnsi="Times New Roman" w:cs="Times New Roman"/>
          <w:sz w:val="24"/>
          <w:szCs w:val="24"/>
          <w:shd w:val="clear" w:color="auto" w:fill="FFFFFF"/>
        </w:rPr>
        <w:t>(</w:t>
      </w:r>
      <w:r w:rsidR="003C7C66" w:rsidRPr="00357722">
        <w:rPr>
          <w:rFonts w:ascii="Times New Roman" w:hAnsi="Times New Roman" w:cs="Times New Roman"/>
          <w:sz w:val="24"/>
          <w:szCs w:val="24"/>
          <w:shd w:val="clear" w:color="auto" w:fill="FFFFFF"/>
        </w:rPr>
        <w:t>2013</w:t>
      </w:r>
      <w:r>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Access to information and international portfolio allocation. </w:t>
      </w:r>
      <w:r w:rsidR="00F6534A" w:rsidRPr="00F70F0F">
        <w:rPr>
          <w:rFonts w:ascii="Times New Roman" w:hAnsi="Times New Roman" w:cs="Times New Roman"/>
          <w:i/>
          <w:sz w:val="24"/>
          <w:szCs w:val="24"/>
          <w:shd w:val="clear" w:color="auto" w:fill="FFFFFF"/>
        </w:rPr>
        <w:t>Jou</w:t>
      </w:r>
      <w:r w:rsidRPr="00F70F0F">
        <w:rPr>
          <w:rFonts w:ascii="Times New Roman" w:hAnsi="Times New Roman" w:cs="Times New Roman"/>
          <w:i/>
          <w:sz w:val="24"/>
          <w:szCs w:val="24"/>
          <w:shd w:val="clear" w:color="auto" w:fill="FFFFFF"/>
        </w:rPr>
        <w:t>rnal of Banking &amp; Finance</w:t>
      </w:r>
      <w:r>
        <w:rPr>
          <w:rFonts w:ascii="Times New Roman" w:hAnsi="Times New Roman" w:cs="Times New Roman"/>
          <w:sz w:val="24"/>
          <w:szCs w:val="24"/>
          <w:shd w:val="clear" w:color="auto" w:fill="FFFFFF"/>
        </w:rPr>
        <w:t xml:space="preserve"> </w:t>
      </w:r>
      <w:r w:rsidR="003C7C66" w:rsidRPr="00357722">
        <w:rPr>
          <w:rFonts w:ascii="Times New Roman" w:hAnsi="Times New Roman" w:cs="Times New Roman"/>
          <w:sz w:val="24"/>
          <w:szCs w:val="24"/>
          <w:shd w:val="clear" w:color="auto" w:fill="FFFFFF"/>
        </w:rPr>
        <w:t>37</w:t>
      </w:r>
      <w:r w:rsidR="00F6534A" w:rsidRPr="00357722">
        <w:rPr>
          <w:rFonts w:ascii="Times New Roman" w:hAnsi="Times New Roman" w:cs="Times New Roman"/>
          <w:sz w:val="24"/>
          <w:szCs w:val="24"/>
          <w:shd w:val="clear" w:color="auto" w:fill="FFFFFF"/>
        </w:rPr>
        <w:t>, 2255</w:t>
      </w:r>
      <w:r w:rsidR="003C7C66"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2267.</w:t>
      </w:r>
      <w:r w:rsidR="003C7C66" w:rsidRPr="00357722">
        <w:rPr>
          <w:rFonts w:ascii="Times New Roman" w:hAnsi="Times New Roman" w:cs="Times New Roman"/>
          <w:sz w:val="24"/>
          <w:szCs w:val="24"/>
          <w:shd w:val="clear" w:color="auto" w:fill="FFFFFF"/>
        </w:rPr>
        <w:t xml:space="preserve"> </w:t>
      </w:r>
    </w:p>
    <w:p w14:paraId="45E245AF" w14:textId="68DDF176" w:rsidR="00F04D47" w:rsidRPr="00357722" w:rsidRDefault="00F04D47" w:rsidP="00F04D47">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color w:val="000000" w:themeColor="text1"/>
          <w:sz w:val="24"/>
          <w:szCs w:val="24"/>
        </w:rPr>
        <w:t xml:space="preserve">Van der </w:t>
      </w:r>
      <w:proofErr w:type="spellStart"/>
      <w:r w:rsidRPr="00357722">
        <w:rPr>
          <w:rFonts w:ascii="Times New Roman" w:hAnsi="Times New Roman" w:cs="Times New Roman"/>
          <w:color w:val="000000" w:themeColor="text1"/>
          <w:sz w:val="24"/>
          <w:szCs w:val="24"/>
        </w:rPr>
        <w:t>Cru</w:t>
      </w:r>
      <w:r w:rsidR="00F70F0F">
        <w:rPr>
          <w:rFonts w:ascii="Times New Roman" w:hAnsi="Times New Roman" w:cs="Times New Roman"/>
          <w:color w:val="000000" w:themeColor="text1"/>
          <w:sz w:val="24"/>
          <w:szCs w:val="24"/>
        </w:rPr>
        <w:t>ijsen</w:t>
      </w:r>
      <w:proofErr w:type="spellEnd"/>
      <w:r w:rsidR="00F70F0F">
        <w:rPr>
          <w:rFonts w:ascii="Times New Roman" w:hAnsi="Times New Roman" w:cs="Times New Roman"/>
          <w:color w:val="000000" w:themeColor="text1"/>
          <w:sz w:val="24"/>
          <w:szCs w:val="24"/>
        </w:rPr>
        <w:t>, C. A., Eijffinger, S. C. &amp;</w:t>
      </w:r>
      <w:r w:rsidRPr="00357722">
        <w:rPr>
          <w:rFonts w:ascii="Times New Roman" w:hAnsi="Times New Roman" w:cs="Times New Roman"/>
          <w:color w:val="000000" w:themeColor="text1"/>
          <w:sz w:val="24"/>
          <w:szCs w:val="24"/>
        </w:rPr>
        <w:t xml:space="preserve"> </w:t>
      </w:r>
      <w:proofErr w:type="spellStart"/>
      <w:r w:rsidRPr="00357722">
        <w:rPr>
          <w:rFonts w:ascii="Times New Roman" w:hAnsi="Times New Roman" w:cs="Times New Roman"/>
          <w:color w:val="000000" w:themeColor="text1"/>
          <w:sz w:val="24"/>
          <w:szCs w:val="24"/>
        </w:rPr>
        <w:t>Hoogduin</w:t>
      </w:r>
      <w:proofErr w:type="spellEnd"/>
      <w:r w:rsidRPr="00357722">
        <w:rPr>
          <w:rFonts w:ascii="Times New Roman" w:hAnsi="Times New Roman" w:cs="Times New Roman"/>
          <w:color w:val="000000" w:themeColor="text1"/>
          <w:sz w:val="24"/>
          <w:szCs w:val="24"/>
        </w:rPr>
        <w:t xml:space="preserve">, L. H. </w:t>
      </w:r>
      <w:r w:rsidR="00F70F0F">
        <w:rPr>
          <w:rFonts w:ascii="Times New Roman" w:hAnsi="Times New Roman" w:cs="Times New Roman"/>
          <w:color w:val="000000" w:themeColor="text1"/>
          <w:sz w:val="24"/>
          <w:szCs w:val="24"/>
        </w:rPr>
        <w:t>(</w:t>
      </w:r>
      <w:r w:rsidRPr="00357722">
        <w:rPr>
          <w:rFonts w:ascii="Times New Roman" w:hAnsi="Times New Roman" w:cs="Times New Roman"/>
          <w:color w:val="000000" w:themeColor="text1"/>
          <w:sz w:val="24"/>
          <w:szCs w:val="24"/>
        </w:rPr>
        <w:t>2010</w:t>
      </w:r>
      <w:r w:rsidR="00F70F0F">
        <w:rPr>
          <w:rFonts w:ascii="Times New Roman" w:hAnsi="Times New Roman" w:cs="Times New Roman"/>
          <w:color w:val="000000" w:themeColor="text1"/>
          <w:sz w:val="24"/>
          <w:szCs w:val="24"/>
        </w:rPr>
        <w:t>)</w:t>
      </w:r>
      <w:r w:rsidRPr="00357722">
        <w:rPr>
          <w:rFonts w:ascii="Times New Roman" w:hAnsi="Times New Roman" w:cs="Times New Roman"/>
          <w:color w:val="000000" w:themeColor="text1"/>
          <w:sz w:val="24"/>
          <w:szCs w:val="24"/>
        </w:rPr>
        <w:t>. Optimal central bank transparency. </w:t>
      </w:r>
      <w:r w:rsidRPr="00F70F0F">
        <w:rPr>
          <w:rFonts w:ascii="Times New Roman" w:hAnsi="Times New Roman" w:cs="Times New Roman"/>
          <w:i/>
          <w:color w:val="000000" w:themeColor="text1"/>
          <w:sz w:val="24"/>
          <w:szCs w:val="24"/>
        </w:rPr>
        <w:t>Journal of International Money and Finance</w:t>
      </w:r>
      <w:r w:rsidRPr="00357722">
        <w:rPr>
          <w:rFonts w:ascii="Times New Roman" w:hAnsi="Times New Roman" w:cs="Times New Roman"/>
          <w:color w:val="000000" w:themeColor="text1"/>
          <w:sz w:val="24"/>
          <w:szCs w:val="24"/>
        </w:rPr>
        <w:t> 29, 1482</w:t>
      </w:r>
      <w:r w:rsidRPr="00357722">
        <w:rPr>
          <w:rFonts w:ascii="Times New Roman" w:hAnsi="Times New Roman" w:cs="Times New Roman"/>
          <w:sz w:val="24"/>
          <w:szCs w:val="24"/>
          <w:shd w:val="clear" w:color="auto" w:fill="FFFFFF"/>
        </w:rPr>
        <w:t>–</w:t>
      </w:r>
      <w:r w:rsidRPr="00357722">
        <w:rPr>
          <w:rFonts w:ascii="Times New Roman" w:hAnsi="Times New Roman" w:cs="Times New Roman"/>
          <w:color w:val="000000" w:themeColor="text1"/>
          <w:sz w:val="24"/>
          <w:szCs w:val="24"/>
        </w:rPr>
        <w:t xml:space="preserve">1507. </w:t>
      </w:r>
    </w:p>
    <w:p w14:paraId="20B59D69" w14:textId="11190097" w:rsidR="00C6354D" w:rsidRPr="00357722" w:rsidRDefault="003C7C66" w:rsidP="00C6354D">
      <w:pPr>
        <w:spacing w:after="0" w:line="360" w:lineRule="auto"/>
        <w:ind w:left="426" w:hanging="426"/>
        <w:jc w:val="both"/>
        <w:rPr>
          <w:rFonts w:ascii="Times New Roman" w:eastAsia="Calibri" w:hAnsi="Times New Roman" w:cs="Times New Roman"/>
          <w:sz w:val="24"/>
          <w:szCs w:val="24"/>
          <w:lang w:eastAsia="en-US"/>
        </w:rPr>
      </w:pPr>
      <w:r w:rsidRPr="00357722">
        <w:rPr>
          <w:rFonts w:ascii="Times New Roman" w:hAnsi="Times New Roman" w:cs="Times New Roman"/>
          <w:sz w:val="24"/>
          <w:szCs w:val="24"/>
          <w:shd w:val="clear" w:color="auto" w:fill="FFFFFF"/>
        </w:rPr>
        <w:lastRenderedPageBreak/>
        <w:t xml:space="preserve">Vermeulen, R. </w:t>
      </w:r>
      <w:r w:rsidR="00F70F0F">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2</w:t>
      </w:r>
      <w:r w:rsidRPr="00357722">
        <w:rPr>
          <w:rFonts w:ascii="Times New Roman" w:hAnsi="Times New Roman" w:cs="Times New Roman"/>
          <w:sz w:val="24"/>
          <w:szCs w:val="24"/>
          <w:shd w:val="clear" w:color="auto" w:fill="FFFFFF"/>
        </w:rPr>
        <w:t>013</w:t>
      </w:r>
      <w:r w:rsidR="00F70F0F">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 xml:space="preserve"> International diversification during the financial crisis: A blessing for equity </w:t>
      </w:r>
      <w:proofErr w:type="gramStart"/>
      <w:r w:rsidR="00F6534A" w:rsidRPr="00357722">
        <w:rPr>
          <w:rFonts w:ascii="Times New Roman" w:hAnsi="Times New Roman" w:cs="Times New Roman"/>
          <w:sz w:val="24"/>
          <w:szCs w:val="24"/>
          <w:shd w:val="clear" w:color="auto" w:fill="FFFFFF"/>
        </w:rPr>
        <w:t>investors?,</w:t>
      </w:r>
      <w:proofErr w:type="gramEnd"/>
      <w:r w:rsidR="00F6534A" w:rsidRPr="00357722">
        <w:rPr>
          <w:rFonts w:ascii="Times New Roman" w:hAnsi="Times New Roman" w:cs="Times New Roman"/>
          <w:sz w:val="24"/>
          <w:szCs w:val="24"/>
          <w:shd w:val="clear" w:color="auto" w:fill="FFFFFF"/>
        </w:rPr>
        <w:t> </w:t>
      </w:r>
      <w:r w:rsidR="00F6534A" w:rsidRPr="00F70F0F">
        <w:rPr>
          <w:rFonts w:ascii="Times New Roman" w:hAnsi="Times New Roman" w:cs="Times New Roman"/>
          <w:i/>
          <w:sz w:val="24"/>
          <w:szCs w:val="24"/>
          <w:shd w:val="clear" w:color="auto" w:fill="FFFFFF"/>
        </w:rPr>
        <w:t xml:space="preserve">Journal of </w:t>
      </w:r>
      <w:r w:rsidRPr="00F70F0F">
        <w:rPr>
          <w:rFonts w:ascii="Times New Roman" w:hAnsi="Times New Roman" w:cs="Times New Roman"/>
          <w:i/>
          <w:sz w:val="24"/>
          <w:szCs w:val="24"/>
          <w:shd w:val="clear" w:color="auto" w:fill="FFFFFF"/>
        </w:rPr>
        <w:t>International Money and Finance</w:t>
      </w:r>
      <w:r w:rsidRPr="00357722">
        <w:rPr>
          <w:rFonts w:ascii="Times New Roman" w:hAnsi="Times New Roman" w:cs="Times New Roman"/>
          <w:sz w:val="24"/>
          <w:szCs w:val="24"/>
          <w:shd w:val="clear" w:color="auto" w:fill="FFFFFF"/>
        </w:rPr>
        <w:t xml:space="preserve"> 35, </w:t>
      </w:r>
      <w:r w:rsidR="00F6534A" w:rsidRPr="00357722">
        <w:rPr>
          <w:rFonts w:ascii="Times New Roman" w:hAnsi="Times New Roman" w:cs="Times New Roman"/>
          <w:sz w:val="24"/>
          <w:szCs w:val="24"/>
          <w:shd w:val="clear" w:color="auto" w:fill="FFFFFF"/>
        </w:rPr>
        <w:t>104</w:t>
      </w:r>
      <w:r w:rsidRPr="00357722">
        <w:rPr>
          <w:rFonts w:ascii="Times New Roman" w:hAnsi="Times New Roman" w:cs="Times New Roman"/>
          <w:sz w:val="24"/>
          <w:szCs w:val="24"/>
          <w:shd w:val="clear" w:color="auto" w:fill="FFFFFF"/>
        </w:rPr>
        <w:t>–</w:t>
      </w:r>
      <w:r w:rsidR="00F6534A" w:rsidRPr="00357722">
        <w:rPr>
          <w:rFonts w:ascii="Times New Roman" w:hAnsi="Times New Roman" w:cs="Times New Roman"/>
          <w:sz w:val="24"/>
          <w:szCs w:val="24"/>
          <w:shd w:val="clear" w:color="auto" w:fill="FFFFFF"/>
        </w:rPr>
        <w:t>123</w:t>
      </w:r>
      <w:r w:rsidRPr="00357722">
        <w:rPr>
          <w:rFonts w:ascii="Times New Roman" w:hAnsi="Times New Roman" w:cs="Times New Roman"/>
          <w:sz w:val="24"/>
          <w:szCs w:val="24"/>
          <w:shd w:val="clear" w:color="auto" w:fill="FFFFFF"/>
        </w:rPr>
        <w:t>.</w:t>
      </w:r>
    </w:p>
    <w:p w14:paraId="4B357802" w14:textId="36AD3081" w:rsidR="00C6354D" w:rsidRDefault="003C7C66" w:rsidP="00C6354D">
      <w:pPr>
        <w:spacing w:after="0" w:line="360" w:lineRule="auto"/>
        <w:ind w:left="426" w:hanging="426"/>
        <w:jc w:val="both"/>
        <w:rPr>
          <w:rFonts w:ascii="Times New Roman" w:hAnsi="Times New Roman" w:cs="Times New Roman"/>
          <w:sz w:val="24"/>
          <w:szCs w:val="24"/>
          <w:shd w:val="clear" w:color="auto" w:fill="FFFFFF"/>
        </w:rPr>
      </w:pPr>
      <w:r w:rsidRPr="00357722">
        <w:rPr>
          <w:rFonts w:ascii="Times New Roman" w:hAnsi="Times New Roman" w:cs="Times New Roman"/>
          <w:sz w:val="24"/>
          <w:szCs w:val="24"/>
          <w:shd w:val="clear" w:color="auto" w:fill="FFFFFF"/>
        </w:rPr>
        <w:t>Wei, S. J. </w:t>
      </w:r>
      <w:r w:rsidR="00F70F0F">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2000</w:t>
      </w:r>
      <w:r w:rsidR="00F70F0F">
        <w:rPr>
          <w:rFonts w:ascii="Times New Roman" w:hAnsi="Times New Roman" w:cs="Times New Roman"/>
          <w:sz w:val="24"/>
          <w:szCs w:val="24"/>
          <w:shd w:val="clear" w:color="auto" w:fill="FFFFFF"/>
        </w:rPr>
        <w:t>)</w:t>
      </w:r>
      <w:r w:rsidRPr="00357722">
        <w:rPr>
          <w:rFonts w:ascii="Times New Roman" w:hAnsi="Times New Roman" w:cs="Times New Roman"/>
          <w:sz w:val="24"/>
          <w:szCs w:val="24"/>
          <w:shd w:val="clear" w:color="auto" w:fill="FFFFFF"/>
        </w:rPr>
        <w:t>. </w:t>
      </w:r>
      <w:r w:rsidR="00F6534A" w:rsidRPr="00357722">
        <w:rPr>
          <w:rFonts w:ascii="Times New Roman" w:hAnsi="Times New Roman" w:cs="Times New Roman"/>
          <w:sz w:val="24"/>
          <w:szCs w:val="24"/>
          <w:shd w:val="clear" w:color="auto" w:fill="FFFFFF"/>
        </w:rPr>
        <w:t>How taxing is corrupt</w:t>
      </w:r>
      <w:r w:rsidRPr="00357722">
        <w:rPr>
          <w:rFonts w:ascii="Times New Roman" w:hAnsi="Times New Roman" w:cs="Times New Roman"/>
          <w:sz w:val="24"/>
          <w:szCs w:val="24"/>
          <w:shd w:val="clear" w:color="auto" w:fill="FFFFFF"/>
        </w:rPr>
        <w:t>ion on international investors?</w:t>
      </w:r>
      <w:r w:rsidR="00F6534A" w:rsidRPr="00357722">
        <w:rPr>
          <w:rFonts w:ascii="Times New Roman" w:hAnsi="Times New Roman" w:cs="Times New Roman"/>
          <w:sz w:val="24"/>
          <w:szCs w:val="24"/>
          <w:shd w:val="clear" w:color="auto" w:fill="FFFFFF"/>
        </w:rPr>
        <w:t> </w:t>
      </w:r>
      <w:r w:rsidR="00F6534A" w:rsidRPr="00F70F0F">
        <w:rPr>
          <w:rFonts w:ascii="Times New Roman" w:hAnsi="Times New Roman" w:cs="Times New Roman"/>
          <w:i/>
          <w:sz w:val="24"/>
          <w:szCs w:val="24"/>
          <w:shd w:val="clear" w:color="auto" w:fill="FFFFFF"/>
        </w:rPr>
        <w:t>Review of Economics a</w:t>
      </w:r>
      <w:r w:rsidRPr="00F70F0F">
        <w:rPr>
          <w:rFonts w:ascii="Times New Roman" w:hAnsi="Times New Roman" w:cs="Times New Roman"/>
          <w:i/>
          <w:sz w:val="24"/>
          <w:szCs w:val="24"/>
          <w:shd w:val="clear" w:color="auto" w:fill="FFFFFF"/>
        </w:rPr>
        <w:t>nd Statistics</w:t>
      </w:r>
      <w:r w:rsidR="00F6534A" w:rsidRPr="00F70F0F">
        <w:rPr>
          <w:rFonts w:ascii="Times New Roman" w:hAnsi="Times New Roman" w:cs="Times New Roman"/>
          <w:i/>
          <w:sz w:val="24"/>
          <w:szCs w:val="24"/>
          <w:shd w:val="clear" w:color="auto" w:fill="FFFFFF"/>
        </w:rPr>
        <w:t> </w:t>
      </w:r>
      <w:r w:rsidR="00F6534A" w:rsidRPr="00357722">
        <w:rPr>
          <w:rFonts w:ascii="Times New Roman" w:hAnsi="Times New Roman" w:cs="Times New Roman"/>
          <w:sz w:val="24"/>
          <w:szCs w:val="24"/>
          <w:shd w:val="clear" w:color="auto" w:fill="FFFFFF"/>
        </w:rPr>
        <w:t>82, 1–11</w:t>
      </w:r>
    </w:p>
    <w:p w14:paraId="0D85531C" w14:textId="77777777" w:rsidR="008F3275" w:rsidRPr="008F3275" w:rsidRDefault="008F3275" w:rsidP="008F3275">
      <w:pPr>
        <w:spacing w:after="0" w:line="360" w:lineRule="auto"/>
        <w:ind w:left="426" w:hanging="426"/>
        <w:jc w:val="both"/>
        <w:rPr>
          <w:rFonts w:ascii="Times New Roman" w:eastAsia="Calibri" w:hAnsi="Times New Roman" w:cs="Times New Roman"/>
          <w:sz w:val="24"/>
          <w:szCs w:val="24"/>
          <w:lang w:eastAsia="en-US"/>
        </w:rPr>
      </w:pPr>
      <w:r w:rsidRPr="008F3275">
        <w:rPr>
          <w:rFonts w:ascii="Times New Roman" w:eastAsia="Calibri" w:hAnsi="Times New Roman" w:cs="Times New Roman"/>
          <w:sz w:val="24"/>
          <w:szCs w:val="24"/>
          <w:lang w:eastAsia="en-US"/>
        </w:rPr>
        <w:t>Wintoki, M. B., Linck, J. S., &amp; Netter, J. M. (2012). Endogeneity and the dynamics of internal corporate governance. </w:t>
      </w:r>
      <w:r w:rsidRPr="008F3275">
        <w:rPr>
          <w:rFonts w:ascii="Times New Roman" w:eastAsia="Calibri" w:hAnsi="Times New Roman" w:cs="Times New Roman"/>
          <w:i/>
          <w:iCs/>
          <w:sz w:val="24"/>
          <w:szCs w:val="24"/>
          <w:lang w:eastAsia="en-US"/>
        </w:rPr>
        <w:t>Journal of financial economics</w:t>
      </w:r>
      <w:r w:rsidRPr="008F3275">
        <w:rPr>
          <w:rFonts w:ascii="Times New Roman" w:eastAsia="Calibri" w:hAnsi="Times New Roman" w:cs="Times New Roman"/>
          <w:sz w:val="24"/>
          <w:szCs w:val="24"/>
          <w:lang w:eastAsia="en-US"/>
        </w:rPr>
        <w:t>, </w:t>
      </w:r>
      <w:r w:rsidRPr="008F3275">
        <w:rPr>
          <w:rFonts w:ascii="Times New Roman" w:eastAsia="Calibri" w:hAnsi="Times New Roman" w:cs="Times New Roman"/>
          <w:i/>
          <w:iCs/>
          <w:sz w:val="24"/>
          <w:szCs w:val="24"/>
          <w:lang w:eastAsia="en-US"/>
        </w:rPr>
        <w:t>105</w:t>
      </w:r>
      <w:r w:rsidRPr="008F3275">
        <w:rPr>
          <w:rFonts w:ascii="Times New Roman" w:eastAsia="Calibri" w:hAnsi="Times New Roman" w:cs="Times New Roman"/>
          <w:sz w:val="24"/>
          <w:szCs w:val="24"/>
          <w:lang w:eastAsia="en-US"/>
        </w:rPr>
        <w:t>(3), 581-606.</w:t>
      </w:r>
    </w:p>
    <w:p w14:paraId="7E51569D" w14:textId="50B0F426" w:rsidR="008F3275" w:rsidRPr="00357722" w:rsidRDefault="008F3275" w:rsidP="00C6354D">
      <w:pPr>
        <w:spacing w:after="0" w:line="360" w:lineRule="auto"/>
        <w:ind w:left="426" w:hanging="426"/>
        <w:jc w:val="both"/>
        <w:rPr>
          <w:rFonts w:ascii="Times New Roman" w:eastAsia="Calibri" w:hAnsi="Times New Roman" w:cs="Times New Roman"/>
          <w:sz w:val="24"/>
          <w:szCs w:val="24"/>
          <w:lang w:eastAsia="en-US"/>
        </w:rPr>
      </w:pPr>
      <w:r w:rsidRPr="008F3275">
        <w:rPr>
          <w:rFonts w:ascii="Times New Roman" w:eastAsia="Calibri" w:hAnsi="Times New Roman" w:cs="Times New Roman"/>
          <w:sz w:val="24"/>
          <w:szCs w:val="24"/>
          <w:lang w:eastAsia="en-US"/>
        </w:rPr>
        <w:t>Wooldridge, J. M. (2015). </w:t>
      </w:r>
      <w:r w:rsidRPr="008F3275">
        <w:rPr>
          <w:rFonts w:ascii="Times New Roman" w:eastAsia="Calibri" w:hAnsi="Times New Roman" w:cs="Times New Roman"/>
          <w:i/>
          <w:iCs/>
          <w:sz w:val="24"/>
          <w:szCs w:val="24"/>
          <w:lang w:eastAsia="en-US"/>
        </w:rPr>
        <w:t>Introductory econometrics: A modern approach</w:t>
      </w:r>
      <w:r w:rsidRPr="008F3275">
        <w:rPr>
          <w:rFonts w:ascii="Times New Roman" w:eastAsia="Calibri" w:hAnsi="Times New Roman" w:cs="Times New Roman"/>
          <w:sz w:val="24"/>
          <w:szCs w:val="24"/>
          <w:lang w:eastAsia="en-US"/>
        </w:rPr>
        <w:t>. Cengage learning</w:t>
      </w:r>
    </w:p>
    <w:p w14:paraId="002229D5" w14:textId="2BA61E7A" w:rsidR="008F3275" w:rsidRPr="00357722" w:rsidRDefault="008F3275" w:rsidP="00C6354D">
      <w:pPr>
        <w:spacing w:after="0" w:line="360" w:lineRule="auto"/>
        <w:ind w:left="426" w:hanging="426"/>
        <w:jc w:val="both"/>
        <w:rPr>
          <w:rFonts w:ascii="Times New Roman" w:eastAsia="Calibri" w:hAnsi="Times New Roman" w:cs="Times New Roman"/>
          <w:sz w:val="24"/>
          <w:szCs w:val="24"/>
          <w:lang w:eastAsia="en-US"/>
        </w:rPr>
      </w:pPr>
    </w:p>
    <w:bookmarkEnd w:id="4"/>
    <w:p w14:paraId="1BCB330C" w14:textId="77777777" w:rsidR="00FF2C7F" w:rsidRDefault="00FF2C7F" w:rsidP="005636E8">
      <w:pPr>
        <w:spacing w:line="480" w:lineRule="auto"/>
        <w:jc w:val="both"/>
        <w:rPr>
          <w:rFonts w:ascii="Times New Roman" w:hAnsi="Times New Roman" w:cs="Times New Roman"/>
          <w:color w:val="000000" w:themeColor="text1"/>
          <w:sz w:val="24"/>
          <w:szCs w:val="24"/>
        </w:rPr>
      </w:pPr>
    </w:p>
    <w:p w14:paraId="3BB4459D" w14:textId="77777777" w:rsidR="008F3275" w:rsidRPr="00357722" w:rsidRDefault="008F3275" w:rsidP="005636E8">
      <w:pPr>
        <w:spacing w:line="480" w:lineRule="auto"/>
        <w:jc w:val="both"/>
        <w:rPr>
          <w:rFonts w:ascii="Times New Roman" w:hAnsi="Times New Roman" w:cs="Times New Roman"/>
          <w:color w:val="000000" w:themeColor="text1"/>
          <w:sz w:val="24"/>
          <w:szCs w:val="24"/>
        </w:rPr>
        <w:sectPr w:rsidR="008F3275" w:rsidRPr="00357722" w:rsidSect="00C34896">
          <w:pgSz w:w="11906" w:h="16838"/>
          <w:pgMar w:top="1440" w:right="1440" w:bottom="1440" w:left="993" w:header="708" w:footer="708" w:gutter="0"/>
          <w:cols w:space="708"/>
          <w:docGrid w:linePitch="360"/>
        </w:sectPr>
      </w:pPr>
    </w:p>
    <w:p w14:paraId="0B5395F6" w14:textId="45419143" w:rsidR="00520673" w:rsidRPr="00357722" w:rsidRDefault="00E11C07" w:rsidP="00E11C07">
      <w:pPr>
        <w:spacing w:line="480" w:lineRule="auto"/>
        <w:jc w:val="center"/>
        <w:rPr>
          <w:rFonts w:ascii="Times New Roman" w:hAnsi="Times New Roman" w:cs="Times New Roman"/>
          <w:b/>
          <w:color w:val="000000" w:themeColor="text1"/>
          <w:sz w:val="24"/>
          <w:szCs w:val="24"/>
        </w:rPr>
      </w:pPr>
      <w:bookmarkStart w:id="15" w:name="_Hlk39954767"/>
      <w:r w:rsidRPr="00357722">
        <w:rPr>
          <w:rFonts w:ascii="Times New Roman" w:hAnsi="Times New Roman" w:cs="Times New Roman"/>
          <w:b/>
          <w:color w:val="000000" w:themeColor="text1"/>
          <w:sz w:val="24"/>
          <w:szCs w:val="24"/>
        </w:rPr>
        <w:lastRenderedPageBreak/>
        <w:t>Appendix A1</w:t>
      </w:r>
    </w:p>
    <w:p w14:paraId="7F6E8017" w14:textId="15BA5303" w:rsidR="00E11C07" w:rsidRPr="00357722" w:rsidRDefault="00E11C07" w:rsidP="00E11C07">
      <w:pPr>
        <w:spacing w:line="240" w:lineRule="auto"/>
        <w:jc w:val="both"/>
        <w:rPr>
          <w:rFonts w:ascii="Times New Roman" w:hAnsi="Times New Roman" w:cs="Times New Roman"/>
          <w:color w:val="000000" w:themeColor="text1"/>
          <w:sz w:val="24"/>
          <w:szCs w:val="24"/>
        </w:rPr>
      </w:pPr>
      <w:r w:rsidRPr="00357722">
        <w:rPr>
          <w:rFonts w:ascii="Times New Roman" w:hAnsi="Times New Roman" w:cs="Times New Roman"/>
          <w:color w:val="000000" w:themeColor="text1"/>
          <w:sz w:val="24"/>
          <w:szCs w:val="24"/>
        </w:rPr>
        <w:t>Table A1: Variable description and data source</w:t>
      </w:r>
    </w:p>
    <w:tbl>
      <w:tblPr>
        <w:tblStyle w:val="TableGrid"/>
        <w:tblW w:w="9776" w:type="dxa"/>
        <w:tblLook w:val="04A0" w:firstRow="1" w:lastRow="0" w:firstColumn="1" w:lastColumn="0" w:noHBand="0" w:noVBand="1"/>
      </w:tblPr>
      <w:tblGrid>
        <w:gridCol w:w="3964"/>
        <w:gridCol w:w="1701"/>
        <w:gridCol w:w="4111"/>
      </w:tblGrid>
      <w:tr w:rsidR="00B67018" w:rsidRPr="00357722" w14:paraId="718E14EF" w14:textId="77777777" w:rsidTr="00172F26">
        <w:tc>
          <w:tcPr>
            <w:tcW w:w="3964" w:type="dxa"/>
          </w:tcPr>
          <w:p w14:paraId="12B1426E" w14:textId="45862747" w:rsidR="00B67018" w:rsidRPr="00357722" w:rsidRDefault="00B67018"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Variable</w:t>
            </w:r>
          </w:p>
        </w:tc>
        <w:tc>
          <w:tcPr>
            <w:tcW w:w="1701" w:type="dxa"/>
          </w:tcPr>
          <w:p w14:paraId="354E2A09" w14:textId="469DAA48" w:rsidR="00B67018" w:rsidRPr="00357722" w:rsidRDefault="00B67018"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Abbreviation</w:t>
            </w:r>
          </w:p>
        </w:tc>
        <w:tc>
          <w:tcPr>
            <w:tcW w:w="4111" w:type="dxa"/>
          </w:tcPr>
          <w:p w14:paraId="12AF7E54" w14:textId="7FED11ED" w:rsidR="00B67018" w:rsidRPr="00357722" w:rsidRDefault="0027417A"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Da</w:t>
            </w:r>
            <w:r w:rsidR="00343AA2" w:rsidRPr="00357722">
              <w:rPr>
                <w:rFonts w:ascii="Times New Roman" w:hAnsi="Times New Roman" w:cs="Times New Roman"/>
                <w:color w:val="000000" w:themeColor="text1"/>
                <w:sz w:val="18"/>
                <w:szCs w:val="18"/>
              </w:rPr>
              <w:t>ta source</w:t>
            </w:r>
          </w:p>
        </w:tc>
      </w:tr>
      <w:tr w:rsidR="00B67018" w:rsidRPr="00357722" w14:paraId="01F8F54B" w14:textId="77777777" w:rsidTr="00172F26">
        <w:tc>
          <w:tcPr>
            <w:tcW w:w="3964" w:type="dxa"/>
          </w:tcPr>
          <w:p w14:paraId="72C60C68" w14:textId="2C33DF49" w:rsidR="00B67018"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Market capitalization to GDP</w:t>
            </w:r>
          </w:p>
        </w:tc>
        <w:tc>
          <w:tcPr>
            <w:tcW w:w="1701" w:type="dxa"/>
          </w:tcPr>
          <w:p w14:paraId="32D6EE17" w14:textId="0F79A836" w:rsidR="00B67018"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lang w:val="en-US"/>
              </w:rPr>
              <w:t>MCGDP</w:t>
            </w:r>
          </w:p>
        </w:tc>
        <w:tc>
          <w:tcPr>
            <w:tcW w:w="4111" w:type="dxa"/>
          </w:tcPr>
          <w:p w14:paraId="7A78A904" w14:textId="49BF5E5B" w:rsidR="00B67018" w:rsidRPr="00357722" w:rsidRDefault="00E11C0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World Development Indicators (WDI) of World Bank Database</w:t>
            </w:r>
          </w:p>
        </w:tc>
      </w:tr>
      <w:tr w:rsidR="00B67018" w:rsidRPr="00357722" w14:paraId="2193BD6F" w14:textId="77777777" w:rsidTr="00172F26">
        <w:tc>
          <w:tcPr>
            <w:tcW w:w="3964" w:type="dxa"/>
          </w:tcPr>
          <w:p w14:paraId="46E6F505" w14:textId="77CCE2CD" w:rsidR="00B67018"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Private sector credit scaled by GDP</w:t>
            </w:r>
          </w:p>
        </w:tc>
        <w:tc>
          <w:tcPr>
            <w:tcW w:w="1701" w:type="dxa"/>
          </w:tcPr>
          <w:p w14:paraId="25529231" w14:textId="5A9FEB1C" w:rsidR="00B67018"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PSCGDP</w:t>
            </w:r>
          </w:p>
        </w:tc>
        <w:tc>
          <w:tcPr>
            <w:tcW w:w="4111" w:type="dxa"/>
          </w:tcPr>
          <w:p w14:paraId="6BBF3651" w14:textId="2CB5EBBE" w:rsidR="00B67018" w:rsidRPr="00357722" w:rsidRDefault="00E11C0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WDI of World Bank Database</w:t>
            </w:r>
          </w:p>
        </w:tc>
      </w:tr>
      <w:tr w:rsidR="00697D9C" w:rsidRPr="00357722" w14:paraId="32637AAD" w14:textId="77777777" w:rsidTr="00172F26">
        <w:tc>
          <w:tcPr>
            <w:tcW w:w="3964" w:type="dxa"/>
          </w:tcPr>
          <w:p w14:paraId="30B05E88" w14:textId="20FB1F97" w:rsidR="00697D9C"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Domestic credit to the private sector scaled by GDP</w:t>
            </w:r>
          </w:p>
        </w:tc>
        <w:tc>
          <w:tcPr>
            <w:tcW w:w="1701" w:type="dxa"/>
          </w:tcPr>
          <w:p w14:paraId="7927534E" w14:textId="2D661431"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DCPGDP</w:t>
            </w:r>
          </w:p>
        </w:tc>
        <w:tc>
          <w:tcPr>
            <w:tcW w:w="4111" w:type="dxa"/>
          </w:tcPr>
          <w:p w14:paraId="74B3D79C" w14:textId="489ABBAE" w:rsidR="00697D9C" w:rsidRPr="00357722" w:rsidRDefault="00E11C0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WDI of World Bank Database</w:t>
            </w:r>
          </w:p>
        </w:tc>
      </w:tr>
      <w:tr w:rsidR="00697D9C" w:rsidRPr="00357722" w14:paraId="0541FC76" w14:textId="77777777" w:rsidTr="00172F26">
        <w:tc>
          <w:tcPr>
            <w:tcW w:w="3964" w:type="dxa"/>
          </w:tcPr>
          <w:p w14:paraId="24EACC3F" w14:textId="5D09BD77" w:rsidR="00697D9C"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International equity portfolio diversification</w:t>
            </w:r>
          </w:p>
        </w:tc>
        <w:tc>
          <w:tcPr>
            <w:tcW w:w="1701" w:type="dxa"/>
          </w:tcPr>
          <w:p w14:paraId="5EAA618E" w14:textId="4F7EEF3E"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IEPD</w:t>
            </w:r>
          </w:p>
        </w:tc>
        <w:tc>
          <w:tcPr>
            <w:tcW w:w="4111" w:type="dxa"/>
          </w:tcPr>
          <w:p w14:paraId="496D682A" w14:textId="519B127A"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Coordinated Portfolio International Investment Survey (CPIS) of the International Monetary Fund (IMF).</w:t>
            </w:r>
          </w:p>
        </w:tc>
      </w:tr>
      <w:tr w:rsidR="00697D9C" w:rsidRPr="00357722" w14:paraId="53A2FDB3" w14:textId="77777777" w:rsidTr="00172F26">
        <w:tc>
          <w:tcPr>
            <w:tcW w:w="3964" w:type="dxa"/>
          </w:tcPr>
          <w:p w14:paraId="1F6464F9" w14:textId="0BA7550D" w:rsidR="00697D9C"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Central bank transparency</w:t>
            </w:r>
          </w:p>
        </w:tc>
        <w:tc>
          <w:tcPr>
            <w:tcW w:w="1701" w:type="dxa"/>
          </w:tcPr>
          <w:p w14:paraId="69825F59" w14:textId="1454B2DC"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CBT</w:t>
            </w:r>
          </w:p>
        </w:tc>
        <w:tc>
          <w:tcPr>
            <w:tcW w:w="4111" w:type="dxa"/>
          </w:tcPr>
          <w:p w14:paraId="4990D0B1" w14:textId="2B28A693" w:rsidR="00697D9C"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Dincer and Eichengreen (2014).</w:t>
            </w:r>
          </w:p>
        </w:tc>
      </w:tr>
      <w:tr w:rsidR="00697D9C" w:rsidRPr="00357722" w14:paraId="667E3F71" w14:textId="77777777" w:rsidTr="00172F26">
        <w:tc>
          <w:tcPr>
            <w:tcW w:w="3964" w:type="dxa"/>
          </w:tcPr>
          <w:p w14:paraId="1D311DE1" w14:textId="2D7682A1" w:rsidR="00697D9C"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Economic freedom</w:t>
            </w:r>
          </w:p>
        </w:tc>
        <w:tc>
          <w:tcPr>
            <w:tcW w:w="1701" w:type="dxa"/>
          </w:tcPr>
          <w:p w14:paraId="00540467" w14:textId="105E6F7A"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EF</w:t>
            </w:r>
          </w:p>
        </w:tc>
        <w:tc>
          <w:tcPr>
            <w:tcW w:w="4111" w:type="dxa"/>
          </w:tcPr>
          <w:p w14:paraId="323997B8" w14:textId="63E59A3C"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Heritage Foundation (2010)</w:t>
            </w:r>
            <w:r w:rsidR="00E11C07" w:rsidRPr="00357722">
              <w:rPr>
                <w:rFonts w:ascii="Times New Roman" w:hAnsi="Times New Roman" w:cs="Times New Roman"/>
                <w:color w:val="000000" w:themeColor="text1"/>
                <w:sz w:val="18"/>
                <w:szCs w:val="18"/>
              </w:rPr>
              <w:t>.</w:t>
            </w:r>
          </w:p>
        </w:tc>
      </w:tr>
      <w:tr w:rsidR="00697D9C" w:rsidRPr="00357722" w14:paraId="620E8639" w14:textId="77777777" w:rsidTr="00172F26">
        <w:tc>
          <w:tcPr>
            <w:tcW w:w="3964" w:type="dxa"/>
          </w:tcPr>
          <w:p w14:paraId="6418D561" w14:textId="367E2917" w:rsidR="00697D9C" w:rsidRPr="00357722" w:rsidRDefault="00343AA2"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International bond flow</w:t>
            </w:r>
          </w:p>
        </w:tc>
        <w:tc>
          <w:tcPr>
            <w:tcW w:w="1701" w:type="dxa"/>
          </w:tcPr>
          <w:p w14:paraId="27BEDFE1" w14:textId="6240347D"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IBF</w:t>
            </w:r>
          </w:p>
        </w:tc>
        <w:tc>
          <w:tcPr>
            <w:tcW w:w="4111" w:type="dxa"/>
          </w:tcPr>
          <w:p w14:paraId="609F806C" w14:textId="317D8B23" w:rsidR="00697D9C" w:rsidRPr="00357722" w:rsidRDefault="007B0414"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Coordinated Portfolio International Investment Survey (CPIS) of the International Monetary Fund (IMF).</w:t>
            </w:r>
          </w:p>
        </w:tc>
      </w:tr>
      <w:tr w:rsidR="00697D9C" w:rsidRPr="00357722" w14:paraId="253A9F27" w14:textId="77777777" w:rsidTr="00172F26">
        <w:tc>
          <w:tcPr>
            <w:tcW w:w="3964" w:type="dxa"/>
          </w:tcPr>
          <w:p w14:paraId="1036E13A" w14:textId="7003508E" w:rsidR="00697D9C" w:rsidRPr="00357722" w:rsidRDefault="00CE73A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Financial system deposits to GDP</w:t>
            </w:r>
          </w:p>
        </w:tc>
        <w:tc>
          <w:tcPr>
            <w:tcW w:w="1701" w:type="dxa"/>
          </w:tcPr>
          <w:p w14:paraId="246B352E" w14:textId="78FA2D56" w:rsidR="00697D9C" w:rsidRPr="00357722" w:rsidRDefault="00CE73A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sz w:val="18"/>
                <w:szCs w:val="18"/>
              </w:rPr>
              <w:t>FSDGDP</w:t>
            </w:r>
          </w:p>
        </w:tc>
        <w:tc>
          <w:tcPr>
            <w:tcW w:w="4111" w:type="dxa"/>
          </w:tcPr>
          <w:p w14:paraId="3FE3E7A6" w14:textId="6A422332" w:rsidR="00697D9C" w:rsidRPr="00357722" w:rsidRDefault="00CE73A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International Financial Statistics of the International Monetary Fund (IMF).</w:t>
            </w:r>
          </w:p>
        </w:tc>
      </w:tr>
      <w:tr w:rsidR="00697D9C" w:rsidRPr="00357722" w14:paraId="22657CC3" w14:textId="77777777" w:rsidTr="00172F26">
        <w:tc>
          <w:tcPr>
            <w:tcW w:w="3964" w:type="dxa"/>
          </w:tcPr>
          <w:p w14:paraId="2A7609B6" w14:textId="4520A57E"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Financial openness</w:t>
            </w:r>
          </w:p>
        </w:tc>
        <w:tc>
          <w:tcPr>
            <w:tcW w:w="1701" w:type="dxa"/>
          </w:tcPr>
          <w:p w14:paraId="0D5F5586" w14:textId="7560C154"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FINOPEN</w:t>
            </w:r>
          </w:p>
        </w:tc>
        <w:tc>
          <w:tcPr>
            <w:tcW w:w="4111" w:type="dxa"/>
          </w:tcPr>
          <w:p w14:paraId="1D60B752" w14:textId="7A5ADE9D" w:rsidR="00697D9C" w:rsidRPr="00357722" w:rsidRDefault="003E24D5"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Chinn-Ito Index of financial openness</w:t>
            </w:r>
            <w:r w:rsidR="00E11C07" w:rsidRPr="00357722">
              <w:rPr>
                <w:rFonts w:ascii="Times New Roman" w:hAnsi="Times New Roman" w:cs="Times New Roman"/>
                <w:color w:val="000000" w:themeColor="text1"/>
                <w:sz w:val="18"/>
                <w:szCs w:val="18"/>
              </w:rPr>
              <w:t>.</w:t>
            </w:r>
          </w:p>
        </w:tc>
      </w:tr>
      <w:tr w:rsidR="00697D9C" w:rsidRPr="00357722" w14:paraId="1A0C8E5F" w14:textId="77777777" w:rsidTr="00172F26">
        <w:tc>
          <w:tcPr>
            <w:tcW w:w="3964" w:type="dxa"/>
          </w:tcPr>
          <w:p w14:paraId="20C1545B" w14:textId="6FA22AF8" w:rsidR="00697D9C" w:rsidRPr="00357722" w:rsidRDefault="00463848"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Law and order</w:t>
            </w:r>
          </w:p>
        </w:tc>
        <w:tc>
          <w:tcPr>
            <w:tcW w:w="1701" w:type="dxa"/>
          </w:tcPr>
          <w:p w14:paraId="33CDEA58" w14:textId="1F5C3110" w:rsidR="00697D9C" w:rsidRPr="00357722" w:rsidRDefault="00463848"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LAWNO</w:t>
            </w:r>
          </w:p>
        </w:tc>
        <w:tc>
          <w:tcPr>
            <w:tcW w:w="4111" w:type="dxa"/>
          </w:tcPr>
          <w:p w14:paraId="7DA41026" w14:textId="0B1B1FAE" w:rsidR="00697D9C" w:rsidRPr="00357722" w:rsidRDefault="00A057A6"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World Governance Indicator (WGI) of the World Bank</w:t>
            </w:r>
            <w:r w:rsidR="00E11C07" w:rsidRPr="00357722">
              <w:rPr>
                <w:rFonts w:ascii="Times New Roman" w:hAnsi="Times New Roman" w:cs="Times New Roman"/>
                <w:color w:val="000000" w:themeColor="text1"/>
                <w:sz w:val="18"/>
                <w:szCs w:val="18"/>
              </w:rPr>
              <w:t>.</w:t>
            </w:r>
          </w:p>
        </w:tc>
      </w:tr>
      <w:tr w:rsidR="00697D9C" w:rsidRPr="00357722" w14:paraId="76FE6C66" w14:textId="77777777" w:rsidTr="00172F26">
        <w:tc>
          <w:tcPr>
            <w:tcW w:w="3964" w:type="dxa"/>
          </w:tcPr>
          <w:p w14:paraId="23C9CFF5" w14:textId="58FA7B54"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Population growth</w:t>
            </w:r>
          </w:p>
        </w:tc>
        <w:tc>
          <w:tcPr>
            <w:tcW w:w="1701" w:type="dxa"/>
          </w:tcPr>
          <w:p w14:paraId="103BBC5A" w14:textId="6598E212"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POPG</w:t>
            </w:r>
          </w:p>
        </w:tc>
        <w:tc>
          <w:tcPr>
            <w:tcW w:w="4111" w:type="dxa"/>
          </w:tcPr>
          <w:p w14:paraId="5EB59412" w14:textId="7F8E29C5" w:rsidR="00697D9C" w:rsidRPr="00357722" w:rsidRDefault="00E11C0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WDI</w:t>
            </w:r>
            <w:r w:rsidR="00A057A6" w:rsidRPr="00357722">
              <w:rPr>
                <w:rFonts w:ascii="Times New Roman" w:hAnsi="Times New Roman" w:cs="Times New Roman"/>
                <w:color w:val="000000" w:themeColor="text1"/>
                <w:sz w:val="18"/>
                <w:szCs w:val="18"/>
              </w:rPr>
              <w:t xml:space="preserve"> of World Bank Database</w:t>
            </w:r>
            <w:r w:rsidRPr="00357722">
              <w:rPr>
                <w:rFonts w:ascii="Times New Roman" w:hAnsi="Times New Roman" w:cs="Times New Roman"/>
                <w:color w:val="000000" w:themeColor="text1"/>
                <w:sz w:val="18"/>
                <w:szCs w:val="18"/>
              </w:rPr>
              <w:t>.</w:t>
            </w:r>
          </w:p>
        </w:tc>
      </w:tr>
      <w:tr w:rsidR="00697D9C" w:rsidRPr="00357722" w14:paraId="63FB5586" w14:textId="77777777" w:rsidTr="00172F26">
        <w:tc>
          <w:tcPr>
            <w:tcW w:w="3964" w:type="dxa"/>
          </w:tcPr>
          <w:p w14:paraId="034F1981" w14:textId="27CBD59D"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GDP growth</w:t>
            </w:r>
          </w:p>
        </w:tc>
        <w:tc>
          <w:tcPr>
            <w:tcW w:w="1701" w:type="dxa"/>
          </w:tcPr>
          <w:p w14:paraId="0C922762" w14:textId="5275CCD6"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GDPG</w:t>
            </w:r>
          </w:p>
        </w:tc>
        <w:tc>
          <w:tcPr>
            <w:tcW w:w="4111" w:type="dxa"/>
          </w:tcPr>
          <w:p w14:paraId="5DFD92F3" w14:textId="0CBDD162" w:rsidR="00697D9C" w:rsidRPr="00357722" w:rsidRDefault="00E11C0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WDI</w:t>
            </w:r>
            <w:r w:rsidR="00F63715" w:rsidRPr="00357722">
              <w:rPr>
                <w:rFonts w:ascii="Times New Roman" w:hAnsi="Times New Roman" w:cs="Times New Roman"/>
                <w:color w:val="000000" w:themeColor="text1"/>
                <w:sz w:val="18"/>
                <w:szCs w:val="18"/>
              </w:rPr>
              <w:t xml:space="preserve"> of World Bank Database.</w:t>
            </w:r>
          </w:p>
        </w:tc>
      </w:tr>
      <w:tr w:rsidR="00697D9C" w:rsidRPr="00357722" w14:paraId="172EF995" w14:textId="77777777" w:rsidTr="00172F26">
        <w:tc>
          <w:tcPr>
            <w:tcW w:w="3964" w:type="dxa"/>
          </w:tcPr>
          <w:p w14:paraId="3DCFB7B9" w14:textId="1C5A304A"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Inflation</w:t>
            </w:r>
          </w:p>
        </w:tc>
        <w:tc>
          <w:tcPr>
            <w:tcW w:w="1701" w:type="dxa"/>
          </w:tcPr>
          <w:p w14:paraId="64C81563" w14:textId="487FB821"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INFL</w:t>
            </w:r>
          </w:p>
        </w:tc>
        <w:tc>
          <w:tcPr>
            <w:tcW w:w="4111" w:type="dxa"/>
          </w:tcPr>
          <w:p w14:paraId="6AE9675B" w14:textId="1850FC4D" w:rsidR="00697D9C" w:rsidRPr="00357722" w:rsidRDefault="003E24D5"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IMF's International Financial Statistics (IFS)</w:t>
            </w:r>
            <w:r w:rsidR="00E11C07" w:rsidRPr="00357722">
              <w:rPr>
                <w:rFonts w:ascii="Times New Roman" w:hAnsi="Times New Roman" w:cs="Times New Roman"/>
                <w:color w:val="000000" w:themeColor="text1"/>
                <w:sz w:val="18"/>
                <w:szCs w:val="18"/>
              </w:rPr>
              <w:t>.</w:t>
            </w:r>
          </w:p>
        </w:tc>
      </w:tr>
      <w:tr w:rsidR="00697D9C" w:rsidRPr="00357722" w14:paraId="32E99116" w14:textId="77777777" w:rsidTr="00172F26">
        <w:tc>
          <w:tcPr>
            <w:tcW w:w="3964" w:type="dxa"/>
          </w:tcPr>
          <w:p w14:paraId="64DEC40F" w14:textId="10799E14"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Trade openness</w:t>
            </w:r>
          </w:p>
        </w:tc>
        <w:tc>
          <w:tcPr>
            <w:tcW w:w="1701" w:type="dxa"/>
          </w:tcPr>
          <w:p w14:paraId="51146950" w14:textId="6D9B9985"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TRDOPEN</w:t>
            </w:r>
          </w:p>
        </w:tc>
        <w:tc>
          <w:tcPr>
            <w:tcW w:w="4111" w:type="dxa"/>
          </w:tcPr>
          <w:p w14:paraId="1718F131" w14:textId="04E95EC5" w:rsidR="00697D9C" w:rsidRPr="00357722" w:rsidRDefault="00A057A6"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World Bank national accounts data, and OECD National Accounts data files.</w:t>
            </w:r>
          </w:p>
        </w:tc>
      </w:tr>
      <w:tr w:rsidR="00697D9C" w:rsidRPr="00357722" w14:paraId="410AA25F" w14:textId="77777777" w:rsidTr="00172F26">
        <w:tc>
          <w:tcPr>
            <w:tcW w:w="3964" w:type="dxa"/>
          </w:tcPr>
          <w:p w14:paraId="3CA8B4BA" w14:textId="24B22DCC"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Remittance</w:t>
            </w:r>
          </w:p>
        </w:tc>
        <w:tc>
          <w:tcPr>
            <w:tcW w:w="1701" w:type="dxa"/>
          </w:tcPr>
          <w:p w14:paraId="2F2A11B9" w14:textId="6C892CCD"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REMITT</w:t>
            </w:r>
          </w:p>
        </w:tc>
        <w:tc>
          <w:tcPr>
            <w:tcW w:w="4111" w:type="dxa"/>
          </w:tcPr>
          <w:p w14:paraId="7BF6AAFD" w14:textId="1C094A64" w:rsidR="00697D9C" w:rsidRPr="00357722" w:rsidRDefault="00172F26"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WDI</w:t>
            </w:r>
            <w:r w:rsidR="00F63715" w:rsidRPr="00357722">
              <w:rPr>
                <w:rFonts w:ascii="Times New Roman" w:hAnsi="Times New Roman" w:cs="Times New Roman"/>
                <w:color w:val="000000" w:themeColor="text1"/>
                <w:sz w:val="18"/>
                <w:szCs w:val="18"/>
              </w:rPr>
              <w:t xml:space="preserve"> of World Bank Database</w:t>
            </w:r>
            <w:r w:rsidR="00E11C07" w:rsidRPr="00357722">
              <w:rPr>
                <w:rFonts w:ascii="Times New Roman" w:hAnsi="Times New Roman" w:cs="Times New Roman"/>
                <w:color w:val="000000" w:themeColor="text1"/>
                <w:sz w:val="18"/>
                <w:szCs w:val="18"/>
              </w:rPr>
              <w:t>.</w:t>
            </w:r>
          </w:p>
        </w:tc>
      </w:tr>
      <w:tr w:rsidR="00697D9C" w:rsidRPr="00357722" w14:paraId="681BE296" w14:textId="77777777" w:rsidTr="00172F26">
        <w:tc>
          <w:tcPr>
            <w:tcW w:w="3964" w:type="dxa"/>
          </w:tcPr>
          <w:p w14:paraId="75096F9B" w14:textId="2D4441B4" w:rsidR="00697D9C" w:rsidRPr="00357722" w:rsidRDefault="00CE73A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Outstanding total international debt securities scaled by GDP</w:t>
            </w:r>
          </w:p>
        </w:tc>
        <w:tc>
          <w:tcPr>
            <w:tcW w:w="1701" w:type="dxa"/>
          </w:tcPr>
          <w:p w14:paraId="060B758A" w14:textId="4DD8B551" w:rsidR="00697D9C" w:rsidRPr="00357722" w:rsidRDefault="00CE73A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OTIDSGDP</w:t>
            </w:r>
          </w:p>
        </w:tc>
        <w:tc>
          <w:tcPr>
            <w:tcW w:w="4111" w:type="dxa"/>
          </w:tcPr>
          <w:p w14:paraId="00A8D5BA" w14:textId="65CA3D48" w:rsidR="00697D9C" w:rsidRPr="00357722" w:rsidRDefault="00D44077"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Global Financial Development of the World Bank Database.</w:t>
            </w:r>
          </w:p>
        </w:tc>
      </w:tr>
      <w:tr w:rsidR="00697D9C" w:rsidRPr="00357722" w14:paraId="52771FFB" w14:textId="77777777" w:rsidTr="00172F26">
        <w:tc>
          <w:tcPr>
            <w:tcW w:w="3964" w:type="dxa"/>
          </w:tcPr>
          <w:p w14:paraId="6443B3F8" w14:textId="6293BE5A" w:rsidR="00697D9C" w:rsidRPr="00357722" w:rsidRDefault="003E3DAE"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Legal origin</w:t>
            </w:r>
          </w:p>
        </w:tc>
        <w:tc>
          <w:tcPr>
            <w:tcW w:w="1701" w:type="dxa"/>
          </w:tcPr>
          <w:p w14:paraId="145C101B" w14:textId="6F9BA0CF" w:rsidR="00697D9C" w:rsidRPr="00357722" w:rsidRDefault="00697D9C"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LEGORI</w:t>
            </w:r>
          </w:p>
        </w:tc>
        <w:tc>
          <w:tcPr>
            <w:tcW w:w="4111" w:type="dxa"/>
          </w:tcPr>
          <w:p w14:paraId="2AE29B93" w14:textId="75B8231D" w:rsidR="00697D9C" w:rsidRPr="00357722" w:rsidRDefault="00A057A6" w:rsidP="005636E8">
            <w:pPr>
              <w:spacing w:line="480" w:lineRule="auto"/>
              <w:jc w:val="both"/>
              <w:rPr>
                <w:rFonts w:ascii="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 xml:space="preserve">La Porta, Lopez-de-Silanes, Shleifer, and </w:t>
            </w:r>
            <w:proofErr w:type="spellStart"/>
            <w:r w:rsidRPr="00357722">
              <w:rPr>
                <w:rFonts w:ascii="Times New Roman" w:hAnsi="Times New Roman" w:cs="Times New Roman"/>
                <w:color w:val="000000" w:themeColor="text1"/>
                <w:sz w:val="18"/>
                <w:szCs w:val="18"/>
              </w:rPr>
              <w:t>Vishny</w:t>
            </w:r>
            <w:proofErr w:type="spellEnd"/>
            <w:r w:rsidRPr="00357722">
              <w:rPr>
                <w:rFonts w:ascii="Times New Roman" w:hAnsi="Times New Roman" w:cs="Times New Roman"/>
                <w:color w:val="000000" w:themeColor="text1"/>
                <w:sz w:val="18"/>
                <w:szCs w:val="18"/>
              </w:rPr>
              <w:t xml:space="preserve"> (1999) and the CIA Factbook (2003)</w:t>
            </w:r>
            <w:r w:rsidR="00E11C07" w:rsidRPr="00357722">
              <w:rPr>
                <w:rFonts w:ascii="Times New Roman" w:hAnsi="Times New Roman" w:cs="Times New Roman"/>
                <w:color w:val="000000" w:themeColor="text1"/>
                <w:sz w:val="18"/>
                <w:szCs w:val="18"/>
              </w:rPr>
              <w:t>.</w:t>
            </w:r>
          </w:p>
        </w:tc>
      </w:tr>
    </w:tbl>
    <w:p w14:paraId="2230E2DE" w14:textId="77777777" w:rsidR="00B67018" w:rsidRDefault="00B67018" w:rsidP="005636E8">
      <w:pPr>
        <w:spacing w:line="480" w:lineRule="auto"/>
        <w:jc w:val="both"/>
        <w:rPr>
          <w:rFonts w:ascii="Times New Roman" w:hAnsi="Times New Roman" w:cs="Times New Roman"/>
          <w:b/>
          <w:color w:val="000000" w:themeColor="text1"/>
          <w:sz w:val="24"/>
          <w:szCs w:val="24"/>
        </w:rPr>
      </w:pPr>
    </w:p>
    <w:p w14:paraId="03CEE647" w14:textId="77777777" w:rsidR="00513C47" w:rsidRDefault="00513C47" w:rsidP="005636E8">
      <w:pPr>
        <w:spacing w:line="480" w:lineRule="auto"/>
        <w:jc w:val="both"/>
        <w:rPr>
          <w:rFonts w:ascii="Times New Roman" w:hAnsi="Times New Roman" w:cs="Times New Roman"/>
          <w:b/>
          <w:color w:val="000000" w:themeColor="text1"/>
          <w:sz w:val="24"/>
          <w:szCs w:val="24"/>
        </w:rPr>
      </w:pPr>
    </w:p>
    <w:p w14:paraId="67DF7D18" w14:textId="77777777" w:rsidR="00513C47" w:rsidRDefault="00513C47" w:rsidP="005636E8">
      <w:pPr>
        <w:spacing w:line="480" w:lineRule="auto"/>
        <w:jc w:val="both"/>
        <w:rPr>
          <w:rFonts w:ascii="Times New Roman" w:hAnsi="Times New Roman" w:cs="Times New Roman"/>
          <w:b/>
          <w:color w:val="000000" w:themeColor="text1"/>
          <w:sz w:val="24"/>
          <w:szCs w:val="24"/>
        </w:rPr>
        <w:sectPr w:rsidR="00513C47" w:rsidSect="00C34896">
          <w:pgSz w:w="11906" w:h="16838"/>
          <w:pgMar w:top="1440" w:right="1440" w:bottom="1440" w:left="993" w:header="708" w:footer="708" w:gutter="0"/>
          <w:cols w:space="708"/>
          <w:docGrid w:linePitch="360"/>
        </w:sectPr>
      </w:pPr>
    </w:p>
    <w:p w14:paraId="4222849E" w14:textId="53C0C531" w:rsidR="00513C47" w:rsidRPr="00513C47" w:rsidRDefault="00513C47" w:rsidP="00513C47">
      <w:pPr>
        <w:spacing w:after="160" w:line="259" w:lineRule="auto"/>
        <w:rPr>
          <w:rFonts w:ascii="Times New Roman" w:eastAsia="Calibri" w:hAnsi="Times New Roman" w:cs="Times New Roman"/>
          <w:b/>
          <w:bCs/>
          <w:sz w:val="24"/>
          <w:szCs w:val="24"/>
          <w:lang w:eastAsia="en-US"/>
        </w:rPr>
      </w:pPr>
      <w:r w:rsidRPr="00B31D4D">
        <w:rPr>
          <w:rFonts w:ascii="Times New Roman" w:eastAsia="Calibri" w:hAnsi="Times New Roman" w:cs="Times New Roman"/>
          <w:b/>
          <w:bCs/>
          <w:sz w:val="24"/>
          <w:szCs w:val="24"/>
          <w:lang w:eastAsia="en-US"/>
        </w:rPr>
        <w:lastRenderedPageBreak/>
        <w:t>Appendix A2</w:t>
      </w:r>
    </w:p>
    <w:p w14:paraId="4146758B" w14:textId="77777777" w:rsidR="00513C47" w:rsidRPr="00513C47" w:rsidRDefault="00513C47" w:rsidP="00513C47">
      <w:pPr>
        <w:spacing w:after="160" w:line="259" w:lineRule="auto"/>
        <w:rPr>
          <w:rFonts w:ascii="Times New Roman" w:eastAsia="Calibri" w:hAnsi="Times New Roman" w:cs="Times New Roman"/>
          <w:b/>
          <w:bCs/>
          <w:sz w:val="24"/>
          <w:szCs w:val="24"/>
          <w:lang w:eastAsia="en-US"/>
        </w:rPr>
      </w:pPr>
      <w:r w:rsidRPr="00513C47">
        <w:rPr>
          <w:rFonts w:ascii="Times New Roman" w:eastAsia="Calibri" w:hAnsi="Times New Roman" w:cs="Times New Roman"/>
          <w:b/>
          <w:bCs/>
          <w:sz w:val="24"/>
          <w:szCs w:val="24"/>
          <w:lang w:eastAsia="en-US"/>
        </w:rPr>
        <w:t>Marginal effects plots</w:t>
      </w:r>
    </w:p>
    <w:p w14:paraId="47182EA9" w14:textId="77777777" w:rsidR="00513C47" w:rsidRPr="00513C47" w:rsidRDefault="00513C47" w:rsidP="00513C47">
      <w:pPr>
        <w:spacing w:after="160" w:line="259" w:lineRule="auto"/>
        <w:rPr>
          <w:rFonts w:ascii="Times New Roman" w:eastAsia="Calibri" w:hAnsi="Times New Roman" w:cs="Times New Roman"/>
          <w:b/>
          <w:bCs/>
          <w:sz w:val="24"/>
          <w:szCs w:val="24"/>
          <w:lang w:eastAsia="en-US"/>
        </w:rPr>
      </w:pPr>
      <w:r w:rsidRPr="00513C47">
        <w:rPr>
          <w:rFonts w:ascii="Times New Roman" w:eastAsia="Calibri" w:hAnsi="Times New Roman" w:cs="Times New Roman"/>
          <w:b/>
          <w:bCs/>
          <w:sz w:val="24"/>
          <w:szCs w:val="24"/>
          <w:lang w:eastAsia="en-US"/>
        </w:rPr>
        <w:t>(a) Central bank transparency and financial development</w:t>
      </w:r>
    </w:p>
    <w:p w14:paraId="551664B5" w14:textId="2559D4B3" w:rsidR="00513C47" w:rsidRDefault="00513C47" w:rsidP="005636E8">
      <w:pPr>
        <w:spacing w:line="480" w:lineRule="auto"/>
        <w:jc w:val="both"/>
        <w:rPr>
          <w:rFonts w:ascii="Times New Roman" w:hAnsi="Times New Roman" w:cs="Times New Roman"/>
          <w:b/>
          <w:color w:val="000000" w:themeColor="text1"/>
          <w:sz w:val="24"/>
          <w:szCs w:val="24"/>
        </w:rPr>
      </w:pPr>
      <w:r w:rsidRPr="00513C47">
        <w:rPr>
          <w:rFonts w:ascii="Times New Roman" w:eastAsia="Calibri" w:hAnsi="Times New Roman" w:cs="Times New Roman"/>
          <w:b/>
          <w:bCs/>
          <w:noProof/>
        </w:rPr>
        <w:drawing>
          <wp:inline distT="0" distB="0" distL="0" distR="0" wp14:anchorId="18599FEA" wp14:editId="41588490">
            <wp:extent cx="5286375" cy="38290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3829050"/>
                    </a:xfrm>
                    <a:prstGeom prst="rect">
                      <a:avLst/>
                    </a:prstGeom>
                    <a:noFill/>
                    <a:ln>
                      <a:noFill/>
                    </a:ln>
                  </pic:spPr>
                </pic:pic>
              </a:graphicData>
            </a:graphic>
          </wp:inline>
        </w:drawing>
      </w:r>
    </w:p>
    <w:p w14:paraId="5722462D" w14:textId="4711153B" w:rsidR="00513C47" w:rsidRDefault="00513C47" w:rsidP="005636E8">
      <w:pPr>
        <w:spacing w:line="480" w:lineRule="auto"/>
        <w:jc w:val="both"/>
        <w:rPr>
          <w:rFonts w:ascii="Times New Roman" w:hAnsi="Times New Roman" w:cs="Times New Roman"/>
          <w:b/>
          <w:color w:val="000000" w:themeColor="text1"/>
          <w:sz w:val="24"/>
          <w:szCs w:val="24"/>
        </w:rPr>
      </w:pPr>
      <w:r w:rsidRPr="002B4F8C">
        <w:rPr>
          <w:rFonts w:ascii="Times New Roman" w:hAnsi="Times New Roman" w:cs="Times New Roman"/>
          <w:noProof/>
        </w:rPr>
        <w:drawing>
          <wp:inline distT="0" distB="0" distL="0" distR="0" wp14:anchorId="75685DBC" wp14:editId="3FE0E551">
            <wp:extent cx="5286375" cy="38290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3829050"/>
                    </a:xfrm>
                    <a:prstGeom prst="rect">
                      <a:avLst/>
                    </a:prstGeom>
                    <a:noFill/>
                    <a:ln>
                      <a:noFill/>
                    </a:ln>
                  </pic:spPr>
                </pic:pic>
              </a:graphicData>
            </a:graphic>
          </wp:inline>
        </w:drawing>
      </w:r>
    </w:p>
    <w:p w14:paraId="58EAFEB1" w14:textId="77950B94" w:rsidR="00513C47" w:rsidRDefault="00513C47" w:rsidP="005636E8">
      <w:pPr>
        <w:spacing w:line="480" w:lineRule="auto"/>
        <w:jc w:val="both"/>
        <w:rPr>
          <w:rFonts w:ascii="Times New Roman" w:hAnsi="Times New Roman" w:cs="Times New Roman"/>
          <w:b/>
          <w:color w:val="000000" w:themeColor="text1"/>
          <w:sz w:val="24"/>
          <w:szCs w:val="24"/>
        </w:rPr>
      </w:pPr>
      <w:r w:rsidRPr="002B4F8C">
        <w:rPr>
          <w:rFonts w:ascii="Times New Roman" w:hAnsi="Times New Roman" w:cs="Times New Roman"/>
          <w:noProof/>
        </w:rPr>
        <w:lastRenderedPageBreak/>
        <w:drawing>
          <wp:inline distT="0" distB="0" distL="0" distR="0" wp14:anchorId="2BEA2C12" wp14:editId="51A97964">
            <wp:extent cx="5286375" cy="382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6375" cy="3829050"/>
                    </a:xfrm>
                    <a:prstGeom prst="rect">
                      <a:avLst/>
                    </a:prstGeom>
                    <a:noFill/>
                    <a:ln>
                      <a:noFill/>
                    </a:ln>
                  </pic:spPr>
                </pic:pic>
              </a:graphicData>
            </a:graphic>
          </wp:inline>
        </w:drawing>
      </w:r>
    </w:p>
    <w:p w14:paraId="415D0504" w14:textId="77777777" w:rsidR="00513C47" w:rsidRPr="00A53C2C" w:rsidRDefault="00513C47" w:rsidP="00513C47">
      <w:pPr>
        <w:rPr>
          <w:rFonts w:ascii="Times New Roman" w:hAnsi="Times New Roman" w:cs="Times New Roman"/>
          <w:b/>
          <w:bCs/>
          <w:sz w:val="24"/>
          <w:szCs w:val="24"/>
        </w:rPr>
      </w:pPr>
      <w:r>
        <w:rPr>
          <w:rFonts w:ascii="Times New Roman" w:hAnsi="Times New Roman" w:cs="Times New Roman"/>
          <w:b/>
          <w:bCs/>
          <w:sz w:val="24"/>
          <w:szCs w:val="24"/>
        </w:rPr>
        <w:t xml:space="preserve">(b) </w:t>
      </w:r>
      <w:r w:rsidRPr="00A53C2C">
        <w:rPr>
          <w:rFonts w:ascii="Times New Roman" w:hAnsi="Times New Roman" w:cs="Times New Roman"/>
          <w:b/>
          <w:bCs/>
          <w:sz w:val="24"/>
          <w:szCs w:val="24"/>
        </w:rPr>
        <w:t>Economic freedom and financial development</w:t>
      </w:r>
    </w:p>
    <w:p w14:paraId="4A39BE0B" w14:textId="1574A1E6" w:rsidR="00513C47" w:rsidRDefault="00CE1633" w:rsidP="005636E8">
      <w:pPr>
        <w:spacing w:line="480" w:lineRule="auto"/>
        <w:jc w:val="both"/>
        <w:rPr>
          <w:rFonts w:ascii="Times New Roman" w:hAnsi="Times New Roman" w:cs="Times New Roman"/>
          <w:b/>
          <w:color w:val="000000" w:themeColor="text1"/>
          <w:sz w:val="24"/>
          <w:szCs w:val="24"/>
        </w:rPr>
      </w:pPr>
      <w:r w:rsidRPr="002B4F8C">
        <w:rPr>
          <w:rFonts w:ascii="Times New Roman" w:hAnsi="Times New Roman" w:cs="Times New Roman"/>
          <w:noProof/>
        </w:rPr>
        <w:drawing>
          <wp:inline distT="0" distB="0" distL="0" distR="0" wp14:anchorId="3673B106" wp14:editId="0F5AFD10">
            <wp:extent cx="5286375" cy="38290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3829050"/>
                    </a:xfrm>
                    <a:prstGeom prst="rect">
                      <a:avLst/>
                    </a:prstGeom>
                    <a:noFill/>
                    <a:ln>
                      <a:noFill/>
                    </a:ln>
                  </pic:spPr>
                </pic:pic>
              </a:graphicData>
            </a:graphic>
          </wp:inline>
        </w:drawing>
      </w:r>
    </w:p>
    <w:p w14:paraId="21747C62" w14:textId="32A2937D" w:rsidR="00513C47" w:rsidRPr="00357722" w:rsidRDefault="00513C47" w:rsidP="005636E8">
      <w:pPr>
        <w:spacing w:line="480" w:lineRule="auto"/>
        <w:jc w:val="both"/>
        <w:rPr>
          <w:rFonts w:ascii="Times New Roman" w:hAnsi="Times New Roman" w:cs="Times New Roman"/>
          <w:b/>
          <w:color w:val="000000" w:themeColor="text1"/>
          <w:sz w:val="24"/>
          <w:szCs w:val="24"/>
        </w:rPr>
      </w:pPr>
    </w:p>
    <w:p w14:paraId="1D3D0014" w14:textId="45AC2227" w:rsidR="00E11C07" w:rsidRPr="00357722" w:rsidRDefault="00CE1633" w:rsidP="005636E8">
      <w:pPr>
        <w:spacing w:line="480" w:lineRule="auto"/>
        <w:jc w:val="both"/>
        <w:rPr>
          <w:rFonts w:ascii="Times New Roman" w:hAnsi="Times New Roman" w:cs="Times New Roman"/>
          <w:b/>
          <w:color w:val="000000" w:themeColor="text1"/>
          <w:sz w:val="24"/>
          <w:szCs w:val="24"/>
        </w:rPr>
      </w:pPr>
      <w:r w:rsidRPr="002B4F8C">
        <w:rPr>
          <w:rFonts w:ascii="Times New Roman" w:hAnsi="Times New Roman" w:cs="Times New Roman"/>
          <w:noProof/>
        </w:rPr>
        <w:lastRenderedPageBreak/>
        <w:drawing>
          <wp:inline distT="0" distB="0" distL="0" distR="0" wp14:anchorId="77A715E5" wp14:editId="5FFFE953">
            <wp:extent cx="5286375" cy="38290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6375" cy="3829050"/>
                    </a:xfrm>
                    <a:prstGeom prst="rect">
                      <a:avLst/>
                    </a:prstGeom>
                    <a:noFill/>
                    <a:ln>
                      <a:noFill/>
                    </a:ln>
                  </pic:spPr>
                </pic:pic>
              </a:graphicData>
            </a:graphic>
          </wp:inline>
        </w:drawing>
      </w:r>
    </w:p>
    <w:p w14:paraId="7A5BFD1B" w14:textId="77777777" w:rsidR="00CE1633" w:rsidRPr="00A53C2C" w:rsidRDefault="00CE1633" w:rsidP="00CE1633">
      <w:pPr>
        <w:rPr>
          <w:rFonts w:ascii="Times New Roman" w:hAnsi="Times New Roman" w:cs="Times New Roman"/>
          <w:b/>
          <w:sz w:val="24"/>
          <w:szCs w:val="24"/>
        </w:rPr>
      </w:pPr>
      <w:r>
        <w:rPr>
          <w:rFonts w:ascii="Times New Roman" w:hAnsi="Times New Roman" w:cs="Times New Roman"/>
          <w:b/>
          <w:sz w:val="24"/>
          <w:szCs w:val="24"/>
        </w:rPr>
        <w:t xml:space="preserve">(c) </w:t>
      </w:r>
      <w:r w:rsidRPr="00A53C2C">
        <w:rPr>
          <w:rFonts w:ascii="Times New Roman" w:hAnsi="Times New Roman" w:cs="Times New Roman"/>
          <w:b/>
          <w:sz w:val="24"/>
          <w:szCs w:val="24"/>
        </w:rPr>
        <w:t>International bond flow and financial development</w:t>
      </w:r>
    </w:p>
    <w:p w14:paraId="2845EA5F" w14:textId="6C26DA03" w:rsidR="00E11C07" w:rsidRDefault="00CE1633" w:rsidP="005636E8">
      <w:pPr>
        <w:spacing w:line="480" w:lineRule="auto"/>
        <w:jc w:val="both"/>
        <w:rPr>
          <w:rFonts w:ascii="Times New Roman" w:hAnsi="Times New Roman" w:cs="Times New Roman"/>
          <w:b/>
          <w:color w:val="000000" w:themeColor="text1"/>
          <w:sz w:val="24"/>
          <w:szCs w:val="24"/>
        </w:rPr>
      </w:pPr>
      <w:r w:rsidRPr="002B4F8C">
        <w:rPr>
          <w:rFonts w:ascii="Times New Roman" w:hAnsi="Times New Roman" w:cs="Times New Roman"/>
          <w:noProof/>
        </w:rPr>
        <w:drawing>
          <wp:inline distT="0" distB="0" distL="0" distR="0" wp14:anchorId="29869EC6" wp14:editId="2C85EB2C">
            <wp:extent cx="5286375" cy="38290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3829050"/>
                    </a:xfrm>
                    <a:prstGeom prst="rect">
                      <a:avLst/>
                    </a:prstGeom>
                    <a:noFill/>
                    <a:ln>
                      <a:noFill/>
                    </a:ln>
                  </pic:spPr>
                </pic:pic>
              </a:graphicData>
            </a:graphic>
          </wp:inline>
        </w:drawing>
      </w:r>
    </w:p>
    <w:p w14:paraId="77A70E29" w14:textId="6BB6A7FF" w:rsidR="00CE1633" w:rsidRDefault="00CE1633" w:rsidP="005636E8">
      <w:pPr>
        <w:spacing w:line="480" w:lineRule="auto"/>
        <w:jc w:val="both"/>
        <w:rPr>
          <w:rFonts w:ascii="Times New Roman" w:hAnsi="Times New Roman" w:cs="Times New Roman"/>
          <w:b/>
          <w:color w:val="000000" w:themeColor="text1"/>
          <w:sz w:val="24"/>
          <w:szCs w:val="24"/>
        </w:rPr>
      </w:pPr>
      <w:r w:rsidRPr="002B4F8C">
        <w:rPr>
          <w:rFonts w:ascii="Times New Roman" w:hAnsi="Times New Roman" w:cs="Times New Roman"/>
          <w:noProof/>
        </w:rPr>
        <w:lastRenderedPageBreak/>
        <w:drawing>
          <wp:inline distT="0" distB="0" distL="0" distR="0" wp14:anchorId="5957C8A9" wp14:editId="17B9F24F">
            <wp:extent cx="5286375" cy="38290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3829050"/>
                    </a:xfrm>
                    <a:prstGeom prst="rect">
                      <a:avLst/>
                    </a:prstGeom>
                    <a:noFill/>
                    <a:ln>
                      <a:noFill/>
                    </a:ln>
                  </pic:spPr>
                </pic:pic>
              </a:graphicData>
            </a:graphic>
          </wp:inline>
        </w:drawing>
      </w:r>
    </w:p>
    <w:p w14:paraId="56886AA7" w14:textId="77777777" w:rsidR="00CE1633" w:rsidRDefault="00CE1633" w:rsidP="005636E8">
      <w:pPr>
        <w:spacing w:line="480" w:lineRule="auto"/>
        <w:jc w:val="both"/>
        <w:rPr>
          <w:rFonts w:ascii="Times New Roman" w:hAnsi="Times New Roman" w:cs="Times New Roman"/>
          <w:b/>
          <w:color w:val="000000" w:themeColor="text1"/>
          <w:sz w:val="24"/>
          <w:szCs w:val="24"/>
        </w:rPr>
      </w:pPr>
    </w:p>
    <w:p w14:paraId="30AB0609" w14:textId="77777777" w:rsidR="00CE1633" w:rsidRPr="00357722" w:rsidRDefault="00CE1633" w:rsidP="005636E8">
      <w:pPr>
        <w:spacing w:line="480" w:lineRule="auto"/>
        <w:jc w:val="both"/>
        <w:rPr>
          <w:rFonts w:ascii="Times New Roman" w:hAnsi="Times New Roman" w:cs="Times New Roman"/>
          <w:b/>
          <w:color w:val="000000" w:themeColor="text1"/>
          <w:sz w:val="24"/>
          <w:szCs w:val="24"/>
        </w:rPr>
        <w:sectPr w:rsidR="00CE1633" w:rsidRPr="00357722" w:rsidSect="00C34896">
          <w:pgSz w:w="11906" w:h="16838"/>
          <w:pgMar w:top="1440" w:right="1440" w:bottom="1440" w:left="993" w:header="708" w:footer="708" w:gutter="0"/>
          <w:cols w:space="708"/>
          <w:docGrid w:linePitch="360"/>
        </w:sectPr>
      </w:pPr>
    </w:p>
    <w:bookmarkEnd w:id="15"/>
    <w:p w14:paraId="66BCBE66" w14:textId="230C93FB" w:rsidR="001E797C" w:rsidRPr="00357722" w:rsidRDefault="00571F7F" w:rsidP="005636E8">
      <w:pPr>
        <w:widowControl w:val="0"/>
        <w:autoSpaceDE w:val="0"/>
        <w:autoSpaceDN w:val="0"/>
        <w:adjustRightInd w:val="0"/>
        <w:spacing w:after="0" w:line="480" w:lineRule="auto"/>
        <w:jc w:val="both"/>
        <w:rPr>
          <w:rFonts w:ascii="Times New Roman" w:hAnsi="Times New Roman" w:cs="Times New Roman"/>
          <w:b/>
          <w:color w:val="000000" w:themeColor="text1"/>
        </w:rPr>
      </w:pPr>
      <w:r w:rsidRPr="00357722">
        <w:rPr>
          <w:rFonts w:ascii="Times New Roman" w:hAnsi="Times New Roman" w:cs="Times New Roman"/>
          <w:b/>
          <w:color w:val="000000" w:themeColor="text1"/>
        </w:rPr>
        <w:lastRenderedPageBreak/>
        <w:t xml:space="preserve">Table </w:t>
      </w:r>
      <w:r w:rsidR="0078028D" w:rsidRPr="00357722">
        <w:rPr>
          <w:rFonts w:ascii="Times New Roman" w:hAnsi="Times New Roman" w:cs="Times New Roman"/>
          <w:b/>
          <w:color w:val="000000" w:themeColor="text1"/>
        </w:rPr>
        <w:t>1</w:t>
      </w:r>
      <w:r w:rsidRPr="00357722">
        <w:rPr>
          <w:rFonts w:ascii="Times New Roman" w:hAnsi="Times New Roman" w:cs="Times New Roman"/>
          <w:b/>
          <w:color w:val="000000" w:themeColor="text1"/>
        </w:rPr>
        <w:t xml:space="preserve">: </w:t>
      </w:r>
    </w:p>
    <w:p w14:paraId="24777D8D" w14:textId="5EC5D1B2" w:rsidR="00A558EB" w:rsidRPr="00357722" w:rsidRDefault="007F2B37" w:rsidP="001E797C">
      <w:pPr>
        <w:widowControl w:val="0"/>
        <w:autoSpaceDE w:val="0"/>
        <w:autoSpaceDN w:val="0"/>
        <w:adjustRightInd w:val="0"/>
        <w:spacing w:after="0" w:line="480" w:lineRule="auto"/>
        <w:jc w:val="both"/>
        <w:rPr>
          <w:rFonts w:ascii="Times New Roman" w:hAnsi="Times New Roman" w:cs="Times New Roman"/>
          <w:b/>
          <w:bCs/>
          <w:color w:val="000000" w:themeColor="text1"/>
          <w:lang w:val="en-US"/>
        </w:rPr>
      </w:pPr>
      <w:r w:rsidRPr="00357722">
        <w:rPr>
          <w:rFonts w:ascii="Times New Roman" w:hAnsi="Times New Roman" w:cs="Times New Roman"/>
          <w:b/>
          <w:color w:val="000000" w:themeColor="text1"/>
        </w:rPr>
        <w:t>Summary</w:t>
      </w:r>
      <w:r w:rsidR="00571F7F" w:rsidRPr="00357722">
        <w:rPr>
          <w:rFonts w:ascii="Times New Roman" w:hAnsi="Times New Roman" w:cs="Times New Roman"/>
          <w:b/>
          <w:color w:val="000000" w:themeColor="text1"/>
        </w:rPr>
        <w:t xml:space="preserve"> statistics of</w:t>
      </w:r>
      <w:r w:rsidR="00E469EF" w:rsidRPr="00357722">
        <w:rPr>
          <w:rFonts w:ascii="Times New Roman" w:hAnsi="Times New Roman" w:cs="Times New Roman"/>
          <w:b/>
          <w:color w:val="000000" w:themeColor="text1"/>
        </w:rPr>
        <w:t xml:space="preserve"> </w:t>
      </w:r>
      <w:r w:rsidR="00571F7F" w:rsidRPr="00357722">
        <w:rPr>
          <w:rFonts w:ascii="Times New Roman" w:hAnsi="Times New Roman" w:cs="Times New Roman"/>
          <w:b/>
          <w:color w:val="000000" w:themeColor="text1"/>
        </w:rPr>
        <w:t xml:space="preserve">dependent and </w:t>
      </w:r>
      <w:r w:rsidRPr="00357722">
        <w:rPr>
          <w:rFonts w:ascii="Times New Roman" w:hAnsi="Times New Roman" w:cs="Times New Roman"/>
          <w:b/>
          <w:color w:val="000000" w:themeColor="text1"/>
        </w:rPr>
        <w:t xml:space="preserve">key </w:t>
      </w:r>
      <w:r w:rsidR="00571F7F" w:rsidRPr="00357722">
        <w:rPr>
          <w:rFonts w:ascii="Times New Roman" w:hAnsi="Times New Roman" w:cs="Times New Roman"/>
          <w:b/>
          <w:color w:val="000000" w:themeColor="text1"/>
        </w:rPr>
        <w:t>independent variables</w:t>
      </w:r>
    </w:p>
    <w:tbl>
      <w:tblPr>
        <w:tblW w:w="5000" w:type="pct"/>
        <w:tblLayout w:type="fixed"/>
        <w:tblLook w:val="04A0" w:firstRow="1" w:lastRow="0" w:firstColumn="1" w:lastColumn="0" w:noHBand="0" w:noVBand="1"/>
      </w:tblPr>
      <w:tblGrid>
        <w:gridCol w:w="1831"/>
        <w:gridCol w:w="1313"/>
        <w:gridCol w:w="1415"/>
        <w:gridCol w:w="1256"/>
        <w:gridCol w:w="1375"/>
        <w:gridCol w:w="1423"/>
        <w:gridCol w:w="860"/>
      </w:tblGrid>
      <w:tr w:rsidR="006351E0" w:rsidRPr="00357722" w14:paraId="5BFBBA7D" w14:textId="77777777" w:rsidTr="00771B6F">
        <w:trPr>
          <w:trHeight w:val="300"/>
        </w:trPr>
        <w:tc>
          <w:tcPr>
            <w:tcW w:w="5000" w:type="pct"/>
            <w:gridSpan w:val="7"/>
            <w:tcBorders>
              <w:top w:val="nil"/>
              <w:left w:val="nil"/>
              <w:bottom w:val="single" w:sz="4" w:space="0" w:color="auto"/>
              <w:right w:val="nil"/>
            </w:tcBorders>
            <w:shd w:val="clear" w:color="auto" w:fill="auto"/>
            <w:noWrap/>
            <w:vAlign w:val="center"/>
            <w:hideMark/>
          </w:tcPr>
          <w:p w14:paraId="5F445848" w14:textId="13AD3DB3" w:rsidR="006351E0" w:rsidRPr="00357722" w:rsidRDefault="00150478"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Panel A: Developed countries</w:t>
            </w:r>
          </w:p>
        </w:tc>
      </w:tr>
      <w:tr w:rsidR="00771B6F" w:rsidRPr="00357722" w14:paraId="67279EBC" w14:textId="77777777" w:rsidTr="00771B6F">
        <w:trPr>
          <w:trHeight w:val="569"/>
        </w:trPr>
        <w:tc>
          <w:tcPr>
            <w:tcW w:w="966" w:type="pct"/>
            <w:tcBorders>
              <w:top w:val="nil"/>
              <w:left w:val="nil"/>
              <w:bottom w:val="single" w:sz="4" w:space="0" w:color="auto"/>
              <w:right w:val="nil"/>
            </w:tcBorders>
            <w:shd w:val="clear" w:color="auto" w:fill="auto"/>
            <w:noWrap/>
            <w:vAlign w:val="center"/>
            <w:hideMark/>
          </w:tcPr>
          <w:p w14:paraId="632E42AC"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Country</w:t>
            </w:r>
          </w:p>
        </w:tc>
        <w:tc>
          <w:tcPr>
            <w:tcW w:w="693" w:type="pct"/>
            <w:tcBorders>
              <w:top w:val="nil"/>
              <w:left w:val="nil"/>
              <w:bottom w:val="single" w:sz="4" w:space="0" w:color="auto"/>
              <w:right w:val="nil"/>
            </w:tcBorders>
            <w:shd w:val="clear" w:color="auto" w:fill="auto"/>
            <w:vAlign w:val="center"/>
            <w:hideMark/>
          </w:tcPr>
          <w:p w14:paraId="00C0A498" w14:textId="459C828D" w:rsidR="006351E0" w:rsidRPr="00357722" w:rsidRDefault="007E5E4E" w:rsidP="005636E8">
            <w:pPr>
              <w:spacing w:after="0" w:line="480" w:lineRule="auto"/>
              <w:jc w:val="both"/>
              <w:rPr>
                <w:rFonts w:ascii="Times New Roman" w:eastAsia="Times New Roman" w:hAnsi="Times New Roman" w:cs="Times New Roman"/>
                <w:b/>
                <w:bCs/>
                <w:i/>
                <w:iCs/>
                <w:color w:val="000000"/>
                <w:sz w:val="16"/>
                <w:szCs w:val="16"/>
              </w:rPr>
            </w:pPr>
            <w:r w:rsidRPr="00357722">
              <w:rPr>
                <w:rFonts w:ascii="Times New Roman" w:eastAsia="Times New Roman" w:hAnsi="Times New Roman" w:cs="Times New Roman"/>
                <w:color w:val="000000"/>
                <w:sz w:val="16"/>
                <w:szCs w:val="16"/>
                <w:lang w:val="en-US"/>
              </w:rPr>
              <w:t>MCGDP</w:t>
            </w:r>
          </w:p>
        </w:tc>
        <w:tc>
          <w:tcPr>
            <w:tcW w:w="747" w:type="pct"/>
            <w:tcBorders>
              <w:top w:val="nil"/>
              <w:left w:val="nil"/>
              <w:bottom w:val="single" w:sz="4" w:space="0" w:color="auto"/>
              <w:right w:val="nil"/>
            </w:tcBorders>
            <w:shd w:val="clear" w:color="auto" w:fill="auto"/>
            <w:vAlign w:val="center"/>
            <w:hideMark/>
          </w:tcPr>
          <w:p w14:paraId="7977021A" w14:textId="2A97F581" w:rsidR="006351E0" w:rsidRPr="00357722" w:rsidRDefault="007E5E4E" w:rsidP="005636E8">
            <w:pPr>
              <w:spacing w:after="0" w:line="480" w:lineRule="auto"/>
              <w:jc w:val="both"/>
              <w:rPr>
                <w:rFonts w:ascii="Times New Roman" w:eastAsia="Times New Roman" w:hAnsi="Times New Roman" w:cs="Times New Roman"/>
                <w:b/>
                <w:bCs/>
                <w:i/>
                <w:iCs/>
                <w:color w:val="000000"/>
                <w:sz w:val="16"/>
                <w:szCs w:val="16"/>
              </w:rPr>
            </w:pPr>
            <w:r w:rsidRPr="00357722">
              <w:rPr>
                <w:rFonts w:ascii="Times New Roman" w:eastAsia="Times New Roman" w:hAnsi="Times New Roman" w:cs="Times New Roman"/>
                <w:color w:val="000000"/>
                <w:sz w:val="16"/>
                <w:szCs w:val="16"/>
                <w:lang w:val="en-US"/>
              </w:rPr>
              <w:t>PSCGDP</w:t>
            </w:r>
          </w:p>
        </w:tc>
        <w:tc>
          <w:tcPr>
            <w:tcW w:w="663" w:type="pct"/>
            <w:tcBorders>
              <w:top w:val="nil"/>
              <w:left w:val="nil"/>
              <w:bottom w:val="single" w:sz="4" w:space="0" w:color="auto"/>
              <w:right w:val="nil"/>
            </w:tcBorders>
            <w:shd w:val="clear" w:color="auto" w:fill="auto"/>
            <w:vAlign w:val="center"/>
            <w:hideMark/>
          </w:tcPr>
          <w:p w14:paraId="6598AA10" w14:textId="66AA218F" w:rsidR="006351E0" w:rsidRPr="00357722" w:rsidRDefault="007E5E4E" w:rsidP="005636E8">
            <w:pPr>
              <w:spacing w:after="0" w:line="480" w:lineRule="auto"/>
              <w:jc w:val="both"/>
              <w:rPr>
                <w:rFonts w:ascii="Times New Roman" w:eastAsia="Times New Roman" w:hAnsi="Times New Roman" w:cs="Times New Roman"/>
                <w:b/>
                <w:bCs/>
                <w:i/>
                <w:iCs/>
                <w:color w:val="000000"/>
                <w:sz w:val="16"/>
                <w:szCs w:val="16"/>
              </w:rPr>
            </w:pPr>
            <w:r w:rsidRPr="00357722">
              <w:rPr>
                <w:rFonts w:ascii="Times New Roman" w:eastAsia="Times New Roman" w:hAnsi="Times New Roman" w:cs="Times New Roman"/>
                <w:color w:val="000000"/>
                <w:sz w:val="16"/>
                <w:szCs w:val="16"/>
                <w:lang w:val="en-US"/>
              </w:rPr>
              <w:t>DCPGDP</w:t>
            </w:r>
          </w:p>
        </w:tc>
        <w:tc>
          <w:tcPr>
            <w:tcW w:w="726" w:type="pct"/>
            <w:tcBorders>
              <w:top w:val="nil"/>
              <w:left w:val="nil"/>
              <w:bottom w:val="single" w:sz="4" w:space="0" w:color="auto"/>
              <w:right w:val="nil"/>
            </w:tcBorders>
            <w:shd w:val="clear" w:color="auto" w:fill="auto"/>
            <w:noWrap/>
            <w:vAlign w:val="center"/>
            <w:hideMark/>
          </w:tcPr>
          <w:p w14:paraId="2CC10E8A" w14:textId="4F76C07C" w:rsidR="006351E0" w:rsidRPr="00357722" w:rsidRDefault="007E5E4E" w:rsidP="005636E8">
            <w:pPr>
              <w:spacing w:after="0" w:line="480" w:lineRule="auto"/>
              <w:jc w:val="both"/>
              <w:rPr>
                <w:rFonts w:ascii="Times New Roman" w:eastAsia="Times New Roman" w:hAnsi="Times New Roman" w:cs="Times New Roman"/>
                <w:b/>
                <w:bCs/>
                <w:i/>
                <w:iCs/>
                <w:color w:val="000000"/>
                <w:sz w:val="16"/>
                <w:szCs w:val="16"/>
              </w:rPr>
            </w:pPr>
            <w:r w:rsidRPr="00357722">
              <w:rPr>
                <w:rFonts w:ascii="Times New Roman" w:eastAsia="Times New Roman" w:hAnsi="Times New Roman" w:cs="Times New Roman"/>
                <w:color w:val="000000"/>
                <w:sz w:val="16"/>
                <w:szCs w:val="16"/>
              </w:rPr>
              <w:t>IEPD</w:t>
            </w:r>
          </w:p>
        </w:tc>
        <w:tc>
          <w:tcPr>
            <w:tcW w:w="751" w:type="pct"/>
            <w:tcBorders>
              <w:top w:val="nil"/>
              <w:left w:val="nil"/>
              <w:bottom w:val="single" w:sz="4" w:space="0" w:color="auto"/>
              <w:right w:val="nil"/>
            </w:tcBorders>
            <w:shd w:val="clear" w:color="auto" w:fill="auto"/>
            <w:noWrap/>
            <w:vAlign w:val="center"/>
            <w:hideMark/>
          </w:tcPr>
          <w:p w14:paraId="05579F1A" w14:textId="77777777" w:rsidR="006351E0" w:rsidRPr="00357722" w:rsidRDefault="006351E0" w:rsidP="005636E8">
            <w:pPr>
              <w:spacing w:after="0" w:line="480" w:lineRule="auto"/>
              <w:jc w:val="both"/>
              <w:rPr>
                <w:rFonts w:ascii="Times New Roman" w:eastAsia="Times New Roman" w:hAnsi="Times New Roman" w:cs="Times New Roman"/>
                <w:b/>
                <w:bCs/>
                <w:i/>
                <w:iCs/>
                <w:color w:val="000000"/>
                <w:sz w:val="16"/>
                <w:szCs w:val="16"/>
              </w:rPr>
            </w:pPr>
            <w:r w:rsidRPr="00357722">
              <w:rPr>
                <w:rFonts w:ascii="Times New Roman" w:eastAsia="Times New Roman" w:hAnsi="Times New Roman" w:cs="Times New Roman"/>
                <w:b/>
                <w:bCs/>
                <w:i/>
                <w:iCs/>
                <w:color w:val="000000"/>
                <w:sz w:val="16"/>
                <w:szCs w:val="16"/>
              </w:rPr>
              <w:t>CBT</w:t>
            </w:r>
          </w:p>
        </w:tc>
        <w:tc>
          <w:tcPr>
            <w:tcW w:w="453" w:type="pct"/>
            <w:tcBorders>
              <w:top w:val="nil"/>
              <w:left w:val="nil"/>
              <w:bottom w:val="single" w:sz="4" w:space="0" w:color="auto"/>
              <w:right w:val="nil"/>
            </w:tcBorders>
            <w:shd w:val="clear" w:color="auto" w:fill="auto"/>
            <w:noWrap/>
            <w:vAlign w:val="center"/>
            <w:hideMark/>
          </w:tcPr>
          <w:p w14:paraId="0D7F4931" w14:textId="2505F1E4" w:rsidR="006351E0" w:rsidRPr="00357722" w:rsidRDefault="003A5C95" w:rsidP="005636E8">
            <w:pPr>
              <w:spacing w:after="0" w:line="480" w:lineRule="auto"/>
              <w:jc w:val="both"/>
              <w:rPr>
                <w:rFonts w:ascii="Times New Roman" w:eastAsia="Times New Roman" w:hAnsi="Times New Roman" w:cs="Times New Roman"/>
                <w:b/>
                <w:bCs/>
                <w:i/>
                <w:iCs/>
                <w:color w:val="000000"/>
                <w:sz w:val="16"/>
                <w:szCs w:val="16"/>
              </w:rPr>
            </w:pPr>
            <w:r w:rsidRPr="00357722">
              <w:rPr>
                <w:rFonts w:ascii="Times New Roman" w:eastAsia="Times New Roman" w:hAnsi="Times New Roman" w:cs="Times New Roman"/>
                <w:b/>
                <w:bCs/>
                <w:i/>
                <w:iCs/>
                <w:color w:val="000000"/>
                <w:sz w:val="16"/>
                <w:szCs w:val="16"/>
              </w:rPr>
              <w:t>EF</w:t>
            </w:r>
          </w:p>
        </w:tc>
      </w:tr>
      <w:tr w:rsidR="00771B6F" w:rsidRPr="00357722" w14:paraId="66CB8E04" w14:textId="77777777" w:rsidTr="00771B6F">
        <w:trPr>
          <w:trHeight w:val="300"/>
        </w:trPr>
        <w:tc>
          <w:tcPr>
            <w:tcW w:w="966" w:type="pct"/>
            <w:tcBorders>
              <w:top w:val="nil"/>
              <w:left w:val="nil"/>
              <w:bottom w:val="nil"/>
              <w:right w:val="nil"/>
            </w:tcBorders>
            <w:shd w:val="clear" w:color="auto" w:fill="auto"/>
            <w:noWrap/>
            <w:vAlign w:val="center"/>
            <w:hideMark/>
          </w:tcPr>
          <w:p w14:paraId="76018C8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Australia</w:t>
            </w:r>
          </w:p>
        </w:tc>
        <w:tc>
          <w:tcPr>
            <w:tcW w:w="693" w:type="pct"/>
            <w:tcBorders>
              <w:top w:val="nil"/>
              <w:left w:val="nil"/>
              <w:bottom w:val="nil"/>
              <w:right w:val="nil"/>
            </w:tcBorders>
            <w:shd w:val="clear" w:color="auto" w:fill="auto"/>
            <w:noWrap/>
            <w:vAlign w:val="center"/>
            <w:hideMark/>
          </w:tcPr>
          <w:p w14:paraId="3478148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4.64</w:t>
            </w:r>
          </w:p>
        </w:tc>
        <w:tc>
          <w:tcPr>
            <w:tcW w:w="747" w:type="pct"/>
            <w:tcBorders>
              <w:top w:val="nil"/>
              <w:left w:val="nil"/>
              <w:bottom w:val="nil"/>
              <w:right w:val="nil"/>
            </w:tcBorders>
            <w:shd w:val="clear" w:color="auto" w:fill="auto"/>
            <w:noWrap/>
            <w:vAlign w:val="center"/>
            <w:hideMark/>
          </w:tcPr>
          <w:p w14:paraId="7DB7FC4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4.75</w:t>
            </w:r>
          </w:p>
        </w:tc>
        <w:tc>
          <w:tcPr>
            <w:tcW w:w="663" w:type="pct"/>
            <w:tcBorders>
              <w:top w:val="nil"/>
              <w:left w:val="nil"/>
              <w:bottom w:val="nil"/>
              <w:right w:val="nil"/>
            </w:tcBorders>
            <w:shd w:val="clear" w:color="auto" w:fill="auto"/>
            <w:noWrap/>
            <w:vAlign w:val="center"/>
            <w:hideMark/>
          </w:tcPr>
          <w:p w14:paraId="1655C7A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4.74</w:t>
            </w:r>
          </w:p>
        </w:tc>
        <w:tc>
          <w:tcPr>
            <w:tcW w:w="726" w:type="pct"/>
            <w:tcBorders>
              <w:top w:val="nil"/>
              <w:left w:val="nil"/>
              <w:bottom w:val="nil"/>
              <w:right w:val="nil"/>
            </w:tcBorders>
            <w:shd w:val="clear" w:color="auto" w:fill="auto"/>
            <w:noWrap/>
            <w:vAlign w:val="center"/>
            <w:hideMark/>
          </w:tcPr>
          <w:p w14:paraId="73D7EF9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-3.15</w:t>
            </w:r>
          </w:p>
        </w:tc>
        <w:tc>
          <w:tcPr>
            <w:tcW w:w="751" w:type="pct"/>
            <w:tcBorders>
              <w:top w:val="nil"/>
              <w:left w:val="nil"/>
              <w:bottom w:val="nil"/>
              <w:right w:val="nil"/>
            </w:tcBorders>
            <w:shd w:val="clear" w:color="auto" w:fill="auto"/>
            <w:noWrap/>
            <w:vAlign w:val="center"/>
            <w:hideMark/>
          </w:tcPr>
          <w:p w14:paraId="3E100D2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9.93</w:t>
            </w:r>
          </w:p>
        </w:tc>
        <w:tc>
          <w:tcPr>
            <w:tcW w:w="453" w:type="pct"/>
            <w:tcBorders>
              <w:top w:val="nil"/>
              <w:left w:val="nil"/>
              <w:bottom w:val="nil"/>
              <w:right w:val="nil"/>
            </w:tcBorders>
            <w:shd w:val="clear" w:color="auto" w:fill="auto"/>
            <w:noWrap/>
            <w:vAlign w:val="center"/>
            <w:hideMark/>
          </w:tcPr>
          <w:p w14:paraId="08D4CD10" w14:textId="701D7D5C"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80.94</w:t>
            </w:r>
          </w:p>
        </w:tc>
      </w:tr>
      <w:tr w:rsidR="00771B6F" w:rsidRPr="00357722" w14:paraId="3C8B0A7D" w14:textId="77777777" w:rsidTr="00771B6F">
        <w:trPr>
          <w:trHeight w:val="300"/>
        </w:trPr>
        <w:tc>
          <w:tcPr>
            <w:tcW w:w="966" w:type="pct"/>
            <w:tcBorders>
              <w:top w:val="nil"/>
              <w:left w:val="nil"/>
              <w:bottom w:val="nil"/>
              <w:right w:val="nil"/>
            </w:tcBorders>
            <w:shd w:val="clear" w:color="auto" w:fill="auto"/>
            <w:noWrap/>
            <w:vAlign w:val="center"/>
            <w:hideMark/>
          </w:tcPr>
          <w:p w14:paraId="2A1419E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Austria</w:t>
            </w:r>
          </w:p>
        </w:tc>
        <w:tc>
          <w:tcPr>
            <w:tcW w:w="693" w:type="pct"/>
            <w:tcBorders>
              <w:top w:val="nil"/>
              <w:left w:val="nil"/>
              <w:bottom w:val="nil"/>
              <w:right w:val="nil"/>
            </w:tcBorders>
            <w:shd w:val="clear" w:color="auto" w:fill="auto"/>
            <w:noWrap/>
            <w:vAlign w:val="center"/>
            <w:hideMark/>
          </w:tcPr>
          <w:p w14:paraId="6033773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3.27</w:t>
            </w:r>
          </w:p>
        </w:tc>
        <w:tc>
          <w:tcPr>
            <w:tcW w:w="747" w:type="pct"/>
            <w:tcBorders>
              <w:top w:val="nil"/>
              <w:left w:val="nil"/>
              <w:bottom w:val="nil"/>
              <w:right w:val="nil"/>
            </w:tcBorders>
            <w:shd w:val="clear" w:color="auto" w:fill="auto"/>
            <w:noWrap/>
            <w:vAlign w:val="center"/>
            <w:hideMark/>
          </w:tcPr>
          <w:p w14:paraId="31710B7D"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4.52</w:t>
            </w:r>
          </w:p>
        </w:tc>
        <w:tc>
          <w:tcPr>
            <w:tcW w:w="663" w:type="pct"/>
            <w:tcBorders>
              <w:top w:val="nil"/>
              <w:left w:val="nil"/>
              <w:bottom w:val="nil"/>
              <w:right w:val="nil"/>
            </w:tcBorders>
            <w:shd w:val="clear" w:color="auto" w:fill="auto"/>
            <w:noWrap/>
            <w:vAlign w:val="center"/>
            <w:hideMark/>
          </w:tcPr>
          <w:p w14:paraId="58D28F1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4.50</w:t>
            </w:r>
          </w:p>
        </w:tc>
        <w:tc>
          <w:tcPr>
            <w:tcW w:w="726" w:type="pct"/>
            <w:tcBorders>
              <w:top w:val="nil"/>
              <w:left w:val="nil"/>
              <w:bottom w:val="nil"/>
              <w:right w:val="nil"/>
            </w:tcBorders>
            <w:shd w:val="clear" w:color="auto" w:fill="auto"/>
            <w:noWrap/>
            <w:vAlign w:val="center"/>
            <w:hideMark/>
          </w:tcPr>
          <w:p w14:paraId="20C7D5D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-3.19</w:t>
            </w:r>
          </w:p>
        </w:tc>
        <w:tc>
          <w:tcPr>
            <w:tcW w:w="751" w:type="pct"/>
            <w:tcBorders>
              <w:top w:val="nil"/>
              <w:left w:val="nil"/>
              <w:bottom w:val="nil"/>
              <w:right w:val="nil"/>
            </w:tcBorders>
            <w:shd w:val="clear" w:color="auto" w:fill="auto"/>
            <w:noWrap/>
            <w:vAlign w:val="center"/>
            <w:hideMark/>
          </w:tcPr>
          <w:p w14:paraId="2D63A8A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634A82DC" w14:textId="365F21D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78.25</w:t>
            </w:r>
          </w:p>
        </w:tc>
      </w:tr>
      <w:tr w:rsidR="00771B6F" w:rsidRPr="00357722" w14:paraId="69096F7F" w14:textId="77777777" w:rsidTr="00771B6F">
        <w:trPr>
          <w:trHeight w:val="300"/>
        </w:trPr>
        <w:tc>
          <w:tcPr>
            <w:tcW w:w="966" w:type="pct"/>
            <w:tcBorders>
              <w:top w:val="nil"/>
              <w:left w:val="nil"/>
              <w:bottom w:val="nil"/>
              <w:right w:val="nil"/>
            </w:tcBorders>
            <w:shd w:val="clear" w:color="auto" w:fill="auto"/>
            <w:noWrap/>
            <w:vAlign w:val="center"/>
            <w:hideMark/>
          </w:tcPr>
          <w:p w14:paraId="3D1E2BB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Belgium</w:t>
            </w:r>
          </w:p>
        </w:tc>
        <w:tc>
          <w:tcPr>
            <w:tcW w:w="693" w:type="pct"/>
            <w:tcBorders>
              <w:top w:val="nil"/>
              <w:left w:val="nil"/>
              <w:bottom w:val="nil"/>
              <w:right w:val="nil"/>
            </w:tcBorders>
            <w:shd w:val="clear" w:color="auto" w:fill="auto"/>
            <w:noWrap/>
            <w:vAlign w:val="center"/>
            <w:hideMark/>
          </w:tcPr>
          <w:p w14:paraId="497FB7D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4.16</w:t>
            </w:r>
          </w:p>
        </w:tc>
        <w:tc>
          <w:tcPr>
            <w:tcW w:w="747" w:type="pct"/>
            <w:tcBorders>
              <w:top w:val="nil"/>
              <w:left w:val="nil"/>
              <w:bottom w:val="nil"/>
              <w:right w:val="nil"/>
            </w:tcBorders>
            <w:shd w:val="clear" w:color="auto" w:fill="auto"/>
            <w:noWrap/>
            <w:vAlign w:val="center"/>
            <w:hideMark/>
          </w:tcPr>
          <w:p w14:paraId="43BC7AF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4.11</w:t>
            </w:r>
          </w:p>
        </w:tc>
        <w:tc>
          <w:tcPr>
            <w:tcW w:w="663" w:type="pct"/>
            <w:tcBorders>
              <w:top w:val="nil"/>
              <w:left w:val="nil"/>
              <w:bottom w:val="nil"/>
              <w:right w:val="nil"/>
            </w:tcBorders>
            <w:shd w:val="clear" w:color="auto" w:fill="auto"/>
            <w:noWrap/>
            <w:vAlign w:val="center"/>
            <w:hideMark/>
          </w:tcPr>
          <w:p w14:paraId="30C610A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4.10</w:t>
            </w:r>
          </w:p>
        </w:tc>
        <w:tc>
          <w:tcPr>
            <w:tcW w:w="726" w:type="pct"/>
            <w:tcBorders>
              <w:top w:val="nil"/>
              <w:left w:val="nil"/>
              <w:bottom w:val="nil"/>
              <w:right w:val="nil"/>
            </w:tcBorders>
            <w:shd w:val="clear" w:color="auto" w:fill="auto"/>
            <w:noWrap/>
            <w:vAlign w:val="center"/>
            <w:hideMark/>
          </w:tcPr>
          <w:p w14:paraId="39789B2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-2.87</w:t>
            </w:r>
          </w:p>
        </w:tc>
        <w:tc>
          <w:tcPr>
            <w:tcW w:w="751" w:type="pct"/>
            <w:tcBorders>
              <w:top w:val="nil"/>
              <w:left w:val="nil"/>
              <w:bottom w:val="nil"/>
              <w:right w:val="nil"/>
            </w:tcBorders>
            <w:shd w:val="clear" w:color="auto" w:fill="auto"/>
            <w:noWrap/>
            <w:vAlign w:val="center"/>
            <w:hideMark/>
          </w:tcPr>
          <w:p w14:paraId="62E3DBA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5A6ED5B5" w14:textId="7AA212D6"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75.56</w:t>
            </w:r>
          </w:p>
        </w:tc>
      </w:tr>
      <w:tr w:rsidR="00771B6F" w:rsidRPr="00357722" w14:paraId="5C1446FB" w14:textId="77777777" w:rsidTr="00771B6F">
        <w:trPr>
          <w:trHeight w:val="300"/>
        </w:trPr>
        <w:tc>
          <w:tcPr>
            <w:tcW w:w="966" w:type="pct"/>
            <w:tcBorders>
              <w:top w:val="nil"/>
              <w:left w:val="nil"/>
              <w:bottom w:val="nil"/>
              <w:right w:val="nil"/>
            </w:tcBorders>
            <w:shd w:val="clear" w:color="auto" w:fill="auto"/>
            <w:noWrap/>
            <w:vAlign w:val="center"/>
            <w:hideMark/>
          </w:tcPr>
          <w:p w14:paraId="2A0746C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Canada</w:t>
            </w:r>
          </w:p>
        </w:tc>
        <w:tc>
          <w:tcPr>
            <w:tcW w:w="693" w:type="pct"/>
            <w:tcBorders>
              <w:top w:val="nil"/>
              <w:left w:val="nil"/>
              <w:bottom w:val="nil"/>
              <w:right w:val="nil"/>
            </w:tcBorders>
            <w:shd w:val="clear" w:color="auto" w:fill="auto"/>
            <w:noWrap/>
            <w:vAlign w:val="center"/>
            <w:hideMark/>
          </w:tcPr>
          <w:p w14:paraId="74344DB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4.71</w:t>
            </w:r>
          </w:p>
        </w:tc>
        <w:tc>
          <w:tcPr>
            <w:tcW w:w="747" w:type="pct"/>
            <w:tcBorders>
              <w:top w:val="nil"/>
              <w:left w:val="nil"/>
              <w:bottom w:val="nil"/>
              <w:right w:val="nil"/>
            </w:tcBorders>
            <w:shd w:val="clear" w:color="auto" w:fill="auto"/>
            <w:noWrap/>
            <w:vAlign w:val="center"/>
            <w:hideMark/>
          </w:tcPr>
          <w:p w14:paraId="1596292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5.06</w:t>
            </w:r>
          </w:p>
        </w:tc>
        <w:tc>
          <w:tcPr>
            <w:tcW w:w="663" w:type="pct"/>
            <w:tcBorders>
              <w:top w:val="nil"/>
              <w:left w:val="nil"/>
              <w:bottom w:val="nil"/>
              <w:right w:val="nil"/>
            </w:tcBorders>
            <w:shd w:val="clear" w:color="auto" w:fill="auto"/>
            <w:noWrap/>
            <w:vAlign w:val="center"/>
            <w:hideMark/>
          </w:tcPr>
          <w:p w14:paraId="3CB524D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5.04</w:t>
            </w:r>
          </w:p>
        </w:tc>
        <w:tc>
          <w:tcPr>
            <w:tcW w:w="726" w:type="pct"/>
            <w:tcBorders>
              <w:top w:val="nil"/>
              <w:left w:val="nil"/>
              <w:bottom w:val="nil"/>
              <w:right w:val="nil"/>
            </w:tcBorders>
            <w:shd w:val="clear" w:color="auto" w:fill="auto"/>
            <w:noWrap/>
            <w:vAlign w:val="center"/>
            <w:hideMark/>
          </w:tcPr>
          <w:p w14:paraId="0C523E7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-2.85</w:t>
            </w:r>
          </w:p>
        </w:tc>
        <w:tc>
          <w:tcPr>
            <w:tcW w:w="751" w:type="pct"/>
            <w:tcBorders>
              <w:top w:val="nil"/>
              <w:left w:val="nil"/>
              <w:bottom w:val="nil"/>
              <w:right w:val="nil"/>
            </w:tcBorders>
            <w:shd w:val="clear" w:color="auto" w:fill="auto"/>
            <w:noWrap/>
            <w:vAlign w:val="center"/>
            <w:hideMark/>
          </w:tcPr>
          <w:p w14:paraId="4A34361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10.89</w:t>
            </w:r>
          </w:p>
        </w:tc>
        <w:tc>
          <w:tcPr>
            <w:tcW w:w="453" w:type="pct"/>
            <w:tcBorders>
              <w:top w:val="nil"/>
              <w:left w:val="nil"/>
              <w:bottom w:val="nil"/>
              <w:right w:val="nil"/>
            </w:tcBorders>
            <w:shd w:val="clear" w:color="auto" w:fill="auto"/>
            <w:noWrap/>
            <w:vAlign w:val="center"/>
            <w:hideMark/>
          </w:tcPr>
          <w:p w14:paraId="500B499F" w14:textId="36B9A4DD"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81.19</w:t>
            </w:r>
          </w:p>
        </w:tc>
      </w:tr>
      <w:tr w:rsidR="00771B6F" w:rsidRPr="00357722" w14:paraId="01AEB04A" w14:textId="77777777" w:rsidTr="00771B6F">
        <w:trPr>
          <w:trHeight w:val="300"/>
        </w:trPr>
        <w:tc>
          <w:tcPr>
            <w:tcW w:w="966" w:type="pct"/>
            <w:tcBorders>
              <w:top w:val="nil"/>
              <w:left w:val="nil"/>
              <w:bottom w:val="nil"/>
              <w:right w:val="nil"/>
            </w:tcBorders>
            <w:shd w:val="clear" w:color="auto" w:fill="auto"/>
            <w:noWrap/>
            <w:vAlign w:val="center"/>
            <w:hideMark/>
          </w:tcPr>
          <w:p w14:paraId="10F3EC7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Denmark</w:t>
            </w:r>
          </w:p>
        </w:tc>
        <w:tc>
          <w:tcPr>
            <w:tcW w:w="693" w:type="pct"/>
            <w:tcBorders>
              <w:top w:val="nil"/>
              <w:left w:val="nil"/>
              <w:bottom w:val="nil"/>
              <w:right w:val="nil"/>
            </w:tcBorders>
            <w:shd w:val="clear" w:color="auto" w:fill="auto"/>
            <w:noWrap/>
            <w:vAlign w:val="center"/>
            <w:hideMark/>
          </w:tcPr>
          <w:p w14:paraId="78C27C0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4.09</w:t>
            </w:r>
          </w:p>
        </w:tc>
        <w:tc>
          <w:tcPr>
            <w:tcW w:w="747" w:type="pct"/>
            <w:tcBorders>
              <w:top w:val="nil"/>
              <w:left w:val="nil"/>
              <w:bottom w:val="nil"/>
              <w:right w:val="nil"/>
            </w:tcBorders>
            <w:shd w:val="clear" w:color="auto" w:fill="auto"/>
            <w:noWrap/>
            <w:vAlign w:val="center"/>
            <w:hideMark/>
          </w:tcPr>
          <w:p w14:paraId="581DBFC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5.13</w:t>
            </w:r>
          </w:p>
        </w:tc>
        <w:tc>
          <w:tcPr>
            <w:tcW w:w="663" w:type="pct"/>
            <w:tcBorders>
              <w:top w:val="nil"/>
              <w:left w:val="nil"/>
              <w:bottom w:val="nil"/>
              <w:right w:val="nil"/>
            </w:tcBorders>
            <w:shd w:val="clear" w:color="auto" w:fill="auto"/>
            <w:noWrap/>
            <w:vAlign w:val="center"/>
            <w:hideMark/>
          </w:tcPr>
          <w:p w14:paraId="085268C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5.14</w:t>
            </w:r>
          </w:p>
        </w:tc>
        <w:tc>
          <w:tcPr>
            <w:tcW w:w="726" w:type="pct"/>
            <w:tcBorders>
              <w:top w:val="nil"/>
              <w:left w:val="nil"/>
              <w:bottom w:val="nil"/>
              <w:right w:val="nil"/>
            </w:tcBorders>
            <w:shd w:val="clear" w:color="auto" w:fill="auto"/>
            <w:noWrap/>
            <w:vAlign w:val="center"/>
            <w:hideMark/>
          </w:tcPr>
          <w:p w14:paraId="5C8AFC2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-3.25</w:t>
            </w:r>
          </w:p>
        </w:tc>
        <w:tc>
          <w:tcPr>
            <w:tcW w:w="751" w:type="pct"/>
            <w:tcBorders>
              <w:top w:val="nil"/>
              <w:left w:val="nil"/>
              <w:bottom w:val="nil"/>
              <w:right w:val="nil"/>
            </w:tcBorders>
            <w:shd w:val="clear" w:color="auto" w:fill="auto"/>
            <w:noWrap/>
            <w:vAlign w:val="center"/>
            <w:hideMark/>
          </w:tcPr>
          <w:p w14:paraId="5AF7434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7.18</w:t>
            </w:r>
          </w:p>
        </w:tc>
        <w:tc>
          <w:tcPr>
            <w:tcW w:w="453" w:type="pct"/>
            <w:tcBorders>
              <w:top w:val="nil"/>
              <w:left w:val="nil"/>
              <w:bottom w:val="nil"/>
              <w:right w:val="nil"/>
            </w:tcBorders>
            <w:shd w:val="clear" w:color="auto" w:fill="auto"/>
            <w:noWrap/>
            <w:vAlign w:val="center"/>
            <w:hideMark/>
          </w:tcPr>
          <w:p w14:paraId="5ADD951F" w14:textId="0AF67559"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79.26</w:t>
            </w:r>
          </w:p>
        </w:tc>
      </w:tr>
      <w:tr w:rsidR="00771B6F" w:rsidRPr="00357722" w14:paraId="04018577" w14:textId="77777777" w:rsidTr="00771B6F">
        <w:trPr>
          <w:trHeight w:val="300"/>
        </w:trPr>
        <w:tc>
          <w:tcPr>
            <w:tcW w:w="966" w:type="pct"/>
            <w:tcBorders>
              <w:top w:val="nil"/>
              <w:left w:val="nil"/>
              <w:bottom w:val="nil"/>
              <w:right w:val="nil"/>
            </w:tcBorders>
            <w:shd w:val="clear" w:color="auto" w:fill="auto"/>
            <w:noWrap/>
            <w:vAlign w:val="center"/>
            <w:hideMark/>
          </w:tcPr>
          <w:p w14:paraId="25ADBB2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Finland</w:t>
            </w:r>
          </w:p>
        </w:tc>
        <w:tc>
          <w:tcPr>
            <w:tcW w:w="693" w:type="pct"/>
            <w:tcBorders>
              <w:top w:val="nil"/>
              <w:left w:val="nil"/>
              <w:bottom w:val="nil"/>
              <w:right w:val="nil"/>
            </w:tcBorders>
            <w:shd w:val="clear" w:color="auto" w:fill="auto"/>
            <w:noWrap/>
            <w:vAlign w:val="center"/>
            <w:hideMark/>
          </w:tcPr>
          <w:p w14:paraId="14F2CBAD"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4.45</w:t>
            </w:r>
          </w:p>
        </w:tc>
        <w:tc>
          <w:tcPr>
            <w:tcW w:w="747" w:type="pct"/>
            <w:tcBorders>
              <w:top w:val="nil"/>
              <w:left w:val="nil"/>
              <w:bottom w:val="nil"/>
              <w:right w:val="nil"/>
            </w:tcBorders>
            <w:shd w:val="clear" w:color="auto" w:fill="auto"/>
            <w:noWrap/>
            <w:vAlign w:val="center"/>
            <w:hideMark/>
          </w:tcPr>
          <w:p w14:paraId="417C6EE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4.35</w:t>
            </w:r>
          </w:p>
        </w:tc>
        <w:tc>
          <w:tcPr>
            <w:tcW w:w="663" w:type="pct"/>
            <w:tcBorders>
              <w:top w:val="nil"/>
              <w:left w:val="nil"/>
              <w:bottom w:val="nil"/>
              <w:right w:val="nil"/>
            </w:tcBorders>
            <w:shd w:val="clear" w:color="auto" w:fill="auto"/>
            <w:noWrap/>
            <w:vAlign w:val="center"/>
            <w:hideMark/>
          </w:tcPr>
          <w:p w14:paraId="5DB7A9E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4.32</w:t>
            </w:r>
          </w:p>
        </w:tc>
        <w:tc>
          <w:tcPr>
            <w:tcW w:w="726" w:type="pct"/>
            <w:tcBorders>
              <w:top w:val="nil"/>
              <w:left w:val="nil"/>
              <w:bottom w:val="nil"/>
              <w:right w:val="nil"/>
            </w:tcBorders>
            <w:shd w:val="clear" w:color="auto" w:fill="auto"/>
            <w:noWrap/>
            <w:vAlign w:val="center"/>
            <w:hideMark/>
          </w:tcPr>
          <w:p w14:paraId="69FEB54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-3.34</w:t>
            </w:r>
          </w:p>
        </w:tc>
        <w:tc>
          <w:tcPr>
            <w:tcW w:w="751" w:type="pct"/>
            <w:tcBorders>
              <w:top w:val="nil"/>
              <w:left w:val="nil"/>
              <w:bottom w:val="nil"/>
              <w:right w:val="nil"/>
            </w:tcBorders>
            <w:shd w:val="clear" w:color="auto" w:fill="auto"/>
            <w:noWrap/>
            <w:vAlign w:val="center"/>
            <w:hideMark/>
          </w:tcPr>
          <w:p w14:paraId="6B7E1A6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5FC78336" w14:textId="2C00A09D"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78.92</w:t>
            </w:r>
          </w:p>
        </w:tc>
      </w:tr>
      <w:tr w:rsidR="00771B6F" w:rsidRPr="00357722" w14:paraId="0B4D6619" w14:textId="77777777" w:rsidTr="00771B6F">
        <w:trPr>
          <w:trHeight w:val="300"/>
        </w:trPr>
        <w:tc>
          <w:tcPr>
            <w:tcW w:w="966" w:type="pct"/>
            <w:tcBorders>
              <w:top w:val="nil"/>
              <w:left w:val="nil"/>
              <w:bottom w:val="nil"/>
              <w:right w:val="nil"/>
            </w:tcBorders>
            <w:shd w:val="clear" w:color="auto" w:fill="auto"/>
            <w:noWrap/>
            <w:vAlign w:val="center"/>
            <w:hideMark/>
          </w:tcPr>
          <w:p w14:paraId="4969C75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France</w:t>
            </w:r>
          </w:p>
        </w:tc>
        <w:tc>
          <w:tcPr>
            <w:tcW w:w="693" w:type="pct"/>
            <w:tcBorders>
              <w:top w:val="nil"/>
              <w:left w:val="nil"/>
              <w:bottom w:val="nil"/>
              <w:right w:val="nil"/>
            </w:tcBorders>
            <w:shd w:val="clear" w:color="auto" w:fill="auto"/>
            <w:noWrap/>
            <w:vAlign w:val="center"/>
            <w:hideMark/>
          </w:tcPr>
          <w:p w14:paraId="7A11861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4.33</w:t>
            </w:r>
          </w:p>
        </w:tc>
        <w:tc>
          <w:tcPr>
            <w:tcW w:w="747" w:type="pct"/>
            <w:tcBorders>
              <w:top w:val="nil"/>
              <w:left w:val="nil"/>
              <w:bottom w:val="nil"/>
              <w:right w:val="nil"/>
            </w:tcBorders>
            <w:shd w:val="clear" w:color="auto" w:fill="auto"/>
            <w:noWrap/>
            <w:vAlign w:val="center"/>
            <w:hideMark/>
          </w:tcPr>
          <w:p w14:paraId="0D52C5C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4.48</w:t>
            </w:r>
          </w:p>
        </w:tc>
        <w:tc>
          <w:tcPr>
            <w:tcW w:w="663" w:type="pct"/>
            <w:tcBorders>
              <w:top w:val="nil"/>
              <w:left w:val="nil"/>
              <w:bottom w:val="nil"/>
              <w:right w:val="nil"/>
            </w:tcBorders>
            <w:shd w:val="clear" w:color="auto" w:fill="auto"/>
            <w:noWrap/>
            <w:vAlign w:val="center"/>
            <w:hideMark/>
          </w:tcPr>
          <w:p w14:paraId="3B7A227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4.46</w:t>
            </w:r>
          </w:p>
        </w:tc>
        <w:tc>
          <w:tcPr>
            <w:tcW w:w="726" w:type="pct"/>
            <w:tcBorders>
              <w:top w:val="nil"/>
              <w:left w:val="nil"/>
              <w:bottom w:val="nil"/>
              <w:right w:val="nil"/>
            </w:tcBorders>
            <w:shd w:val="clear" w:color="auto" w:fill="auto"/>
            <w:noWrap/>
            <w:vAlign w:val="center"/>
            <w:hideMark/>
          </w:tcPr>
          <w:p w14:paraId="5788C11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-2.32</w:t>
            </w:r>
          </w:p>
        </w:tc>
        <w:tc>
          <w:tcPr>
            <w:tcW w:w="751" w:type="pct"/>
            <w:tcBorders>
              <w:top w:val="nil"/>
              <w:left w:val="nil"/>
              <w:bottom w:val="nil"/>
              <w:right w:val="nil"/>
            </w:tcBorders>
            <w:shd w:val="clear" w:color="auto" w:fill="auto"/>
            <w:noWrap/>
            <w:vAlign w:val="center"/>
            <w:hideMark/>
          </w:tcPr>
          <w:p w14:paraId="3463657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64397514" w14:textId="151CCB05"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74.28</w:t>
            </w:r>
          </w:p>
        </w:tc>
      </w:tr>
      <w:tr w:rsidR="00771B6F" w:rsidRPr="00357722" w14:paraId="7CB98AB5" w14:textId="77777777" w:rsidTr="00771B6F">
        <w:trPr>
          <w:trHeight w:val="300"/>
        </w:trPr>
        <w:tc>
          <w:tcPr>
            <w:tcW w:w="966" w:type="pct"/>
            <w:tcBorders>
              <w:top w:val="nil"/>
              <w:left w:val="nil"/>
              <w:bottom w:val="nil"/>
              <w:right w:val="nil"/>
            </w:tcBorders>
            <w:shd w:val="clear" w:color="auto" w:fill="auto"/>
            <w:noWrap/>
            <w:vAlign w:val="center"/>
            <w:hideMark/>
          </w:tcPr>
          <w:p w14:paraId="33527AC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Germany</w:t>
            </w:r>
          </w:p>
        </w:tc>
        <w:tc>
          <w:tcPr>
            <w:tcW w:w="693" w:type="pct"/>
            <w:tcBorders>
              <w:top w:val="nil"/>
              <w:left w:val="nil"/>
              <w:bottom w:val="nil"/>
              <w:right w:val="nil"/>
            </w:tcBorders>
            <w:shd w:val="clear" w:color="auto" w:fill="auto"/>
            <w:noWrap/>
            <w:vAlign w:val="center"/>
            <w:hideMark/>
          </w:tcPr>
          <w:p w14:paraId="7E3D699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3.78</w:t>
            </w:r>
          </w:p>
        </w:tc>
        <w:tc>
          <w:tcPr>
            <w:tcW w:w="747" w:type="pct"/>
            <w:tcBorders>
              <w:top w:val="nil"/>
              <w:left w:val="nil"/>
              <w:bottom w:val="nil"/>
              <w:right w:val="nil"/>
            </w:tcBorders>
            <w:shd w:val="clear" w:color="auto" w:fill="auto"/>
            <w:noWrap/>
            <w:vAlign w:val="center"/>
            <w:hideMark/>
          </w:tcPr>
          <w:p w14:paraId="1508369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4.54</w:t>
            </w:r>
          </w:p>
        </w:tc>
        <w:tc>
          <w:tcPr>
            <w:tcW w:w="663" w:type="pct"/>
            <w:tcBorders>
              <w:top w:val="nil"/>
              <w:left w:val="nil"/>
              <w:bottom w:val="nil"/>
              <w:right w:val="nil"/>
            </w:tcBorders>
            <w:shd w:val="clear" w:color="auto" w:fill="auto"/>
            <w:noWrap/>
            <w:vAlign w:val="center"/>
            <w:hideMark/>
          </w:tcPr>
          <w:p w14:paraId="772256C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4.54</w:t>
            </w:r>
          </w:p>
        </w:tc>
        <w:tc>
          <w:tcPr>
            <w:tcW w:w="726" w:type="pct"/>
            <w:tcBorders>
              <w:top w:val="nil"/>
              <w:left w:val="nil"/>
              <w:bottom w:val="nil"/>
              <w:right w:val="nil"/>
            </w:tcBorders>
            <w:shd w:val="clear" w:color="auto" w:fill="auto"/>
            <w:noWrap/>
            <w:vAlign w:val="center"/>
            <w:hideMark/>
          </w:tcPr>
          <w:p w14:paraId="7B68050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-2.33</w:t>
            </w:r>
          </w:p>
        </w:tc>
        <w:tc>
          <w:tcPr>
            <w:tcW w:w="751" w:type="pct"/>
            <w:tcBorders>
              <w:top w:val="nil"/>
              <w:left w:val="nil"/>
              <w:bottom w:val="nil"/>
              <w:right w:val="nil"/>
            </w:tcBorders>
            <w:shd w:val="clear" w:color="auto" w:fill="auto"/>
            <w:noWrap/>
            <w:vAlign w:val="center"/>
            <w:hideMark/>
          </w:tcPr>
          <w:p w14:paraId="6095DDB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7068BA21" w14:textId="0CA53511"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78.08</w:t>
            </w:r>
          </w:p>
        </w:tc>
      </w:tr>
      <w:tr w:rsidR="00771B6F" w:rsidRPr="00357722" w14:paraId="721414B4" w14:textId="77777777" w:rsidTr="00771B6F">
        <w:trPr>
          <w:trHeight w:val="300"/>
        </w:trPr>
        <w:tc>
          <w:tcPr>
            <w:tcW w:w="966" w:type="pct"/>
            <w:tcBorders>
              <w:top w:val="nil"/>
              <w:left w:val="nil"/>
              <w:bottom w:val="nil"/>
              <w:right w:val="nil"/>
            </w:tcBorders>
            <w:shd w:val="clear" w:color="auto" w:fill="auto"/>
            <w:noWrap/>
            <w:vAlign w:val="center"/>
            <w:hideMark/>
          </w:tcPr>
          <w:p w14:paraId="750B325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Greece</w:t>
            </w:r>
          </w:p>
        </w:tc>
        <w:tc>
          <w:tcPr>
            <w:tcW w:w="693" w:type="pct"/>
            <w:tcBorders>
              <w:top w:val="nil"/>
              <w:left w:val="nil"/>
              <w:bottom w:val="nil"/>
              <w:right w:val="nil"/>
            </w:tcBorders>
            <w:shd w:val="clear" w:color="auto" w:fill="auto"/>
            <w:noWrap/>
            <w:vAlign w:val="center"/>
            <w:hideMark/>
          </w:tcPr>
          <w:p w14:paraId="499840A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3.59</w:t>
            </w:r>
          </w:p>
        </w:tc>
        <w:tc>
          <w:tcPr>
            <w:tcW w:w="747" w:type="pct"/>
            <w:tcBorders>
              <w:top w:val="nil"/>
              <w:left w:val="nil"/>
              <w:bottom w:val="nil"/>
              <w:right w:val="nil"/>
            </w:tcBorders>
            <w:shd w:val="clear" w:color="auto" w:fill="auto"/>
            <w:noWrap/>
            <w:vAlign w:val="center"/>
            <w:hideMark/>
          </w:tcPr>
          <w:p w14:paraId="70F50DE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4.45</w:t>
            </w:r>
          </w:p>
        </w:tc>
        <w:tc>
          <w:tcPr>
            <w:tcW w:w="663" w:type="pct"/>
            <w:tcBorders>
              <w:top w:val="nil"/>
              <w:left w:val="nil"/>
              <w:bottom w:val="nil"/>
              <w:right w:val="nil"/>
            </w:tcBorders>
            <w:shd w:val="clear" w:color="auto" w:fill="auto"/>
            <w:noWrap/>
            <w:vAlign w:val="center"/>
            <w:hideMark/>
          </w:tcPr>
          <w:p w14:paraId="04240CF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4.42</w:t>
            </w:r>
          </w:p>
        </w:tc>
        <w:tc>
          <w:tcPr>
            <w:tcW w:w="726" w:type="pct"/>
            <w:tcBorders>
              <w:top w:val="nil"/>
              <w:left w:val="nil"/>
              <w:bottom w:val="nil"/>
              <w:right w:val="nil"/>
            </w:tcBorders>
            <w:shd w:val="clear" w:color="auto" w:fill="auto"/>
            <w:noWrap/>
            <w:vAlign w:val="center"/>
            <w:hideMark/>
          </w:tcPr>
          <w:p w14:paraId="7612783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-3.76</w:t>
            </w:r>
          </w:p>
        </w:tc>
        <w:tc>
          <w:tcPr>
            <w:tcW w:w="751" w:type="pct"/>
            <w:tcBorders>
              <w:top w:val="nil"/>
              <w:left w:val="nil"/>
              <w:bottom w:val="nil"/>
              <w:right w:val="nil"/>
            </w:tcBorders>
            <w:shd w:val="clear" w:color="auto" w:fill="auto"/>
            <w:noWrap/>
            <w:vAlign w:val="center"/>
            <w:hideMark/>
          </w:tcPr>
          <w:p w14:paraId="3D9A7B9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6A845740" w14:textId="38F19422"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70.27</w:t>
            </w:r>
          </w:p>
        </w:tc>
      </w:tr>
      <w:tr w:rsidR="00771B6F" w:rsidRPr="00357722" w14:paraId="5D359593" w14:textId="77777777" w:rsidTr="00771B6F">
        <w:trPr>
          <w:trHeight w:val="300"/>
        </w:trPr>
        <w:tc>
          <w:tcPr>
            <w:tcW w:w="966" w:type="pct"/>
            <w:tcBorders>
              <w:top w:val="nil"/>
              <w:left w:val="nil"/>
              <w:bottom w:val="nil"/>
              <w:right w:val="nil"/>
            </w:tcBorders>
            <w:shd w:val="clear" w:color="auto" w:fill="auto"/>
            <w:noWrap/>
            <w:vAlign w:val="center"/>
            <w:hideMark/>
          </w:tcPr>
          <w:p w14:paraId="076B312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xml:space="preserve">Hong Kong   </w:t>
            </w:r>
          </w:p>
        </w:tc>
        <w:tc>
          <w:tcPr>
            <w:tcW w:w="693" w:type="pct"/>
            <w:tcBorders>
              <w:top w:val="nil"/>
              <w:left w:val="nil"/>
              <w:bottom w:val="nil"/>
              <w:right w:val="nil"/>
            </w:tcBorders>
            <w:shd w:val="clear" w:color="auto" w:fill="auto"/>
            <w:noWrap/>
            <w:vAlign w:val="center"/>
            <w:hideMark/>
          </w:tcPr>
          <w:p w14:paraId="3649976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5.88</w:t>
            </w:r>
          </w:p>
        </w:tc>
        <w:tc>
          <w:tcPr>
            <w:tcW w:w="747" w:type="pct"/>
            <w:tcBorders>
              <w:top w:val="nil"/>
              <w:left w:val="nil"/>
              <w:bottom w:val="nil"/>
              <w:right w:val="nil"/>
            </w:tcBorders>
            <w:shd w:val="clear" w:color="auto" w:fill="auto"/>
            <w:noWrap/>
            <w:vAlign w:val="center"/>
            <w:hideMark/>
          </w:tcPr>
          <w:p w14:paraId="4043573D"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5.13</w:t>
            </w:r>
          </w:p>
        </w:tc>
        <w:tc>
          <w:tcPr>
            <w:tcW w:w="663" w:type="pct"/>
            <w:tcBorders>
              <w:top w:val="nil"/>
              <w:left w:val="nil"/>
              <w:bottom w:val="nil"/>
              <w:right w:val="nil"/>
            </w:tcBorders>
            <w:shd w:val="clear" w:color="auto" w:fill="auto"/>
            <w:noWrap/>
            <w:vAlign w:val="center"/>
            <w:hideMark/>
          </w:tcPr>
          <w:p w14:paraId="727697C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5.10</w:t>
            </w:r>
          </w:p>
        </w:tc>
        <w:tc>
          <w:tcPr>
            <w:tcW w:w="726" w:type="pct"/>
            <w:tcBorders>
              <w:top w:val="nil"/>
              <w:left w:val="nil"/>
              <w:bottom w:val="nil"/>
              <w:right w:val="nil"/>
            </w:tcBorders>
            <w:shd w:val="clear" w:color="auto" w:fill="auto"/>
            <w:noWrap/>
            <w:vAlign w:val="center"/>
            <w:hideMark/>
          </w:tcPr>
          <w:p w14:paraId="4AAA68B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-2.83</w:t>
            </w:r>
          </w:p>
        </w:tc>
        <w:tc>
          <w:tcPr>
            <w:tcW w:w="751" w:type="pct"/>
            <w:tcBorders>
              <w:top w:val="nil"/>
              <w:left w:val="nil"/>
              <w:bottom w:val="nil"/>
              <w:right w:val="nil"/>
            </w:tcBorders>
            <w:shd w:val="clear" w:color="auto" w:fill="auto"/>
            <w:noWrap/>
            <w:vAlign w:val="center"/>
            <w:hideMark/>
          </w:tcPr>
          <w:p w14:paraId="06810FC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7.25</w:t>
            </w:r>
          </w:p>
        </w:tc>
        <w:tc>
          <w:tcPr>
            <w:tcW w:w="453" w:type="pct"/>
            <w:tcBorders>
              <w:top w:val="nil"/>
              <w:left w:val="nil"/>
              <w:bottom w:val="nil"/>
              <w:right w:val="nil"/>
            </w:tcBorders>
            <w:shd w:val="clear" w:color="auto" w:fill="auto"/>
            <w:noWrap/>
            <w:vAlign w:val="center"/>
            <w:hideMark/>
          </w:tcPr>
          <w:p w14:paraId="2046F519" w14:textId="26CCB6B8"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89.44</w:t>
            </w:r>
          </w:p>
        </w:tc>
      </w:tr>
      <w:tr w:rsidR="00771B6F" w:rsidRPr="00357722" w14:paraId="2105E48E" w14:textId="77777777" w:rsidTr="00771B6F">
        <w:trPr>
          <w:trHeight w:val="300"/>
        </w:trPr>
        <w:tc>
          <w:tcPr>
            <w:tcW w:w="966" w:type="pct"/>
            <w:tcBorders>
              <w:top w:val="nil"/>
              <w:left w:val="nil"/>
              <w:bottom w:val="nil"/>
              <w:right w:val="nil"/>
            </w:tcBorders>
            <w:shd w:val="clear" w:color="auto" w:fill="auto"/>
            <w:noWrap/>
            <w:vAlign w:val="center"/>
            <w:hideMark/>
          </w:tcPr>
          <w:p w14:paraId="6BB80BE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Ireland</w:t>
            </w:r>
          </w:p>
        </w:tc>
        <w:tc>
          <w:tcPr>
            <w:tcW w:w="693" w:type="pct"/>
            <w:tcBorders>
              <w:top w:val="nil"/>
              <w:left w:val="nil"/>
              <w:bottom w:val="nil"/>
              <w:right w:val="nil"/>
            </w:tcBorders>
            <w:shd w:val="clear" w:color="auto" w:fill="auto"/>
            <w:noWrap/>
            <w:vAlign w:val="center"/>
            <w:hideMark/>
          </w:tcPr>
          <w:p w14:paraId="0EADA58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3.84</w:t>
            </w:r>
          </w:p>
        </w:tc>
        <w:tc>
          <w:tcPr>
            <w:tcW w:w="747" w:type="pct"/>
            <w:tcBorders>
              <w:top w:val="nil"/>
              <w:left w:val="nil"/>
              <w:bottom w:val="nil"/>
              <w:right w:val="nil"/>
            </w:tcBorders>
            <w:shd w:val="clear" w:color="auto" w:fill="auto"/>
            <w:noWrap/>
            <w:vAlign w:val="center"/>
            <w:hideMark/>
          </w:tcPr>
          <w:p w14:paraId="36B3718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4.63</w:t>
            </w:r>
          </w:p>
        </w:tc>
        <w:tc>
          <w:tcPr>
            <w:tcW w:w="663" w:type="pct"/>
            <w:tcBorders>
              <w:top w:val="nil"/>
              <w:left w:val="nil"/>
              <w:bottom w:val="nil"/>
              <w:right w:val="nil"/>
            </w:tcBorders>
            <w:shd w:val="clear" w:color="auto" w:fill="auto"/>
            <w:noWrap/>
            <w:vAlign w:val="center"/>
            <w:hideMark/>
          </w:tcPr>
          <w:p w14:paraId="1D1700D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4.62</w:t>
            </w:r>
          </w:p>
        </w:tc>
        <w:tc>
          <w:tcPr>
            <w:tcW w:w="726" w:type="pct"/>
            <w:tcBorders>
              <w:top w:val="nil"/>
              <w:left w:val="nil"/>
              <w:bottom w:val="nil"/>
              <w:right w:val="nil"/>
            </w:tcBorders>
            <w:shd w:val="clear" w:color="auto" w:fill="auto"/>
            <w:noWrap/>
            <w:vAlign w:val="center"/>
            <w:hideMark/>
          </w:tcPr>
          <w:p w14:paraId="168805C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-2.46</w:t>
            </w:r>
          </w:p>
        </w:tc>
        <w:tc>
          <w:tcPr>
            <w:tcW w:w="751" w:type="pct"/>
            <w:tcBorders>
              <w:top w:val="nil"/>
              <w:left w:val="nil"/>
              <w:bottom w:val="nil"/>
              <w:right w:val="nil"/>
            </w:tcBorders>
            <w:shd w:val="clear" w:color="auto" w:fill="auto"/>
            <w:noWrap/>
            <w:vAlign w:val="center"/>
            <w:hideMark/>
          </w:tcPr>
          <w:p w14:paraId="7B53978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50E94B98" w14:textId="168A6692"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80.60</w:t>
            </w:r>
          </w:p>
        </w:tc>
      </w:tr>
      <w:tr w:rsidR="00771B6F" w:rsidRPr="00357722" w14:paraId="4A72DE86" w14:textId="77777777" w:rsidTr="00771B6F">
        <w:trPr>
          <w:trHeight w:val="300"/>
        </w:trPr>
        <w:tc>
          <w:tcPr>
            <w:tcW w:w="966" w:type="pct"/>
            <w:tcBorders>
              <w:top w:val="nil"/>
              <w:left w:val="nil"/>
              <w:bottom w:val="nil"/>
              <w:right w:val="nil"/>
            </w:tcBorders>
            <w:shd w:val="clear" w:color="auto" w:fill="auto"/>
            <w:noWrap/>
            <w:vAlign w:val="center"/>
            <w:hideMark/>
          </w:tcPr>
          <w:p w14:paraId="7A1DE95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Israel</w:t>
            </w:r>
          </w:p>
        </w:tc>
        <w:tc>
          <w:tcPr>
            <w:tcW w:w="693" w:type="pct"/>
            <w:tcBorders>
              <w:top w:val="nil"/>
              <w:left w:val="nil"/>
              <w:bottom w:val="nil"/>
              <w:right w:val="nil"/>
            </w:tcBorders>
            <w:shd w:val="clear" w:color="auto" w:fill="auto"/>
            <w:noWrap/>
            <w:vAlign w:val="center"/>
            <w:hideMark/>
          </w:tcPr>
          <w:p w14:paraId="688E5D1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4.22</w:t>
            </w:r>
          </w:p>
        </w:tc>
        <w:tc>
          <w:tcPr>
            <w:tcW w:w="747" w:type="pct"/>
            <w:tcBorders>
              <w:top w:val="nil"/>
              <w:left w:val="nil"/>
              <w:bottom w:val="nil"/>
              <w:right w:val="nil"/>
            </w:tcBorders>
            <w:shd w:val="clear" w:color="auto" w:fill="auto"/>
            <w:noWrap/>
            <w:vAlign w:val="center"/>
            <w:hideMark/>
          </w:tcPr>
          <w:p w14:paraId="3896202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4.26</w:t>
            </w:r>
          </w:p>
        </w:tc>
        <w:tc>
          <w:tcPr>
            <w:tcW w:w="663" w:type="pct"/>
            <w:tcBorders>
              <w:top w:val="nil"/>
              <w:left w:val="nil"/>
              <w:bottom w:val="nil"/>
              <w:right w:val="nil"/>
            </w:tcBorders>
            <w:shd w:val="clear" w:color="auto" w:fill="auto"/>
            <w:noWrap/>
            <w:vAlign w:val="center"/>
            <w:hideMark/>
          </w:tcPr>
          <w:p w14:paraId="725B9DF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4.35</w:t>
            </w:r>
          </w:p>
        </w:tc>
        <w:tc>
          <w:tcPr>
            <w:tcW w:w="726" w:type="pct"/>
            <w:tcBorders>
              <w:top w:val="nil"/>
              <w:left w:val="nil"/>
              <w:bottom w:val="nil"/>
              <w:right w:val="nil"/>
            </w:tcBorders>
            <w:shd w:val="clear" w:color="auto" w:fill="auto"/>
            <w:noWrap/>
            <w:vAlign w:val="center"/>
            <w:hideMark/>
          </w:tcPr>
          <w:p w14:paraId="3FC77F2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-4.03</w:t>
            </w:r>
          </w:p>
        </w:tc>
        <w:tc>
          <w:tcPr>
            <w:tcW w:w="751" w:type="pct"/>
            <w:tcBorders>
              <w:top w:val="nil"/>
              <w:left w:val="nil"/>
              <w:bottom w:val="nil"/>
              <w:right w:val="nil"/>
            </w:tcBorders>
            <w:shd w:val="clear" w:color="auto" w:fill="auto"/>
            <w:noWrap/>
            <w:vAlign w:val="center"/>
            <w:hideMark/>
          </w:tcPr>
          <w:p w14:paraId="6366734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10.36</w:t>
            </w:r>
          </w:p>
        </w:tc>
        <w:tc>
          <w:tcPr>
            <w:tcW w:w="453" w:type="pct"/>
            <w:tcBorders>
              <w:top w:val="nil"/>
              <w:left w:val="nil"/>
              <w:bottom w:val="nil"/>
              <w:right w:val="nil"/>
            </w:tcBorders>
            <w:shd w:val="clear" w:color="auto" w:fill="auto"/>
            <w:noWrap/>
            <w:vAlign w:val="center"/>
            <w:hideMark/>
          </w:tcPr>
          <w:p w14:paraId="6C606E43" w14:textId="568DAB94"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72.57</w:t>
            </w:r>
          </w:p>
        </w:tc>
      </w:tr>
      <w:tr w:rsidR="00771B6F" w:rsidRPr="00357722" w14:paraId="647688A0" w14:textId="77777777" w:rsidTr="00771B6F">
        <w:trPr>
          <w:trHeight w:val="300"/>
        </w:trPr>
        <w:tc>
          <w:tcPr>
            <w:tcW w:w="966" w:type="pct"/>
            <w:tcBorders>
              <w:top w:val="nil"/>
              <w:left w:val="nil"/>
              <w:bottom w:val="nil"/>
              <w:right w:val="nil"/>
            </w:tcBorders>
            <w:shd w:val="clear" w:color="auto" w:fill="auto"/>
            <w:noWrap/>
            <w:vAlign w:val="center"/>
            <w:hideMark/>
          </w:tcPr>
          <w:p w14:paraId="33CFA0F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Italy</w:t>
            </w:r>
          </w:p>
        </w:tc>
        <w:tc>
          <w:tcPr>
            <w:tcW w:w="693" w:type="pct"/>
            <w:tcBorders>
              <w:top w:val="nil"/>
              <w:left w:val="nil"/>
              <w:bottom w:val="nil"/>
              <w:right w:val="nil"/>
            </w:tcBorders>
            <w:shd w:val="clear" w:color="auto" w:fill="auto"/>
            <w:noWrap/>
            <w:vAlign w:val="center"/>
            <w:hideMark/>
          </w:tcPr>
          <w:p w14:paraId="3F5EAE8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3.53</w:t>
            </w:r>
          </w:p>
        </w:tc>
        <w:tc>
          <w:tcPr>
            <w:tcW w:w="747" w:type="pct"/>
            <w:tcBorders>
              <w:top w:val="nil"/>
              <w:left w:val="nil"/>
              <w:bottom w:val="nil"/>
              <w:right w:val="nil"/>
            </w:tcBorders>
            <w:shd w:val="clear" w:color="auto" w:fill="auto"/>
            <w:noWrap/>
            <w:vAlign w:val="center"/>
            <w:hideMark/>
          </w:tcPr>
          <w:p w14:paraId="2E5A042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4.38</w:t>
            </w:r>
          </w:p>
        </w:tc>
        <w:tc>
          <w:tcPr>
            <w:tcW w:w="663" w:type="pct"/>
            <w:tcBorders>
              <w:top w:val="nil"/>
              <w:left w:val="nil"/>
              <w:bottom w:val="nil"/>
              <w:right w:val="nil"/>
            </w:tcBorders>
            <w:shd w:val="clear" w:color="auto" w:fill="auto"/>
            <w:noWrap/>
            <w:vAlign w:val="center"/>
            <w:hideMark/>
          </w:tcPr>
          <w:p w14:paraId="4E5E0BD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4.36</w:t>
            </w:r>
          </w:p>
        </w:tc>
        <w:tc>
          <w:tcPr>
            <w:tcW w:w="726" w:type="pct"/>
            <w:tcBorders>
              <w:top w:val="nil"/>
              <w:left w:val="nil"/>
              <w:bottom w:val="nil"/>
              <w:right w:val="nil"/>
            </w:tcBorders>
            <w:shd w:val="clear" w:color="auto" w:fill="auto"/>
            <w:noWrap/>
            <w:vAlign w:val="center"/>
            <w:hideMark/>
          </w:tcPr>
          <w:p w14:paraId="08F9B98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-2.64</w:t>
            </w:r>
          </w:p>
        </w:tc>
        <w:tc>
          <w:tcPr>
            <w:tcW w:w="751" w:type="pct"/>
            <w:tcBorders>
              <w:top w:val="nil"/>
              <w:left w:val="nil"/>
              <w:bottom w:val="nil"/>
              <w:right w:val="nil"/>
            </w:tcBorders>
            <w:shd w:val="clear" w:color="auto" w:fill="auto"/>
            <w:noWrap/>
            <w:vAlign w:val="center"/>
            <w:hideMark/>
          </w:tcPr>
          <w:p w14:paraId="6F4F829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585232DF" w14:textId="13FC43FB"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74.02</w:t>
            </w:r>
          </w:p>
        </w:tc>
      </w:tr>
      <w:tr w:rsidR="00771B6F" w:rsidRPr="00357722" w14:paraId="133A09C3" w14:textId="77777777" w:rsidTr="00771B6F">
        <w:trPr>
          <w:trHeight w:val="300"/>
        </w:trPr>
        <w:tc>
          <w:tcPr>
            <w:tcW w:w="966" w:type="pct"/>
            <w:tcBorders>
              <w:top w:val="nil"/>
              <w:left w:val="nil"/>
              <w:bottom w:val="nil"/>
              <w:right w:val="nil"/>
            </w:tcBorders>
            <w:shd w:val="clear" w:color="auto" w:fill="auto"/>
            <w:noWrap/>
            <w:vAlign w:val="center"/>
            <w:hideMark/>
          </w:tcPr>
          <w:p w14:paraId="3264466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Japan</w:t>
            </w:r>
          </w:p>
        </w:tc>
        <w:tc>
          <w:tcPr>
            <w:tcW w:w="693" w:type="pct"/>
            <w:tcBorders>
              <w:top w:val="nil"/>
              <w:left w:val="nil"/>
              <w:bottom w:val="nil"/>
              <w:right w:val="nil"/>
            </w:tcBorders>
            <w:shd w:val="clear" w:color="auto" w:fill="auto"/>
            <w:noWrap/>
            <w:vAlign w:val="center"/>
            <w:hideMark/>
          </w:tcPr>
          <w:p w14:paraId="4BECD26D"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4.30</w:t>
            </w:r>
          </w:p>
        </w:tc>
        <w:tc>
          <w:tcPr>
            <w:tcW w:w="747" w:type="pct"/>
            <w:tcBorders>
              <w:top w:val="nil"/>
              <w:left w:val="nil"/>
              <w:bottom w:val="nil"/>
              <w:right w:val="nil"/>
            </w:tcBorders>
            <w:shd w:val="clear" w:color="auto" w:fill="auto"/>
            <w:noWrap/>
            <w:vAlign w:val="center"/>
            <w:hideMark/>
          </w:tcPr>
          <w:p w14:paraId="57517B9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5.12</w:t>
            </w:r>
          </w:p>
        </w:tc>
        <w:tc>
          <w:tcPr>
            <w:tcW w:w="663" w:type="pct"/>
            <w:tcBorders>
              <w:top w:val="nil"/>
              <w:left w:val="nil"/>
              <w:bottom w:val="nil"/>
              <w:right w:val="nil"/>
            </w:tcBorders>
            <w:shd w:val="clear" w:color="auto" w:fill="auto"/>
            <w:noWrap/>
            <w:vAlign w:val="center"/>
            <w:hideMark/>
          </w:tcPr>
          <w:p w14:paraId="6BFFEB9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5.12</w:t>
            </w:r>
          </w:p>
        </w:tc>
        <w:tc>
          <w:tcPr>
            <w:tcW w:w="726" w:type="pct"/>
            <w:tcBorders>
              <w:top w:val="nil"/>
              <w:left w:val="nil"/>
              <w:bottom w:val="nil"/>
              <w:right w:val="nil"/>
            </w:tcBorders>
            <w:shd w:val="clear" w:color="auto" w:fill="auto"/>
            <w:noWrap/>
            <w:vAlign w:val="center"/>
            <w:hideMark/>
          </w:tcPr>
          <w:p w14:paraId="53FE94A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-2.24</w:t>
            </w:r>
          </w:p>
        </w:tc>
        <w:tc>
          <w:tcPr>
            <w:tcW w:w="751" w:type="pct"/>
            <w:tcBorders>
              <w:top w:val="nil"/>
              <w:left w:val="nil"/>
              <w:bottom w:val="nil"/>
              <w:right w:val="nil"/>
            </w:tcBorders>
            <w:shd w:val="clear" w:color="auto" w:fill="auto"/>
            <w:noWrap/>
            <w:vAlign w:val="center"/>
            <w:hideMark/>
          </w:tcPr>
          <w:p w14:paraId="689930D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9.75</w:t>
            </w:r>
          </w:p>
        </w:tc>
        <w:tc>
          <w:tcPr>
            <w:tcW w:w="453" w:type="pct"/>
            <w:tcBorders>
              <w:top w:val="nil"/>
              <w:left w:val="nil"/>
              <w:bottom w:val="nil"/>
              <w:right w:val="nil"/>
            </w:tcBorders>
            <w:shd w:val="clear" w:color="auto" w:fill="auto"/>
            <w:noWrap/>
            <w:vAlign w:val="center"/>
            <w:hideMark/>
          </w:tcPr>
          <w:p w14:paraId="57F2A894" w14:textId="4FC8A749"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78.16</w:t>
            </w:r>
          </w:p>
        </w:tc>
      </w:tr>
      <w:tr w:rsidR="00771B6F" w:rsidRPr="00357722" w14:paraId="484E58AD" w14:textId="77777777" w:rsidTr="00771B6F">
        <w:trPr>
          <w:trHeight w:val="300"/>
        </w:trPr>
        <w:tc>
          <w:tcPr>
            <w:tcW w:w="966" w:type="pct"/>
            <w:tcBorders>
              <w:top w:val="nil"/>
              <w:left w:val="nil"/>
              <w:bottom w:val="nil"/>
              <w:right w:val="nil"/>
            </w:tcBorders>
            <w:shd w:val="clear" w:color="auto" w:fill="auto"/>
            <w:noWrap/>
            <w:vAlign w:val="center"/>
            <w:hideMark/>
          </w:tcPr>
          <w:p w14:paraId="3495491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Netherland</w:t>
            </w:r>
          </w:p>
        </w:tc>
        <w:tc>
          <w:tcPr>
            <w:tcW w:w="693" w:type="pct"/>
            <w:tcBorders>
              <w:top w:val="nil"/>
              <w:left w:val="nil"/>
              <w:bottom w:val="nil"/>
              <w:right w:val="nil"/>
            </w:tcBorders>
            <w:shd w:val="clear" w:color="auto" w:fill="auto"/>
            <w:noWrap/>
            <w:vAlign w:val="center"/>
            <w:hideMark/>
          </w:tcPr>
          <w:p w14:paraId="5E20F91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4.46</w:t>
            </w:r>
          </w:p>
        </w:tc>
        <w:tc>
          <w:tcPr>
            <w:tcW w:w="747" w:type="pct"/>
            <w:tcBorders>
              <w:top w:val="nil"/>
              <w:left w:val="nil"/>
              <w:bottom w:val="nil"/>
              <w:right w:val="nil"/>
            </w:tcBorders>
            <w:shd w:val="clear" w:color="auto" w:fill="auto"/>
            <w:noWrap/>
            <w:vAlign w:val="center"/>
            <w:hideMark/>
          </w:tcPr>
          <w:p w14:paraId="320131D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4.74</w:t>
            </w:r>
          </w:p>
        </w:tc>
        <w:tc>
          <w:tcPr>
            <w:tcW w:w="663" w:type="pct"/>
            <w:tcBorders>
              <w:top w:val="nil"/>
              <w:left w:val="nil"/>
              <w:bottom w:val="nil"/>
              <w:right w:val="nil"/>
            </w:tcBorders>
            <w:shd w:val="clear" w:color="auto" w:fill="auto"/>
            <w:noWrap/>
            <w:vAlign w:val="center"/>
            <w:hideMark/>
          </w:tcPr>
          <w:p w14:paraId="72E0CA7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4.74</w:t>
            </w:r>
          </w:p>
        </w:tc>
        <w:tc>
          <w:tcPr>
            <w:tcW w:w="726" w:type="pct"/>
            <w:tcBorders>
              <w:top w:val="nil"/>
              <w:left w:val="nil"/>
              <w:bottom w:val="nil"/>
              <w:right w:val="nil"/>
            </w:tcBorders>
            <w:shd w:val="clear" w:color="auto" w:fill="auto"/>
            <w:noWrap/>
            <w:vAlign w:val="center"/>
            <w:hideMark/>
          </w:tcPr>
          <w:p w14:paraId="34C3D8CD"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-2.54</w:t>
            </w:r>
          </w:p>
        </w:tc>
        <w:tc>
          <w:tcPr>
            <w:tcW w:w="751" w:type="pct"/>
            <w:tcBorders>
              <w:top w:val="nil"/>
              <w:left w:val="nil"/>
              <w:bottom w:val="nil"/>
              <w:right w:val="nil"/>
            </w:tcBorders>
            <w:shd w:val="clear" w:color="auto" w:fill="auto"/>
            <w:noWrap/>
            <w:vAlign w:val="center"/>
            <w:hideMark/>
          </w:tcPr>
          <w:p w14:paraId="5860F25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1A3D9A1F" w14:textId="5FC670B6"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84.49</w:t>
            </w:r>
          </w:p>
        </w:tc>
      </w:tr>
      <w:tr w:rsidR="00771B6F" w:rsidRPr="00357722" w14:paraId="054CC283" w14:textId="77777777" w:rsidTr="00771B6F">
        <w:trPr>
          <w:trHeight w:val="300"/>
        </w:trPr>
        <w:tc>
          <w:tcPr>
            <w:tcW w:w="966" w:type="pct"/>
            <w:tcBorders>
              <w:top w:val="nil"/>
              <w:left w:val="nil"/>
              <w:bottom w:val="nil"/>
              <w:right w:val="nil"/>
            </w:tcBorders>
            <w:shd w:val="clear" w:color="auto" w:fill="auto"/>
            <w:noWrap/>
            <w:vAlign w:val="center"/>
            <w:hideMark/>
          </w:tcPr>
          <w:p w14:paraId="00ACAE4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New Zealand</w:t>
            </w:r>
          </w:p>
        </w:tc>
        <w:tc>
          <w:tcPr>
            <w:tcW w:w="693" w:type="pct"/>
            <w:tcBorders>
              <w:top w:val="nil"/>
              <w:left w:val="nil"/>
              <w:bottom w:val="nil"/>
              <w:right w:val="nil"/>
            </w:tcBorders>
            <w:shd w:val="clear" w:color="auto" w:fill="auto"/>
            <w:noWrap/>
            <w:vAlign w:val="center"/>
            <w:hideMark/>
          </w:tcPr>
          <w:p w14:paraId="7BA6B3E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3.49</w:t>
            </w:r>
          </w:p>
        </w:tc>
        <w:tc>
          <w:tcPr>
            <w:tcW w:w="747" w:type="pct"/>
            <w:tcBorders>
              <w:top w:val="nil"/>
              <w:left w:val="nil"/>
              <w:bottom w:val="nil"/>
              <w:right w:val="nil"/>
            </w:tcBorders>
            <w:shd w:val="clear" w:color="auto" w:fill="auto"/>
            <w:noWrap/>
            <w:vAlign w:val="center"/>
            <w:hideMark/>
          </w:tcPr>
          <w:p w14:paraId="45519F0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4.81</w:t>
            </w:r>
          </w:p>
        </w:tc>
        <w:tc>
          <w:tcPr>
            <w:tcW w:w="663" w:type="pct"/>
            <w:tcBorders>
              <w:top w:val="nil"/>
              <w:left w:val="nil"/>
              <w:bottom w:val="nil"/>
              <w:right w:val="nil"/>
            </w:tcBorders>
            <w:shd w:val="clear" w:color="auto" w:fill="auto"/>
            <w:noWrap/>
            <w:vAlign w:val="center"/>
            <w:hideMark/>
          </w:tcPr>
          <w:p w14:paraId="674DE42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4.83</w:t>
            </w:r>
          </w:p>
        </w:tc>
        <w:tc>
          <w:tcPr>
            <w:tcW w:w="726" w:type="pct"/>
            <w:tcBorders>
              <w:top w:val="nil"/>
              <w:left w:val="nil"/>
              <w:bottom w:val="nil"/>
              <w:right w:val="nil"/>
            </w:tcBorders>
            <w:shd w:val="clear" w:color="auto" w:fill="auto"/>
            <w:noWrap/>
            <w:vAlign w:val="center"/>
            <w:hideMark/>
          </w:tcPr>
          <w:p w14:paraId="32373AA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-4.07</w:t>
            </w:r>
          </w:p>
        </w:tc>
        <w:tc>
          <w:tcPr>
            <w:tcW w:w="751" w:type="pct"/>
            <w:tcBorders>
              <w:top w:val="nil"/>
              <w:left w:val="nil"/>
              <w:bottom w:val="nil"/>
              <w:right w:val="nil"/>
            </w:tcBorders>
            <w:shd w:val="clear" w:color="auto" w:fill="auto"/>
            <w:noWrap/>
            <w:vAlign w:val="center"/>
            <w:hideMark/>
          </w:tcPr>
          <w:p w14:paraId="0BD2349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13.96</w:t>
            </w:r>
          </w:p>
        </w:tc>
        <w:tc>
          <w:tcPr>
            <w:tcW w:w="453" w:type="pct"/>
            <w:tcBorders>
              <w:top w:val="nil"/>
              <w:left w:val="nil"/>
              <w:bottom w:val="nil"/>
              <w:right w:val="nil"/>
            </w:tcBorders>
            <w:shd w:val="clear" w:color="auto" w:fill="auto"/>
            <w:noWrap/>
            <w:vAlign w:val="center"/>
            <w:hideMark/>
          </w:tcPr>
          <w:p w14:paraId="1A3884D6" w14:textId="5ADEE41C"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67.07</w:t>
            </w:r>
          </w:p>
        </w:tc>
      </w:tr>
      <w:tr w:rsidR="00771B6F" w:rsidRPr="00357722" w14:paraId="4170127C" w14:textId="77777777" w:rsidTr="00771B6F">
        <w:trPr>
          <w:trHeight w:val="300"/>
        </w:trPr>
        <w:tc>
          <w:tcPr>
            <w:tcW w:w="966" w:type="pct"/>
            <w:tcBorders>
              <w:top w:val="nil"/>
              <w:left w:val="nil"/>
              <w:bottom w:val="nil"/>
              <w:right w:val="nil"/>
            </w:tcBorders>
            <w:shd w:val="clear" w:color="auto" w:fill="auto"/>
            <w:noWrap/>
            <w:vAlign w:val="center"/>
            <w:hideMark/>
          </w:tcPr>
          <w:p w14:paraId="6CCEDAF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Norway</w:t>
            </w:r>
          </w:p>
        </w:tc>
        <w:tc>
          <w:tcPr>
            <w:tcW w:w="693" w:type="pct"/>
            <w:tcBorders>
              <w:top w:val="nil"/>
              <w:left w:val="nil"/>
              <w:bottom w:val="nil"/>
              <w:right w:val="nil"/>
            </w:tcBorders>
            <w:shd w:val="clear" w:color="auto" w:fill="auto"/>
            <w:noWrap/>
            <w:vAlign w:val="center"/>
            <w:hideMark/>
          </w:tcPr>
          <w:p w14:paraId="56B39C4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3.92</w:t>
            </w:r>
          </w:p>
        </w:tc>
        <w:tc>
          <w:tcPr>
            <w:tcW w:w="747" w:type="pct"/>
            <w:tcBorders>
              <w:top w:val="nil"/>
              <w:left w:val="nil"/>
              <w:bottom w:val="nil"/>
              <w:right w:val="nil"/>
            </w:tcBorders>
            <w:shd w:val="clear" w:color="auto" w:fill="auto"/>
            <w:noWrap/>
            <w:vAlign w:val="center"/>
            <w:hideMark/>
          </w:tcPr>
          <w:p w14:paraId="437F72E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4.76</w:t>
            </w:r>
          </w:p>
        </w:tc>
        <w:tc>
          <w:tcPr>
            <w:tcW w:w="663" w:type="pct"/>
            <w:tcBorders>
              <w:top w:val="nil"/>
              <w:left w:val="nil"/>
              <w:bottom w:val="nil"/>
              <w:right w:val="nil"/>
            </w:tcBorders>
            <w:shd w:val="clear" w:color="auto" w:fill="auto"/>
            <w:noWrap/>
            <w:vAlign w:val="center"/>
            <w:hideMark/>
          </w:tcPr>
          <w:p w14:paraId="0B683F0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4.65</w:t>
            </w:r>
          </w:p>
        </w:tc>
        <w:tc>
          <w:tcPr>
            <w:tcW w:w="726" w:type="pct"/>
            <w:tcBorders>
              <w:top w:val="nil"/>
              <w:left w:val="nil"/>
              <w:bottom w:val="nil"/>
              <w:right w:val="nil"/>
            </w:tcBorders>
            <w:shd w:val="clear" w:color="auto" w:fill="auto"/>
            <w:noWrap/>
            <w:vAlign w:val="center"/>
            <w:hideMark/>
          </w:tcPr>
          <w:p w14:paraId="3947602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-2.96</w:t>
            </w:r>
          </w:p>
        </w:tc>
        <w:tc>
          <w:tcPr>
            <w:tcW w:w="751" w:type="pct"/>
            <w:tcBorders>
              <w:top w:val="nil"/>
              <w:left w:val="nil"/>
              <w:bottom w:val="nil"/>
              <w:right w:val="nil"/>
            </w:tcBorders>
            <w:shd w:val="clear" w:color="auto" w:fill="auto"/>
            <w:noWrap/>
            <w:vAlign w:val="center"/>
            <w:hideMark/>
          </w:tcPr>
          <w:p w14:paraId="0240021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9.75</w:t>
            </w:r>
          </w:p>
        </w:tc>
        <w:tc>
          <w:tcPr>
            <w:tcW w:w="453" w:type="pct"/>
            <w:tcBorders>
              <w:top w:val="nil"/>
              <w:left w:val="nil"/>
              <w:bottom w:val="nil"/>
              <w:right w:val="nil"/>
            </w:tcBorders>
            <w:shd w:val="clear" w:color="auto" w:fill="auto"/>
            <w:noWrap/>
            <w:vAlign w:val="center"/>
            <w:hideMark/>
          </w:tcPr>
          <w:p w14:paraId="6C9C40D5" w14:textId="33E1F8E3"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77.48</w:t>
            </w:r>
          </w:p>
        </w:tc>
      </w:tr>
      <w:tr w:rsidR="00771B6F" w:rsidRPr="00357722" w14:paraId="17E54E9D" w14:textId="77777777" w:rsidTr="00771B6F">
        <w:trPr>
          <w:trHeight w:val="300"/>
        </w:trPr>
        <w:tc>
          <w:tcPr>
            <w:tcW w:w="966" w:type="pct"/>
            <w:tcBorders>
              <w:top w:val="nil"/>
              <w:left w:val="nil"/>
              <w:bottom w:val="nil"/>
              <w:right w:val="nil"/>
            </w:tcBorders>
            <w:shd w:val="clear" w:color="auto" w:fill="auto"/>
            <w:noWrap/>
            <w:vAlign w:val="center"/>
            <w:hideMark/>
          </w:tcPr>
          <w:p w14:paraId="0381E73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Portugal</w:t>
            </w:r>
          </w:p>
        </w:tc>
        <w:tc>
          <w:tcPr>
            <w:tcW w:w="693" w:type="pct"/>
            <w:tcBorders>
              <w:top w:val="nil"/>
              <w:left w:val="nil"/>
              <w:bottom w:val="nil"/>
              <w:right w:val="nil"/>
            </w:tcBorders>
            <w:shd w:val="clear" w:color="auto" w:fill="auto"/>
            <w:noWrap/>
            <w:vAlign w:val="center"/>
            <w:hideMark/>
          </w:tcPr>
          <w:p w14:paraId="298F8CA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3.54</w:t>
            </w:r>
          </w:p>
        </w:tc>
        <w:tc>
          <w:tcPr>
            <w:tcW w:w="747" w:type="pct"/>
            <w:tcBorders>
              <w:top w:val="nil"/>
              <w:left w:val="nil"/>
              <w:bottom w:val="nil"/>
              <w:right w:val="nil"/>
            </w:tcBorders>
            <w:shd w:val="clear" w:color="auto" w:fill="auto"/>
            <w:noWrap/>
            <w:vAlign w:val="center"/>
            <w:hideMark/>
          </w:tcPr>
          <w:p w14:paraId="0313EFE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4.90</w:t>
            </w:r>
          </w:p>
        </w:tc>
        <w:tc>
          <w:tcPr>
            <w:tcW w:w="663" w:type="pct"/>
            <w:tcBorders>
              <w:top w:val="nil"/>
              <w:left w:val="nil"/>
              <w:bottom w:val="nil"/>
              <w:right w:val="nil"/>
            </w:tcBorders>
            <w:shd w:val="clear" w:color="auto" w:fill="auto"/>
            <w:noWrap/>
            <w:vAlign w:val="center"/>
            <w:hideMark/>
          </w:tcPr>
          <w:p w14:paraId="2EE7802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4.89</w:t>
            </w:r>
          </w:p>
        </w:tc>
        <w:tc>
          <w:tcPr>
            <w:tcW w:w="726" w:type="pct"/>
            <w:tcBorders>
              <w:top w:val="nil"/>
              <w:left w:val="nil"/>
              <w:bottom w:val="nil"/>
              <w:right w:val="nil"/>
            </w:tcBorders>
            <w:shd w:val="clear" w:color="auto" w:fill="auto"/>
            <w:noWrap/>
            <w:vAlign w:val="center"/>
            <w:hideMark/>
          </w:tcPr>
          <w:p w14:paraId="022D49F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-3.52</w:t>
            </w:r>
          </w:p>
        </w:tc>
        <w:tc>
          <w:tcPr>
            <w:tcW w:w="751" w:type="pct"/>
            <w:tcBorders>
              <w:top w:val="nil"/>
              <w:left w:val="nil"/>
              <w:bottom w:val="nil"/>
              <w:right w:val="nil"/>
            </w:tcBorders>
            <w:shd w:val="clear" w:color="auto" w:fill="auto"/>
            <w:noWrap/>
            <w:vAlign w:val="center"/>
            <w:hideMark/>
          </w:tcPr>
          <w:p w14:paraId="1E7A7C3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5BFD1A42" w14:textId="7F15F9D2"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71.12</w:t>
            </w:r>
          </w:p>
        </w:tc>
      </w:tr>
      <w:tr w:rsidR="00771B6F" w:rsidRPr="00357722" w14:paraId="4F9A87AA" w14:textId="77777777" w:rsidTr="00771B6F">
        <w:trPr>
          <w:trHeight w:val="300"/>
        </w:trPr>
        <w:tc>
          <w:tcPr>
            <w:tcW w:w="966" w:type="pct"/>
            <w:tcBorders>
              <w:top w:val="nil"/>
              <w:left w:val="nil"/>
              <w:bottom w:val="nil"/>
              <w:right w:val="nil"/>
            </w:tcBorders>
            <w:shd w:val="clear" w:color="auto" w:fill="auto"/>
            <w:noWrap/>
            <w:vAlign w:val="center"/>
            <w:hideMark/>
          </w:tcPr>
          <w:p w14:paraId="5305A17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Singapore</w:t>
            </w:r>
          </w:p>
        </w:tc>
        <w:tc>
          <w:tcPr>
            <w:tcW w:w="693" w:type="pct"/>
            <w:tcBorders>
              <w:top w:val="nil"/>
              <w:left w:val="nil"/>
              <w:bottom w:val="nil"/>
              <w:right w:val="nil"/>
            </w:tcBorders>
            <w:shd w:val="clear" w:color="auto" w:fill="auto"/>
            <w:noWrap/>
            <w:vAlign w:val="center"/>
            <w:hideMark/>
          </w:tcPr>
          <w:p w14:paraId="1A0F660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5.30</w:t>
            </w:r>
          </w:p>
        </w:tc>
        <w:tc>
          <w:tcPr>
            <w:tcW w:w="747" w:type="pct"/>
            <w:tcBorders>
              <w:top w:val="nil"/>
              <w:left w:val="nil"/>
              <w:bottom w:val="nil"/>
              <w:right w:val="nil"/>
            </w:tcBorders>
            <w:shd w:val="clear" w:color="auto" w:fill="auto"/>
            <w:noWrap/>
            <w:vAlign w:val="center"/>
            <w:hideMark/>
          </w:tcPr>
          <w:p w14:paraId="5BCA360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4.66</w:t>
            </w:r>
          </w:p>
        </w:tc>
        <w:tc>
          <w:tcPr>
            <w:tcW w:w="663" w:type="pct"/>
            <w:tcBorders>
              <w:top w:val="nil"/>
              <w:left w:val="nil"/>
              <w:bottom w:val="nil"/>
              <w:right w:val="nil"/>
            </w:tcBorders>
            <w:shd w:val="clear" w:color="auto" w:fill="auto"/>
            <w:noWrap/>
            <w:vAlign w:val="center"/>
            <w:hideMark/>
          </w:tcPr>
          <w:p w14:paraId="778733F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4.66</w:t>
            </w:r>
          </w:p>
        </w:tc>
        <w:tc>
          <w:tcPr>
            <w:tcW w:w="726" w:type="pct"/>
            <w:tcBorders>
              <w:top w:val="nil"/>
              <w:left w:val="nil"/>
              <w:bottom w:val="nil"/>
              <w:right w:val="nil"/>
            </w:tcBorders>
            <w:shd w:val="clear" w:color="auto" w:fill="auto"/>
            <w:noWrap/>
            <w:vAlign w:val="center"/>
            <w:hideMark/>
          </w:tcPr>
          <w:p w14:paraId="18E2200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-3.00</w:t>
            </w:r>
          </w:p>
        </w:tc>
        <w:tc>
          <w:tcPr>
            <w:tcW w:w="751" w:type="pct"/>
            <w:tcBorders>
              <w:top w:val="nil"/>
              <w:left w:val="nil"/>
              <w:bottom w:val="nil"/>
              <w:right w:val="nil"/>
            </w:tcBorders>
            <w:shd w:val="clear" w:color="auto" w:fill="auto"/>
            <w:noWrap/>
            <w:vAlign w:val="center"/>
            <w:hideMark/>
          </w:tcPr>
          <w:p w14:paraId="35F4033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5.07</w:t>
            </w:r>
          </w:p>
        </w:tc>
        <w:tc>
          <w:tcPr>
            <w:tcW w:w="453" w:type="pct"/>
            <w:tcBorders>
              <w:top w:val="nil"/>
              <w:left w:val="nil"/>
              <w:bottom w:val="nil"/>
              <w:right w:val="nil"/>
            </w:tcBorders>
            <w:shd w:val="clear" w:color="auto" w:fill="auto"/>
            <w:noWrap/>
            <w:vAlign w:val="center"/>
            <w:hideMark/>
          </w:tcPr>
          <w:p w14:paraId="6D2C17D0" w14:textId="091DF9EF"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70.21</w:t>
            </w:r>
          </w:p>
        </w:tc>
      </w:tr>
      <w:tr w:rsidR="00771B6F" w:rsidRPr="00357722" w14:paraId="00370593" w14:textId="77777777" w:rsidTr="00771B6F">
        <w:trPr>
          <w:trHeight w:val="300"/>
        </w:trPr>
        <w:tc>
          <w:tcPr>
            <w:tcW w:w="966" w:type="pct"/>
            <w:tcBorders>
              <w:top w:val="nil"/>
              <w:left w:val="nil"/>
              <w:bottom w:val="nil"/>
              <w:right w:val="nil"/>
            </w:tcBorders>
            <w:shd w:val="clear" w:color="auto" w:fill="auto"/>
            <w:noWrap/>
            <w:vAlign w:val="center"/>
            <w:hideMark/>
          </w:tcPr>
          <w:p w14:paraId="76535D6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Spain</w:t>
            </w:r>
          </w:p>
        </w:tc>
        <w:tc>
          <w:tcPr>
            <w:tcW w:w="693" w:type="pct"/>
            <w:tcBorders>
              <w:top w:val="nil"/>
              <w:left w:val="nil"/>
              <w:bottom w:val="nil"/>
              <w:right w:val="nil"/>
            </w:tcBorders>
            <w:shd w:val="clear" w:color="auto" w:fill="auto"/>
            <w:noWrap/>
            <w:vAlign w:val="center"/>
            <w:hideMark/>
          </w:tcPr>
          <w:p w14:paraId="7732E75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4.36</w:t>
            </w:r>
          </w:p>
        </w:tc>
        <w:tc>
          <w:tcPr>
            <w:tcW w:w="747" w:type="pct"/>
            <w:tcBorders>
              <w:top w:val="nil"/>
              <w:left w:val="nil"/>
              <w:bottom w:val="nil"/>
              <w:right w:val="nil"/>
            </w:tcBorders>
            <w:shd w:val="clear" w:color="auto" w:fill="auto"/>
            <w:noWrap/>
            <w:vAlign w:val="center"/>
            <w:hideMark/>
          </w:tcPr>
          <w:p w14:paraId="76E129E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4.91</w:t>
            </w:r>
          </w:p>
        </w:tc>
        <w:tc>
          <w:tcPr>
            <w:tcW w:w="663" w:type="pct"/>
            <w:tcBorders>
              <w:top w:val="nil"/>
              <w:left w:val="nil"/>
              <w:bottom w:val="nil"/>
              <w:right w:val="nil"/>
            </w:tcBorders>
            <w:shd w:val="clear" w:color="auto" w:fill="auto"/>
            <w:noWrap/>
            <w:vAlign w:val="center"/>
            <w:hideMark/>
          </w:tcPr>
          <w:p w14:paraId="3711592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4.89</w:t>
            </w:r>
          </w:p>
        </w:tc>
        <w:tc>
          <w:tcPr>
            <w:tcW w:w="726" w:type="pct"/>
            <w:tcBorders>
              <w:top w:val="nil"/>
              <w:left w:val="nil"/>
              <w:bottom w:val="nil"/>
              <w:right w:val="nil"/>
            </w:tcBorders>
            <w:shd w:val="clear" w:color="auto" w:fill="auto"/>
            <w:noWrap/>
            <w:vAlign w:val="center"/>
            <w:hideMark/>
          </w:tcPr>
          <w:p w14:paraId="2F96566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-2.97</w:t>
            </w:r>
          </w:p>
        </w:tc>
        <w:tc>
          <w:tcPr>
            <w:tcW w:w="751" w:type="pct"/>
            <w:tcBorders>
              <w:top w:val="nil"/>
              <w:left w:val="nil"/>
              <w:bottom w:val="nil"/>
              <w:right w:val="nil"/>
            </w:tcBorders>
            <w:shd w:val="clear" w:color="auto" w:fill="auto"/>
            <w:noWrap/>
            <w:vAlign w:val="center"/>
            <w:hideMark/>
          </w:tcPr>
          <w:p w14:paraId="357EA05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10.86</w:t>
            </w:r>
          </w:p>
        </w:tc>
        <w:tc>
          <w:tcPr>
            <w:tcW w:w="453" w:type="pct"/>
            <w:tcBorders>
              <w:top w:val="nil"/>
              <w:left w:val="nil"/>
              <w:bottom w:val="nil"/>
              <w:right w:val="nil"/>
            </w:tcBorders>
            <w:shd w:val="clear" w:color="auto" w:fill="auto"/>
            <w:noWrap/>
            <w:vAlign w:val="center"/>
            <w:hideMark/>
          </w:tcPr>
          <w:p w14:paraId="55D8FB8C" w14:textId="5E09F70D"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75.82</w:t>
            </w:r>
          </w:p>
        </w:tc>
      </w:tr>
      <w:tr w:rsidR="00771B6F" w:rsidRPr="00357722" w14:paraId="1FC2BF0F" w14:textId="77777777" w:rsidTr="00771B6F">
        <w:trPr>
          <w:trHeight w:val="300"/>
        </w:trPr>
        <w:tc>
          <w:tcPr>
            <w:tcW w:w="966" w:type="pct"/>
            <w:tcBorders>
              <w:top w:val="nil"/>
              <w:left w:val="nil"/>
              <w:bottom w:val="nil"/>
              <w:right w:val="nil"/>
            </w:tcBorders>
            <w:shd w:val="clear" w:color="auto" w:fill="auto"/>
            <w:noWrap/>
            <w:vAlign w:val="center"/>
            <w:hideMark/>
          </w:tcPr>
          <w:p w14:paraId="59DD987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Sweden</w:t>
            </w:r>
          </w:p>
        </w:tc>
        <w:tc>
          <w:tcPr>
            <w:tcW w:w="693" w:type="pct"/>
            <w:tcBorders>
              <w:top w:val="nil"/>
              <w:left w:val="nil"/>
              <w:bottom w:val="nil"/>
              <w:right w:val="nil"/>
            </w:tcBorders>
            <w:shd w:val="clear" w:color="auto" w:fill="auto"/>
            <w:noWrap/>
            <w:vAlign w:val="center"/>
            <w:hideMark/>
          </w:tcPr>
          <w:p w14:paraId="252EF2B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4.56</w:t>
            </w:r>
          </w:p>
        </w:tc>
        <w:tc>
          <w:tcPr>
            <w:tcW w:w="747" w:type="pct"/>
            <w:tcBorders>
              <w:top w:val="nil"/>
              <w:left w:val="nil"/>
              <w:bottom w:val="nil"/>
              <w:right w:val="nil"/>
            </w:tcBorders>
            <w:shd w:val="clear" w:color="auto" w:fill="auto"/>
            <w:noWrap/>
            <w:vAlign w:val="center"/>
            <w:hideMark/>
          </w:tcPr>
          <w:p w14:paraId="1521098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4.73</w:t>
            </w:r>
          </w:p>
        </w:tc>
        <w:tc>
          <w:tcPr>
            <w:tcW w:w="663" w:type="pct"/>
            <w:tcBorders>
              <w:top w:val="nil"/>
              <w:left w:val="nil"/>
              <w:bottom w:val="nil"/>
              <w:right w:val="nil"/>
            </w:tcBorders>
            <w:shd w:val="clear" w:color="auto" w:fill="auto"/>
            <w:noWrap/>
            <w:vAlign w:val="center"/>
            <w:hideMark/>
          </w:tcPr>
          <w:p w14:paraId="2F78483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4.69</w:t>
            </w:r>
          </w:p>
        </w:tc>
        <w:tc>
          <w:tcPr>
            <w:tcW w:w="726" w:type="pct"/>
            <w:tcBorders>
              <w:top w:val="nil"/>
              <w:left w:val="nil"/>
              <w:bottom w:val="nil"/>
              <w:right w:val="nil"/>
            </w:tcBorders>
            <w:shd w:val="clear" w:color="auto" w:fill="auto"/>
            <w:noWrap/>
            <w:vAlign w:val="center"/>
            <w:hideMark/>
          </w:tcPr>
          <w:p w14:paraId="3477C96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-3.09</w:t>
            </w:r>
          </w:p>
        </w:tc>
        <w:tc>
          <w:tcPr>
            <w:tcW w:w="751" w:type="pct"/>
            <w:tcBorders>
              <w:top w:val="nil"/>
              <w:left w:val="nil"/>
              <w:bottom w:val="nil"/>
              <w:right w:val="nil"/>
            </w:tcBorders>
            <w:shd w:val="clear" w:color="auto" w:fill="auto"/>
            <w:noWrap/>
            <w:vAlign w:val="center"/>
            <w:hideMark/>
          </w:tcPr>
          <w:p w14:paraId="7275BF8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9.57</w:t>
            </w:r>
          </w:p>
        </w:tc>
        <w:tc>
          <w:tcPr>
            <w:tcW w:w="453" w:type="pct"/>
            <w:tcBorders>
              <w:top w:val="nil"/>
              <w:left w:val="nil"/>
              <w:bottom w:val="nil"/>
              <w:right w:val="nil"/>
            </w:tcBorders>
            <w:shd w:val="clear" w:color="auto" w:fill="auto"/>
            <w:noWrap/>
            <w:vAlign w:val="center"/>
            <w:hideMark/>
          </w:tcPr>
          <w:p w14:paraId="2A412204" w14:textId="3F579486"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76.65</w:t>
            </w:r>
          </w:p>
        </w:tc>
      </w:tr>
      <w:tr w:rsidR="00771B6F" w:rsidRPr="00357722" w14:paraId="2731EB36" w14:textId="77777777" w:rsidTr="00771B6F">
        <w:trPr>
          <w:trHeight w:val="300"/>
        </w:trPr>
        <w:tc>
          <w:tcPr>
            <w:tcW w:w="966" w:type="pct"/>
            <w:tcBorders>
              <w:top w:val="nil"/>
              <w:left w:val="nil"/>
              <w:bottom w:val="nil"/>
              <w:right w:val="nil"/>
            </w:tcBorders>
            <w:shd w:val="clear" w:color="auto" w:fill="auto"/>
            <w:noWrap/>
            <w:vAlign w:val="center"/>
            <w:hideMark/>
          </w:tcPr>
          <w:p w14:paraId="0D28607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Switzerland</w:t>
            </w:r>
          </w:p>
        </w:tc>
        <w:tc>
          <w:tcPr>
            <w:tcW w:w="693" w:type="pct"/>
            <w:tcBorders>
              <w:top w:val="nil"/>
              <w:left w:val="nil"/>
              <w:bottom w:val="nil"/>
              <w:right w:val="nil"/>
            </w:tcBorders>
            <w:shd w:val="clear" w:color="auto" w:fill="auto"/>
            <w:noWrap/>
            <w:vAlign w:val="center"/>
            <w:hideMark/>
          </w:tcPr>
          <w:p w14:paraId="610A848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5.34</w:t>
            </w:r>
          </w:p>
        </w:tc>
        <w:tc>
          <w:tcPr>
            <w:tcW w:w="747" w:type="pct"/>
            <w:tcBorders>
              <w:top w:val="nil"/>
              <w:left w:val="nil"/>
              <w:bottom w:val="nil"/>
              <w:right w:val="nil"/>
            </w:tcBorders>
            <w:shd w:val="clear" w:color="auto" w:fill="auto"/>
            <w:noWrap/>
            <w:vAlign w:val="center"/>
            <w:hideMark/>
          </w:tcPr>
          <w:p w14:paraId="6B8B4F8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5.05</w:t>
            </w:r>
          </w:p>
        </w:tc>
        <w:tc>
          <w:tcPr>
            <w:tcW w:w="663" w:type="pct"/>
            <w:tcBorders>
              <w:top w:val="nil"/>
              <w:left w:val="nil"/>
              <w:bottom w:val="nil"/>
              <w:right w:val="nil"/>
            </w:tcBorders>
            <w:shd w:val="clear" w:color="auto" w:fill="auto"/>
            <w:noWrap/>
            <w:vAlign w:val="center"/>
            <w:hideMark/>
          </w:tcPr>
          <w:p w14:paraId="5A773DD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5.04</w:t>
            </w:r>
          </w:p>
        </w:tc>
        <w:tc>
          <w:tcPr>
            <w:tcW w:w="726" w:type="pct"/>
            <w:tcBorders>
              <w:top w:val="nil"/>
              <w:left w:val="nil"/>
              <w:bottom w:val="nil"/>
              <w:right w:val="nil"/>
            </w:tcBorders>
            <w:shd w:val="clear" w:color="auto" w:fill="auto"/>
            <w:noWrap/>
            <w:vAlign w:val="center"/>
            <w:hideMark/>
          </w:tcPr>
          <w:p w14:paraId="2B8B6F4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-2.67</w:t>
            </w:r>
          </w:p>
        </w:tc>
        <w:tc>
          <w:tcPr>
            <w:tcW w:w="751" w:type="pct"/>
            <w:tcBorders>
              <w:top w:val="nil"/>
              <w:left w:val="nil"/>
              <w:bottom w:val="nil"/>
              <w:right w:val="nil"/>
            </w:tcBorders>
            <w:shd w:val="clear" w:color="auto" w:fill="auto"/>
            <w:noWrap/>
            <w:vAlign w:val="center"/>
            <w:hideMark/>
          </w:tcPr>
          <w:p w14:paraId="1F39471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9.68</w:t>
            </w:r>
          </w:p>
        </w:tc>
        <w:tc>
          <w:tcPr>
            <w:tcW w:w="453" w:type="pct"/>
            <w:tcBorders>
              <w:top w:val="nil"/>
              <w:left w:val="nil"/>
              <w:bottom w:val="nil"/>
              <w:right w:val="nil"/>
            </w:tcBorders>
            <w:shd w:val="clear" w:color="auto" w:fill="auto"/>
            <w:noWrap/>
            <w:vAlign w:val="center"/>
            <w:hideMark/>
          </w:tcPr>
          <w:p w14:paraId="73693C0E" w14:textId="1DE9BA9D"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84.49</w:t>
            </w:r>
          </w:p>
        </w:tc>
      </w:tr>
      <w:tr w:rsidR="00771B6F" w:rsidRPr="00357722" w14:paraId="7C078334" w14:textId="77777777" w:rsidTr="00771B6F">
        <w:trPr>
          <w:trHeight w:val="300"/>
        </w:trPr>
        <w:tc>
          <w:tcPr>
            <w:tcW w:w="966" w:type="pct"/>
            <w:tcBorders>
              <w:top w:val="nil"/>
              <w:left w:val="nil"/>
              <w:bottom w:val="nil"/>
              <w:right w:val="nil"/>
            </w:tcBorders>
            <w:shd w:val="clear" w:color="auto" w:fill="auto"/>
            <w:noWrap/>
            <w:vAlign w:val="center"/>
            <w:hideMark/>
          </w:tcPr>
          <w:p w14:paraId="41192F7D"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United Kingdom</w:t>
            </w:r>
          </w:p>
        </w:tc>
        <w:tc>
          <w:tcPr>
            <w:tcW w:w="693" w:type="pct"/>
            <w:tcBorders>
              <w:top w:val="nil"/>
              <w:left w:val="nil"/>
              <w:bottom w:val="nil"/>
              <w:right w:val="nil"/>
            </w:tcBorders>
            <w:shd w:val="clear" w:color="auto" w:fill="auto"/>
            <w:noWrap/>
            <w:vAlign w:val="center"/>
            <w:hideMark/>
          </w:tcPr>
          <w:p w14:paraId="7E3FA31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4.75</w:t>
            </w:r>
          </w:p>
        </w:tc>
        <w:tc>
          <w:tcPr>
            <w:tcW w:w="747" w:type="pct"/>
            <w:tcBorders>
              <w:top w:val="nil"/>
              <w:left w:val="nil"/>
              <w:bottom w:val="nil"/>
              <w:right w:val="nil"/>
            </w:tcBorders>
            <w:shd w:val="clear" w:color="auto" w:fill="auto"/>
            <w:noWrap/>
            <w:vAlign w:val="center"/>
            <w:hideMark/>
          </w:tcPr>
          <w:p w14:paraId="6A6019D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5.02</w:t>
            </w:r>
          </w:p>
        </w:tc>
        <w:tc>
          <w:tcPr>
            <w:tcW w:w="663" w:type="pct"/>
            <w:tcBorders>
              <w:top w:val="nil"/>
              <w:left w:val="nil"/>
              <w:bottom w:val="nil"/>
              <w:right w:val="nil"/>
            </w:tcBorders>
            <w:shd w:val="clear" w:color="auto" w:fill="auto"/>
            <w:noWrap/>
            <w:vAlign w:val="center"/>
            <w:hideMark/>
          </w:tcPr>
          <w:p w14:paraId="03CC5CB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5.00</w:t>
            </w:r>
          </w:p>
        </w:tc>
        <w:tc>
          <w:tcPr>
            <w:tcW w:w="726" w:type="pct"/>
            <w:tcBorders>
              <w:top w:val="nil"/>
              <w:left w:val="nil"/>
              <w:bottom w:val="nil"/>
              <w:right w:val="nil"/>
            </w:tcBorders>
            <w:shd w:val="clear" w:color="auto" w:fill="auto"/>
            <w:noWrap/>
            <w:vAlign w:val="center"/>
            <w:hideMark/>
          </w:tcPr>
          <w:p w14:paraId="520EC6B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-2.21</w:t>
            </w:r>
          </w:p>
        </w:tc>
        <w:tc>
          <w:tcPr>
            <w:tcW w:w="751" w:type="pct"/>
            <w:tcBorders>
              <w:top w:val="nil"/>
              <w:left w:val="nil"/>
              <w:bottom w:val="nil"/>
              <w:right w:val="nil"/>
            </w:tcBorders>
            <w:shd w:val="clear" w:color="auto" w:fill="auto"/>
            <w:noWrap/>
            <w:vAlign w:val="center"/>
            <w:hideMark/>
          </w:tcPr>
          <w:p w14:paraId="1BEAC86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11.53</w:t>
            </w:r>
          </w:p>
        </w:tc>
        <w:tc>
          <w:tcPr>
            <w:tcW w:w="453" w:type="pct"/>
            <w:tcBorders>
              <w:top w:val="nil"/>
              <w:left w:val="nil"/>
              <w:bottom w:val="nil"/>
              <w:right w:val="nil"/>
            </w:tcBorders>
            <w:shd w:val="clear" w:color="auto" w:fill="auto"/>
            <w:noWrap/>
            <w:vAlign w:val="center"/>
            <w:hideMark/>
          </w:tcPr>
          <w:p w14:paraId="1915FFEA" w14:textId="2AA8DC06"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58.07</w:t>
            </w:r>
          </w:p>
        </w:tc>
      </w:tr>
      <w:tr w:rsidR="00771B6F" w:rsidRPr="00357722" w14:paraId="62639A9A" w14:textId="77777777" w:rsidTr="00771B6F">
        <w:trPr>
          <w:trHeight w:val="300"/>
        </w:trPr>
        <w:tc>
          <w:tcPr>
            <w:tcW w:w="966" w:type="pct"/>
            <w:tcBorders>
              <w:top w:val="nil"/>
              <w:left w:val="nil"/>
              <w:bottom w:val="nil"/>
              <w:right w:val="nil"/>
            </w:tcBorders>
            <w:shd w:val="clear" w:color="auto" w:fill="auto"/>
            <w:noWrap/>
            <w:vAlign w:val="center"/>
            <w:hideMark/>
          </w:tcPr>
          <w:p w14:paraId="474161D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United States</w:t>
            </w:r>
          </w:p>
        </w:tc>
        <w:tc>
          <w:tcPr>
            <w:tcW w:w="693" w:type="pct"/>
            <w:tcBorders>
              <w:top w:val="nil"/>
              <w:left w:val="nil"/>
              <w:bottom w:val="nil"/>
              <w:right w:val="nil"/>
            </w:tcBorders>
            <w:shd w:val="clear" w:color="auto" w:fill="auto"/>
            <w:noWrap/>
            <w:vAlign w:val="center"/>
            <w:hideMark/>
          </w:tcPr>
          <w:p w14:paraId="325464C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4.81</w:t>
            </w:r>
          </w:p>
        </w:tc>
        <w:tc>
          <w:tcPr>
            <w:tcW w:w="747" w:type="pct"/>
            <w:tcBorders>
              <w:top w:val="nil"/>
              <w:left w:val="nil"/>
              <w:bottom w:val="nil"/>
              <w:right w:val="nil"/>
            </w:tcBorders>
            <w:shd w:val="clear" w:color="auto" w:fill="auto"/>
            <w:noWrap/>
            <w:vAlign w:val="center"/>
            <w:hideMark/>
          </w:tcPr>
          <w:p w14:paraId="6AAB0C0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5.22</w:t>
            </w:r>
          </w:p>
        </w:tc>
        <w:tc>
          <w:tcPr>
            <w:tcW w:w="663" w:type="pct"/>
            <w:tcBorders>
              <w:top w:val="nil"/>
              <w:left w:val="nil"/>
              <w:bottom w:val="nil"/>
              <w:right w:val="nil"/>
            </w:tcBorders>
            <w:shd w:val="clear" w:color="auto" w:fill="auto"/>
            <w:noWrap/>
            <w:vAlign w:val="center"/>
            <w:hideMark/>
          </w:tcPr>
          <w:p w14:paraId="3EF9F57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5.18</w:t>
            </w:r>
          </w:p>
        </w:tc>
        <w:tc>
          <w:tcPr>
            <w:tcW w:w="726" w:type="pct"/>
            <w:tcBorders>
              <w:top w:val="nil"/>
              <w:left w:val="nil"/>
              <w:bottom w:val="nil"/>
              <w:right w:val="nil"/>
            </w:tcBorders>
            <w:shd w:val="clear" w:color="auto" w:fill="auto"/>
            <w:noWrap/>
            <w:vAlign w:val="center"/>
            <w:hideMark/>
          </w:tcPr>
          <w:p w14:paraId="164A863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-1.90</w:t>
            </w:r>
          </w:p>
        </w:tc>
        <w:tc>
          <w:tcPr>
            <w:tcW w:w="751" w:type="pct"/>
            <w:tcBorders>
              <w:top w:val="nil"/>
              <w:left w:val="nil"/>
              <w:bottom w:val="nil"/>
              <w:right w:val="nil"/>
            </w:tcBorders>
            <w:shd w:val="clear" w:color="auto" w:fill="auto"/>
            <w:noWrap/>
            <w:vAlign w:val="center"/>
            <w:hideMark/>
          </w:tcPr>
          <w:p w14:paraId="440A9C8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10.64</w:t>
            </w:r>
          </w:p>
        </w:tc>
        <w:tc>
          <w:tcPr>
            <w:tcW w:w="453" w:type="pct"/>
            <w:tcBorders>
              <w:top w:val="nil"/>
              <w:left w:val="nil"/>
              <w:bottom w:val="nil"/>
              <w:right w:val="nil"/>
            </w:tcBorders>
            <w:shd w:val="clear" w:color="auto" w:fill="auto"/>
            <w:noWrap/>
            <w:vAlign w:val="center"/>
            <w:hideMark/>
          </w:tcPr>
          <w:p w14:paraId="6622DC20" w14:textId="2B0D947E"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81.91</w:t>
            </w:r>
          </w:p>
        </w:tc>
      </w:tr>
      <w:tr w:rsidR="00771B6F" w:rsidRPr="00357722" w14:paraId="6C290DC7" w14:textId="77777777" w:rsidTr="00771B6F">
        <w:trPr>
          <w:trHeight w:val="551"/>
        </w:trPr>
        <w:tc>
          <w:tcPr>
            <w:tcW w:w="966" w:type="pct"/>
            <w:tcBorders>
              <w:top w:val="single" w:sz="4" w:space="0" w:color="auto"/>
              <w:left w:val="nil"/>
              <w:bottom w:val="single" w:sz="4" w:space="0" w:color="auto"/>
              <w:right w:val="nil"/>
            </w:tcBorders>
            <w:shd w:val="clear" w:color="auto" w:fill="auto"/>
            <w:noWrap/>
            <w:vAlign w:val="center"/>
            <w:hideMark/>
          </w:tcPr>
          <w:p w14:paraId="222F0420"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Mean</w:t>
            </w:r>
          </w:p>
        </w:tc>
        <w:tc>
          <w:tcPr>
            <w:tcW w:w="693" w:type="pct"/>
            <w:tcBorders>
              <w:top w:val="single" w:sz="4" w:space="0" w:color="auto"/>
              <w:left w:val="nil"/>
              <w:bottom w:val="single" w:sz="4" w:space="0" w:color="auto"/>
              <w:right w:val="nil"/>
            </w:tcBorders>
            <w:shd w:val="clear" w:color="auto" w:fill="auto"/>
            <w:noWrap/>
            <w:vAlign w:val="center"/>
            <w:hideMark/>
          </w:tcPr>
          <w:p w14:paraId="00BE14F9"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4.3</w:t>
            </w:r>
          </w:p>
        </w:tc>
        <w:tc>
          <w:tcPr>
            <w:tcW w:w="747" w:type="pct"/>
            <w:tcBorders>
              <w:top w:val="single" w:sz="4" w:space="0" w:color="auto"/>
              <w:left w:val="nil"/>
              <w:bottom w:val="single" w:sz="4" w:space="0" w:color="auto"/>
              <w:right w:val="nil"/>
            </w:tcBorders>
            <w:shd w:val="clear" w:color="auto" w:fill="auto"/>
            <w:noWrap/>
            <w:vAlign w:val="center"/>
            <w:hideMark/>
          </w:tcPr>
          <w:p w14:paraId="173743AA"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4.7</w:t>
            </w:r>
          </w:p>
        </w:tc>
        <w:tc>
          <w:tcPr>
            <w:tcW w:w="663" w:type="pct"/>
            <w:tcBorders>
              <w:top w:val="single" w:sz="4" w:space="0" w:color="auto"/>
              <w:left w:val="nil"/>
              <w:bottom w:val="single" w:sz="4" w:space="0" w:color="auto"/>
              <w:right w:val="nil"/>
            </w:tcBorders>
            <w:shd w:val="clear" w:color="auto" w:fill="auto"/>
            <w:noWrap/>
            <w:vAlign w:val="center"/>
            <w:hideMark/>
          </w:tcPr>
          <w:p w14:paraId="3E2B94DF"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4.7</w:t>
            </w:r>
          </w:p>
        </w:tc>
        <w:tc>
          <w:tcPr>
            <w:tcW w:w="726" w:type="pct"/>
            <w:tcBorders>
              <w:top w:val="single" w:sz="4" w:space="0" w:color="auto"/>
              <w:left w:val="nil"/>
              <w:bottom w:val="single" w:sz="4" w:space="0" w:color="auto"/>
              <w:right w:val="nil"/>
            </w:tcBorders>
            <w:shd w:val="clear" w:color="auto" w:fill="auto"/>
            <w:noWrap/>
            <w:vAlign w:val="center"/>
            <w:hideMark/>
          </w:tcPr>
          <w:p w14:paraId="28FAF243"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-2.9</w:t>
            </w:r>
          </w:p>
        </w:tc>
        <w:tc>
          <w:tcPr>
            <w:tcW w:w="751" w:type="pct"/>
            <w:tcBorders>
              <w:top w:val="single" w:sz="4" w:space="0" w:color="auto"/>
              <w:left w:val="nil"/>
              <w:bottom w:val="single" w:sz="4" w:space="0" w:color="auto"/>
              <w:right w:val="nil"/>
            </w:tcBorders>
            <w:shd w:val="clear" w:color="auto" w:fill="auto"/>
            <w:noWrap/>
            <w:vAlign w:val="center"/>
            <w:hideMark/>
          </w:tcPr>
          <w:p w14:paraId="3E2CBBD2"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10.2</w:t>
            </w:r>
          </w:p>
        </w:tc>
        <w:tc>
          <w:tcPr>
            <w:tcW w:w="453" w:type="pct"/>
            <w:tcBorders>
              <w:top w:val="single" w:sz="4" w:space="0" w:color="auto"/>
              <w:left w:val="nil"/>
              <w:bottom w:val="single" w:sz="4" w:space="0" w:color="auto"/>
              <w:right w:val="nil"/>
            </w:tcBorders>
            <w:shd w:val="clear" w:color="auto" w:fill="auto"/>
            <w:noWrap/>
            <w:vAlign w:val="center"/>
            <w:hideMark/>
          </w:tcPr>
          <w:p w14:paraId="552E4C11" w14:textId="43067619" w:rsidR="006351E0" w:rsidRPr="00357722" w:rsidRDefault="00B319E2"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76.6</w:t>
            </w:r>
          </w:p>
        </w:tc>
      </w:tr>
      <w:tr w:rsidR="006351E0" w:rsidRPr="00357722" w14:paraId="3EAF06ED" w14:textId="77777777" w:rsidTr="00771B6F">
        <w:trPr>
          <w:trHeight w:val="527"/>
        </w:trPr>
        <w:tc>
          <w:tcPr>
            <w:tcW w:w="5000" w:type="pct"/>
            <w:gridSpan w:val="7"/>
            <w:tcBorders>
              <w:top w:val="single" w:sz="4" w:space="0" w:color="auto"/>
              <w:left w:val="nil"/>
              <w:bottom w:val="single" w:sz="4" w:space="0" w:color="auto"/>
              <w:right w:val="nil"/>
            </w:tcBorders>
            <w:shd w:val="clear" w:color="auto" w:fill="auto"/>
            <w:noWrap/>
            <w:vAlign w:val="center"/>
            <w:hideMark/>
          </w:tcPr>
          <w:p w14:paraId="230F4B5F" w14:textId="77777777" w:rsidR="007F2B37" w:rsidRPr="00357722" w:rsidRDefault="007F2B37" w:rsidP="005636E8">
            <w:pPr>
              <w:spacing w:after="0" w:line="480" w:lineRule="auto"/>
              <w:jc w:val="both"/>
              <w:rPr>
                <w:rFonts w:ascii="Times New Roman" w:eastAsia="Times New Roman" w:hAnsi="Times New Roman" w:cs="Times New Roman"/>
                <w:b/>
                <w:bCs/>
                <w:color w:val="000000"/>
                <w:sz w:val="16"/>
                <w:szCs w:val="16"/>
              </w:rPr>
            </w:pPr>
          </w:p>
          <w:p w14:paraId="7E0270D1" w14:textId="5EBE77EC" w:rsidR="006351E0" w:rsidRPr="00357722" w:rsidRDefault="006351E0" w:rsidP="007F2B37">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 xml:space="preserve">Panel B: Emerging </w:t>
            </w:r>
            <w:r w:rsidR="007F2B37" w:rsidRPr="00357722">
              <w:rPr>
                <w:rFonts w:ascii="Times New Roman" w:eastAsia="Times New Roman" w:hAnsi="Times New Roman" w:cs="Times New Roman"/>
                <w:b/>
                <w:bCs/>
                <w:color w:val="000000"/>
                <w:sz w:val="16"/>
                <w:szCs w:val="16"/>
              </w:rPr>
              <w:t>countries</w:t>
            </w:r>
          </w:p>
        </w:tc>
      </w:tr>
      <w:tr w:rsidR="00771B6F" w:rsidRPr="00357722" w14:paraId="22A9133D" w14:textId="77777777" w:rsidTr="00771B6F">
        <w:trPr>
          <w:trHeight w:val="300"/>
        </w:trPr>
        <w:tc>
          <w:tcPr>
            <w:tcW w:w="966" w:type="pct"/>
            <w:tcBorders>
              <w:top w:val="nil"/>
              <w:left w:val="nil"/>
              <w:bottom w:val="nil"/>
              <w:right w:val="nil"/>
            </w:tcBorders>
            <w:shd w:val="clear" w:color="auto" w:fill="auto"/>
            <w:noWrap/>
            <w:vAlign w:val="center"/>
            <w:hideMark/>
          </w:tcPr>
          <w:p w14:paraId="5BA9757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Argentina</w:t>
            </w:r>
          </w:p>
        </w:tc>
        <w:tc>
          <w:tcPr>
            <w:tcW w:w="693" w:type="pct"/>
            <w:tcBorders>
              <w:top w:val="nil"/>
              <w:left w:val="nil"/>
              <w:bottom w:val="nil"/>
              <w:right w:val="nil"/>
            </w:tcBorders>
            <w:shd w:val="clear" w:color="auto" w:fill="auto"/>
            <w:noWrap/>
            <w:vAlign w:val="center"/>
            <w:hideMark/>
          </w:tcPr>
          <w:p w14:paraId="0F0BEEA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2.56</w:t>
            </w:r>
          </w:p>
        </w:tc>
        <w:tc>
          <w:tcPr>
            <w:tcW w:w="747" w:type="pct"/>
            <w:tcBorders>
              <w:top w:val="nil"/>
              <w:left w:val="nil"/>
              <w:bottom w:val="nil"/>
              <w:right w:val="nil"/>
            </w:tcBorders>
            <w:shd w:val="clear" w:color="auto" w:fill="auto"/>
            <w:noWrap/>
            <w:vAlign w:val="center"/>
            <w:hideMark/>
          </w:tcPr>
          <w:p w14:paraId="57CF851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2.59</w:t>
            </w:r>
          </w:p>
        </w:tc>
        <w:tc>
          <w:tcPr>
            <w:tcW w:w="663" w:type="pct"/>
            <w:tcBorders>
              <w:top w:val="nil"/>
              <w:left w:val="nil"/>
              <w:bottom w:val="nil"/>
              <w:right w:val="nil"/>
            </w:tcBorders>
            <w:shd w:val="clear" w:color="auto" w:fill="auto"/>
            <w:noWrap/>
            <w:vAlign w:val="center"/>
            <w:hideMark/>
          </w:tcPr>
          <w:p w14:paraId="4F327A7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2.50</w:t>
            </w:r>
          </w:p>
        </w:tc>
        <w:tc>
          <w:tcPr>
            <w:tcW w:w="726" w:type="pct"/>
            <w:tcBorders>
              <w:top w:val="nil"/>
              <w:left w:val="nil"/>
              <w:bottom w:val="nil"/>
              <w:right w:val="nil"/>
            </w:tcBorders>
            <w:shd w:val="clear" w:color="auto" w:fill="auto"/>
            <w:noWrap/>
            <w:vAlign w:val="center"/>
            <w:hideMark/>
          </w:tcPr>
          <w:p w14:paraId="5E90BAE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-4.38</w:t>
            </w:r>
          </w:p>
        </w:tc>
        <w:tc>
          <w:tcPr>
            <w:tcW w:w="751" w:type="pct"/>
            <w:tcBorders>
              <w:top w:val="nil"/>
              <w:left w:val="nil"/>
              <w:bottom w:val="nil"/>
              <w:right w:val="nil"/>
            </w:tcBorders>
            <w:shd w:val="clear" w:color="auto" w:fill="auto"/>
            <w:noWrap/>
            <w:vAlign w:val="center"/>
            <w:hideMark/>
          </w:tcPr>
          <w:p w14:paraId="71605A4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4.38</w:t>
            </w:r>
          </w:p>
        </w:tc>
        <w:tc>
          <w:tcPr>
            <w:tcW w:w="453" w:type="pct"/>
            <w:tcBorders>
              <w:top w:val="nil"/>
              <w:left w:val="nil"/>
              <w:bottom w:val="nil"/>
              <w:right w:val="nil"/>
            </w:tcBorders>
            <w:shd w:val="clear" w:color="auto" w:fill="auto"/>
            <w:noWrap/>
            <w:vAlign w:val="center"/>
            <w:hideMark/>
          </w:tcPr>
          <w:p w14:paraId="18738459" w14:textId="69ED6C21"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57.72</w:t>
            </w:r>
          </w:p>
        </w:tc>
      </w:tr>
      <w:tr w:rsidR="00771B6F" w:rsidRPr="00357722" w14:paraId="637A8B84" w14:textId="77777777" w:rsidTr="00771B6F">
        <w:trPr>
          <w:trHeight w:val="300"/>
        </w:trPr>
        <w:tc>
          <w:tcPr>
            <w:tcW w:w="966" w:type="pct"/>
            <w:tcBorders>
              <w:top w:val="nil"/>
              <w:left w:val="nil"/>
              <w:bottom w:val="nil"/>
              <w:right w:val="nil"/>
            </w:tcBorders>
            <w:shd w:val="clear" w:color="auto" w:fill="auto"/>
            <w:noWrap/>
            <w:vAlign w:val="center"/>
            <w:hideMark/>
          </w:tcPr>
          <w:p w14:paraId="4B53DAE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Brazil</w:t>
            </w:r>
          </w:p>
        </w:tc>
        <w:tc>
          <w:tcPr>
            <w:tcW w:w="693" w:type="pct"/>
            <w:tcBorders>
              <w:top w:val="nil"/>
              <w:left w:val="nil"/>
              <w:bottom w:val="nil"/>
              <w:right w:val="nil"/>
            </w:tcBorders>
            <w:shd w:val="clear" w:color="auto" w:fill="auto"/>
            <w:noWrap/>
            <w:vAlign w:val="center"/>
            <w:hideMark/>
          </w:tcPr>
          <w:p w14:paraId="6B00F42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3.80</w:t>
            </w:r>
          </w:p>
        </w:tc>
        <w:tc>
          <w:tcPr>
            <w:tcW w:w="747" w:type="pct"/>
            <w:tcBorders>
              <w:top w:val="nil"/>
              <w:left w:val="nil"/>
              <w:bottom w:val="nil"/>
              <w:right w:val="nil"/>
            </w:tcBorders>
            <w:shd w:val="clear" w:color="auto" w:fill="auto"/>
            <w:noWrap/>
            <w:vAlign w:val="center"/>
            <w:hideMark/>
          </w:tcPr>
          <w:p w14:paraId="1EA282A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3.80</w:t>
            </w:r>
          </w:p>
        </w:tc>
        <w:tc>
          <w:tcPr>
            <w:tcW w:w="663" w:type="pct"/>
            <w:tcBorders>
              <w:top w:val="nil"/>
              <w:left w:val="nil"/>
              <w:bottom w:val="nil"/>
              <w:right w:val="nil"/>
            </w:tcBorders>
            <w:shd w:val="clear" w:color="auto" w:fill="auto"/>
            <w:noWrap/>
            <w:vAlign w:val="center"/>
            <w:hideMark/>
          </w:tcPr>
          <w:p w14:paraId="5B7A696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3.81</w:t>
            </w:r>
          </w:p>
        </w:tc>
        <w:tc>
          <w:tcPr>
            <w:tcW w:w="726" w:type="pct"/>
            <w:tcBorders>
              <w:top w:val="nil"/>
              <w:left w:val="nil"/>
              <w:bottom w:val="nil"/>
              <w:right w:val="nil"/>
            </w:tcBorders>
            <w:shd w:val="clear" w:color="auto" w:fill="auto"/>
            <w:noWrap/>
            <w:vAlign w:val="center"/>
            <w:hideMark/>
          </w:tcPr>
          <w:p w14:paraId="022970A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-4.49</w:t>
            </w:r>
          </w:p>
        </w:tc>
        <w:tc>
          <w:tcPr>
            <w:tcW w:w="751" w:type="pct"/>
            <w:tcBorders>
              <w:top w:val="nil"/>
              <w:left w:val="nil"/>
              <w:bottom w:val="nil"/>
              <w:right w:val="nil"/>
            </w:tcBorders>
            <w:shd w:val="clear" w:color="auto" w:fill="auto"/>
            <w:noWrap/>
            <w:vAlign w:val="center"/>
            <w:hideMark/>
          </w:tcPr>
          <w:p w14:paraId="0AD2816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8.46</w:t>
            </w:r>
          </w:p>
        </w:tc>
        <w:tc>
          <w:tcPr>
            <w:tcW w:w="453" w:type="pct"/>
            <w:tcBorders>
              <w:top w:val="nil"/>
              <w:left w:val="nil"/>
              <w:bottom w:val="nil"/>
              <w:right w:val="nil"/>
            </w:tcBorders>
            <w:shd w:val="clear" w:color="auto" w:fill="auto"/>
            <w:noWrap/>
            <w:vAlign w:val="center"/>
            <w:hideMark/>
          </w:tcPr>
          <w:p w14:paraId="48BBB0CD" w14:textId="545A200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61.82</w:t>
            </w:r>
          </w:p>
        </w:tc>
      </w:tr>
      <w:tr w:rsidR="00771B6F" w:rsidRPr="00357722" w14:paraId="6D918E30" w14:textId="77777777" w:rsidTr="00771B6F">
        <w:trPr>
          <w:trHeight w:val="300"/>
        </w:trPr>
        <w:tc>
          <w:tcPr>
            <w:tcW w:w="966" w:type="pct"/>
            <w:tcBorders>
              <w:top w:val="nil"/>
              <w:left w:val="nil"/>
              <w:bottom w:val="nil"/>
              <w:right w:val="nil"/>
            </w:tcBorders>
            <w:shd w:val="clear" w:color="auto" w:fill="auto"/>
            <w:noWrap/>
            <w:vAlign w:val="center"/>
            <w:hideMark/>
          </w:tcPr>
          <w:p w14:paraId="6F473CD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Bulgaria</w:t>
            </w:r>
          </w:p>
        </w:tc>
        <w:tc>
          <w:tcPr>
            <w:tcW w:w="693" w:type="pct"/>
            <w:tcBorders>
              <w:top w:val="nil"/>
              <w:left w:val="nil"/>
              <w:bottom w:val="nil"/>
              <w:right w:val="nil"/>
            </w:tcBorders>
            <w:shd w:val="clear" w:color="auto" w:fill="auto"/>
            <w:noWrap/>
            <w:vAlign w:val="center"/>
            <w:hideMark/>
          </w:tcPr>
          <w:p w14:paraId="1AF4ED0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2.34</w:t>
            </w:r>
          </w:p>
        </w:tc>
        <w:tc>
          <w:tcPr>
            <w:tcW w:w="747" w:type="pct"/>
            <w:tcBorders>
              <w:top w:val="nil"/>
              <w:left w:val="nil"/>
              <w:bottom w:val="nil"/>
              <w:right w:val="nil"/>
            </w:tcBorders>
            <w:shd w:val="clear" w:color="auto" w:fill="auto"/>
            <w:noWrap/>
            <w:vAlign w:val="center"/>
            <w:hideMark/>
          </w:tcPr>
          <w:p w14:paraId="4136DE5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3.82</w:t>
            </w:r>
          </w:p>
        </w:tc>
        <w:tc>
          <w:tcPr>
            <w:tcW w:w="663" w:type="pct"/>
            <w:tcBorders>
              <w:top w:val="nil"/>
              <w:left w:val="nil"/>
              <w:bottom w:val="nil"/>
              <w:right w:val="nil"/>
            </w:tcBorders>
            <w:shd w:val="clear" w:color="auto" w:fill="auto"/>
            <w:noWrap/>
            <w:vAlign w:val="center"/>
            <w:hideMark/>
          </w:tcPr>
          <w:p w14:paraId="70FDA366"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3.75</w:t>
            </w:r>
          </w:p>
        </w:tc>
        <w:tc>
          <w:tcPr>
            <w:tcW w:w="726" w:type="pct"/>
            <w:tcBorders>
              <w:top w:val="nil"/>
              <w:left w:val="nil"/>
              <w:bottom w:val="nil"/>
              <w:right w:val="nil"/>
            </w:tcBorders>
            <w:shd w:val="clear" w:color="auto" w:fill="auto"/>
            <w:noWrap/>
            <w:vAlign w:val="center"/>
            <w:hideMark/>
          </w:tcPr>
          <w:p w14:paraId="4D72656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-5.30</w:t>
            </w:r>
          </w:p>
        </w:tc>
        <w:tc>
          <w:tcPr>
            <w:tcW w:w="751" w:type="pct"/>
            <w:tcBorders>
              <w:top w:val="nil"/>
              <w:left w:val="nil"/>
              <w:bottom w:val="nil"/>
              <w:right w:val="nil"/>
            </w:tcBorders>
            <w:shd w:val="clear" w:color="auto" w:fill="auto"/>
            <w:noWrap/>
            <w:vAlign w:val="center"/>
            <w:hideMark/>
          </w:tcPr>
          <w:p w14:paraId="38AA2406"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5.47</w:t>
            </w:r>
          </w:p>
        </w:tc>
        <w:tc>
          <w:tcPr>
            <w:tcW w:w="453" w:type="pct"/>
            <w:tcBorders>
              <w:top w:val="nil"/>
              <w:left w:val="nil"/>
              <w:bottom w:val="nil"/>
              <w:right w:val="nil"/>
            </w:tcBorders>
            <w:shd w:val="clear" w:color="auto" w:fill="auto"/>
            <w:noWrap/>
            <w:vAlign w:val="center"/>
            <w:hideMark/>
          </w:tcPr>
          <w:p w14:paraId="7234C5B4" w14:textId="208B97EB"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71.57</w:t>
            </w:r>
          </w:p>
        </w:tc>
      </w:tr>
      <w:tr w:rsidR="00771B6F" w:rsidRPr="00357722" w14:paraId="11EAB165" w14:textId="77777777" w:rsidTr="00771B6F">
        <w:trPr>
          <w:trHeight w:val="300"/>
        </w:trPr>
        <w:tc>
          <w:tcPr>
            <w:tcW w:w="966" w:type="pct"/>
            <w:tcBorders>
              <w:top w:val="nil"/>
              <w:left w:val="nil"/>
              <w:bottom w:val="nil"/>
              <w:right w:val="nil"/>
            </w:tcBorders>
            <w:shd w:val="clear" w:color="auto" w:fill="auto"/>
            <w:noWrap/>
            <w:vAlign w:val="center"/>
            <w:hideMark/>
          </w:tcPr>
          <w:p w14:paraId="0408B4C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Chile</w:t>
            </w:r>
          </w:p>
        </w:tc>
        <w:tc>
          <w:tcPr>
            <w:tcW w:w="693" w:type="pct"/>
            <w:tcBorders>
              <w:top w:val="nil"/>
              <w:left w:val="nil"/>
              <w:bottom w:val="nil"/>
              <w:right w:val="nil"/>
            </w:tcBorders>
            <w:shd w:val="clear" w:color="auto" w:fill="auto"/>
            <w:noWrap/>
            <w:vAlign w:val="center"/>
            <w:hideMark/>
          </w:tcPr>
          <w:p w14:paraId="5D0B50EA"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4.59</w:t>
            </w:r>
          </w:p>
        </w:tc>
        <w:tc>
          <w:tcPr>
            <w:tcW w:w="747" w:type="pct"/>
            <w:tcBorders>
              <w:top w:val="nil"/>
              <w:left w:val="nil"/>
              <w:bottom w:val="nil"/>
              <w:right w:val="nil"/>
            </w:tcBorders>
            <w:shd w:val="clear" w:color="auto" w:fill="auto"/>
            <w:noWrap/>
            <w:vAlign w:val="center"/>
            <w:hideMark/>
          </w:tcPr>
          <w:p w14:paraId="162C041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4.52</w:t>
            </w:r>
          </w:p>
        </w:tc>
        <w:tc>
          <w:tcPr>
            <w:tcW w:w="663" w:type="pct"/>
            <w:tcBorders>
              <w:top w:val="nil"/>
              <w:left w:val="nil"/>
              <w:bottom w:val="nil"/>
              <w:right w:val="nil"/>
            </w:tcBorders>
            <w:shd w:val="clear" w:color="auto" w:fill="auto"/>
            <w:noWrap/>
            <w:vAlign w:val="center"/>
            <w:hideMark/>
          </w:tcPr>
          <w:p w14:paraId="31A4B89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4.45</w:t>
            </w:r>
          </w:p>
        </w:tc>
        <w:tc>
          <w:tcPr>
            <w:tcW w:w="726" w:type="pct"/>
            <w:tcBorders>
              <w:top w:val="nil"/>
              <w:left w:val="nil"/>
              <w:bottom w:val="nil"/>
              <w:right w:val="nil"/>
            </w:tcBorders>
            <w:shd w:val="clear" w:color="auto" w:fill="auto"/>
            <w:noWrap/>
            <w:vAlign w:val="center"/>
            <w:hideMark/>
          </w:tcPr>
          <w:p w14:paraId="174A96C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-3.92</w:t>
            </w:r>
          </w:p>
        </w:tc>
        <w:tc>
          <w:tcPr>
            <w:tcW w:w="751" w:type="pct"/>
            <w:tcBorders>
              <w:top w:val="nil"/>
              <w:left w:val="nil"/>
              <w:bottom w:val="nil"/>
              <w:right w:val="nil"/>
            </w:tcBorders>
            <w:shd w:val="clear" w:color="auto" w:fill="auto"/>
            <w:noWrap/>
            <w:vAlign w:val="center"/>
            <w:hideMark/>
          </w:tcPr>
          <w:p w14:paraId="238832C8"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6.96</w:t>
            </w:r>
          </w:p>
        </w:tc>
        <w:tc>
          <w:tcPr>
            <w:tcW w:w="453" w:type="pct"/>
            <w:tcBorders>
              <w:top w:val="nil"/>
              <w:left w:val="nil"/>
              <w:bottom w:val="nil"/>
              <w:right w:val="nil"/>
            </w:tcBorders>
            <w:shd w:val="clear" w:color="auto" w:fill="auto"/>
            <w:noWrap/>
            <w:vAlign w:val="center"/>
            <w:hideMark/>
          </w:tcPr>
          <w:p w14:paraId="3B10E33F" w14:textId="264FD103"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78.04</w:t>
            </w:r>
          </w:p>
        </w:tc>
      </w:tr>
      <w:tr w:rsidR="00771B6F" w:rsidRPr="00357722" w14:paraId="35B8F4C0" w14:textId="77777777" w:rsidTr="00771B6F">
        <w:trPr>
          <w:trHeight w:val="300"/>
        </w:trPr>
        <w:tc>
          <w:tcPr>
            <w:tcW w:w="966" w:type="pct"/>
            <w:tcBorders>
              <w:top w:val="nil"/>
              <w:left w:val="nil"/>
              <w:bottom w:val="nil"/>
              <w:right w:val="nil"/>
            </w:tcBorders>
            <w:shd w:val="clear" w:color="auto" w:fill="auto"/>
            <w:noWrap/>
            <w:vAlign w:val="center"/>
            <w:hideMark/>
          </w:tcPr>
          <w:p w14:paraId="73A42A6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China</w:t>
            </w:r>
          </w:p>
        </w:tc>
        <w:tc>
          <w:tcPr>
            <w:tcW w:w="693" w:type="pct"/>
            <w:tcBorders>
              <w:top w:val="nil"/>
              <w:left w:val="nil"/>
              <w:bottom w:val="nil"/>
              <w:right w:val="nil"/>
            </w:tcBorders>
            <w:shd w:val="clear" w:color="auto" w:fill="auto"/>
            <w:noWrap/>
            <w:vAlign w:val="center"/>
            <w:hideMark/>
          </w:tcPr>
          <w:p w14:paraId="7BFCCDB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3.78</w:t>
            </w:r>
          </w:p>
        </w:tc>
        <w:tc>
          <w:tcPr>
            <w:tcW w:w="747" w:type="pct"/>
            <w:tcBorders>
              <w:top w:val="nil"/>
              <w:left w:val="nil"/>
              <w:bottom w:val="nil"/>
              <w:right w:val="nil"/>
            </w:tcBorders>
            <w:shd w:val="clear" w:color="auto" w:fill="auto"/>
            <w:noWrap/>
            <w:vAlign w:val="center"/>
            <w:hideMark/>
          </w:tcPr>
          <w:p w14:paraId="2C6E081B"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4.81</w:t>
            </w:r>
          </w:p>
        </w:tc>
        <w:tc>
          <w:tcPr>
            <w:tcW w:w="663" w:type="pct"/>
            <w:tcBorders>
              <w:top w:val="nil"/>
              <w:left w:val="nil"/>
              <w:bottom w:val="nil"/>
              <w:right w:val="nil"/>
            </w:tcBorders>
            <w:shd w:val="clear" w:color="auto" w:fill="auto"/>
            <w:noWrap/>
            <w:vAlign w:val="center"/>
            <w:hideMark/>
          </w:tcPr>
          <w:p w14:paraId="1439C70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4.74</w:t>
            </w:r>
          </w:p>
        </w:tc>
        <w:tc>
          <w:tcPr>
            <w:tcW w:w="726" w:type="pct"/>
            <w:tcBorders>
              <w:top w:val="nil"/>
              <w:left w:val="nil"/>
              <w:bottom w:val="nil"/>
              <w:right w:val="nil"/>
            </w:tcBorders>
            <w:shd w:val="clear" w:color="auto" w:fill="auto"/>
            <w:noWrap/>
            <w:vAlign w:val="center"/>
            <w:hideMark/>
          </w:tcPr>
          <w:p w14:paraId="0796365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-3.14</w:t>
            </w:r>
          </w:p>
        </w:tc>
        <w:tc>
          <w:tcPr>
            <w:tcW w:w="751" w:type="pct"/>
            <w:tcBorders>
              <w:top w:val="nil"/>
              <w:left w:val="nil"/>
              <w:bottom w:val="nil"/>
              <w:right w:val="nil"/>
            </w:tcBorders>
            <w:shd w:val="clear" w:color="auto" w:fill="auto"/>
            <w:noWrap/>
            <w:vAlign w:val="center"/>
            <w:hideMark/>
          </w:tcPr>
          <w:p w14:paraId="28B02BD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2.89</w:t>
            </w:r>
          </w:p>
        </w:tc>
        <w:tc>
          <w:tcPr>
            <w:tcW w:w="453" w:type="pct"/>
            <w:tcBorders>
              <w:top w:val="nil"/>
              <w:left w:val="nil"/>
              <w:bottom w:val="nil"/>
              <w:right w:val="nil"/>
            </w:tcBorders>
            <w:shd w:val="clear" w:color="auto" w:fill="auto"/>
            <w:noWrap/>
            <w:vAlign w:val="center"/>
            <w:hideMark/>
          </w:tcPr>
          <w:p w14:paraId="098E5E01" w14:textId="5F12343C"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61.69</w:t>
            </w:r>
          </w:p>
        </w:tc>
      </w:tr>
      <w:tr w:rsidR="00771B6F" w:rsidRPr="00357722" w14:paraId="379788C4" w14:textId="77777777" w:rsidTr="00771B6F">
        <w:trPr>
          <w:trHeight w:val="300"/>
        </w:trPr>
        <w:tc>
          <w:tcPr>
            <w:tcW w:w="966" w:type="pct"/>
            <w:tcBorders>
              <w:top w:val="nil"/>
              <w:left w:val="nil"/>
              <w:bottom w:val="nil"/>
              <w:right w:val="nil"/>
            </w:tcBorders>
            <w:shd w:val="clear" w:color="auto" w:fill="auto"/>
            <w:noWrap/>
            <w:vAlign w:val="center"/>
            <w:hideMark/>
          </w:tcPr>
          <w:p w14:paraId="13923FE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lastRenderedPageBreak/>
              <w:t>Colombia</w:t>
            </w:r>
          </w:p>
        </w:tc>
        <w:tc>
          <w:tcPr>
            <w:tcW w:w="693" w:type="pct"/>
            <w:tcBorders>
              <w:top w:val="nil"/>
              <w:left w:val="nil"/>
              <w:bottom w:val="nil"/>
              <w:right w:val="nil"/>
            </w:tcBorders>
            <w:shd w:val="clear" w:color="auto" w:fill="auto"/>
            <w:noWrap/>
            <w:vAlign w:val="center"/>
            <w:hideMark/>
          </w:tcPr>
          <w:p w14:paraId="6CAAEFD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3.49</w:t>
            </w:r>
          </w:p>
        </w:tc>
        <w:tc>
          <w:tcPr>
            <w:tcW w:w="747" w:type="pct"/>
            <w:tcBorders>
              <w:top w:val="nil"/>
              <w:left w:val="nil"/>
              <w:bottom w:val="nil"/>
              <w:right w:val="nil"/>
            </w:tcBorders>
            <w:shd w:val="clear" w:color="auto" w:fill="auto"/>
            <w:noWrap/>
            <w:vAlign w:val="center"/>
            <w:hideMark/>
          </w:tcPr>
          <w:p w14:paraId="74C0D4C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3.61</w:t>
            </w:r>
          </w:p>
        </w:tc>
        <w:tc>
          <w:tcPr>
            <w:tcW w:w="663" w:type="pct"/>
            <w:tcBorders>
              <w:top w:val="nil"/>
              <w:left w:val="nil"/>
              <w:bottom w:val="nil"/>
              <w:right w:val="nil"/>
            </w:tcBorders>
            <w:shd w:val="clear" w:color="auto" w:fill="auto"/>
            <w:noWrap/>
            <w:vAlign w:val="center"/>
            <w:hideMark/>
          </w:tcPr>
          <w:p w14:paraId="24B02B9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3.49</w:t>
            </w:r>
          </w:p>
        </w:tc>
        <w:tc>
          <w:tcPr>
            <w:tcW w:w="726" w:type="pct"/>
            <w:tcBorders>
              <w:top w:val="nil"/>
              <w:left w:val="nil"/>
              <w:bottom w:val="nil"/>
              <w:right w:val="nil"/>
            </w:tcBorders>
            <w:shd w:val="clear" w:color="auto" w:fill="auto"/>
            <w:noWrap/>
            <w:vAlign w:val="center"/>
            <w:hideMark/>
          </w:tcPr>
          <w:p w14:paraId="158604F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-4.68</w:t>
            </w:r>
          </w:p>
        </w:tc>
        <w:tc>
          <w:tcPr>
            <w:tcW w:w="751" w:type="pct"/>
            <w:tcBorders>
              <w:top w:val="nil"/>
              <w:left w:val="nil"/>
              <w:bottom w:val="nil"/>
              <w:right w:val="nil"/>
            </w:tcBorders>
            <w:shd w:val="clear" w:color="auto" w:fill="auto"/>
            <w:noWrap/>
            <w:vAlign w:val="center"/>
            <w:hideMark/>
          </w:tcPr>
          <w:p w14:paraId="51797D4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6.75</w:t>
            </w:r>
          </w:p>
        </w:tc>
        <w:tc>
          <w:tcPr>
            <w:tcW w:w="453" w:type="pct"/>
            <w:tcBorders>
              <w:top w:val="nil"/>
              <w:left w:val="nil"/>
              <w:bottom w:val="nil"/>
              <w:right w:val="nil"/>
            </w:tcBorders>
            <w:shd w:val="clear" w:color="auto" w:fill="auto"/>
            <w:noWrap/>
            <w:vAlign w:val="center"/>
            <w:hideMark/>
          </w:tcPr>
          <w:p w14:paraId="3CC6F450" w14:textId="586ABAF6"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66.64</w:t>
            </w:r>
          </w:p>
        </w:tc>
      </w:tr>
      <w:tr w:rsidR="00771B6F" w:rsidRPr="00357722" w14:paraId="0273084E" w14:textId="77777777" w:rsidTr="00771B6F">
        <w:trPr>
          <w:trHeight w:val="300"/>
        </w:trPr>
        <w:tc>
          <w:tcPr>
            <w:tcW w:w="966" w:type="pct"/>
            <w:tcBorders>
              <w:top w:val="nil"/>
              <w:left w:val="nil"/>
              <w:bottom w:val="nil"/>
              <w:right w:val="nil"/>
            </w:tcBorders>
            <w:shd w:val="clear" w:color="auto" w:fill="auto"/>
            <w:noWrap/>
            <w:vAlign w:val="center"/>
            <w:hideMark/>
          </w:tcPr>
          <w:p w14:paraId="4B6689AA"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Czech Republic</w:t>
            </w:r>
          </w:p>
        </w:tc>
        <w:tc>
          <w:tcPr>
            <w:tcW w:w="693" w:type="pct"/>
            <w:tcBorders>
              <w:top w:val="nil"/>
              <w:left w:val="nil"/>
              <w:bottom w:val="nil"/>
              <w:right w:val="nil"/>
            </w:tcBorders>
            <w:shd w:val="clear" w:color="auto" w:fill="auto"/>
            <w:noWrap/>
            <w:vAlign w:val="center"/>
            <w:hideMark/>
          </w:tcPr>
          <w:p w14:paraId="37BC1D0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2.99</w:t>
            </w:r>
          </w:p>
        </w:tc>
        <w:tc>
          <w:tcPr>
            <w:tcW w:w="747" w:type="pct"/>
            <w:tcBorders>
              <w:top w:val="nil"/>
              <w:left w:val="nil"/>
              <w:bottom w:val="nil"/>
              <w:right w:val="nil"/>
            </w:tcBorders>
            <w:shd w:val="clear" w:color="auto" w:fill="auto"/>
            <w:noWrap/>
            <w:vAlign w:val="center"/>
            <w:hideMark/>
          </w:tcPr>
          <w:p w14:paraId="46B20FA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3.67</w:t>
            </w:r>
          </w:p>
        </w:tc>
        <w:tc>
          <w:tcPr>
            <w:tcW w:w="663" w:type="pct"/>
            <w:tcBorders>
              <w:top w:val="nil"/>
              <w:left w:val="nil"/>
              <w:bottom w:val="nil"/>
              <w:right w:val="nil"/>
            </w:tcBorders>
            <w:shd w:val="clear" w:color="auto" w:fill="auto"/>
            <w:noWrap/>
            <w:vAlign w:val="center"/>
            <w:hideMark/>
          </w:tcPr>
          <w:p w14:paraId="380E398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3.70</w:t>
            </w:r>
          </w:p>
        </w:tc>
        <w:tc>
          <w:tcPr>
            <w:tcW w:w="726" w:type="pct"/>
            <w:tcBorders>
              <w:top w:val="nil"/>
              <w:left w:val="nil"/>
              <w:bottom w:val="nil"/>
              <w:right w:val="nil"/>
            </w:tcBorders>
            <w:shd w:val="clear" w:color="auto" w:fill="auto"/>
            <w:noWrap/>
            <w:vAlign w:val="center"/>
            <w:hideMark/>
          </w:tcPr>
          <w:p w14:paraId="14C2BA8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-4.33</w:t>
            </w:r>
          </w:p>
        </w:tc>
        <w:tc>
          <w:tcPr>
            <w:tcW w:w="751" w:type="pct"/>
            <w:tcBorders>
              <w:top w:val="nil"/>
              <w:left w:val="nil"/>
              <w:bottom w:val="nil"/>
              <w:right w:val="nil"/>
            </w:tcBorders>
            <w:shd w:val="clear" w:color="auto" w:fill="auto"/>
            <w:noWrap/>
            <w:vAlign w:val="center"/>
            <w:hideMark/>
          </w:tcPr>
          <w:p w14:paraId="0D7B956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12.71</w:t>
            </w:r>
          </w:p>
        </w:tc>
        <w:tc>
          <w:tcPr>
            <w:tcW w:w="453" w:type="pct"/>
            <w:tcBorders>
              <w:top w:val="nil"/>
              <w:left w:val="nil"/>
              <w:bottom w:val="nil"/>
              <w:right w:val="nil"/>
            </w:tcBorders>
            <w:shd w:val="clear" w:color="auto" w:fill="auto"/>
            <w:noWrap/>
            <w:vAlign w:val="center"/>
            <w:hideMark/>
          </w:tcPr>
          <w:p w14:paraId="591E8221" w14:textId="11934F0E"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74.30</w:t>
            </w:r>
          </w:p>
        </w:tc>
      </w:tr>
      <w:tr w:rsidR="00771B6F" w:rsidRPr="00357722" w14:paraId="2E9F0A3B" w14:textId="77777777" w:rsidTr="00771B6F">
        <w:trPr>
          <w:trHeight w:val="300"/>
        </w:trPr>
        <w:tc>
          <w:tcPr>
            <w:tcW w:w="966" w:type="pct"/>
            <w:tcBorders>
              <w:top w:val="nil"/>
              <w:left w:val="nil"/>
              <w:bottom w:val="nil"/>
              <w:right w:val="nil"/>
            </w:tcBorders>
            <w:shd w:val="clear" w:color="auto" w:fill="auto"/>
            <w:noWrap/>
            <w:vAlign w:val="center"/>
            <w:hideMark/>
          </w:tcPr>
          <w:p w14:paraId="1212436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Egypt</w:t>
            </w:r>
          </w:p>
        </w:tc>
        <w:tc>
          <w:tcPr>
            <w:tcW w:w="693" w:type="pct"/>
            <w:tcBorders>
              <w:top w:val="nil"/>
              <w:left w:val="nil"/>
              <w:bottom w:val="nil"/>
              <w:right w:val="nil"/>
            </w:tcBorders>
            <w:shd w:val="clear" w:color="auto" w:fill="auto"/>
            <w:noWrap/>
            <w:vAlign w:val="center"/>
            <w:hideMark/>
          </w:tcPr>
          <w:p w14:paraId="61B14AB8"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3.52</w:t>
            </w:r>
          </w:p>
        </w:tc>
        <w:tc>
          <w:tcPr>
            <w:tcW w:w="747" w:type="pct"/>
            <w:tcBorders>
              <w:top w:val="nil"/>
              <w:left w:val="nil"/>
              <w:bottom w:val="nil"/>
              <w:right w:val="nil"/>
            </w:tcBorders>
            <w:shd w:val="clear" w:color="auto" w:fill="auto"/>
            <w:noWrap/>
            <w:vAlign w:val="center"/>
            <w:hideMark/>
          </w:tcPr>
          <w:p w14:paraId="698C666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3.66</w:t>
            </w:r>
          </w:p>
        </w:tc>
        <w:tc>
          <w:tcPr>
            <w:tcW w:w="663" w:type="pct"/>
            <w:tcBorders>
              <w:top w:val="nil"/>
              <w:left w:val="nil"/>
              <w:bottom w:val="nil"/>
              <w:right w:val="nil"/>
            </w:tcBorders>
            <w:shd w:val="clear" w:color="auto" w:fill="auto"/>
            <w:noWrap/>
            <w:vAlign w:val="center"/>
            <w:hideMark/>
          </w:tcPr>
          <w:p w14:paraId="4A42984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3.58</w:t>
            </w:r>
          </w:p>
        </w:tc>
        <w:tc>
          <w:tcPr>
            <w:tcW w:w="726" w:type="pct"/>
            <w:tcBorders>
              <w:top w:val="nil"/>
              <w:left w:val="nil"/>
              <w:bottom w:val="nil"/>
              <w:right w:val="nil"/>
            </w:tcBorders>
            <w:shd w:val="clear" w:color="auto" w:fill="auto"/>
            <w:noWrap/>
            <w:vAlign w:val="center"/>
            <w:hideMark/>
          </w:tcPr>
          <w:p w14:paraId="77D7A69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-5.28</w:t>
            </w:r>
          </w:p>
        </w:tc>
        <w:tc>
          <w:tcPr>
            <w:tcW w:w="751" w:type="pct"/>
            <w:tcBorders>
              <w:top w:val="nil"/>
              <w:left w:val="nil"/>
              <w:bottom w:val="nil"/>
              <w:right w:val="nil"/>
            </w:tcBorders>
            <w:shd w:val="clear" w:color="auto" w:fill="auto"/>
            <w:noWrap/>
            <w:vAlign w:val="center"/>
            <w:hideMark/>
          </w:tcPr>
          <w:p w14:paraId="271FCD4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2.75</w:t>
            </w:r>
          </w:p>
        </w:tc>
        <w:tc>
          <w:tcPr>
            <w:tcW w:w="453" w:type="pct"/>
            <w:tcBorders>
              <w:top w:val="nil"/>
              <w:left w:val="nil"/>
              <w:bottom w:val="nil"/>
              <w:right w:val="nil"/>
            </w:tcBorders>
            <w:shd w:val="clear" w:color="auto" w:fill="auto"/>
            <w:noWrap/>
            <w:vAlign w:val="center"/>
            <w:hideMark/>
          </w:tcPr>
          <w:p w14:paraId="0A13A49E" w14:textId="5B4C7DD6"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59.63</w:t>
            </w:r>
          </w:p>
        </w:tc>
      </w:tr>
      <w:tr w:rsidR="00771B6F" w:rsidRPr="00357722" w14:paraId="3FEB99AE" w14:textId="77777777" w:rsidTr="00771B6F">
        <w:trPr>
          <w:trHeight w:val="300"/>
        </w:trPr>
        <w:tc>
          <w:tcPr>
            <w:tcW w:w="966" w:type="pct"/>
            <w:tcBorders>
              <w:top w:val="nil"/>
              <w:left w:val="nil"/>
              <w:bottom w:val="nil"/>
              <w:right w:val="nil"/>
            </w:tcBorders>
            <w:shd w:val="clear" w:color="auto" w:fill="auto"/>
            <w:noWrap/>
            <w:vAlign w:val="center"/>
            <w:hideMark/>
          </w:tcPr>
          <w:p w14:paraId="2658423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Hungary</w:t>
            </w:r>
          </w:p>
        </w:tc>
        <w:tc>
          <w:tcPr>
            <w:tcW w:w="693" w:type="pct"/>
            <w:tcBorders>
              <w:top w:val="nil"/>
              <w:left w:val="nil"/>
              <w:bottom w:val="nil"/>
              <w:right w:val="nil"/>
            </w:tcBorders>
            <w:shd w:val="clear" w:color="auto" w:fill="auto"/>
            <w:noWrap/>
            <w:vAlign w:val="center"/>
            <w:hideMark/>
          </w:tcPr>
          <w:p w14:paraId="22F0139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2.96</w:t>
            </w:r>
          </w:p>
        </w:tc>
        <w:tc>
          <w:tcPr>
            <w:tcW w:w="747" w:type="pct"/>
            <w:tcBorders>
              <w:top w:val="nil"/>
              <w:left w:val="nil"/>
              <w:bottom w:val="nil"/>
              <w:right w:val="nil"/>
            </w:tcBorders>
            <w:shd w:val="clear" w:color="auto" w:fill="auto"/>
            <w:noWrap/>
            <w:vAlign w:val="center"/>
            <w:hideMark/>
          </w:tcPr>
          <w:p w14:paraId="6F2C4DC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3.80</w:t>
            </w:r>
          </w:p>
        </w:tc>
        <w:tc>
          <w:tcPr>
            <w:tcW w:w="663" w:type="pct"/>
            <w:tcBorders>
              <w:top w:val="nil"/>
              <w:left w:val="nil"/>
              <w:bottom w:val="nil"/>
              <w:right w:val="nil"/>
            </w:tcBorders>
            <w:shd w:val="clear" w:color="auto" w:fill="auto"/>
            <w:noWrap/>
            <w:vAlign w:val="center"/>
            <w:hideMark/>
          </w:tcPr>
          <w:p w14:paraId="11B01DB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3.83</w:t>
            </w:r>
          </w:p>
        </w:tc>
        <w:tc>
          <w:tcPr>
            <w:tcW w:w="726" w:type="pct"/>
            <w:tcBorders>
              <w:top w:val="nil"/>
              <w:left w:val="nil"/>
              <w:bottom w:val="nil"/>
              <w:right w:val="nil"/>
            </w:tcBorders>
            <w:shd w:val="clear" w:color="auto" w:fill="auto"/>
            <w:noWrap/>
            <w:vAlign w:val="center"/>
            <w:hideMark/>
          </w:tcPr>
          <w:p w14:paraId="2C71A4B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-4.97</w:t>
            </w:r>
          </w:p>
        </w:tc>
        <w:tc>
          <w:tcPr>
            <w:tcW w:w="751" w:type="pct"/>
            <w:tcBorders>
              <w:top w:val="nil"/>
              <w:left w:val="nil"/>
              <w:bottom w:val="nil"/>
              <w:right w:val="nil"/>
            </w:tcBorders>
            <w:shd w:val="clear" w:color="auto" w:fill="auto"/>
            <w:noWrap/>
            <w:vAlign w:val="center"/>
            <w:hideMark/>
          </w:tcPr>
          <w:p w14:paraId="1EC8DE2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11.54</w:t>
            </w:r>
          </w:p>
        </w:tc>
        <w:tc>
          <w:tcPr>
            <w:tcW w:w="453" w:type="pct"/>
            <w:tcBorders>
              <w:top w:val="nil"/>
              <w:left w:val="nil"/>
              <w:bottom w:val="nil"/>
              <w:right w:val="nil"/>
            </w:tcBorders>
            <w:shd w:val="clear" w:color="auto" w:fill="auto"/>
            <w:noWrap/>
            <w:vAlign w:val="center"/>
            <w:hideMark/>
          </w:tcPr>
          <w:p w14:paraId="1AFEE6DE" w14:textId="20846BF6"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73.26</w:t>
            </w:r>
          </w:p>
        </w:tc>
      </w:tr>
      <w:tr w:rsidR="00771B6F" w:rsidRPr="00357722" w14:paraId="322B67DC" w14:textId="77777777" w:rsidTr="00771B6F">
        <w:trPr>
          <w:trHeight w:val="300"/>
        </w:trPr>
        <w:tc>
          <w:tcPr>
            <w:tcW w:w="966" w:type="pct"/>
            <w:tcBorders>
              <w:top w:val="nil"/>
              <w:left w:val="nil"/>
              <w:bottom w:val="nil"/>
              <w:right w:val="nil"/>
            </w:tcBorders>
            <w:shd w:val="clear" w:color="auto" w:fill="auto"/>
            <w:noWrap/>
            <w:vAlign w:val="center"/>
            <w:hideMark/>
          </w:tcPr>
          <w:p w14:paraId="4C73898B"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India</w:t>
            </w:r>
          </w:p>
        </w:tc>
        <w:tc>
          <w:tcPr>
            <w:tcW w:w="693" w:type="pct"/>
            <w:tcBorders>
              <w:top w:val="nil"/>
              <w:left w:val="nil"/>
              <w:bottom w:val="nil"/>
              <w:right w:val="nil"/>
            </w:tcBorders>
            <w:shd w:val="clear" w:color="auto" w:fill="auto"/>
            <w:noWrap/>
            <w:vAlign w:val="center"/>
            <w:hideMark/>
          </w:tcPr>
          <w:p w14:paraId="0770717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4.10</w:t>
            </w:r>
          </w:p>
        </w:tc>
        <w:tc>
          <w:tcPr>
            <w:tcW w:w="747" w:type="pct"/>
            <w:tcBorders>
              <w:top w:val="nil"/>
              <w:left w:val="nil"/>
              <w:bottom w:val="nil"/>
              <w:right w:val="nil"/>
            </w:tcBorders>
            <w:shd w:val="clear" w:color="auto" w:fill="auto"/>
            <w:noWrap/>
            <w:vAlign w:val="center"/>
            <w:hideMark/>
          </w:tcPr>
          <w:p w14:paraId="7FBD9F2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3.79</w:t>
            </w:r>
          </w:p>
        </w:tc>
        <w:tc>
          <w:tcPr>
            <w:tcW w:w="663" w:type="pct"/>
            <w:tcBorders>
              <w:top w:val="nil"/>
              <w:left w:val="nil"/>
              <w:bottom w:val="nil"/>
              <w:right w:val="nil"/>
            </w:tcBorders>
            <w:shd w:val="clear" w:color="auto" w:fill="auto"/>
            <w:noWrap/>
            <w:vAlign w:val="center"/>
            <w:hideMark/>
          </w:tcPr>
          <w:p w14:paraId="288F422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3.70</w:t>
            </w:r>
          </w:p>
        </w:tc>
        <w:tc>
          <w:tcPr>
            <w:tcW w:w="726" w:type="pct"/>
            <w:tcBorders>
              <w:top w:val="nil"/>
              <w:left w:val="nil"/>
              <w:bottom w:val="nil"/>
              <w:right w:val="nil"/>
            </w:tcBorders>
            <w:shd w:val="clear" w:color="auto" w:fill="auto"/>
            <w:noWrap/>
            <w:vAlign w:val="center"/>
            <w:hideMark/>
          </w:tcPr>
          <w:p w14:paraId="1AE8D73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-5.74</w:t>
            </w:r>
          </w:p>
        </w:tc>
        <w:tc>
          <w:tcPr>
            <w:tcW w:w="751" w:type="pct"/>
            <w:tcBorders>
              <w:top w:val="nil"/>
              <w:left w:val="nil"/>
              <w:bottom w:val="nil"/>
              <w:right w:val="nil"/>
            </w:tcBorders>
            <w:shd w:val="clear" w:color="auto" w:fill="auto"/>
            <w:noWrap/>
            <w:vAlign w:val="center"/>
            <w:hideMark/>
          </w:tcPr>
          <w:p w14:paraId="719509A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2.75</w:t>
            </w:r>
          </w:p>
        </w:tc>
        <w:tc>
          <w:tcPr>
            <w:tcW w:w="453" w:type="pct"/>
            <w:tcBorders>
              <w:top w:val="nil"/>
              <w:left w:val="nil"/>
              <w:bottom w:val="nil"/>
              <w:right w:val="nil"/>
            </w:tcBorders>
            <w:shd w:val="clear" w:color="auto" w:fill="auto"/>
            <w:noWrap/>
            <w:vAlign w:val="center"/>
            <w:hideMark/>
          </w:tcPr>
          <w:p w14:paraId="7DA15AF5" w14:textId="132E8174"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65.88</w:t>
            </w:r>
          </w:p>
        </w:tc>
      </w:tr>
      <w:tr w:rsidR="00771B6F" w:rsidRPr="00357722" w14:paraId="2F112B52" w14:textId="77777777" w:rsidTr="00771B6F">
        <w:trPr>
          <w:trHeight w:val="300"/>
        </w:trPr>
        <w:tc>
          <w:tcPr>
            <w:tcW w:w="966" w:type="pct"/>
            <w:tcBorders>
              <w:top w:val="nil"/>
              <w:left w:val="nil"/>
              <w:bottom w:val="nil"/>
              <w:right w:val="nil"/>
            </w:tcBorders>
            <w:shd w:val="clear" w:color="auto" w:fill="auto"/>
            <w:noWrap/>
            <w:vAlign w:val="center"/>
            <w:hideMark/>
          </w:tcPr>
          <w:p w14:paraId="463C2A54"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Indonesia</w:t>
            </w:r>
          </w:p>
        </w:tc>
        <w:tc>
          <w:tcPr>
            <w:tcW w:w="693" w:type="pct"/>
            <w:tcBorders>
              <w:top w:val="nil"/>
              <w:left w:val="nil"/>
              <w:bottom w:val="nil"/>
              <w:right w:val="nil"/>
            </w:tcBorders>
            <w:shd w:val="clear" w:color="auto" w:fill="auto"/>
            <w:noWrap/>
            <w:vAlign w:val="center"/>
            <w:hideMark/>
          </w:tcPr>
          <w:p w14:paraId="0D30B654"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3.41</w:t>
            </w:r>
          </w:p>
        </w:tc>
        <w:tc>
          <w:tcPr>
            <w:tcW w:w="747" w:type="pct"/>
            <w:tcBorders>
              <w:top w:val="nil"/>
              <w:left w:val="nil"/>
              <w:bottom w:val="nil"/>
              <w:right w:val="nil"/>
            </w:tcBorders>
            <w:shd w:val="clear" w:color="auto" w:fill="auto"/>
            <w:noWrap/>
            <w:vAlign w:val="center"/>
            <w:hideMark/>
          </w:tcPr>
          <w:p w14:paraId="20CF77E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3.35</w:t>
            </w:r>
          </w:p>
        </w:tc>
        <w:tc>
          <w:tcPr>
            <w:tcW w:w="663" w:type="pct"/>
            <w:tcBorders>
              <w:top w:val="nil"/>
              <w:left w:val="nil"/>
              <w:bottom w:val="nil"/>
              <w:right w:val="nil"/>
            </w:tcBorders>
            <w:shd w:val="clear" w:color="auto" w:fill="auto"/>
            <w:noWrap/>
            <w:vAlign w:val="center"/>
            <w:hideMark/>
          </w:tcPr>
          <w:p w14:paraId="5236B18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3.18</w:t>
            </w:r>
          </w:p>
        </w:tc>
        <w:tc>
          <w:tcPr>
            <w:tcW w:w="726" w:type="pct"/>
            <w:tcBorders>
              <w:top w:val="nil"/>
              <w:left w:val="nil"/>
              <w:bottom w:val="nil"/>
              <w:right w:val="nil"/>
            </w:tcBorders>
            <w:shd w:val="clear" w:color="auto" w:fill="auto"/>
            <w:noWrap/>
            <w:vAlign w:val="center"/>
            <w:hideMark/>
          </w:tcPr>
          <w:p w14:paraId="17456A2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-5.05</w:t>
            </w:r>
          </w:p>
        </w:tc>
        <w:tc>
          <w:tcPr>
            <w:tcW w:w="751" w:type="pct"/>
            <w:tcBorders>
              <w:top w:val="nil"/>
              <w:left w:val="nil"/>
              <w:bottom w:val="nil"/>
              <w:right w:val="nil"/>
            </w:tcBorders>
            <w:shd w:val="clear" w:color="auto" w:fill="auto"/>
            <w:noWrap/>
            <w:vAlign w:val="center"/>
            <w:hideMark/>
          </w:tcPr>
          <w:p w14:paraId="5D051E8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7.93</w:t>
            </w:r>
          </w:p>
        </w:tc>
        <w:tc>
          <w:tcPr>
            <w:tcW w:w="453" w:type="pct"/>
            <w:tcBorders>
              <w:top w:val="nil"/>
              <w:left w:val="nil"/>
              <w:bottom w:val="nil"/>
              <w:right w:val="nil"/>
            </w:tcBorders>
            <w:shd w:val="clear" w:color="auto" w:fill="auto"/>
            <w:noWrap/>
            <w:vAlign w:val="center"/>
            <w:hideMark/>
          </w:tcPr>
          <w:p w14:paraId="2871C14B" w14:textId="7A2904BF"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65.97</w:t>
            </w:r>
          </w:p>
        </w:tc>
      </w:tr>
      <w:tr w:rsidR="00771B6F" w:rsidRPr="00357722" w14:paraId="2F000FEA" w14:textId="77777777" w:rsidTr="00771B6F">
        <w:trPr>
          <w:trHeight w:val="300"/>
        </w:trPr>
        <w:tc>
          <w:tcPr>
            <w:tcW w:w="966" w:type="pct"/>
            <w:tcBorders>
              <w:top w:val="nil"/>
              <w:left w:val="nil"/>
              <w:bottom w:val="nil"/>
              <w:right w:val="nil"/>
            </w:tcBorders>
            <w:shd w:val="clear" w:color="auto" w:fill="auto"/>
            <w:noWrap/>
            <w:vAlign w:val="center"/>
            <w:hideMark/>
          </w:tcPr>
          <w:p w14:paraId="40B7B0C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Korea</w:t>
            </w:r>
          </w:p>
        </w:tc>
        <w:tc>
          <w:tcPr>
            <w:tcW w:w="693" w:type="pct"/>
            <w:tcBorders>
              <w:top w:val="nil"/>
              <w:left w:val="nil"/>
              <w:bottom w:val="nil"/>
              <w:right w:val="nil"/>
            </w:tcBorders>
            <w:shd w:val="clear" w:color="auto" w:fill="auto"/>
            <w:noWrap/>
            <w:vAlign w:val="center"/>
            <w:hideMark/>
          </w:tcPr>
          <w:p w14:paraId="62064AF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4.25</w:t>
            </w:r>
          </w:p>
        </w:tc>
        <w:tc>
          <w:tcPr>
            <w:tcW w:w="747" w:type="pct"/>
            <w:tcBorders>
              <w:top w:val="nil"/>
              <w:left w:val="nil"/>
              <w:bottom w:val="nil"/>
              <w:right w:val="nil"/>
            </w:tcBorders>
            <w:shd w:val="clear" w:color="auto" w:fill="auto"/>
            <w:noWrap/>
            <w:vAlign w:val="center"/>
            <w:hideMark/>
          </w:tcPr>
          <w:p w14:paraId="2675C84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4.86</w:t>
            </w:r>
          </w:p>
        </w:tc>
        <w:tc>
          <w:tcPr>
            <w:tcW w:w="663" w:type="pct"/>
            <w:tcBorders>
              <w:top w:val="nil"/>
              <w:left w:val="nil"/>
              <w:bottom w:val="nil"/>
              <w:right w:val="nil"/>
            </w:tcBorders>
            <w:shd w:val="clear" w:color="auto" w:fill="auto"/>
            <w:noWrap/>
            <w:vAlign w:val="center"/>
            <w:hideMark/>
          </w:tcPr>
          <w:p w14:paraId="0F92407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4.58</w:t>
            </w:r>
          </w:p>
        </w:tc>
        <w:tc>
          <w:tcPr>
            <w:tcW w:w="726" w:type="pct"/>
            <w:tcBorders>
              <w:top w:val="nil"/>
              <w:left w:val="nil"/>
              <w:bottom w:val="nil"/>
              <w:right w:val="nil"/>
            </w:tcBorders>
            <w:shd w:val="clear" w:color="auto" w:fill="auto"/>
            <w:noWrap/>
            <w:vAlign w:val="center"/>
            <w:hideMark/>
          </w:tcPr>
          <w:p w14:paraId="78C0C15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-3.76</w:t>
            </w:r>
          </w:p>
        </w:tc>
        <w:tc>
          <w:tcPr>
            <w:tcW w:w="751" w:type="pct"/>
            <w:tcBorders>
              <w:top w:val="nil"/>
              <w:left w:val="nil"/>
              <w:bottom w:val="nil"/>
              <w:right w:val="nil"/>
            </w:tcBorders>
            <w:shd w:val="clear" w:color="auto" w:fill="auto"/>
            <w:noWrap/>
            <w:vAlign w:val="center"/>
            <w:hideMark/>
          </w:tcPr>
          <w:p w14:paraId="15C52C5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8.86</w:t>
            </w:r>
          </w:p>
        </w:tc>
        <w:tc>
          <w:tcPr>
            <w:tcW w:w="453" w:type="pct"/>
            <w:tcBorders>
              <w:top w:val="nil"/>
              <w:left w:val="nil"/>
              <w:bottom w:val="nil"/>
              <w:right w:val="nil"/>
            </w:tcBorders>
            <w:shd w:val="clear" w:color="auto" w:fill="auto"/>
            <w:noWrap/>
            <w:vAlign w:val="center"/>
            <w:hideMark/>
          </w:tcPr>
          <w:p w14:paraId="48423535" w14:textId="12A809C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74.04</w:t>
            </w:r>
          </w:p>
        </w:tc>
      </w:tr>
      <w:tr w:rsidR="00771B6F" w:rsidRPr="00357722" w14:paraId="7E206734" w14:textId="77777777" w:rsidTr="00771B6F">
        <w:trPr>
          <w:trHeight w:val="300"/>
        </w:trPr>
        <w:tc>
          <w:tcPr>
            <w:tcW w:w="966" w:type="pct"/>
            <w:tcBorders>
              <w:top w:val="nil"/>
              <w:left w:val="nil"/>
              <w:bottom w:val="nil"/>
              <w:right w:val="nil"/>
            </w:tcBorders>
            <w:shd w:val="clear" w:color="auto" w:fill="auto"/>
            <w:noWrap/>
            <w:vAlign w:val="center"/>
            <w:hideMark/>
          </w:tcPr>
          <w:p w14:paraId="306F5FC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Malaysia</w:t>
            </w:r>
          </w:p>
        </w:tc>
        <w:tc>
          <w:tcPr>
            <w:tcW w:w="693" w:type="pct"/>
            <w:tcBorders>
              <w:top w:val="nil"/>
              <w:left w:val="nil"/>
              <w:bottom w:val="nil"/>
              <w:right w:val="nil"/>
            </w:tcBorders>
            <w:shd w:val="clear" w:color="auto" w:fill="auto"/>
            <w:noWrap/>
            <w:vAlign w:val="center"/>
            <w:hideMark/>
          </w:tcPr>
          <w:p w14:paraId="3BBADC24"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4.88</w:t>
            </w:r>
          </w:p>
        </w:tc>
        <w:tc>
          <w:tcPr>
            <w:tcW w:w="747" w:type="pct"/>
            <w:tcBorders>
              <w:top w:val="nil"/>
              <w:left w:val="nil"/>
              <w:bottom w:val="nil"/>
              <w:right w:val="nil"/>
            </w:tcBorders>
            <w:shd w:val="clear" w:color="auto" w:fill="auto"/>
            <w:noWrap/>
            <w:vAlign w:val="center"/>
            <w:hideMark/>
          </w:tcPr>
          <w:p w14:paraId="0A9C326A"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4.73</w:t>
            </w:r>
          </w:p>
        </w:tc>
        <w:tc>
          <w:tcPr>
            <w:tcW w:w="663" w:type="pct"/>
            <w:tcBorders>
              <w:top w:val="nil"/>
              <w:left w:val="nil"/>
              <w:bottom w:val="nil"/>
              <w:right w:val="nil"/>
            </w:tcBorders>
            <w:shd w:val="clear" w:color="auto" w:fill="auto"/>
            <w:noWrap/>
            <w:vAlign w:val="center"/>
            <w:hideMark/>
          </w:tcPr>
          <w:p w14:paraId="2546BE1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4.66</w:t>
            </w:r>
          </w:p>
        </w:tc>
        <w:tc>
          <w:tcPr>
            <w:tcW w:w="726" w:type="pct"/>
            <w:tcBorders>
              <w:top w:val="nil"/>
              <w:left w:val="nil"/>
              <w:bottom w:val="nil"/>
              <w:right w:val="nil"/>
            </w:tcBorders>
            <w:shd w:val="clear" w:color="auto" w:fill="auto"/>
            <w:noWrap/>
            <w:vAlign w:val="center"/>
            <w:hideMark/>
          </w:tcPr>
          <w:p w14:paraId="25F81B74"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-4.46</w:t>
            </w:r>
          </w:p>
        </w:tc>
        <w:tc>
          <w:tcPr>
            <w:tcW w:w="751" w:type="pct"/>
            <w:tcBorders>
              <w:top w:val="nil"/>
              <w:left w:val="nil"/>
              <w:bottom w:val="nil"/>
              <w:right w:val="nil"/>
            </w:tcBorders>
            <w:shd w:val="clear" w:color="auto" w:fill="auto"/>
            <w:noWrap/>
            <w:vAlign w:val="center"/>
            <w:hideMark/>
          </w:tcPr>
          <w:p w14:paraId="3A41FE78"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6.00</w:t>
            </w:r>
          </w:p>
        </w:tc>
        <w:tc>
          <w:tcPr>
            <w:tcW w:w="453" w:type="pct"/>
            <w:tcBorders>
              <w:top w:val="nil"/>
              <w:left w:val="nil"/>
              <w:bottom w:val="nil"/>
              <w:right w:val="nil"/>
            </w:tcBorders>
            <w:shd w:val="clear" w:color="auto" w:fill="auto"/>
            <w:noWrap/>
            <w:vAlign w:val="center"/>
            <w:hideMark/>
          </w:tcPr>
          <w:p w14:paraId="10CC0675" w14:textId="538BCA78"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74.71</w:t>
            </w:r>
          </w:p>
        </w:tc>
      </w:tr>
      <w:tr w:rsidR="00771B6F" w:rsidRPr="00357722" w14:paraId="4CC3BCEA" w14:textId="77777777" w:rsidTr="00771B6F">
        <w:trPr>
          <w:trHeight w:val="300"/>
        </w:trPr>
        <w:tc>
          <w:tcPr>
            <w:tcW w:w="966" w:type="pct"/>
            <w:tcBorders>
              <w:top w:val="nil"/>
              <w:left w:val="nil"/>
              <w:bottom w:val="nil"/>
              <w:right w:val="nil"/>
            </w:tcBorders>
            <w:shd w:val="clear" w:color="auto" w:fill="auto"/>
            <w:noWrap/>
            <w:vAlign w:val="center"/>
            <w:hideMark/>
          </w:tcPr>
          <w:p w14:paraId="3C2438A4"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Mexico</w:t>
            </w:r>
          </w:p>
        </w:tc>
        <w:tc>
          <w:tcPr>
            <w:tcW w:w="693" w:type="pct"/>
            <w:tcBorders>
              <w:top w:val="nil"/>
              <w:left w:val="nil"/>
              <w:bottom w:val="nil"/>
              <w:right w:val="nil"/>
            </w:tcBorders>
            <w:shd w:val="clear" w:color="auto" w:fill="auto"/>
            <w:noWrap/>
            <w:vAlign w:val="center"/>
            <w:hideMark/>
          </w:tcPr>
          <w:p w14:paraId="549DC41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3.33</w:t>
            </w:r>
          </w:p>
        </w:tc>
        <w:tc>
          <w:tcPr>
            <w:tcW w:w="747" w:type="pct"/>
            <w:tcBorders>
              <w:top w:val="nil"/>
              <w:left w:val="nil"/>
              <w:bottom w:val="nil"/>
              <w:right w:val="nil"/>
            </w:tcBorders>
            <w:shd w:val="clear" w:color="auto" w:fill="auto"/>
            <w:noWrap/>
            <w:vAlign w:val="center"/>
            <w:hideMark/>
          </w:tcPr>
          <w:p w14:paraId="4377ADD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3.06</w:t>
            </w:r>
          </w:p>
        </w:tc>
        <w:tc>
          <w:tcPr>
            <w:tcW w:w="663" w:type="pct"/>
            <w:tcBorders>
              <w:top w:val="nil"/>
              <w:left w:val="nil"/>
              <w:bottom w:val="nil"/>
              <w:right w:val="nil"/>
            </w:tcBorders>
            <w:shd w:val="clear" w:color="auto" w:fill="auto"/>
            <w:noWrap/>
            <w:vAlign w:val="center"/>
            <w:hideMark/>
          </w:tcPr>
          <w:p w14:paraId="61561ADA"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3.01</w:t>
            </w:r>
          </w:p>
        </w:tc>
        <w:tc>
          <w:tcPr>
            <w:tcW w:w="726" w:type="pct"/>
            <w:tcBorders>
              <w:top w:val="nil"/>
              <w:left w:val="nil"/>
              <w:bottom w:val="nil"/>
              <w:right w:val="nil"/>
            </w:tcBorders>
            <w:shd w:val="clear" w:color="auto" w:fill="auto"/>
            <w:noWrap/>
            <w:vAlign w:val="center"/>
            <w:hideMark/>
          </w:tcPr>
          <w:p w14:paraId="3F510B0A"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-4.15</w:t>
            </w:r>
          </w:p>
        </w:tc>
        <w:tc>
          <w:tcPr>
            <w:tcW w:w="751" w:type="pct"/>
            <w:tcBorders>
              <w:top w:val="nil"/>
              <w:left w:val="nil"/>
              <w:bottom w:val="nil"/>
              <w:right w:val="nil"/>
            </w:tcBorders>
            <w:shd w:val="clear" w:color="auto" w:fill="auto"/>
            <w:noWrap/>
            <w:vAlign w:val="center"/>
            <w:hideMark/>
          </w:tcPr>
          <w:p w14:paraId="2321636A"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5.69</w:t>
            </w:r>
          </w:p>
        </w:tc>
        <w:tc>
          <w:tcPr>
            <w:tcW w:w="453" w:type="pct"/>
            <w:tcBorders>
              <w:top w:val="nil"/>
              <w:left w:val="nil"/>
              <w:bottom w:val="nil"/>
              <w:right w:val="nil"/>
            </w:tcBorders>
            <w:shd w:val="clear" w:color="auto" w:fill="auto"/>
            <w:noWrap/>
            <w:vAlign w:val="center"/>
            <w:hideMark/>
          </w:tcPr>
          <w:p w14:paraId="52EF98BF" w14:textId="34E339C2"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68.44</w:t>
            </w:r>
          </w:p>
        </w:tc>
      </w:tr>
      <w:tr w:rsidR="00771B6F" w:rsidRPr="00357722" w14:paraId="4E6F124F" w14:textId="77777777" w:rsidTr="00771B6F">
        <w:trPr>
          <w:trHeight w:val="300"/>
        </w:trPr>
        <w:tc>
          <w:tcPr>
            <w:tcW w:w="966" w:type="pct"/>
            <w:tcBorders>
              <w:top w:val="nil"/>
              <w:left w:val="nil"/>
              <w:bottom w:val="nil"/>
              <w:right w:val="nil"/>
            </w:tcBorders>
            <w:shd w:val="clear" w:color="auto" w:fill="auto"/>
            <w:noWrap/>
            <w:vAlign w:val="center"/>
            <w:hideMark/>
          </w:tcPr>
          <w:p w14:paraId="0C333B9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Pakistan</w:t>
            </w:r>
          </w:p>
        </w:tc>
        <w:tc>
          <w:tcPr>
            <w:tcW w:w="693" w:type="pct"/>
            <w:tcBorders>
              <w:top w:val="nil"/>
              <w:left w:val="nil"/>
              <w:bottom w:val="nil"/>
              <w:right w:val="nil"/>
            </w:tcBorders>
            <w:shd w:val="clear" w:color="auto" w:fill="auto"/>
            <w:noWrap/>
            <w:vAlign w:val="center"/>
            <w:hideMark/>
          </w:tcPr>
          <w:p w14:paraId="24810C5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3.06</w:t>
            </w:r>
          </w:p>
        </w:tc>
        <w:tc>
          <w:tcPr>
            <w:tcW w:w="747" w:type="pct"/>
            <w:tcBorders>
              <w:top w:val="nil"/>
              <w:left w:val="nil"/>
              <w:bottom w:val="nil"/>
              <w:right w:val="nil"/>
            </w:tcBorders>
            <w:shd w:val="clear" w:color="auto" w:fill="auto"/>
            <w:noWrap/>
            <w:vAlign w:val="center"/>
            <w:hideMark/>
          </w:tcPr>
          <w:p w14:paraId="05C3E15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3.06</w:t>
            </w:r>
          </w:p>
        </w:tc>
        <w:tc>
          <w:tcPr>
            <w:tcW w:w="663" w:type="pct"/>
            <w:tcBorders>
              <w:top w:val="nil"/>
              <w:left w:val="nil"/>
              <w:bottom w:val="nil"/>
              <w:right w:val="nil"/>
            </w:tcBorders>
            <w:shd w:val="clear" w:color="auto" w:fill="auto"/>
            <w:noWrap/>
            <w:vAlign w:val="center"/>
            <w:hideMark/>
          </w:tcPr>
          <w:p w14:paraId="46A9929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2.99</w:t>
            </w:r>
          </w:p>
        </w:tc>
        <w:tc>
          <w:tcPr>
            <w:tcW w:w="726" w:type="pct"/>
            <w:tcBorders>
              <w:top w:val="nil"/>
              <w:left w:val="nil"/>
              <w:bottom w:val="nil"/>
              <w:right w:val="nil"/>
            </w:tcBorders>
            <w:shd w:val="clear" w:color="auto" w:fill="auto"/>
            <w:noWrap/>
            <w:vAlign w:val="center"/>
            <w:hideMark/>
          </w:tcPr>
          <w:p w14:paraId="726A651A"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-6.33</w:t>
            </w:r>
          </w:p>
        </w:tc>
        <w:tc>
          <w:tcPr>
            <w:tcW w:w="751" w:type="pct"/>
            <w:tcBorders>
              <w:top w:val="nil"/>
              <w:left w:val="nil"/>
              <w:bottom w:val="nil"/>
              <w:right w:val="nil"/>
            </w:tcBorders>
            <w:shd w:val="clear" w:color="auto" w:fill="auto"/>
            <w:noWrap/>
            <w:vAlign w:val="center"/>
            <w:hideMark/>
          </w:tcPr>
          <w:p w14:paraId="76B58F0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3.79</w:t>
            </w:r>
          </w:p>
        </w:tc>
        <w:tc>
          <w:tcPr>
            <w:tcW w:w="453" w:type="pct"/>
            <w:tcBorders>
              <w:top w:val="nil"/>
              <w:left w:val="nil"/>
              <w:bottom w:val="nil"/>
              <w:right w:val="nil"/>
            </w:tcBorders>
            <w:shd w:val="clear" w:color="auto" w:fill="auto"/>
            <w:noWrap/>
            <w:vAlign w:val="center"/>
            <w:hideMark/>
          </w:tcPr>
          <w:p w14:paraId="2E3BFD3E" w14:textId="0C2B8AFE"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75.60</w:t>
            </w:r>
          </w:p>
        </w:tc>
      </w:tr>
      <w:tr w:rsidR="00771B6F" w:rsidRPr="00357722" w14:paraId="2570E292" w14:textId="77777777" w:rsidTr="00771B6F">
        <w:trPr>
          <w:trHeight w:val="300"/>
        </w:trPr>
        <w:tc>
          <w:tcPr>
            <w:tcW w:w="966" w:type="pct"/>
            <w:tcBorders>
              <w:top w:val="nil"/>
              <w:left w:val="nil"/>
              <w:bottom w:val="nil"/>
              <w:right w:val="nil"/>
            </w:tcBorders>
            <w:shd w:val="clear" w:color="auto" w:fill="auto"/>
            <w:noWrap/>
            <w:vAlign w:val="center"/>
            <w:hideMark/>
          </w:tcPr>
          <w:p w14:paraId="161E31E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Peru</w:t>
            </w:r>
          </w:p>
        </w:tc>
        <w:tc>
          <w:tcPr>
            <w:tcW w:w="693" w:type="pct"/>
            <w:tcBorders>
              <w:top w:val="nil"/>
              <w:left w:val="nil"/>
              <w:bottom w:val="nil"/>
              <w:right w:val="nil"/>
            </w:tcBorders>
            <w:shd w:val="clear" w:color="auto" w:fill="auto"/>
            <w:noWrap/>
            <w:vAlign w:val="center"/>
            <w:hideMark/>
          </w:tcPr>
          <w:p w14:paraId="1F6E00A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3.58</w:t>
            </w:r>
          </w:p>
        </w:tc>
        <w:tc>
          <w:tcPr>
            <w:tcW w:w="747" w:type="pct"/>
            <w:tcBorders>
              <w:top w:val="nil"/>
              <w:left w:val="nil"/>
              <w:bottom w:val="nil"/>
              <w:right w:val="nil"/>
            </w:tcBorders>
            <w:shd w:val="clear" w:color="auto" w:fill="auto"/>
            <w:noWrap/>
            <w:vAlign w:val="center"/>
            <w:hideMark/>
          </w:tcPr>
          <w:p w14:paraId="5A1CD3C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3.21</w:t>
            </w:r>
          </w:p>
        </w:tc>
        <w:tc>
          <w:tcPr>
            <w:tcW w:w="663" w:type="pct"/>
            <w:tcBorders>
              <w:top w:val="nil"/>
              <w:left w:val="nil"/>
              <w:bottom w:val="nil"/>
              <w:right w:val="nil"/>
            </w:tcBorders>
            <w:shd w:val="clear" w:color="auto" w:fill="auto"/>
            <w:noWrap/>
            <w:vAlign w:val="center"/>
            <w:hideMark/>
          </w:tcPr>
          <w:p w14:paraId="1EF628FB"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3.24</w:t>
            </w:r>
          </w:p>
        </w:tc>
        <w:tc>
          <w:tcPr>
            <w:tcW w:w="726" w:type="pct"/>
            <w:tcBorders>
              <w:top w:val="nil"/>
              <w:left w:val="nil"/>
              <w:bottom w:val="nil"/>
              <w:right w:val="nil"/>
            </w:tcBorders>
            <w:shd w:val="clear" w:color="auto" w:fill="auto"/>
            <w:noWrap/>
            <w:vAlign w:val="center"/>
            <w:hideMark/>
          </w:tcPr>
          <w:p w14:paraId="648EDFE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-4.28</w:t>
            </w:r>
          </w:p>
        </w:tc>
        <w:tc>
          <w:tcPr>
            <w:tcW w:w="751" w:type="pct"/>
            <w:tcBorders>
              <w:top w:val="nil"/>
              <w:left w:val="nil"/>
              <w:bottom w:val="nil"/>
              <w:right w:val="nil"/>
            </w:tcBorders>
            <w:shd w:val="clear" w:color="auto" w:fill="auto"/>
            <w:noWrap/>
            <w:vAlign w:val="center"/>
            <w:hideMark/>
          </w:tcPr>
          <w:p w14:paraId="5831708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7.79</w:t>
            </w:r>
          </w:p>
        </w:tc>
        <w:tc>
          <w:tcPr>
            <w:tcW w:w="453" w:type="pct"/>
            <w:tcBorders>
              <w:top w:val="nil"/>
              <w:left w:val="nil"/>
              <w:bottom w:val="nil"/>
              <w:right w:val="nil"/>
            </w:tcBorders>
            <w:shd w:val="clear" w:color="auto" w:fill="auto"/>
            <w:noWrap/>
            <w:vAlign w:val="center"/>
            <w:hideMark/>
          </w:tcPr>
          <w:p w14:paraId="7BB68DF5" w14:textId="7D7FD8A2"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59.15</w:t>
            </w:r>
          </w:p>
        </w:tc>
      </w:tr>
      <w:tr w:rsidR="00771B6F" w:rsidRPr="00357722" w14:paraId="31D0B2D8" w14:textId="77777777" w:rsidTr="00771B6F">
        <w:trPr>
          <w:trHeight w:val="300"/>
        </w:trPr>
        <w:tc>
          <w:tcPr>
            <w:tcW w:w="966" w:type="pct"/>
            <w:tcBorders>
              <w:top w:val="nil"/>
              <w:left w:val="nil"/>
              <w:bottom w:val="nil"/>
              <w:right w:val="nil"/>
            </w:tcBorders>
            <w:shd w:val="clear" w:color="auto" w:fill="auto"/>
            <w:noWrap/>
            <w:vAlign w:val="center"/>
            <w:hideMark/>
          </w:tcPr>
          <w:p w14:paraId="76B0CA8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Philippines</w:t>
            </w:r>
          </w:p>
        </w:tc>
        <w:tc>
          <w:tcPr>
            <w:tcW w:w="693" w:type="pct"/>
            <w:tcBorders>
              <w:top w:val="nil"/>
              <w:left w:val="nil"/>
              <w:bottom w:val="nil"/>
              <w:right w:val="nil"/>
            </w:tcBorders>
            <w:shd w:val="clear" w:color="auto" w:fill="auto"/>
            <w:noWrap/>
            <w:vAlign w:val="center"/>
            <w:hideMark/>
          </w:tcPr>
          <w:p w14:paraId="7756DF4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3.90</w:t>
            </w:r>
          </w:p>
        </w:tc>
        <w:tc>
          <w:tcPr>
            <w:tcW w:w="747" w:type="pct"/>
            <w:tcBorders>
              <w:top w:val="nil"/>
              <w:left w:val="nil"/>
              <w:bottom w:val="nil"/>
              <w:right w:val="nil"/>
            </w:tcBorders>
            <w:shd w:val="clear" w:color="auto" w:fill="auto"/>
            <w:noWrap/>
            <w:vAlign w:val="center"/>
            <w:hideMark/>
          </w:tcPr>
          <w:p w14:paraId="5ABFB99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3.51</w:t>
            </w:r>
          </w:p>
        </w:tc>
        <w:tc>
          <w:tcPr>
            <w:tcW w:w="663" w:type="pct"/>
            <w:tcBorders>
              <w:top w:val="nil"/>
              <w:left w:val="nil"/>
              <w:bottom w:val="nil"/>
              <w:right w:val="nil"/>
            </w:tcBorders>
            <w:shd w:val="clear" w:color="auto" w:fill="auto"/>
            <w:noWrap/>
            <w:vAlign w:val="center"/>
            <w:hideMark/>
          </w:tcPr>
          <w:p w14:paraId="0840F01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3.46</w:t>
            </w:r>
          </w:p>
        </w:tc>
        <w:tc>
          <w:tcPr>
            <w:tcW w:w="726" w:type="pct"/>
            <w:tcBorders>
              <w:top w:val="nil"/>
              <w:left w:val="nil"/>
              <w:bottom w:val="nil"/>
              <w:right w:val="nil"/>
            </w:tcBorders>
            <w:shd w:val="clear" w:color="auto" w:fill="auto"/>
            <w:noWrap/>
            <w:vAlign w:val="center"/>
            <w:hideMark/>
          </w:tcPr>
          <w:p w14:paraId="3E47685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-4.90</w:t>
            </w:r>
          </w:p>
        </w:tc>
        <w:tc>
          <w:tcPr>
            <w:tcW w:w="751" w:type="pct"/>
            <w:tcBorders>
              <w:top w:val="nil"/>
              <w:left w:val="nil"/>
              <w:bottom w:val="nil"/>
              <w:right w:val="nil"/>
            </w:tcBorders>
            <w:shd w:val="clear" w:color="auto" w:fill="auto"/>
            <w:noWrap/>
            <w:vAlign w:val="center"/>
            <w:hideMark/>
          </w:tcPr>
          <w:p w14:paraId="547A9E1B"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9.50</w:t>
            </w:r>
          </w:p>
        </w:tc>
        <w:tc>
          <w:tcPr>
            <w:tcW w:w="453" w:type="pct"/>
            <w:tcBorders>
              <w:top w:val="nil"/>
              <w:left w:val="nil"/>
              <w:bottom w:val="nil"/>
              <w:right w:val="nil"/>
            </w:tcBorders>
            <w:shd w:val="clear" w:color="auto" w:fill="auto"/>
            <w:noWrap/>
            <w:vAlign w:val="center"/>
            <w:hideMark/>
          </w:tcPr>
          <w:p w14:paraId="7F105D1A" w14:textId="2CA6BF0E"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75.27</w:t>
            </w:r>
          </w:p>
        </w:tc>
      </w:tr>
      <w:tr w:rsidR="00771B6F" w:rsidRPr="00357722" w14:paraId="3505E630" w14:textId="77777777" w:rsidTr="00771B6F">
        <w:trPr>
          <w:trHeight w:val="300"/>
        </w:trPr>
        <w:tc>
          <w:tcPr>
            <w:tcW w:w="966" w:type="pct"/>
            <w:tcBorders>
              <w:top w:val="nil"/>
              <w:left w:val="nil"/>
              <w:bottom w:val="nil"/>
              <w:right w:val="nil"/>
            </w:tcBorders>
            <w:shd w:val="clear" w:color="auto" w:fill="auto"/>
            <w:noWrap/>
            <w:vAlign w:val="center"/>
            <w:hideMark/>
          </w:tcPr>
          <w:p w14:paraId="2E69E0D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Poland</w:t>
            </w:r>
          </w:p>
        </w:tc>
        <w:tc>
          <w:tcPr>
            <w:tcW w:w="693" w:type="pct"/>
            <w:tcBorders>
              <w:top w:val="nil"/>
              <w:left w:val="nil"/>
              <w:bottom w:val="nil"/>
              <w:right w:val="nil"/>
            </w:tcBorders>
            <w:shd w:val="clear" w:color="auto" w:fill="auto"/>
            <w:noWrap/>
            <w:vAlign w:val="center"/>
            <w:hideMark/>
          </w:tcPr>
          <w:p w14:paraId="2EE244F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3.31</w:t>
            </w:r>
          </w:p>
        </w:tc>
        <w:tc>
          <w:tcPr>
            <w:tcW w:w="747" w:type="pct"/>
            <w:tcBorders>
              <w:top w:val="nil"/>
              <w:left w:val="nil"/>
              <w:bottom w:val="nil"/>
              <w:right w:val="nil"/>
            </w:tcBorders>
            <w:shd w:val="clear" w:color="auto" w:fill="auto"/>
            <w:noWrap/>
            <w:vAlign w:val="center"/>
            <w:hideMark/>
          </w:tcPr>
          <w:p w14:paraId="397C4A1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3.58</w:t>
            </w:r>
          </w:p>
        </w:tc>
        <w:tc>
          <w:tcPr>
            <w:tcW w:w="663" w:type="pct"/>
            <w:tcBorders>
              <w:top w:val="nil"/>
              <w:left w:val="nil"/>
              <w:bottom w:val="nil"/>
              <w:right w:val="nil"/>
            </w:tcBorders>
            <w:shd w:val="clear" w:color="auto" w:fill="auto"/>
            <w:noWrap/>
            <w:vAlign w:val="center"/>
            <w:hideMark/>
          </w:tcPr>
          <w:p w14:paraId="70331B16"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3.65</w:t>
            </w:r>
          </w:p>
        </w:tc>
        <w:tc>
          <w:tcPr>
            <w:tcW w:w="726" w:type="pct"/>
            <w:tcBorders>
              <w:top w:val="nil"/>
              <w:left w:val="nil"/>
              <w:bottom w:val="nil"/>
              <w:right w:val="nil"/>
            </w:tcBorders>
            <w:shd w:val="clear" w:color="auto" w:fill="auto"/>
            <w:noWrap/>
            <w:vAlign w:val="center"/>
            <w:hideMark/>
          </w:tcPr>
          <w:p w14:paraId="73A306D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-4.62</w:t>
            </w:r>
          </w:p>
        </w:tc>
        <w:tc>
          <w:tcPr>
            <w:tcW w:w="751" w:type="pct"/>
            <w:tcBorders>
              <w:top w:val="nil"/>
              <w:left w:val="nil"/>
              <w:bottom w:val="nil"/>
              <w:right w:val="nil"/>
            </w:tcBorders>
            <w:shd w:val="clear" w:color="auto" w:fill="auto"/>
            <w:noWrap/>
            <w:vAlign w:val="center"/>
            <w:hideMark/>
          </w:tcPr>
          <w:p w14:paraId="50494216"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8.62</w:t>
            </w:r>
          </w:p>
        </w:tc>
        <w:tc>
          <w:tcPr>
            <w:tcW w:w="453" w:type="pct"/>
            <w:tcBorders>
              <w:top w:val="nil"/>
              <w:left w:val="nil"/>
              <w:bottom w:val="nil"/>
              <w:right w:val="nil"/>
            </w:tcBorders>
            <w:shd w:val="clear" w:color="auto" w:fill="auto"/>
            <w:noWrap/>
            <w:vAlign w:val="center"/>
            <w:hideMark/>
          </w:tcPr>
          <w:p w14:paraId="25792ED2" w14:textId="13FC4DD6"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70.85</w:t>
            </w:r>
          </w:p>
        </w:tc>
      </w:tr>
      <w:tr w:rsidR="00771B6F" w:rsidRPr="00357722" w14:paraId="1DB53E56" w14:textId="77777777" w:rsidTr="00771B6F">
        <w:trPr>
          <w:trHeight w:val="300"/>
        </w:trPr>
        <w:tc>
          <w:tcPr>
            <w:tcW w:w="966" w:type="pct"/>
            <w:tcBorders>
              <w:top w:val="nil"/>
              <w:left w:val="nil"/>
              <w:bottom w:val="nil"/>
              <w:right w:val="nil"/>
            </w:tcBorders>
            <w:shd w:val="clear" w:color="auto" w:fill="auto"/>
            <w:noWrap/>
            <w:vAlign w:val="center"/>
            <w:hideMark/>
          </w:tcPr>
          <w:p w14:paraId="3E5C863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Romania</w:t>
            </w:r>
          </w:p>
        </w:tc>
        <w:tc>
          <w:tcPr>
            <w:tcW w:w="693" w:type="pct"/>
            <w:tcBorders>
              <w:top w:val="nil"/>
              <w:left w:val="nil"/>
              <w:bottom w:val="nil"/>
              <w:right w:val="nil"/>
            </w:tcBorders>
            <w:shd w:val="clear" w:color="auto" w:fill="auto"/>
            <w:noWrap/>
            <w:vAlign w:val="center"/>
            <w:hideMark/>
          </w:tcPr>
          <w:p w14:paraId="7E96EB4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2.04</w:t>
            </w:r>
          </w:p>
        </w:tc>
        <w:tc>
          <w:tcPr>
            <w:tcW w:w="747" w:type="pct"/>
            <w:tcBorders>
              <w:top w:val="nil"/>
              <w:left w:val="nil"/>
              <w:bottom w:val="nil"/>
              <w:right w:val="nil"/>
            </w:tcBorders>
            <w:shd w:val="clear" w:color="auto" w:fill="auto"/>
            <w:noWrap/>
            <w:vAlign w:val="center"/>
            <w:hideMark/>
          </w:tcPr>
          <w:p w14:paraId="7ECE406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3.21</w:t>
            </w:r>
          </w:p>
        </w:tc>
        <w:tc>
          <w:tcPr>
            <w:tcW w:w="663" w:type="pct"/>
            <w:tcBorders>
              <w:top w:val="nil"/>
              <w:left w:val="nil"/>
              <w:bottom w:val="nil"/>
              <w:right w:val="nil"/>
            </w:tcBorders>
            <w:shd w:val="clear" w:color="auto" w:fill="auto"/>
            <w:noWrap/>
            <w:vAlign w:val="center"/>
            <w:hideMark/>
          </w:tcPr>
          <w:p w14:paraId="49891E8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3.20</w:t>
            </w:r>
          </w:p>
        </w:tc>
        <w:tc>
          <w:tcPr>
            <w:tcW w:w="726" w:type="pct"/>
            <w:tcBorders>
              <w:top w:val="nil"/>
              <w:left w:val="nil"/>
              <w:bottom w:val="nil"/>
              <w:right w:val="nil"/>
            </w:tcBorders>
            <w:shd w:val="clear" w:color="auto" w:fill="auto"/>
            <w:noWrap/>
            <w:vAlign w:val="center"/>
            <w:hideMark/>
          </w:tcPr>
          <w:p w14:paraId="2C6632E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-5.77</w:t>
            </w:r>
          </w:p>
        </w:tc>
        <w:tc>
          <w:tcPr>
            <w:tcW w:w="751" w:type="pct"/>
            <w:tcBorders>
              <w:top w:val="nil"/>
              <w:left w:val="nil"/>
              <w:bottom w:val="nil"/>
              <w:right w:val="nil"/>
            </w:tcBorders>
            <w:shd w:val="clear" w:color="auto" w:fill="auto"/>
            <w:noWrap/>
            <w:vAlign w:val="center"/>
            <w:hideMark/>
          </w:tcPr>
          <w:p w14:paraId="67BAE74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6.96</w:t>
            </w:r>
          </w:p>
        </w:tc>
        <w:tc>
          <w:tcPr>
            <w:tcW w:w="453" w:type="pct"/>
            <w:tcBorders>
              <w:top w:val="nil"/>
              <w:left w:val="nil"/>
              <w:bottom w:val="nil"/>
              <w:right w:val="nil"/>
            </w:tcBorders>
            <w:shd w:val="clear" w:color="auto" w:fill="auto"/>
            <w:noWrap/>
            <w:vAlign w:val="center"/>
            <w:hideMark/>
          </w:tcPr>
          <w:p w14:paraId="0846C30B" w14:textId="5142C4BC"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71.37</w:t>
            </w:r>
          </w:p>
        </w:tc>
      </w:tr>
      <w:tr w:rsidR="00771B6F" w:rsidRPr="00357722" w14:paraId="1A1D28DD" w14:textId="77777777" w:rsidTr="00771B6F">
        <w:trPr>
          <w:trHeight w:val="300"/>
        </w:trPr>
        <w:tc>
          <w:tcPr>
            <w:tcW w:w="966" w:type="pct"/>
            <w:tcBorders>
              <w:top w:val="nil"/>
              <w:left w:val="nil"/>
              <w:bottom w:val="nil"/>
              <w:right w:val="nil"/>
            </w:tcBorders>
            <w:shd w:val="clear" w:color="auto" w:fill="auto"/>
            <w:noWrap/>
            <w:vAlign w:val="center"/>
            <w:hideMark/>
          </w:tcPr>
          <w:p w14:paraId="4D252BB4"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Russia</w:t>
            </w:r>
          </w:p>
        </w:tc>
        <w:tc>
          <w:tcPr>
            <w:tcW w:w="693" w:type="pct"/>
            <w:tcBorders>
              <w:top w:val="nil"/>
              <w:left w:val="nil"/>
              <w:bottom w:val="nil"/>
              <w:right w:val="nil"/>
            </w:tcBorders>
            <w:shd w:val="clear" w:color="auto" w:fill="auto"/>
            <w:noWrap/>
            <w:vAlign w:val="center"/>
            <w:hideMark/>
          </w:tcPr>
          <w:p w14:paraId="260A76A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3.75</w:t>
            </w:r>
          </w:p>
        </w:tc>
        <w:tc>
          <w:tcPr>
            <w:tcW w:w="747" w:type="pct"/>
            <w:tcBorders>
              <w:top w:val="nil"/>
              <w:left w:val="nil"/>
              <w:bottom w:val="nil"/>
              <w:right w:val="nil"/>
            </w:tcBorders>
            <w:shd w:val="clear" w:color="auto" w:fill="auto"/>
            <w:noWrap/>
            <w:vAlign w:val="center"/>
            <w:hideMark/>
          </w:tcPr>
          <w:p w14:paraId="7A76AB7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3.56</w:t>
            </w:r>
          </w:p>
        </w:tc>
        <w:tc>
          <w:tcPr>
            <w:tcW w:w="663" w:type="pct"/>
            <w:tcBorders>
              <w:top w:val="nil"/>
              <w:left w:val="nil"/>
              <w:bottom w:val="nil"/>
              <w:right w:val="nil"/>
            </w:tcBorders>
            <w:shd w:val="clear" w:color="auto" w:fill="auto"/>
            <w:noWrap/>
            <w:vAlign w:val="center"/>
            <w:hideMark/>
          </w:tcPr>
          <w:p w14:paraId="359D33C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3.43</w:t>
            </w:r>
          </w:p>
        </w:tc>
        <w:tc>
          <w:tcPr>
            <w:tcW w:w="726" w:type="pct"/>
            <w:tcBorders>
              <w:top w:val="nil"/>
              <w:left w:val="nil"/>
              <w:bottom w:val="nil"/>
              <w:right w:val="nil"/>
            </w:tcBorders>
            <w:shd w:val="clear" w:color="auto" w:fill="auto"/>
            <w:noWrap/>
            <w:vAlign w:val="center"/>
            <w:hideMark/>
          </w:tcPr>
          <w:p w14:paraId="6AD70AB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-4.35</w:t>
            </w:r>
          </w:p>
        </w:tc>
        <w:tc>
          <w:tcPr>
            <w:tcW w:w="751" w:type="pct"/>
            <w:tcBorders>
              <w:top w:val="nil"/>
              <w:left w:val="nil"/>
              <w:bottom w:val="nil"/>
              <w:right w:val="nil"/>
            </w:tcBorders>
            <w:shd w:val="clear" w:color="auto" w:fill="auto"/>
            <w:noWrap/>
            <w:vAlign w:val="center"/>
            <w:hideMark/>
          </w:tcPr>
          <w:p w14:paraId="56C2F0A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3.86</w:t>
            </w:r>
          </w:p>
        </w:tc>
        <w:tc>
          <w:tcPr>
            <w:tcW w:w="453" w:type="pct"/>
            <w:tcBorders>
              <w:top w:val="nil"/>
              <w:left w:val="nil"/>
              <w:bottom w:val="nil"/>
              <w:right w:val="nil"/>
            </w:tcBorders>
            <w:shd w:val="clear" w:color="auto" w:fill="auto"/>
            <w:noWrap/>
            <w:vAlign w:val="center"/>
            <w:hideMark/>
          </w:tcPr>
          <w:p w14:paraId="0F967542" w14:textId="098250C5"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62.61</w:t>
            </w:r>
          </w:p>
        </w:tc>
      </w:tr>
      <w:tr w:rsidR="00771B6F" w:rsidRPr="00357722" w14:paraId="3FA4A566" w14:textId="77777777" w:rsidTr="00771B6F">
        <w:trPr>
          <w:trHeight w:val="300"/>
        </w:trPr>
        <w:tc>
          <w:tcPr>
            <w:tcW w:w="966" w:type="pct"/>
            <w:tcBorders>
              <w:top w:val="nil"/>
              <w:left w:val="nil"/>
              <w:bottom w:val="nil"/>
              <w:right w:val="nil"/>
            </w:tcBorders>
            <w:shd w:val="clear" w:color="auto" w:fill="auto"/>
            <w:noWrap/>
            <w:vAlign w:val="center"/>
            <w:hideMark/>
          </w:tcPr>
          <w:p w14:paraId="6BB56F7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Slovenia</w:t>
            </w:r>
          </w:p>
        </w:tc>
        <w:tc>
          <w:tcPr>
            <w:tcW w:w="693" w:type="pct"/>
            <w:tcBorders>
              <w:top w:val="nil"/>
              <w:left w:val="nil"/>
              <w:bottom w:val="nil"/>
              <w:right w:val="nil"/>
            </w:tcBorders>
            <w:shd w:val="clear" w:color="auto" w:fill="auto"/>
            <w:noWrap/>
            <w:vAlign w:val="center"/>
            <w:hideMark/>
          </w:tcPr>
          <w:p w14:paraId="2A82FA0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3.02</w:t>
            </w:r>
          </w:p>
        </w:tc>
        <w:tc>
          <w:tcPr>
            <w:tcW w:w="747" w:type="pct"/>
            <w:tcBorders>
              <w:top w:val="nil"/>
              <w:left w:val="nil"/>
              <w:bottom w:val="nil"/>
              <w:right w:val="nil"/>
            </w:tcBorders>
            <w:shd w:val="clear" w:color="auto" w:fill="auto"/>
            <w:noWrap/>
            <w:vAlign w:val="center"/>
            <w:hideMark/>
          </w:tcPr>
          <w:p w14:paraId="7DBDF24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3.72</w:t>
            </w:r>
          </w:p>
        </w:tc>
        <w:tc>
          <w:tcPr>
            <w:tcW w:w="663" w:type="pct"/>
            <w:tcBorders>
              <w:top w:val="nil"/>
              <w:left w:val="nil"/>
              <w:bottom w:val="nil"/>
              <w:right w:val="nil"/>
            </w:tcBorders>
            <w:shd w:val="clear" w:color="auto" w:fill="auto"/>
            <w:noWrap/>
            <w:vAlign w:val="center"/>
            <w:hideMark/>
          </w:tcPr>
          <w:p w14:paraId="7B042F3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4.04</w:t>
            </w:r>
          </w:p>
        </w:tc>
        <w:tc>
          <w:tcPr>
            <w:tcW w:w="726" w:type="pct"/>
            <w:tcBorders>
              <w:top w:val="nil"/>
              <w:left w:val="nil"/>
              <w:bottom w:val="nil"/>
              <w:right w:val="nil"/>
            </w:tcBorders>
            <w:shd w:val="clear" w:color="auto" w:fill="auto"/>
            <w:noWrap/>
            <w:vAlign w:val="center"/>
            <w:hideMark/>
          </w:tcPr>
          <w:p w14:paraId="6A94050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-4.44</w:t>
            </w:r>
          </w:p>
        </w:tc>
        <w:tc>
          <w:tcPr>
            <w:tcW w:w="751" w:type="pct"/>
            <w:tcBorders>
              <w:top w:val="nil"/>
              <w:left w:val="nil"/>
              <w:bottom w:val="nil"/>
              <w:right w:val="nil"/>
            </w:tcBorders>
            <w:shd w:val="clear" w:color="auto" w:fill="auto"/>
            <w:noWrap/>
            <w:vAlign w:val="center"/>
            <w:hideMark/>
          </w:tcPr>
          <w:p w14:paraId="4B92CD3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7.08</w:t>
            </w:r>
          </w:p>
        </w:tc>
        <w:tc>
          <w:tcPr>
            <w:tcW w:w="453" w:type="pct"/>
            <w:tcBorders>
              <w:top w:val="nil"/>
              <w:left w:val="nil"/>
              <w:bottom w:val="nil"/>
              <w:right w:val="nil"/>
            </w:tcBorders>
            <w:shd w:val="clear" w:color="auto" w:fill="auto"/>
            <w:noWrap/>
            <w:vAlign w:val="center"/>
            <w:hideMark/>
          </w:tcPr>
          <w:p w14:paraId="59D79CBB" w14:textId="67613B54"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68.41</w:t>
            </w:r>
          </w:p>
        </w:tc>
      </w:tr>
      <w:tr w:rsidR="00771B6F" w:rsidRPr="00357722" w14:paraId="6866BACE" w14:textId="77777777" w:rsidTr="00771B6F">
        <w:trPr>
          <w:trHeight w:val="300"/>
        </w:trPr>
        <w:tc>
          <w:tcPr>
            <w:tcW w:w="966" w:type="pct"/>
            <w:tcBorders>
              <w:top w:val="nil"/>
              <w:left w:val="nil"/>
              <w:bottom w:val="nil"/>
              <w:right w:val="nil"/>
            </w:tcBorders>
            <w:shd w:val="clear" w:color="auto" w:fill="auto"/>
            <w:noWrap/>
            <w:vAlign w:val="center"/>
            <w:hideMark/>
          </w:tcPr>
          <w:p w14:paraId="2A6A106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South Africa</w:t>
            </w:r>
          </w:p>
        </w:tc>
        <w:tc>
          <w:tcPr>
            <w:tcW w:w="693" w:type="pct"/>
            <w:tcBorders>
              <w:top w:val="nil"/>
              <w:left w:val="nil"/>
              <w:bottom w:val="nil"/>
              <w:right w:val="nil"/>
            </w:tcBorders>
            <w:shd w:val="clear" w:color="auto" w:fill="auto"/>
            <w:noWrap/>
            <w:vAlign w:val="center"/>
            <w:hideMark/>
          </w:tcPr>
          <w:p w14:paraId="4202EFF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5.32</w:t>
            </w:r>
          </w:p>
        </w:tc>
        <w:tc>
          <w:tcPr>
            <w:tcW w:w="747" w:type="pct"/>
            <w:tcBorders>
              <w:top w:val="nil"/>
              <w:left w:val="nil"/>
              <w:bottom w:val="nil"/>
              <w:right w:val="nil"/>
            </w:tcBorders>
            <w:shd w:val="clear" w:color="auto" w:fill="auto"/>
            <w:noWrap/>
            <w:vAlign w:val="center"/>
            <w:hideMark/>
          </w:tcPr>
          <w:p w14:paraId="05BBCBD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4.95</w:t>
            </w:r>
          </w:p>
        </w:tc>
        <w:tc>
          <w:tcPr>
            <w:tcW w:w="663" w:type="pct"/>
            <w:tcBorders>
              <w:top w:val="nil"/>
              <w:left w:val="nil"/>
              <w:bottom w:val="nil"/>
              <w:right w:val="nil"/>
            </w:tcBorders>
            <w:shd w:val="clear" w:color="auto" w:fill="auto"/>
            <w:noWrap/>
            <w:vAlign w:val="center"/>
            <w:hideMark/>
          </w:tcPr>
          <w:p w14:paraId="1086CD8C"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4.90</w:t>
            </w:r>
          </w:p>
        </w:tc>
        <w:tc>
          <w:tcPr>
            <w:tcW w:w="726" w:type="pct"/>
            <w:tcBorders>
              <w:top w:val="nil"/>
              <w:left w:val="nil"/>
              <w:bottom w:val="nil"/>
              <w:right w:val="nil"/>
            </w:tcBorders>
            <w:shd w:val="clear" w:color="auto" w:fill="auto"/>
            <w:noWrap/>
            <w:vAlign w:val="center"/>
            <w:hideMark/>
          </w:tcPr>
          <w:p w14:paraId="1E88255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-3.72</w:t>
            </w:r>
          </w:p>
        </w:tc>
        <w:tc>
          <w:tcPr>
            <w:tcW w:w="751" w:type="pct"/>
            <w:tcBorders>
              <w:top w:val="nil"/>
              <w:left w:val="nil"/>
              <w:bottom w:val="nil"/>
              <w:right w:val="nil"/>
            </w:tcBorders>
            <w:shd w:val="clear" w:color="auto" w:fill="auto"/>
            <w:noWrap/>
            <w:vAlign w:val="center"/>
            <w:hideMark/>
          </w:tcPr>
          <w:p w14:paraId="680C436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9.00</w:t>
            </w:r>
          </w:p>
        </w:tc>
        <w:tc>
          <w:tcPr>
            <w:tcW w:w="453" w:type="pct"/>
            <w:tcBorders>
              <w:top w:val="nil"/>
              <w:left w:val="nil"/>
              <w:bottom w:val="nil"/>
              <w:right w:val="nil"/>
            </w:tcBorders>
            <w:shd w:val="clear" w:color="auto" w:fill="auto"/>
            <w:noWrap/>
            <w:vAlign w:val="center"/>
            <w:hideMark/>
          </w:tcPr>
          <w:p w14:paraId="3982C25A" w14:textId="182DF456"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86.39</w:t>
            </w:r>
          </w:p>
        </w:tc>
      </w:tr>
      <w:tr w:rsidR="00771B6F" w:rsidRPr="00357722" w14:paraId="540C315D" w14:textId="77777777" w:rsidTr="00771B6F">
        <w:trPr>
          <w:trHeight w:val="300"/>
        </w:trPr>
        <w:tc>
          <w:tcPr>
            <w:tcW w:w="966" w:type="pct"/>
            <w:tcBorders>
              <w:top w:val="nil"/>
              <w:left w:val="nil"/>
              <w:bottom w:val="nil"/>
              <w:right w:val="nil"/>
            </w:tcBorders>
            <w:shd w:val="clear" w:color="auto" w:fill="auto"/>
            <w:noWrap/>
            <w:vAlign w:val="center"/>
            <w:hideMark/>
          </w:tcPr>
          <w:p w14:paraId="48194EF2"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Thailand</w:t>
            </w:r>
          </w:p>
        </w:tc>
        <w:tc>
          <w:tcPr>
            <w:tcW w:w="693" w:type="pct"/>
            <w:tcBorders>
              <w:top w:val="nil"/>
              <w:left w:val="nil"/>
              <w:bottom w:val="nil"/>
              <w:right w:val="nil"/>
            </w:tcBorders>
            <w:shd w:val="clear" w:color="auto" w:fill="auto"/>
            <w:noWrap/>
            <w:vAlign w:val="center"/>
            <w:hideMark/>
          </w:tcPr>
          <w:p w14:paraId="0DF6792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4.15</w:t>
            </w:r>
          </w:p>
        </w:tc>
        <w:tc>
          <w:tcPr>
            <w:tcW w:w="747" w:type="pct"/>
            <w:tcBorders>
              <w:top w:val="nil"/>
              <w:left w:val="nil"/>
              <w:bottom w:val="nil"/>
              <w:right w:val="nil"/>
            </w:tcBorders>
            <w:shd w:val="clear" w:color="auto" w:fill="auto"/>
            <w:noWrap/>
            <w:vAlign w:val="center"/>
            <w:hideMark/>
          </w:tcPr>
          <w:p w14:paraId="43927B7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4.73</w:t>
            </w:r>
          </w:p>
        </w:tc>
        <w:tc>
          <w:tcPr>
            <w:tcW w:w="663" w:type="pct"/>
            <w:tcBorders>
              <w:top w:val="nil"/>
              <w:left w:val="nil"/>
              <w:bottom w:val="nil"/>
              <w:right w:val="nil"/>
            </w:tcBorders>
            <w:shd w:val="clear" w:color="auto" w:fill="auto"/>
            <w:noWrap/>
            <w:vAlign w:val="center"/>
            <w:hideMark/>
          </w:tcPr>
          <w:p w14:paraId="6597B48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4.70</w:t>
            </w:r>
          </w:p>
        </w:tc>
        <w:tc>
          <w:tcPr>
            <w:tcW w:w="726" w:type="pct"/>
            <w:tcBorders>
              <w:top w:val="nil"/>
              <w:left w:val="nil"/>
              <w:bottom w:val="nil"/>
              <w:right w:val="nil"/>
            </w:tcBorders>
            <w:shd w:val="clear" w:color="auto" w:fill="auto"/>
            <w:noWrap/>
            <w:vAlign w:val="center"/>
            <w:hideMark/>
          </w:tcPr>
          <w:p w14:paraId="07F5D4F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-4.64</w:t>
            </w:r>
          </w:p>
        </w:tc>
        <w:tc>
          <w:tcPr>
            <w:tcW w:w="751" w:type="pct"/>
            <w:tcBorders>
              <w:top w:val="nil"/>
              <w:left w:val="nil"/>
              <w:bottom w:val="nil"/>
              <w:right w:val="nil"/>
            </w:tcBorders>
            <w:shd w:val="clear" w:color="auto" w:fill="auto"/>
            <w:noWrap/>
            <w:vAlign w:val="center"/>
            <w:hideMark/>
          </w:tcPr>
          <w:p w14:paraId="7CF808D4"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8.07</w:t>
            </w:r>
          </w:p>
        </w:tc>
        <w:tc>
          <w:tcPr>
            <w:tcW w:w="453" w:type="pct"/>
            <w:tcBorders>
              <w:top w:val="nil"/>
              <w:left w:val="nil"/>
              <w:bottom w:val="nil"/>
              <w:right w:val="nil"/>
            </w:tcBorders>
            <w:shd w:val="clear" w:color="auto" w:fill="auto"/>
            <w:noWrap/>
            <w:vAlign w:val="center"/>
            <w:hideMark/>
          </w:tcPr>
          <w:p w14:paraId="5277ABF2" w14:textId="36035385"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66.88</w:t>
            </w:r>
          </w:p>
        </w:tc>
      </w:tr>
      <w:tr w:rsidR="00771B6F" w:rsidRPr="00357722" w14:paraId="72F77ACE" w14:textId="77777777" w:rsidTr="00771B6F">
        <w:trPr>
          <w:trHeight w:val="300"/>
        </w:trPr>
        <w:tc>
          <w:tcPr>
            <w:tcW w:w="966" w:type="pct"/>
            <w:tcBorders>
              <w:top w:val="nil"/>
              <w:left w:val="nil"/>
              <w:bottom w:val="nil"/>
              <w:right w:val="nil"/>
            </w:tcBorders>
            <w:shd w:val="clear" w:color="auto" w:fill="auto"/>
            <w:noWrap/>
            <w:vAlign w:val="center"/>
            <w:hideMark/>
          </w:tcPr>
          <w:p w14:paraId="72CE9D71"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Turkey</w:t>
            </w:r>
          </w:p>
        </w:tc>
        <w:tc>
          <w:tcPr>
            <w:tcW w:w="693" w:type="pct"/>
            <w:tcBorders>
              <w:top w:val="nil"/>
              <w:left w:val="nil"/>
              <w:bottom w:val="nil"/>
              <w:right w:val="nil"/>
            </w:tcBorders>
            <w:shd w:val="clear" w:color="auto" w:fill="auto"/>
            <w:noWrap/>
            <w:vAlign w:val="center"/>
            <w:hideMark/>
          </w:tcPr>
          <w:p w14:paraId="7B7ADE06"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3.19</w:t>
            </w:r>
          </w:p>
        </w:tc>
        <w:tc>
          <w:tcPr>
            <w:tcW w:w="747" w:type="pct"/>
            <w:tcBorders>
              <w:top w:val="nil"/>
              <w:left w:val="nil"/>
              <w:bottom w:val="nil"/>
              <w:right w:val="nil"/>
            </w:tcBorders>
            <w:shd w:val="clear" w:color="auto" w:fill="auto"/>
            <w:noWrap/>
            <w:vAlign w:val="center"/>
            <w:hideMark/>
          </w:tcPr>
          <w:p w14:paraId="33A494A0"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3.50</w:t>
            </w:r>
          </w:p>
        </w:tc>
        <w:tc>
          <w:tcPr>
            <w:tcW w:w="663" w:type="pct"/>
            <w:tcBorders>
              <w:top w:val="nil"/>
              <w:left w:val="nil"/>
              <w:bottom w:val="nil"/>
              <w:right w:val="nil"/>
            </w:tcBorders>
            <w:shd w:val="clear" w:color="auto" w:fill="auto"/>
            <w:noWrap/>
            <w:vAlign w:val="center"/>
            <w:hideMark/>
          </w:tcPr>
          <w:p w14:paraId="4BE68F1F"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3.38</w:t>
            </w:r>
          </w:p>
        </w:tc>
        <w:tc>
          <w:tcPr>
            <w:tcW w:w="726" w:type="pct"/>
            <w:tcBorders>
              <w:top w:val="nil"/>
              <w:left w:val="nil"/>
              <w:bottom w:val="nil"/>
              <w:right w:val="nil"/>
            </w:tcBorders>
            <w:shd w:val="clear" w:color="auto" w:fill="auto"/>
            <w:noWrap/>
            <w:vAlign w:val="center"/>
            <w:hideMark/>
          </w:tcPr>
          <w:p w14:paraId="670D7FA9"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-5.50</w:t>
            </w:r>
          </w:p>
        </w:tc>
        <w:tc>
          <w:tcPr>
            <w:tcW w:w="751" w:type="pct"/>
            <w:tcBorders>
              <w:top w:val="nil"/>
              <w:left w:val="nil"/>
              <w:bottom w:val="nil"/>
              <w:right w:val="nil"/>
            </w:tcBorders>
            <w:shd w:val="clear" w:color="auto" w:fill="auto"/>
            <w:noWrap/>
            <w:vAlign w:val="center"/>
            <w:hideMark/>
          </w:tcPr>
          <w:p w14:paraId="0BE769B6"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9.25</w:t>
            </w:r>
          </w:p>
        </w:tc>
        <w:tc>
          <w:tcPr>
            <w:tcW w:w="453" w:type="pct"/>
            <w:tcBorders>
              <w:top w:val="nil"/>
              <w:left w:val="nil"/>
              <w:bottom w:val="nil"/>
              <w:right w:val="nil"/>
            </w:tcBorders>
            <w:shd w:val="clear" w:color="auto" w:fill="auto"/>
            <w:noWrap/>
            <w:vAlign w:val="center"/>
            <w:hideMark/>
          </w:tcPr>
          <w:p w14:paraId="47CF337F" w14:textId="38A7EBB6"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65.92</w:t>
            </w:r>
          </w:p>
        </w:tc>
      </w:tr>
      <w:tr w:rsidR="00771B6F" w:rsidRPr="00357722" w14:paraId="74C00C45" w14:textId="77777777" w:rsidTr="00771B6F">
        <w:trPr>
          <w:trHeight w:val="300"/>
        </w:trPr>
        <w:tc>
          <w:tcPr>
            <w:tcW w:w="966" w:type="pct"/>
            <w:tcBorders>
              <w:top w:val="nil"/>
              <w:left w:val="nil"/>
              <w:bottom w:val="nil"/>
              <w:right w:val="nil"/>
            </w:tcBorders>
            <w:shd w:val="clear" w:color="auto" w:fill="auto"/>
            <w:noWrap/>
            <w:vAlign w:val="center"/>
            <w:hideMark/>
          </w:tcPr>
          <w:p w14:paraId="1B2F31B7"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Ukraine</w:t>
            </w:r>
          </w:p>
        </w:tc>
        <w:tc>
          <w:tcPr>
            <w:tcW w:w="693" w:type="pct"/>
            <w:tcBorders>
              <w:top w:val="nil"/>
              <w:left w:val="nil"/>
              <w:bottom w:val="nil"/>
              <w:right w:val="nil"/>
            </w:tcBorders>
            <w:shd w:val="clear" w:color="auto" w:fill="auto"/>
            <w:noWrap/>
            <w:vAlign w:val="center"/>
            <w:hideMark/>
          </w:tcPr>
          <w:p w14:paraId="7C92FD2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2.78</w:t>
            </w:r>
          </w:p>
        </w:tc>
        <w:tc>
          <w:tcPr>
            <w:tcW w:w="747" w:type="pct"/>
            <w:tcBorders>
              <w:top w:val="nil"/>
              <w:left w:val="nil"/>
              <w:bottom w:val="nil"/>
              <w:right w:val="nil"/>
            </w:tcBorders>
            <w:shd w:val="clear" w:color="auto" w:fill="auto"/>
            <w:noWrap/>
            <w:vAlign w:val="center"/>
            <w:hideMark/>
          </w:tcPr>
          <w:p w14:paraId="2E0628BE"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3.85</w:t>
            </w:r>
          </w:p>
        </w:tc>
        <w:tc>
          <w:tcPr>
            <w:tcW w:w="663" w:type="pct"/>
            <w:tcBorders>
              <w:top w:val="nil"/>
              <w:left w:val="nil"/>
              <w:bottom w:val="nil"/>
              <w:right w:val="nil"/>
            </w:tcBorders>
            <w:shd w:val="clear" w:color="auto" w:fill="auto"/>
            <w:noWrap/>
            <w:vAlign w:val="center"/>
            <w:hideMark/>
          </w:tcPr>
          <w:p w14:paraId="3D55D2C5"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3.72</w:t>
            </w:r>
          </w:p>
        </w:tc>
        <w:tc>
          <w:tcPr>
            <w:tcW w:w="726" w:type="pct"/>
            <w:tcBorders>
              <w:top w:val="nil"/>
              <w:left w:val="nil"/>
              <w:bottom w:val="nil"/>
              <w:right w:val="nil"/>
            </w:tcBorders>
            <w:shd w:val="clear" w:color="auto" w:fill="auto"/>
            <w:noWrap/>
            <w:vAlign w:val="center"/>
            <w:hideMark/>
          </w:tcPr>
          <w:p w14:paraId="2083AFED"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-6.87</w:t>
            </w:r>
          </w:p>
        </w:tc>
        <w:tc>
          <w:tcPr>
            <w:tcW w:w="751" w:type="pct"/>
            <w:tcBorders>
              <w:top w:val="nil"/>
              <w:left w:val="nil"/>
              <w:bottom w:val="nil"/>
              <w:right w:val="nil"/>
            </w:tcBorders>
            <w:shd w:val="clear" w:color="auto" w:fill="auto"/>
            <w:noWrap/>
            <w:vAlign w:val="center"/>
            <w:hideMark/>
          </w:tcPr>
          <w:p w14:paraId="7700E133" w14:textId="77777777"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3.68</w:t>
            </w:r>
          </w:p>
        </w:tc>
        <w:tc>
          <w:tcPr>
            <w:tcW w:w="453" w:type="pct"/>
            <w:tcBorders>
              <w:top w:val="nil"/>
              <w:left w:val="nil"/>
              <w:bottom w:val="nil"/>
              <w:right w:val="nil"/>
            </w:tcBorders>
            <w:shd w:val="clear" w:color="auto" w:fill="auto"/>
            <w:noWrap/>
            <w:vAlign w:val="center"/>
            <w:hideMark/>
          </w:tcPr>
          <w:p w14:paraId="77CC5404" w14:textId="1D0A6928" w:rsidR="00B319E2" w:rsidRPr="00357722" w:rsidRDefault="00B319E2" w:rsidP="00B319E2">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81.81</w:t>
            </w:r>
          </w:p>
        </w:tc>
      </w:tr>
      <w:tr w:rsidR="00771B6F" w:rsidRPr="00357722" w14:paraId="3ED21128" w14:textId="77777777" w:rsidTr="00771B6F">
        <w:trPr>
          <w:trHeight w:val="411"/>
        </w:trPr>
        <w:tc>
          <w:tcPr>
            <w:tcW w:w="966" w:type="pct"/>
            <w:tcBorders>
              <w:top w:val="single" w:sz="4" w:space="0" w:color="auto"/>
              <w:left w:val="nil"/>
              <w:bottom w:val="single" w:sz="4" w:space="0" w:color="auto"/>
              <w:right w:val="nil"/>
            </w:tcBorders>
            <w:shd w:val="clear" w:color="auto" w:fill="auto"/>
            <w:noWrap/>
            <w:vAlign w:val="center"/>
            <w:hideMark/>
          </w:tcPr>
          <w:p w14:paraId="06A3A5C9"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Mean</w:t>
            </w:r>
          </w:p>
        </w:tc>
        <w:tc>
          <w:tcPr>
            <w:tcW w:w="693" w:type="pct"/>
            <w:tcBorders>
              <w:top w:val="single" w:sz="4" w:space="0" w:color="auto"/>
              <w:left w:val="nil"/>
              <w:bottom w:val="single" w:sz="4" w:space="0" w:color="auto"/>
              <w:right w:val="nil"/>
            </w:tcBorders>
            <w:shd w:val="clear" w:color="auto" w:fill="auto"/>
            <w:noWrap/>
            <w:vAlign w:val="center"/>
            <w:hideMark/>
          </w:tcPr>
          <w:p w14:paraId="4F1BC717"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3.5</w:t>
            </w:r>
          </w:p>
        </w:tc>
        <w:tc>
          <w:tcPr>
            <w:tcW w:w="747" w:type="pct"/>
            <w:tcBorders>
              <w:top w:val="single" w:sz="4" w:space="0" w:color="auto"/>
              <w:left w:val="nil"/>
              <w:bottom w:val="single" w:sz="4" w:space="0" w:color="auto"/>
              <w:right w:val="nil"/>
            </w:tcBorders>
            <w:shd w:val="clear" w:color="auto" w:fill="auto"/>
            <w:noWrap/>
            <w:vAlign w:val="center"/>
            <w:hideMark/>
          </w:tcPr>
          <w:p w14:paraId="77B1AA99"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3.8</w:t>
            </w:r>
          </w:p>
        </w:tc>
        <w:tc>
          <w:tcPr>
            <w:tcW w:w="663" w:type="pct"/>
            <w:tcBorders>
              <w:top w:val="single" w:sz="4" w:space="0" w:color="auto"/>
              <w:left w:val="nil"/>
              <w:bottom w:val="single" w:sz="4" w:space="0" w:color="auto"/>
              <w:right w:val="nil"/>
            </w:tcBorders>
            <w:shd w:val="clear" w:color="auto" w:fill="auto"/>
            <w:noWrap/>
            <w:vAlign w:val="center"/>
            <w:hideMark/>
          </w:tcPr>
          <w:p w14:paraId="75EAA956"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3.7</w:t>
            </w:r>
          </w:p>
        </w:tc>
        <w:tc>
          <w:tcPr>
            <w:tcW w:w="726" w:type="pct"/>
            <w:tcBorders>
              <w:top w:val="single" w:sz="4" w:space="0" w:color="auto"/>
              <w:left w:val="nil"/>
              <w:bottom w:val="single" w:sz="4" w:space="0" w:color="auto"/>
              <w:right w:val="nil"/>
            </w:tcBorders>
            <w:shd w:val="clear" w:color="auto" w:fill="auto"/>
            <w:noWrap/>
            <w:vAlign w:val="center"/>
            <w:hideMark/>
          </w:tcPr>
          <w:p w14:paraId="466F4EE3"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-4.8</w:t>
            </w:r>
          </w:p>
        </w:tc>
        <w:tc>
          <w:tcPr>
            <w:tcW w:w="751" w:type="pct"/>
            <w:tcBorders>
              <w:top w:val="single" w:sz="4" w:space="0" w:color="auto"/>
              <w:left w:val="nil"/>
              <w:bottom w:val="single" w:sz="4" w:space="0" w:color="auto"/>
              <w:right w:val="nil"/>
            </w:tcBorders>
            <w:shd w:val="clear" w:color="auto" w:fill="auto"/>
            <w:noWrap/>
            <w:vAlign w:val="center"/>
            <w:hideMark/>
          </w:tcPr>
          <w:p w14:paraId="3732440A"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6.8</w:t>
            </w:r>
          </w:p>
        </w:tc>
        <w:tc>
          <w:tcPr>
            <w:tcW w:w="453" w:type="pct"/>
            <w:tcBorders>
              <w:top w:val="single" w:sz="4" w:space="0" w:color="auto"/>
              <w:left w:val="nil"/>
              <w:bottom w:val="single" w:sz="4" w:space="0" w:color="auto"/>
              <w:right w:val="nil"/>
            </w:tcBorders>
            <w:shd w:val="clear" w:color="auto" w:fill="auto"/>
            <w:noWrap/>
            <w:vAlign w:val="center"/>
            <w:hideMark/>
          </w:tcPr>
          <w:p w14:paraId="1E690ADA" w14:textId="3370D450" w:rsidR="006351E0" w:rsidRPr="00357722" w:rsidRDefault="00ED51BE"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69.5</w:t>
            </w:r>
          </w:p>
        </w:tc>
      </w:tr>
      <w:tr w:rsidR="006351E0" w:rsidRPr="00357722" w14:paraId="540D0FDE" w14:textId="77777777" w:rsidTr="00771B6F">
        <w:trPr>
          <w:trHeight w:val="372"/>
        </w:trPr>
        <w:tc>
          <w:tcPr>
            <w:tcW w:w="5000" w:type="pct"/>
            <w:gridSpan w:val="7"/>
            <w:tcBorders>
              <w:top w:val="single" w:sz="4" w:space="0" w:color="auto"/>
              <w:left w:val="nil"/>
              <w:bottom w:val="single" w:sz="4" w:space="0" w:color="auto"/>
              <w:right w:val="nil"/>
            </w:tcBorders>
            <w:shd w:val="clear" w:color="auto" w:fill="auto"/>
            <w:noWrap/>
            <w:vAlign w:val="center"/>
            <w:hideMark/>
          </w:tcPr>
          <w:p w14:paraId="1BE8FBB5" w14:textId="77777777" w:rsidR="006351E0" w:rsidRPr="00357722" w:rsidRDefault="006351E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Overall summary</w:t>
            </w:r>
          </w:p>
        </w:tc>
      </w:tr>
      <w:tr w:rsidR="00771B6F" w:rsidRPr="00357722" w14:paraId="01A952BD" w14:textId="77777777" w:rsidTr="00771B6F">
        <w:trPr>
          <w:trHeight w:val="300"/>
        </w:trPr>
        <w:tc>
          <w:tcPr>
            <w:tcW w:w="966" w:type="pct"/>
            <w:tcBorders>
              <w:top w:val="nil"/>
              <w:left w:val="nil"/>
              <w:bottom w:val="nil"/>
              <w:right w:val="nil"/>
            </w:tcBorders>
            <w:shd w:val="clear" w:color="auto" w:fill="auto"/>
            <w:noWrap/>
            <w:vAlign w:val="center"/>
            <w:hideMark/>
          </w:tcPr>
          <w:p w14:paraId="14268B9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Observations</w:t>
            </w:r>
          </w:p>
        </w:tc>
        <w:tc>
          <w:tcPr>
            <w:tcW w:w="693" w:type="pct"/>
            <w:tcBorders>
              <w:top w:val="nil"/>
              <w:left w:val="nil"/>
              <w:bottom w:val="nil"/>
              <w:right w:val="nil"/>
            </w:tcBorders>
            <w:shd w:val="clear" w:color="auto" w:fill="auto"/>
            <w:noWrap/>
            <w:vAlign w:val="center"/>
            <w:hideMark/>
          </w:tcPr>
          <w:p w14:paraId="25C5244D"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737</w:t>
            </w:r>
          </w:p>
        </w:tc>
        <w:tc>
          <w:tcPr>
            <w:tcW w:w="747" w:type="pct"/>
            <w:tcBorders>
              <w:top w:val="nil"/>
              <w:left w:val="nil"/>
              <w:bottom w:val="nil"/>
              <w:right w:val="nil"/>
            </w:tcBorders>
            <w:shd w:val="clear" w:color="auto" w:fill="auto"/>
            <w:noWrap/>
            <w:vAlign w:val="center"/>
            <w:hideMark/>
          </w:tcPr>
          <w:p w14:paraId="170E63A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770</w:t>
            </w:r>
          </w:p>
        </w:tc>
        <w:tc>
          <w:tcPr>
            <w:tcW w:w="663" w:type="pct"/>
            <w:tcBorders>
              <w:top w:val="nil"/>
              <w:left w:val="nil"/>
              <w:bottom w:val="nil"/>
              <w:right w:val="nil"/>
            </w:tcBorders>
            <w:shd w:val="clear" w:color="auto" w:fill="auto"/>
            <w:noWrap/>
            <w:vAlign w:val="center"/>
            <w:hideMark/>
          </w:tcPr>
          <w:p w14:paraId="1E11FB0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769</w:t>
            </w:r>
          </w:p>
        </w:tc>
        <w:tc>
          <w:tcPr>
            <w:tcW w:w="726" w:type="pct"/>
            <w:tcBorders>
              <w:top w:val="nil"/>
              <w:left w:val="nil"/>
              <w:bottom w:val="nil"/>
              <w:right w:val="nil"/>
            </w:tcBorders>
            <w:shd w:val="clear" w:color="auto" w:fill="auto"/>
            <w:noWrap/>
            <w:vAlign w:val="center"/>
            <w:hideMark/>
          </w:tcPr>
          <w:p w14:paraId="32D7EA9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742</w:t>
            </w:r>
          </w:p>
        </w:tc>
        <w:tc>
          <w:tcPr>
            <w:tcW w:w="751" w:type="pct"/>
            <w:tcBorders>
              <w:top w:val="nil"/>
              <w:left w:val="nil"/>
              <w:bottom w:val="nil"/>
              <w:right w:val="nil"/>
            </w:tcBorders>
            <w:shd w:val="clear" w:color="auto" w:fill="auto"/>
            <w:noWrap/>
            <w:vAlign w:val="center"/>
            <w:hideMark/>
          </w:tcPr>
          <w:p w14:paraId="204FCC1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675</w:t>
            </w:r>
          </w:p>
        </w:tc>
        <w:tc>
          <w:tcPr>
            <w:tcW w:w="453" w:type="pct"/>
            <w:tcBorders>
              <w:top w:val="nil"/>
              <w:left w:val="nil"/>
              <w:bottom w:val="nil"/>
              <w:right w:val="nil"/>
            </w:tcBorders>
            <w:shd w:val="clear" w:color="auto" w:fill="auto"/>
            <w:noWrap/>
            <w:vAlign w:val="center"/>
            <w:hideMark/>
          </w:tcPr>
          <w:p w14:paraId="30568140" w14:textId="0A8DBE0F"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784</w:t>
            </w:r>
          </w:p>
        </w:tc>
      </w:tr>
      <w:tr w:rsidR="00771B6F" w:rsidRPr="00357722" w14:paraId="6E04ED0A" w14:textId="77777777" w:rsidTr="00771B6F">
        <w:trPr>
          <w:trHeight w:val="300"/>
        </w:trPr>
        <w:tc>
          <w:tcPr>
            <w:tcW w:w="966" w:type="pct"/>
            <w:tcBorders>
              <w:top w:val="nil"/>
              <w:left w:val="nil"/>
              <w:bottom w:val="nil"/>
              <w:right w:val="nil"/>
            </w:tcBorders>
            <w:shd w:val="clear" w:color="auto" w:fill="auto"/>
            <w:noWrap/>
            <w:vAlign w:val="center"/>
            <w:hideMark/>
          </w:tcPr>
          <w:p w14:paraId="57D7D20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Mean</w:t>
            </w:r>
          </w:p>
        </w:tc>
        <w:tc>
          <w:tcPr>
            <w:tcW w:w="693" w:type="pct"/>
            <w:tcBorders>
              <w:top w:val="nil"/>
              <w:left w:val="nil"/>
              <w:bottom w:val="nil"/>
              <w:right w:val="nil"/>
            </w:tcBorders>
            <w:shd w:val="clear" w:color="auto" w:fill="auto"/>
            <w:noWrap/>
            <w:vAlign w:val="center"/>
            <w:hideMark/>
          </w:tcPr>
          <w:p w14:paraId="0DA07D2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3.9</w:t>
            </w:r>
          </w:p>
        </w:tc>
        <w:tc>
          <w:tcPr>
            <w:tcW w:w="747" w:type="pct"/>
            <w:tcBorders>
              <w:top w:val="nil"/>
              <w:left w:val="nil"/>
              <w:bottom w:val="nil"/>
              <w:right w:val="nil"/>
            </w:tcBorders>
            <w:shd w:val="clear" w:color="auto" w:fill="auto"/>
            <w:noWrap/>
            <w:vAlign w:val="center"/>
            <w:hideMark/>
          </w:tcPr>
          <w:p w14:paraId="60EE321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w:t>
            </w:r>
          </w:p>
        </w:tc>
        <w:tc>
          <w:tcPr>
            <w:tcW w:w="663" w:type="pct"/>
            <w:tcBorders>
              <w:top w:val="nil"/>
              <w:left w:val="nil"/>
              <w:bottom w:val="nil"/>
              <w:right w:val="nil"/>
            </w:tcBorders>
            <w:shd w:val="clear" w:color="auto" w:fill="auto"/>
            <w:noWrap/>
            <w:vAlign w:val="center"/>
            <w:hideMark/>
          </w:tcPr>
          <w:p w14:paraId="2D044591"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w:t>
            </w:r>
          </w:p>
        </w:tc>
        <w:tc>
          <w:tcPr>
            <w:tcW w:w="726" w:type="pct"/>
            <w:tcBorders>
              <w:top w:val="nil"/>
              <w:left w:val="nil"/>
              <w:bottom w:val="nil"/>
              <w:right w:val="nil"/>
            </w:tcBorders>
            <w:shd w:val="clear" w:color="auto" w:fill="auto"/>
            <w:noWrap/>
            <w:vAlign w:val="center"/>
            <w:hideMark/>
          </w:tcPr>
          <w:p w14:paraId="17EDA1C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w:t>
            </w:r>
          </w:p>
        </w:tc>
        <w:tc>
          <w:tcPr>
            <w:tcW w:w="751" w:type="pct"/>
            <w:tcBorders>
              <w:top w:val="nil"/>
              <w:left w:val="nil"/>
              <w:bottom w:val="nil"/>
              <w:right w:val="nil"/>
            </w:tcBorders>
            <w:shd w:val="clear" w:color="auto" w:fill="auto"/>
            <w:noWrap/>
            <w:vAlign w:val="center"/>
            <w:hideMark/>
          </w:tcPr>
          <w:p w14:paraId="1263D11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8.5</w:t>
            </w:r>
          </w:p>
        </w:tc>
        <w:tc>
          <w:tcPr>
            <w:tcW w:w="453" w:type="pct"/>
            <w:tcBorders>
              <w:top w:val="nil"/>
              <w:left w:val="nil"/>
              <w:bottom w:val="nil"/>
              <w:right w:val="nil"/>
            </w:tcBorders>
            <w:shd w:val="clear" w:color="auto" w:fill="auto"/>
            <w:noWrap/>
            <w:vAlign w:val="center"/>
            <w:hideMark/>
          </w:tcPr>
          <w:p w14:paraId="1A5946FC" w14:textId="7AC0F361"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73.0</w:t>
            </w:r>
          </w:p>
        </w:tc>
      </w:tr>
      <w:tr w:rsidR="00771B6F" w:rsidRPr="00357722" w14:paraId="435AA9B8" w14:textId="77777777" w:rsidTr="00771B6F">
        <w:trPr>
          <w:trHeight w:val="300"/>
        </w:trPr>
        <w:tc>
          <w:tcPr>
            <w:tcW w:w="966" w:type="pct"/>
            <w:tcBorders>
              <w:top w:val="nil"/>
              <w:left w:val="nil"/>
              <w:bottom w:val="nil"/>
              <w:right w:val="nil"/>
            </w:tcBorders>
            <w:shd w:val="clear" w:color="auto" w:fill="auto"/>
            <w:noWrap/>
            <w:vAlign w:val="center"/>
            <w:hideMark/>
          </w:tcPr>
          <w:p w14:paraId="4E067B0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Median</w:t>
            </w:r>
          </w:p>
        </w:tc>
        <w:tc>
          <w:tcPr>
            <w:tcW w:w="693" w:type="pct"/>
            <w:tcBorders>
              <w:top w:val="nil"/>
              <w:left w:val="nil"/>
              <w:bottom w:val="nil"/>
              <w:right w:val="nil"/>
            </w:tcBorders>
            <w:shd w:val="clear" w:color="auto" w:fill="auto"/>
            <w:noWrap/>
            <w:vAlign w:val="center"/>
            <w:hideMark/>
          </w:tcPr>
          <w:p w14:paraId="69AA0EF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3.9</w:t>
            </w:r>
          </w:p>
        </w:tc>
        <w:tc>
          <w:tcPr>
            <w:tcW w:w="747" w:type="pct"/>
            <w:tcBorders>
              <w:top w:val="nil"/>
              <w:left w:val="nil"/>
              <w:bottom w:val="nil"/>
              <w:right w:val="nil"/>
            </w:tcBorders>
            <w:shd w:val="clear" w:color="auto" w:fill="auto"/>
            <w:noWrap/>
            <w:vAlign w:val="center"/>
            <w:hideMark/>
          </w:tcPr>
          <w:p w14:paraId="3C0CCA4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w:t>
            </w:r>
          </w:p>
        </w:tc>
        <w:tc>
          <w:tcPr>
            <w:tcW w:w="663" w:type="pct"/>
            <w:tcBorders>
              <w:top w:val="nil"/>
              <w:left w:val="nil"/>
              <w:bottom w:val="nil"/>
              <w:right w:val="nil"/>
            </w:tcBorders>
            <w:shd w:val="clear" w:color="auto" w:fill="auto"/>
            <w:noWrap/>
            <w:vAlign w:val="center"/>
            <w:hideMark/>
          </w:tcPr>
          <w:p w14:paraId="51B920F8"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w:t>
            </w:r>
          </w:p>
        </w:tc>
        <w:tc>
          <w:tcPr>
            <w:tcW w:w="726" w:type="pct"/>
            <w:tcBorders>
              <w:top w:val="nil"/>
              <w:left w:val="nil"/>
              <w:bottom w:val="nil"/>
              <w:right w:val="nil"/>
            </w:tcBorders>
            <w:shd w:val="clear" w:color="auto" w:fill="auto"/>
            <w:noWrap/>
            <w:vAlign w:val="center"/>
            <w:hideMark/>
          </w:tcPr>
          <w:p w14:paraId="4632AAC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w:t>
            </w:r>
          </w:p>
        </w:tc>
        <w:tc>
          <w:tcPr>
            <w:tcW w:w="751" w:type="pct"/>
            <w:tcBorders>
              <w:top w:val="nil"/>
              <w:left w:val="nil"/>
              <w:bottom w:val="nil"/>
              <w:right w:val="nil"/>
            </w:tcBorders>
            <w:shd w:val="clear" w:color="auto" w:fill="auto"/>
            <w:noWrap/>
            <w:vAlign w:val="center"/>
            <w:hideMark/>
          </w:tcPr>
          <w:p w14:paraId="20CD6DBB"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9.0</w:t>
            </w:r>
          </w:p>
        </w:tc>
        <w:tc>
          <w:tcPr>
            <w:tcW w:w="453" w:type="pct"/>
            <w:tcBorders>
              <w:top w:val="nil"/>
              <w:left w:val="nil"/>
              <w:bottom w:val="nil"/>
              <w:right w:val="nil"/>
            </w:tcBorders>
            <w:shd w:val="clear" w:color="auto" w:fill="auto"/>
            <w:noWrap/>
            <w:vAlign w:val="center"/>
            <w:hideMark/>
          </w:tcPr>
          <w:p w14:paraId="03F75A95" w14:textId="5745B75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74.3</w:t>
            </w:r>
          </w:p>
        </w:tc>
      </w:tr>
      <w:tr w:rsidR="00771B6F" w:rsidRPr="00357722" w14:paraId="75A8F9C3" w14:textId="77777777" w:rsidTr="00771B6F">
        <w:trPr>
          <w:trHeight w:val="300"/>
        </w:trPr>
        <w:tc>
          <w:tcPr>
            <w:tcW w:w="966" w:type="pct"/>
            <w:tcBorders>
              <w:top w:val="nil"/>
              <w:left w:val="nil"/>
              <w:bottom w:val="nil"/>
              <w:right w:val="nil"/>
            </w:tcBorders>
            <w:shd w:val="clear" w:color="auto" w:fill="auto"/>
            <w:noWrap/>
            <w:vAlign w:val="center"/>
            <w:hideMark/>
          </w:tcPr>
          <w:p w14:paraId="082DDC67"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Std. Dev.</w:t>
            </w:r>
          </w:p>
        </w:tc>
        <w:tc>
          <w:tcPr>
            <w:tcW w:w="693" w:type="pct"/>
            <w:tcBorders>
              <w:top w:val="nil"/>
              <w:left w:val="nil"/>
              <w:bottom w:val="nil"/>
              <w:right w:val="nil"/>
            </w:tcBorders>
            <w:shd w:val="clear" w:color="auto" w:fill="auto"/>
            <w:noWrap/>
            <w:vAlign w:val="center"/>
            <w:hideMark/>
          </w:tcPr>
          <w:p w14:paraId="626D05C0"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w:t>
            </w:r>
          </w:p>
        </w:tc>
        <w:tc>
          <w:tcPr>
            <w:tcW w:w="747" w:type="pct"/>
            <w:tcBorders>
              <w:top w:val="nil"/>
              <w:left w:val="nil"/>
              <w:bottom w:val="nil"/>
              <w:right w:val="nil"/>
            </w:tcBorders>
            <w:shd w:val="clear" w:color="auto" w:fill="auto"/>
            <w:noWrap/>
            <w:vAlign w:val="center"/>
            <w:hideMark/>
          </w:tcPr>
          <w:p w14:paraId="0B8288A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w:t>
            </w:r>
          </w:p>
        </w:tc>
        <w:tc>
          <w:tcPr>
            <w:tcW w:w="663" w:type="pct"/>
            <w:tcBorders>
              <w:top w:val="nil"/>
              <w:left w:val="nil"/>
              <w:bottom w:val="nil"/>
              <w:right w:val="nil"/>
            </w:tcBorders>
            <w:shd w:val="clear" w:color="auto" w:fill="auto"/>
            <w:noWrap/>
            <w:vAlign w:val="center"/>
            <w:hideMark/>
          </w:tcPr>
          <w:p w14:paraId="29C0D904"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w:t>
            </w:r>
          </w:p>
        </w:tc>
        <w:tc>
          <w:tcPr>
            <w:tcW w:w="726" w:type="pct"/>
            <w:tcBorders>
              <w:top w:val="nil"/>
              <w:left w:val="nil"/>
              <w:bottom w:val="nil"/>
              <w:right w:val="nil"/>
            </w:tcBorders>
            <w:shd w:val="clear" w:color="auto" w:fill="auto"/>
            <w:noWrap/>
            <w:vAlign w:val="center"/>
            <w:hideMark/>
          </w:tcPr>
          <w:p w14:paraId="66523555"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w:t>
            </w:r>
          </w:p>
        </w:tc>
        <w:tc>
          <w:tcPr>
            <w:tcW w:w="751" w:type="pct"/>
            <w:tcBorders>
              <w:top w:val="nil"/>
              <w:left w:val="nil"/>
              <w:bottom w:val="nil"/>
              <w:right w:val="nil"/>
            </w:tcBorders>
            <w:shd w:val="clear" w:color="auto" w:fill="auto"/>
            <w:noWrap/>
            <w:vAlign w:val="center"/>
            <w:hideMark/>
          </w:tcPr>
          <w:p w14:paraId="7AD4F7A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w:t>
            </w:r>
          </w:p>
        </w:tc>
        <w:tc>
          <w:tcPr>
            <w:tcW w:w="453" w:type="pct"/>
            <w:tcBorders>
              <w:top w:val="nil"/>
              <w:left w:val="nil"/>
              <w:bottom w:val="nil"/>
              <w:right w:val="nil"/>
            </w:tcBorders>
            <w:shd w:val="clear" w:color="auto" w:fill="auto"/>
            <w:noWrap/>
            <w:vAlign w:val="center"/>
            <w:hideMark/>
          </w:tcPr>
          <w:p w14:paraId="572D086C" w14:textId="28975C0C"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7.9</w:t>
            </w:r>
          </w:p>
        </w:tc>
      </w:tr>
      <w:tr w:rsidR="00771B6F" w:rsidRPr="00357722" w14:paraId="4C3BB707" w14:textId="77777777" w:rsidTr="00771B6F">
        <w:trPr>
          <w:trHeight w:val="300"/>
        </w:trPr>
        <w:tc>
          <w:tcPr>
            <w:tcW w:w="966" w:type="pct"/>
            <w:tcBorders>
              <w:top w:val="nil"/>
              <w:left w:val="nil"/>
              <w:bottom w:val="nil"/>
              <w:right w:val="nil"/>
            </w:tcBorders>
            <w:shd w:val="clear" w:color="auto" w:fill="auto"/>
            <w:noWrap/>
            <w:vAlign w:val="center"/>
            <w:hideMark/>
          </w:tcPr>
          <w:p w14:paraId="6E82A892"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Minimum</w:t>
            </w:r>
          </w:p>
        </w:tc>
        <w:tc>
          <w:tcPr>
            <w:tcW w:w="693" w:type="pct"/>
            <w:tcBorders>
              <w:top w:val="nil"/>
              <w:left w:val="nil"/>
              <w:bottom w:val="nil"/>
              <w:right w:val="nil"/>
            </w:tcBorders>
            <w:shd w:val="clear" w:color="auto" w:fill="auto"/>
            <w:noWrap/>
            <w:vAlign w:val="center"/>
            <w:hideMark/>
          </w:tcPr>
          <w:p w14:paraId="2589D743"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w:t>
            </w:r>
          </w:p>
        </w:tc>
        <w:tc>
          <w:tcPr>
            <w:tcW w:w="747" w:type="pct"/>
            <w:tcBorders>
              <w:top w:val="nil"/>
              <w:left w:val="nil"/>
              <w:bottom w:val="nil"/>
              <w:right w:val="nil"/>
            </w:tcBorders>
            <w:shd w:val="clear" w:color="auto" w:fill="auto"/>
            <w:noWrap/>
            <w:vAlign w:val="center"/>
            <w:hideMark/>
          </w:tcPr>
          <w:p w14:paraId="3413E04F"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w:t>
            </w:r>
          </w:p>
        </w:tc>
        <w:tc>
          <w:tcPr>
            <w:tcW w:w="663" w:type="pct"/>
            <w:tcBorders>
              <w:top w:val="nil"/>
              <w:left w:val="nil"/>
              <w:bottom w:val="nil"/>
              <w:right w:val="nil"/>
            </w:tcBorders>
            <w:shd w:val="clear" w:color="auto" w:fill="auto"/>
            <w:noWrap/>
            <w:vAlign w:val="center"/>
            <w:hideMark/>
          </w:tcPr>
          <w:p w14:paraId="79910EA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w:t>
            </w:r>
          </w:p>
        </w:tc>
        <w:tc>
          <w:tcPr>
            <w:tcW w:w="726" w:type="pct"/>
            <w:tcBorders>
              <w:top w:val="nil"/>
              <w:left w:val="nil"/>
              <w:bottom w:val="nil"/>
              <w:right w:val="nil"/>
            </w:tcBorders>
            <w:shd w:val="clear" w:color="auto" w:fill="auto"/>
            <w:noWrap/>
            <w:vAlign w:val="center"/>
            <w:hideMark/>
          </w:tcPr>
          <w:p w14:paraId="4CEC730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-7.8</w:t>
            </w:r>
          </w:p>
        </w:tc>
        <w:tc>
          <w:tcPr>
            <w:tcW w:w="751" w:type="pct"/>
            <w:tcBorders>
              <w:top w:val="nil"/>
              <w:left w:val="nil"/>
              <w:bottom w:val="nil"/>
              <w:right w:val="nil"/>
            </w:tcBorders>
            <w:shd w:val="clear" w:color="auto" w:fill="auto"/>
            <w:noWrap/>
            <w:vAlign w:val="center"/>
            <w:hideMark/>
          </w:tcPr>
          <w:p w14:paraId="2606140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w:t>
            </w:r>
          </w:p>
        </w:tc>
        <w:tc>
          <w:tcPr>
            <w:tcW w:w="453" w:type="pct"/>
            <w:tcBorders>
              <w:top w:val="nil"/>
              <w:left w:val="nil"/>
              <w:bottom w:val="nil"/>
              <w:right w:val="nil"/>
            </w:tcBorders>
            <w:shd w:val="clear" w:color="auto" w:fill="auto"/>
            <w:noWrap/>
            <w:vAlign w:val="center"/>
            <w:hideMark/>
          </w:tcPr>
          <w:p w14:paraId="523B6919" w14:textId="5DA8A1E1"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4.62</w:t>
            </w:r>
          </w:p>
        </w:tc>
      </w:tr>
      <w:tr w:rsidR="00771B6F" w:rsidRPr="00357722" w14:paraId="2185C073" w14:textId="77777777" w:rsidTr="00771B6F">
        <w:trPr>
          <w:trHeight w:val="300"/>
        </w:trPr>
        <w:tc>
          <w:tcPr>
            <w:tcW w:w="966" w:type="pct"/>
            <w:tcBorders>
              <w:top w:val="nil"/>
              <w:left w:val="nil"/>
              <w:bottom w:val="single" w:sz="4" w:space="0" w:color="auto"/>
              <w:right w:val="nil"/>
            </w:tcBorders>
            <w:shd w:val="clear" w:color="auto" w:fill="auto"/>
            <w:noWrap/>
            <w:vAlign w:val="center"/>
            <w:hideMark/>
          </w:tcPr>
          <w:p w14:paraId="29E9644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Maximum</w:t>
            </w:r>
          </w:p>
        </w:tc>
        <w:tc>
          <w:tcPr>
            <w:tcW w:w="693" w:type="pct"/>
            <w:tcBorders>
              <w:top w:val="nil"/>
              <w:left w:val="nil"/>
              <w:bottom w:val="single" w:sz="4" w:space="0" w:color="auto"/>
              <w:right w:val="nil"/>
            </w:tcBorders>
            <w:shd w:val="clear" w:color="auto" w:fill="auto"/>
            <w:noWrap/>
            <w:vAlign w:val="center"/>
            <w:hideMark/>
          </w:tcPr>
          <w:p w14:paraId="79B9D93A"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6.1</w:t>
            </w:r>
          </w:p>
        </w:tc>
        <w:tc>
          <w:tcPr>
            <w:tcW w:w="747" w:type="pct"/>
            <w:tcBorders>
              <w:top w:val="nil"/>
              <w:left w:val="nil"/>
              <w:bottom w:val="single" w:sz="4" w:space="0" w:color="auto"/>
              <w:right w:val="nil"/>
            </w:tcBorders>
            <w:shd w:val="clear" w:color="auto" w:fill="auto"/>
            <w:noWrap/>
            <w:vAlign w:val="center"/>
            <w:hideMark/>
          </w:tcPr>
          <w:p w14:paraId="69CF7E8E"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5.4</w:t>
            </w:r>
          </w:p>
        </w:tc>
        <w:tc>
          <w:tcPr>
            <w:tcW w:w="663" w:type="pct"/>
            <w:tcBorders>
              <w:top w:val="nil"/>
              <w:left w:val="nil"/>
              <w:bottom w:val="single" w:sz="4" w:space="0" w:color="auto"/>
              <w:right w:val="nil"/>
            </w:tcBorders>
            <w:shd w:val="clear" w:color="auto" w:fill="auto"/>
            <w:noWrap/>
            <w:vAlign w:val="center"/>
            <w:hideMark/>
          </w:tcPr>
          <w:p w14:paraId="5836EA6C"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5.5</w:t>
            </w:r>
          </w:p>
        </w:tc>
        <w:tc>
          <w:tcPr>
            <w:tcW w:w="726" w:type="pct"/>
            <w:tcBorders>
              <w:top w:val="nil"/>
              <w:left w:val="nil"/>
              <w:bottom w:val="single" w:sz="4" w:space="0" w:color="auto"/>
              <w:right w:val="nil"/>
            </w:tcBorders>
            <w:shd w:val="clear" w:color="auto" w:fill="auto"/>
            <w:noWrap/>
            <w:vAlign w:val="center"/>
            <w:hideMark/>
          </w:tcPr>
          <w:p w14:paraId="4DCC0D19"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-1.6</w:t>
            </w:r>
          </w:p>
        </w:tc>
        <w:tc>
          <w:tcPr>
            <w:tcW w:w="751" w:type="pct"/>
            <w:tcBorders>
              <w:top w:val="nil"/>
              <w:left w:val="nil"/>
              <w:bottom w:val="single" w:sz="4" w:space="0" w:color="auto"/>
              <w:right w:val="nil"/>
            </w:tcBorders>
            <w:shd w:val="clear" w:color="auto" w:fill="auto"/>
            <w:noWrap/>
            <w:vAlign w:val="center"/>
            <w:hideMark/>
          </w:tcPr>
          <w:p w14:paraId="281F4616" w14:textId="7777777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14.5</w:t>
            </w:r>
          </w:p>
        </w:tc>
        <w:tc>
          <w:tcPr>
            <w:tcW w:w="453" w:type="pct"/>
            <w:tcBorders>
              <w:top w:val="nil"/>
              <w:left w:val="nil"/>
              <w:bottom w:val="single" w:sz="4" w:space="0" w:color="auto"/>
              <w:right w:val="nil"/>
            </w:tcBorders>
            <w:shd w:val="clear" w:color="auto" w:fill="auto"/>
            <w:noWrap/>
            <w:vAlign w:val="center"/>
            <w:hideMark/>
          </w:tcPr>
          <w:p w14:paraId="52D070D7" w14:textId="29571D57" w:rsidR="00CE0915" w:rsidRPr="00357722" w:rsidRDefault="00CE0915" w:rsidP="00CE0915">
            <w:pPr>
              <w:spacing w:after="0" w:line="48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91.2</w:t>
            </w:r>
          </w:p>
        </w:tc>
      </w:tr>
    </w:tbl>
    <w:p w14:paraId="5EC6FC33" w14:textId="71C18ACA" w:rsidR="00A558EB" w:rsidRPr="00357722" w:rsidRDefault="00771B6F" w:rsidP="005636E8">
      <w:pPr>
        <w:autoSpaceDE w:val="0"/>
        <w:autoSpaceDN w:val="0"/>
        <w:adjustRightInd w:val="0"/>
        <w:spacing w:after="0" w:line="480" w:lineRule="auto"/>
        <w:jc w:val="both"/>
        <w:rPr>
          <w:rFonts w:ascii="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18"/>
          <w:szCs w:val="18"/>
          <w:lang w:val="en-US"/>
        </w:rPr>
        <w:t xml:space="preserve">Notes: All variables are as defined in </w:t>
      </w:r>
      <w:proofErr w:type="spellStart"/>
      <w:r w:rsidRPr="00357722">
        <w:rPr>
          <w:rFonts w:ascii="Times New Roman" w:eastAsia="Times New Roman" w:hAnsi="Times New Roman" w:cs="Times New Roman"/>
          <w:color w:val="000000" w:themeColor="text1"/>
          <w:sz w:val="18"/>
          <w:szCs w:val="18"/>
          <w:lang w:val="en-US"/>
        </w:rPr>
        <w:t>Appedix</w:t>
      </w:r>
      <w:proofErr w:type="spellEnd"/>
      <w:r w:rsidRPr="00357722">
        <w:rPr>
          <w:rFonts w:ascii="Times New Roman" w:eastAsia="Times New Roman" w:hAnsi="Times New Roman" w:cs="Times New Roman"/>
          <w:color w:val="000000" w:themeColor="text1"/>
          <w:sz w:val="18"/>
          <w:szCs w:val="18"/>
          <w:lang w:val="en-US"/>
        </w:rPr>
        <w:t xml:space="preserve"> A1. </w:t>
      </w:r>
    </w:p>
    <w:p w14:paraId="420D2E5D" w14:textId="6E95BE7D" w:rsidR="00DB7887" w:rsidRPr="00357722" w:rsidRDefault="00DB7887" w:rsidP="005636E8">
      <w:pPr>
        <w:spacing w:after="0" w:line="480" w:lineRule="auto"/>
        <w:ind w:left="170" w:hanging="170"/>
        <w:jc w:val="both"/>
        <w:rPr>
          <w:rFonts w:ascii="Times New Roman" w:hAnsi="Times New Roman" w:cs="Times New Roman"/>
          <w:color w:val="000000" w:themeColor="text1"/>
          <w:sz w:val="24"/>
          <w:szCs w:val="24"/>
          <w:shd w:val="clear" w:color="auto" w:fill="FFFFFF"/>
        </w:rPr>
      </w:pPr>
    </w:p>
    <w:p w14:paraId="06D7EC89" w14:textId="73F57A80" w:rsidR="00A558EB" w:rsidRPr="00357722" w:rsidRDefault="00A558EB" w:rsidP="005636E8">
      <w:pPr>
        <w:spacing w:after="0" w:line="480" w:lineRule="auto"/>
        <w:jc w:val="both"/>
        <w:rPr>
          <w:rFonts w:ascii="Times New Roman" w:hAnsi="Times New Roman" w:cs="Times New Roman"/>
          <w:color w:val="000000" w:themeColor="text1"/>
          <w:sz w:val="24"/>
          <w:szCs w:val="24"/>
          <w:shd w:val="clear" w:color="auto" w:fill="FFFFFF"/>
        </w:rPr>
        <w:sectPr w:rsidR="00A558EB" w:rsidRPr="00357722" w:rsidSect="00C34896">
          <w:pgSz w:w="11906" w:h="16838"/>
          <w:pgMar w:top="1440" w:right="1440" w:bottom="1440" w:left="993" w:header="708" w:footer="708" w:gutter="0"/>
          <w:cols w:space="708"/>
          <w:docGrid w:linePitch="360"/>
        </w:sectPr>
      </w:pPr>
    </w:p>
    <w:p w14:paraId="0BBF3739" w14:textId="27CB89B9" w:rsidR="00ED7A24" w:rsidRPr="008F5983" w:rsidRDefault="00ED7A24" w:rsidP="005636E8">
      <w:pPr>
        <w:widowControl w:val="0"/>
        <w:autoSpaceDE w:val="0"/>
        <w:autoSpaceDN w:val="0"/>
        <w:adjustRightInd w:val="0"/>
        <w:spacing w:after="0" w:line="480" w:lineRule="auto"/>
        <w:jc w:val="both"/>
        <w:rPr>
          <w:rFonts w:ascii="Times New Roman" w:hAnsi="Times New Roman" w:cs="Times New Roman"/>
          <w:b/>
          <w:color w:val="000000" w:themeColor="text1"/>
        </w:rPr>
      </w:pPr>
      <w:r w:rsidRPr="00357722">
        <w:rPr>
          <w:rFonts w:ascii="Times New Roman" w:hAnsi="Times New Roman" w:cs="Times New Roman"/>
          <w:b/>
          <w:color w:val="000000" w:themeColor="text1"/>
        </w:rPr>
        <w:lastRenderedPageBreak/>
        <w:t xml:space="preserve">Table </w:t>
      </w:r>
      <w:r w:rsidR="00032333" w:rsidRPr="00357722">
        <w:rPr>
          <w:rFonts w:ascii="Times New Roman" w:hAnsi="Times New Roman" w:cs="Times New Roman"/>
          <w:b/>
          <w:color w:val="000000" w:themeColor="text1"/>
        </w:rPr>
        <w:t>2</w:t>
      </w:r>
      <w:r w:rsidRPr="00357722">
        <w:rPr>
          <w:rFonts w:ascii="Times New Roman" w:hAnsi="Times New Roman" w:cs="Times New Roman"/>
          <w:b/>
          <w:color w:val="000000" w:themeColor="text1"/>
        </w:rPr>
        <w:t xml:space="preserve">: </w:t>
      </w:r>
      <w:r w:rsidR="007F2B37" w:rsidRPr="00357722">
        <w:rPr>
          <w:rFonts w:ascii="Times New Roman" w:hAnsi="Times New Roman" w:cs="Times New Roman"/>
          <w:b/>
          <w:color w:val="000000" w:themeColor="text1"/>
        </w:rPr>
        <w:t>Summary statistics of</w:t>
      </w:r>
      <w:r w:rsidR="008F5983">
        <w:rPr>
          <w:rFonts w:ascii="Times New Roman" w:hAnsi="Times New Roman" w:cs="Times New Roman"/>
          <w:b/>
          <w:color w:val="000000" w:themeColor="text1"/>
        </w:rPr>
        <w:t xml:space="preserve"> control variables</w:t>
      </w:r>
    </w:p>
    <w:tbl>
      <w:tblPr>
        <w:tblW w:w="3595" w:type="pct"/>
        <w:tblLayout w:type="fixed"/>
        <w:tblLook w:val="04A0" w:firstRow="1" w:lastRow="0" w:firstColumn="1" w:lastColumn="0" w:noHBand="0" w:noVBand="1"/>
      </w:tblPr>
      <w:tblGrid>
        <w:gridCol w:w="1844"/>
        <w:gridCol w:w="887"/>
        <w:gridCol w:w="937"/>
        <w:gridCol w:w="839"/>
        <w:gridCol w:w="662"/>
        <w:gridCol w:w="684"/>
        <w:gridCol w:w="811"/>
        <w:gridCol w:w="973"/>
        <w:gridCol w:w="835"/>
        <w:gridCol w:w="1026"/>
        <w:gridCol w:w="538"/>
      </w:tblGrid>
      <w:tr w:rsidR="00AC4020" w:rsidRPr="00357722" w14:paraId="10C74E5C" w14:textId="77777777" w:rsidTr="005F41CC">
        <w:trPr>
          <w:trHeight w:val="500"/>
        </w:trPr>
        <w:tc>
          <w:tcPr>
            <w:tcW w:w="5000" w:type="pct"/>
            <w:gridSpan w:val="11"/>
            <w:tcBorders>
              <w:top w:val="single" w:sz="8" w:space="0" w:color="auto"/>
              <w:left w:val="nil"/>
              <w:bottom w:val="single" w:sz="4" w:space="0" w:color="auto"/>
              <w:right w:val="nil"/>
            </w:tcBorders>
            <w:shd w:val="clear" w:color="auto" w:fill="auto"/>
            <w:noWrap/>
            <w:vAlign w:val="center"/>
            <w:hideMark/>
          </w:tcPr>
          <w:p w14:paraId="202A45DF"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Panel A: Developed Economies</w:t>
            </w:r>
          </w:p>
        </w:tc>
      </w:tr>
      <w:tr w:rsidR="0044607F" w:rsidRPr="00357722" w14:paraId="45A34320" w14:textId="77777777" w:rsidTr="005F41CC">
        <w:trPr>
          <w:trHeight w:val="559"/>
        </w:trPr>
        <w:tc>
          <w:tcPr>
            <w:tcW w:w="918" w:type="pct"/>
            <w:tcBorders>
              <w:top w:val="nil"/>
              <w:left w:val="nil"/>
              <w:bottom w:val="single" w:sz="4" w:space="0" w:color="auto"/>
              <w:right w:val="nil"/>
            </w:tcBorders>
            <w:shd w:val="clear" w:color="auto" w:fill="auto"/>
            <w:noWrap/>
            <w:vAlign w:val="center"/>
            <w:hideMark/>
          </w:tcPr>
          <w:p w14:paraId="4915EACD" w14:textId="77777777" w:rsidR="00AC4020" w:rsidRPr="00357722" w:rsidRDefault="00AC4020" w:rsidP="005636E8">
            <w:pPr>
              <w:spacing w:after="0" w:line="480" w:lineRule="auto"/>
              <w:jc w:val="both"/>
              <w:rPr>
                <w:rFonts w:ascii="Times New Roman" w:eastAsia="Times New Roman" w:hAnsi="Times New Roman" w:cs="Times New Roman"/>
                <w:b/>
                <w:color w:val="000000"/>
                <w:sz w:val="16"/>
                <w:szCs w:val="16"/>
              </w:rPr>
            </w:pPr>
            <w:r w:rsidRPr="00357722">
              <w:rPr>
                <w:rFonts w:ascii="Times New Roman" w:eastAsia="Times New Roman" w:hAnsi="Times New Roman" w:cs="Times New Roman"/>
                <w:b/>
                <w:color w:val="000000"/>
                <w:sz w:val="16"/>
                <w:szCs w:val="16"/>
              </w:rPr>
              <w:t> Country</w:t>
            </w:r>
          </w:p>
        </w:tc>
        <w:tc>
          <w:tcPr>
            <w:tcW w:w="442" w:type="pct"/>
            <w:tcBorders>
              <w:top w:val="nil"/>
              <w:left w:val="nil"/>
              <w:bottom w:val="single" w:sz="4" w:space="0" w:color="auto"/>
              <w:right w:val="nil"/>
            </w:tcBorders>
            <w:shd w:val="clear" w:color="auto" w:fill="auto"/>
            <w:noWrap/>
            <w:vAlign w:val="center"/>
            <w:hideMark/>
          </w:tcPr>
          <w:p w14:paraId="68DD89F8" w14:textId="0E0D5BF7" w:rsidR="00AC4020" w:rsidRPr="00357722" w:rsidRDefault="008857A2"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FSDGDP</w:t>
            </w:r>
          </w:p>
        </w:tc>
        <w:tc>
          <w:tcPr>
            <w:tcW w:w="467" w:type="pct"/>
            <w:tcBorders>
              <w:top w:val="nil"/>
              <w:left w:val="nil"/>
              <w:bottom w:val="single" w:sz="4" w:space="0" w:color="auto"/>
              <w:right w:val="nil"/>
            </w:tcBorders>
            <w:shd w:val="clear" w:color="auto" w:fill="auto"/>
            <w:noWrap/>
            <w:vAlign w:val="center"/>
            <w:hideMark/>
          </w:tcPr>
          <w:p w14:paraId="1602E496" w14:textId="77777777" w:rsidR="00AC4020" w:rsidRPr="00357722" w:rsidRDefault="00AC4020"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 xml:space="preserve">FINOPEN </w:t>
            </w:r>
          </w:p>
        </w:tc>
        <w:tc>
          <w:tcPr>
            <w:tcW w:w="418" w:type="pct"/>
            <w:tcBorders>
              <w:top w:val="nil"/>
              <w:left w:val="nil"/>
              <w:bottom w:val="single" w:sz="4" w:space="0" w:color="auto"/>
              <w:right w:val="nil"/>
            </w:tcBorders>
            <w:shd w:val="clear" w:color="auto" w:fill="auto"/>
            <w:noWrap/>
            <w:vAlign w:val="center"/>
            <w:hideMark/>
          </w:tcPr>
          <w:p w14:paraId="0807FAC7" w14:textId="77777777" w:rsidR="00AC4020" w:rsidRPr="00357722" w:rsidRDefault="00AC4020" w:rsidP="005636E8">
            <w:pPr>
              <w:spacing w:after="0" w:line="480" w:lineRule="auto"/>
              <w:jc w:val="both"/>
              <w:rPr>
                <w:rFonts w:ascii="Times New Roman" w:eastAsia="Times New Roman" w:hAnsi="Times New Roman" w:cs="Times New Roman"/>
                <w:b/>
                <w:color w:val="000000"/>
                <w:sz w:val="16"/>
                <w:szCs w:val="16"/>
              </w:rPr>
            </w:pPr>
            <w:r w:rsidRPr="00357722">
              <w:rPr>
                <w:rFonts w:ascii="Times New Roman" w:eastAsia="Times New Roman" w:hAnsi="Times New Roman" w:cs="Times New Roman"/>
                <w:b/>
                <w:color w:val="000000"/>
                <w:sz w:val="16"/>
                <w:szCs w:val="16"/>
              </w:rPr>
              <w:t>LAWNO</w:t>
            </w:r>
          </w:p>
        </w:tc>
        <w:tc>
          <w:tcPr>
            <w:tcW w:w="330" w:type="pct"/>
            <w:tcBorders>
              <w:top w:val="nil"/>
              <w:left w:val="nil"/>
              <w:bottom w:val="single" w:sz="4" w:space="0" w:color="auto"/>
              <w:right w:val="nil"/>
            </w:tcBorders>
            <w:shd w:val="clear" w:color="auto" w:fill="auto"/>
            <w:noWrap/>
            <w:vAlign w:val="center"/>
            <w:hideMark/>
          </w:tcPr>
          <w:p w14:paraId="352C652F" w14:textId="77777777" w:rsidR="00AC4020" w:rsidRPr="00357722" w:rsidRDefault="00AC4020" w:rsidP="005636E8">
            <w:pPr>
              <w:spacing w:after="0" w:line="480" w:lineRule="auto"/>
              <w:jc w:val="both"/>
              <w:rPr>
                <w:rFonts w:ascii="Times New Roman" w:eastAsia="Times New Roman" w:hAnsi="Times New Roman" w:cs="Times New Roman"/>
                <w:b/>
                <w:color w:val="000000"/>
                <w:sz w:val="16"/>
                <w:szCs w:val="16"/>
              </w:rPr>
            </w:pPr>
            <w:r w:rsidRPr="00357722">
              <w:rPr>
                <w:rFonts w:ascii="Times New Roman" w:eastAsia="Times New Roman" w:hAnsi="Times New Roman" w:cs="Times New Roman"/>
                <w:b/>
                <w:color w:val="000000"/>
                <w:sz w:val="16"/>
                <w:szCs w:val="16"/>
              </w:rPr>
              <w:t>POPG</w:t>
            </w:r>
          </w:p>
        </w:tc>
        <w:tc>
          <w:tcPr>
            <w:tcW w:w="341" w:type="pct"/>
            <w:tcBorders>
              <w:top w:val="nil"/>
              <w:left w:val="nil"/>
              <w:bottom w:val="single" w:sz="4" w:space="0" w:color="auto"/>
              <w:right w:val="nil"/>
            </w:tcBorders>
            <w:shd w:val="clear" w:color="auto" w:fill="auto"/>
            <w:noWrap/>
            <w:vAlign w:val="center"/>
            <w:hideMark/>
          </w:tcPr>
          <w:p w14:paraId="03327B18" w14:textId="77777777" w:rsidR="00AC4020" w:rsidRPr="00357722" w:rsidRDefault="00AC4020"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GDPG</w:t>
            </w:r>
          </w:p>
        </w:tc>
        <w:tc>
          <w:tcPr>
            <w:tcW w:w="404" w:type="pct"/>
            <w:tcBorders>
              <w:top w:val="nil"/>
              <w:left w:val="nil"/>
              <w:bottom w:val="single" w:sz="4" w:space="0" w:color="auto"/>
              <w:right w:val="nil"/>
            </w:tcBorders>
            <w:shd w:val="clear" w:color="auto" w:fill="auto"/>
            <w:noWrap/>
            <w:vAlign w:val="center"/>
            <w:hideMark/>
          </w:tcPr>
          <w:p w14:paraId="42A8F1FA" w14:textId="77777777" w:rsidR="00AC4020" w:rsidRPr="00357722" w:rsidRDefault="00AC4020"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 xml:space="preserve">INFL </w:t>
            </w:r>
          </w:p>
        </w:tc>
        <w:tc>
          <w:tcPr>
            <w:tcW w:w="485" w:type="pct"/>
            <w:tcBorders>
              <w:top w:val="nil"/>
              <w:left w:val="nil"/>
              <w:bottom w:val="single" w:sz="4" w:space="0" w:color="auto"/>
              <w:right w:val="nil"/>
            </w:tcBorders>
            <w:shd w:val="clear" w:color="auto" w:fill="auto"/>
            <w:noWrap/>
            <w:vAlign w:val="center"/>
            <w:hideMark/>
          </w:tcPr>
          <w:p w14:paraId="6657EEBE" w14:textId="77777777" w:rsidR="00AC4020" w:rsidRPr="00357722" w:rsidRDefault="00AC4020"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TRDOPEN</w:t>
            </w:r>
          </w:p>
        </w:tc>
        <w:tc>
          <w:tcPr>
            <w:tcW w:w="416" w:type="pct"/>
            <w:tcBorders>
              <w:top w:val="nil"/>
              <w:left w:val="nil"/>
              <w:bottom w:val="single" w:sz="4" w:space="0" w:color="auto"/>
              <w:right w:val="nil"/>
            </w:tcBorders>
            <w:shd w:val="clear" w:color="auto" w:fill="auto"/>
            <w:noWrap/>
            <w:vAlign w:val="center"/>
            <w:hideMark/>
          </w:tcPr>
          <w:p w14:paraId="566EE795" w14:textId="77777777" w:rsidR="00AC4020" w:rsidRPr="00357722" w:rsidRDefault="00AC4020"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 xml:space="preserve">REMITT </w:t>
            </w:r>
          </w:p>
        </w:tc>
        <w:tc>
          <w:tcPr>
            <w:tcW w:w="511" w:type="pct"/>
            <w:tcBorders>
              <w:top w:val="nil"/>
              <w:left w:val="nil"/>
              <w:bottom w:val="single" w:sz="4" w:space="0" w:color="auto"/>
              <w:right w:val="nil"/>
            </w:tcBorders>
            <w:shd w:val="clear" w:color="auto" w:fill="auto"/>
            <w:noWrap/>
            <w:vAlign w:val="center"/>
            <w:hideMark/>
          </w:tcPr>
          <w:p w14:paraId="77B722EE" w14:textId="318DBF8A" w:rsidR="00AC4020" w:rsidRPr="00357722" w:rsidRDefault="008857A2"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OTIDSGDP</w:t>
            </w:r>
          </w:p>
        </w:tc>
        <w:tc>
          <w:tcPr>
            <w:tcW w:w="268" w:type="pct"/>
            <w:tcBorders>
              <w:top w:val="nil"/>
              <w:left w:val="nil"/>
              <w:bottom w:val="single" w:sz="4" w:space="0" w:color="auto"/>
              <w:right w:val="nil"/>
            </w:tcBorders>
            <w:shd w:val="clear" w:color="auto" w:fill="auto"/>
            <w:noWrap/>
            <w:vAlign w:val="center"/>
            <w:hideMark/>
          </w:tcPr>
          <w:p w14:paraId="47C40291" w14:textId="77777777" w:rsidR="00AC4020" w:rsidRPr="00357722" w:rsidRDefault="00AC4020" w:rsidP="005636E8">
            <w:pPr>
              <w:spacing w:after="0" w:line="480" w:lineRule="auto"/>
              <w:jc w:val="both"/>
              <w:rPr>
                <w:rFonts w:ascii="Times New Roman" w:eastAsia="Times New Roman" w:hAnsi="Times New Roman" w:cs="Times New Roman"/>
                <w:b/>
                <w:i/>
                <w:iCs/>
                <w:color w:val="000000"/>
                <w:sz w:val="16"/>
                <w:szCs w:val="16"/>
              </w:rPr>
            </w:pPr>
            <w:r w:rsidRPr="00357722">
              <w:rPr>
                <w:rFonts w:ascii="Times New Roman" w:eastAsia="Times New Roman" w:hAnsi="Times New Roman" w:cs="Times New Roman"/>
                <w:b/>
                <w:i/>
                <w:iCs/>
                <w:color w:val="000000"/>
                <w:sz w:val="16"/>
                <w:szCs w:val="16"/>
              </w:rPr>
              <w:t>LEGORI</w:t>
            </w:r>
          </w:p>
        </w:tc>
      </w:tr>
      <w:tr w:rsidR="0044607F" w:rsidRPr="00357722" w14:paraId="0AEF68ED" w14:textId="77777777" w:rsidTr="005F41CC">
        <w:trPr>
          <w:trHeight w:val="240"/>
        </w:trPr>
        <w:tc>
          <w:tcPr>
            <w:tcW w:w="918" w:type="pct"/>
            <w:tcBorders>
              <w:top w:val="nil"/>
              <w:left w:val="nil"/>
              <w:bottom w:val="nil"/>
              <w:right w:val="nil"/>
            </w:tcBorders>
            <w:shd w:val="clear" w:color="auto" w:fill="auto"/>
            <w:noWrap/>
            <w:vAlign w:val="center"/>
            <w:hideMark/>
          </w:tcPr>
          <w:p w14:paraId="2353034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Australia</w:t>
            </w:r>
          </w:p>
        </w:tc>
        <w:tc>
          <w:tcPr>
            <w:tcW w:w="442" w:type="pct"/>
            <w:tcBorders>
              <w:top w:val="nil"/>
              <w:left w:val="nil"/>
              <w:bottom w:val="nil"/>
              <w:right w:val="nil"/>
            </w:tcBorders>
            <w:shd w:val="clear" w:color="auto" w:fill="auto"/>
            <w:noWrap/>
            <w:vAlign w:val="center"/>
            <w:hideMark/>
          </w:tcPr>
          <w:p w14:paraId="42B1C72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84.32</w:t>
            </w:r>
          </w:p>
        </w:tc>
        <w:tc>
          <w:tcPr>
            <w:tcW w:w="467" w:type="pct"/>
            <w:tcBorders>
              <w:top w:val="nil"/>
              <w:left w:val="nil"/>
              <w:bottom w:val="nil"/>
              <w:right w:val="nil"/>
            </w:tcBorders>
            <w:shd w:val="clear" w:color="auto" w:fill="auto"/>
            <w:noWrap/>
            <w:vAlign w:val="center"/>
            <w:hideMark/>
          </w:tcPr>
          <w:p w14:paraId="3931455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1.25</w:t>
            </w:r>
          </w:p>
        </w:tc>
        <w:tc>
          <w:tcPr>
            <w:tcW w:w="418" w:type="pct"/>
            <w:tcBorders>
              <w:top w:val="nil"/>
              <w:left w:val="nil"/>
              <w:bottom w:val="nil"/>
              <w:right w:val="nil"/>
            </w:tcBorders>
            <w:shd w:val="clear" w:color="auto" w:fill="auto"/>
            <w:noWrap/>
            <w:vAlign w:val="center"/>
            <w:hideMark/>
          </w:tcPr>
          <w:p w14:paraId="323EA46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0.94</w:t>
            </w:r>
          </w:p>
        </w:tc>
        <w:tc>
          <w:tcPr>
            <w:tcW w:w="330" w:type="pct"/>
            <w:tcBorders>
              <w:top w:val="nil"/>
              <w:left w:val="nil"/>
              <w:bottom w:val="nil"/>
              <w:right w:val="nil"/>
            </w:tcBorders>
            <w:shd w:val="clear" w:color="auto" w:fill="auto"/>
            <w:noWrap/>
            <w:vAlign w:val="center"/>
            <w:hideMark/>
          </w:tcPr>
          <w:p w14:paraId="2834DB6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1.46</w:t>
            </w:r>
          </w:p>
        </w:tc>
        <w:tc>
          <w:tcPr>
            <w:tcW w:w="341" w:type="pct"/>
            <w:tcBorders>
              <w:top w:val="nil"/>
              <w:left w:val="nil"/>
              <w:bottom w:val="nil"/>
              <w:right w:val="nil"/>
            </w:tcBorders>
            <w:shd w:val="clear" w:color="auto" w:fill="auto"/>
            <w:noWrap/>
            <w:vAlign w:val="center"/>
            <w:hideMark/>
          </w:tcPr>
          <w:p w14:paraId="0ED2DBA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2.94</w:t>
            </w:r>
          </w:p>
        </w:tc>
        <w:tc>
          <w:tcPr>
            <w:tcW w:w="404" w:type="pct"/>
            <w:tcBorders>
              <w:top w:val="nil"/>
              <w:left w:val="nil"/>
              <w:bottom w:val="nil"/>
              <w:right w:val="nil"/>
            </w:tcBorders>
            <w:shd w:val="clear" w:color="auto" w:fill="auto"/>
            <w:noWrap/>
            <w:vAlign w:val="center"/>
            <w:hideMark/>
          </w:tcPr>
          <w:p w14:paraId="4A41ADE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2.68</w:t>
            </w:r>
          </w:p>
        </w:tc>
        <w:tc>
          <w:tcPr>
            <w:tcW w:w="485" w:type="pct"/>
            <w:tcBorders>
              <w:top w:val="nil"/>
              <w:left w:val="nil"/>
              <w:bottom w:val="nil"/>
              <w:right w:val="nil"/>
            </w:tcBorders>
            <w:shd w:val="clear" w:color="auto" w:fill="auto"/>
            <w:noWrap/>
            <w:vAlign w:val="center"/>
            <w:hideMark/>
          </w:tcPr>
          <w:p w14:paraId="54BA142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41.71</w:t>
            </w:r>
          </w:p>
        </w:tc>
        <w:tc>
          <w:tcPr>
            <w:tcW w:w="416" w:type="pct"/>
            <w:tcBorders>
              <w:top w:val="nil"/>
              <w:left w:val="nil"/>
              <w:bottom w:val="nil"/>
              <w:right w:val="nil"/>
            </w:tcBorders>
            <w:shd w:val="clear" w:color="auto" w:fill="auto"/>
            <w:noWrap/>
            <w:vAlign w:val="center"/>
            <w:hideMark/>
          </w:tcPr>
          <w:p w14:paraId="01A4A2D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0.15</w:t>
            </w:r>
          </w:p>
        </w:tc>
        <w:tc>
          <w:tcPr>
            <w:tcW w:w="511" w:type="pct"/>
            <w:tcBorders>
              <w:top w:val="nil"/>
              <w:left w:val="nil"/>
              <w:bottom w:val="nil"/>
              <w:right w:val="nil"/>
            </w:tcBorders>
            <w:shd w:val="clear" w:color="auto" w:fill="auto"/>
            <w:noWrap/>
            <w:vAlign w:val="center"/>
            <w:hideMark/>
          </w:tcPr>
          <w:p w14:paraId="2408F20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41.01</w:t>
            </w:r>
          </w:p>
        </w:tc>
        <w:tc>
          <w:tcPr>
            <w:tcW w:w="268" w:type="pct"/>
            <w:tcBorders>
              <w:top w:val="nil"/>
              <w:left w:val="nil"/>
              <w:bottom w:val="nil"/>
              <w:right w:val="nil"/>
            </w:tcBorders>
            <w:shd w:val="clear" w:color="auto" w:fill="auto"/>
            <w:noWrap/>
            <w:vAlign w:val="bottom"/>
            <w:hideMark/>
          </w:tcPr>
          <w:p w14:paraId="063A703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6D5D3C5E" w14:textId="77777777" w:rsidTr="005F41CC">
        <w:trPr>
          <w:trHeight w:val="240"/>
        </w:trPr>
        <w:tc>
          <w:tcPr>
            <w:tcW w:w="918" w:type="pct"/>
            <w:tcBorders>
              <w:top w:val="nil"/>
              <w:left w:val="nil"/>
              <w:bottom w:val="nil"/>
              <w:right w:val="nil"/>
            </w:tcBorders>
            <w:shd w:val="clear" w:color="auto" w:fill="auto"/>
            <w:noWrap/>
            <w:vAlign w:val="center"/>
            <w:hideMark/>
          </w:tcPr>
          <w:p w14:paraId="1D9908C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Austria</w:t>
            </w:r>
          </w:p>
        </w:tc>
        <w:tc>
          <w:tcPr>
            <w:tcW w:w="442" w:type="pct"/>
            <w:tcBorders>
              <w:top w:val="nil"/>
              <w:left w:val="nil"/>
              <w:bottom w:val="nil"/>
              <w:right w:val="nil"/>
            </w:tcBorders>
            <w:shd w:val="clear" w:color="auto" w:fill="auto"/>
            <w:noWrap/>
            <w:vAlign w:val="center"/>
            <w:hideMark/>
          </w:tcPr>
          <w:p w14:paraId="12F19C3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71.54</w:t>
            </w:r>
          </w:p>
        </w:tc>
        <w:tc>
          <w:tcPr>
            <w:tcW w:w="467" w:type="pct"/>
            <w:tcBorders>
              <w:top w:val="nil"/>
              <w:left w:val="nil"/>
              <w:bottom w:val="nil"/>
              <w:right w:val="nil"/>
            </w:tcBorders>
            <w:shd w:val="clear" w:color="auto" w:fill="auto"/>
            <w:noWrap/>
            <w:vAlign w:val="center"/>
            <w:hideMark/>
          </w:tcPr>
          <w:p w14:paraId="5A0369E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5002724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1.00</w:t>
            </w:r>
          </w:p>
        </w:tc>
        <w:tc>
          <w:tcPr>
            <w:tcW w:w="330" w:type="pct"/>
            <w:tcBorders>
              <w:top w:val="nil"/>
              <w:left w:val="nil"/>
              <w:bottom w:val="nil"/>
              <w:right w:val="nil"/>
            </w:tcBorders>
            <w:shd w:val="clear" w:color="auto" w:fill="auto"/>
            <w:noWrap/>
            <w:vAlign w:val="center"/>
            <w:hideMark/>
          </w:tcPr>
          <w:p w14:paraId="08E8297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0.54</w:t>
            </w:r>
          </w:p>
        </w:tc>
        <w:tc>
          <w:tcPr>
            <w:tcW w:w="341" w:type="pct"/>
            <w:tcBorders>
              <w:top w:val="nil"/>
              <w:left w:val="nil"/>
              <w:bottom w:val="nil"/>
              <w:right w:val="nil"/>
            </w:tcBorders>
            <w:shd w:val="clear" w:color="auto" w:fill="auto"/>
            <w:noWrap/>
            <w:vAlign w:val="center"/>
            <w:hideMark/>
          </w:tcPr>
          <w:p w14:paraId="4D8AF81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1.41</w:t>
            </w:r>
          </w:p>
        </w:tc>
        <w:tc>
          <w:tcPr>
            <w:tcW w:w="404" w:type="pct"/>
            <w:tcBorders>
              <w:top w:val="nil"/>
              <w:left w:val="nil"/>
              <w:bottom w:val="nil"/>
              <w:right w:val="nil"/>
            </w:tcBorders>
            <w:shd w:val="clear" w:color="auto" w:fill="auto"/>
            <w:noWrap/>
            <w:vAlign w:val="center"/>
            <w:hideMark/>
          </w:tcPr>
          <w:p w14:paraId="675B957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1.91</w:t>
            </w:r>
          </w:p>
        </w:tc>
        <w:tc>
          <w:tcPr>
            <w:tcW w:w="485" w:type="pct"/>
            <w:tcBorders>
              <w:top w:val="nil"/>
              <w:left w:val="nil"/>
              <w:bottom w:val="nil"/>
              <w:right w:val="nil"/>
            </w:tcBorders>
            <w:shd w:val="clear" w:color="auto" w:fill="auto"/>
            <w:noWrap/>
            <w:vAlign w:val="center"/>
            <w:hideMark/>
          </w:tcPr>
          <w:p w14:paraId="3F81E8A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97.11</w:t>
            </w:r>
          </w:p>
        </w:tc>
        <w:tc>
          <w:tcPr>
            <w:tcW w:w="416" w:type="pct"/>
            <w:tcBorders>
              <w:top w:val="nil"/>
              <w:left w:val="nil"/>
              <w:bottom w:val="nil"/>
              <w:right w:val="nil"/>
            </w:tcBorders>
            <w:shd w:val="clear" w:color="auto" w:fill="auto"/>
            <w:noWrap/>
            <w:vAlign w:val="center"/>
            <w:hideMark/>
          </w:tcPr>
          <w:p w14:paraId="75C6E9C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0.79</w:t>
            </w:r>
          </w:p>
        </w:tc>
        <w:tc>
          <w:tcPr>
            <w:tcW w:w="511" w:type="pct"/>
            <w:tcBorders>
              <w:top w:val="nil"/>
              <w:left w:val="nil"/>
              <w:bottom w:val="nil"/>
              <w:right w:val="nil"/>
            </w:tcBorders>
            <w:shd w:val="clear" w:color="auto" w:fill="auto"/>
            <w:noWrap/>
            <w:vAlign w:val="center"/>
            <w:hideMark/>
          </w:tcPr>
          <w:p w14:paraId="6B03E12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69.83</w:t>
            </w:r>
          </w:p>
        </w:tc>
        <w:tc>
          <w:tcPr>
            <w:tcW w:w="268" w:type="pct"/>
            <w:tcBorders>
              <w:top w:val="nil"/>
              <w:left w:val="nil"/>
              <w:bottom w:val="nil"/>
              <w:right w:val="nil"/>
            </w:tcBorders>
            <w:shd w:val="clear" w:color="auto" w:fill="auto"/>
            <w:noWrap/>
            <w:vAlign w:val="bottom"/>
            <w:hideMark/>
          </w:tcPr>
          <w:p w14:paraId="0EE11E8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16DF21C3" w14:textId="77777777" w:rsidTr="005F41CC">
        <w:trPr>
          <w:trHeight w:val="240"/>
        </w:trPr>
        <w:tc>
          <w:tcPr>
            <w:tcW w:w="918" w:type="pct"/>
            <w:tcBorders>
              <w:top w:val="nil"/>
              <w:left w:val="nil"/>
              <w:bottom w:val="nil"/>
              <w:right w:val="nil"/>
            </w:tcBorders>
            <w:shd w:val="clear" w:color="auto" w:fill="auto"/>
            <w:noWrap/>
            <w:vAlign w:val="center"/>
            <w:hideMark/>
          </w:tcPr>
          <w:p w14:paraId="2CE1D0B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Belgium</w:t>
            </w:r>
          </w:p>
        </w:tc>
        <w:tc>
          <w:tcPr>
            <w:tcW w:w="442" w:type="pct"/>
            <w:tcBorders>
              <w:top w:val="nil"/>
              <w:left w:val="nil"/>
              <w:bottom w:val="nil"/>
              <w:right w:val="nil"/>
            </w:tcBorders>
            <w:shd w:val="clear" w:color="auto" w:fill="auto"/>
            <w:noWrap/>
            <w:vAlign w:val="center"/>
            <w:hideMark/>
          </w:tcPr>
          <w:p w14:paraId="6E11E6C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94.2</w:t>
            </w:r>
          </w:p>
        </w:tc>
        <w:tc>
          <w:tcPr>
            <w:tcW w:w="467" w:type="pct"/>
            <w:tcBorders>
              <w:top w:val="nil"/>
              <w:left w:val="nil"/>
              <w:bottom w:val="nil"/>
              <w:right w:val="nil"/>
            </w:tcBorders>
            <w:shd w:val="clear" w:color="auto" w:fill="auto"/>
            <w:noWrap/>
            <w:vAlign w:val="center"/>
            <w:hideMark/>
          </w:tcPr>
          <w:p w14:paraId="3FCE833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2.32</w:t>
            </w:r>
          </w:p>
        </w:tc>
        <w:tc>
          <w:tcPr>
            <w:tcW w:w="418" w:type="pct"/>
            <w:tcBorders>
              <w:top w:val="nil"/>
              <w:left w:val="nil"/>
              <w:bottom w:val="nil"/>
              <w:right w:val="nil"/>
            </w:tcBorders>
            <w:shd w:val="clear" w:color="auto" w:fill="auto"/>
            <w:noWrap/>
            <w:vAlign w:val="center"/>
            <w:hideMark/>
          </w:tcPr>
          <w:p w14:paraId="708D57D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79705C3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0.63</w:t>
            </w:r>
          </w:p>
        </w:tc>
        <w:tc>
          <w:tcPr>
            <w:tcW w:w="341" w:type="pct"/>
            <w:tcBorders>
              <w:top w:val="nil"/>
              <w:left w:val="nil"/>
              <w:bottom w:val="nil"/>
              <w:right w:val="nil"/>
            </w:tcBorders>
            <w:shd w:val="clear" w:color="auto" w:fill="auto"/>
            <w:noWrap/>
            <w:vAlign w:val="center"/>
            <w:hideMark/>
          </w:tcPr>
          <w:p w14:paraId="668E033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1.42</w:t>
            </w:r>
          </w:p>
        </w:tc>
        <w:tc>
          <w:tcPr>
            <w:tcW w:w="404" w:type="pct"/>
            <w:tcBorders>
              <w:top w:val="nil"/>
              <w:left w:val="nil"/>
              <w:bottom w:val="nil"/>
              <w:right w:val="nil"/>
            </w:tcBorders>
            <w:shd w:val="clear" w:color="auto" w:fill="auto"/>
            <w:noWrap/>
            <w:vAlign w:val="center"/>
            <w:hideMark/>
          </w:tcPr>
          <w:p w14:paraId="711F3EF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1.95</w:t>
            </w:r>
          </w:p>
        </w:tc>
        <w:tc>
          <w:tcPr>
            <w:tcW w:w="485" w:type="pct"/>
            <w:tcBorders>
              <w:top w:val="nil"/>
              <w:left w:val="nil"/>
              <w:bottom w:val="nil"/>
              <w:right w:val="nil"/>
            </w:tcBorders>
            <w:shd w:val="clear" w:color="auto" w:fill="auto"/>
            <w:noWrap/>
            <w:vAlign w:val="center"/>
            <w:hideMark/>
          </w:tcPr>
          <w:p w14:paraId="56BF2A4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150.56</w:t>
            </w:r>
          </w:p>
        </w:tc>
        <w:tc>
          <w:tcPr>
            <w:tcW w:w="416" w:type="pct"/>
            <w:tcBorders>
              <w:top w:val="nil"/>
              <w:left w:val="nil"/>
              <w:bottom w:val="nil"/>
              <w:right w:val="nil"/>
            </w:tcBorders>
            <w:shd w:val="clear" w:color="auto" w:fill="auto"/>
            <w:noWrap/>
            <w:vAlign w:val="center"/>
            <w:hideMark/>
          </w:tcPr>
          <w:p w14:paraId="7EC4ACC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1.98</w:t>
            </w:r>
          </w:p>
        </w:tc>
        <w:tc>
          <w:tcPr>
            <w:tcW w:w="511" w:type="pct"/>
            <w:tcBorders>
              <w:top w:val="nil"/>
              <w:left w:val="nil"/>
              <w:bottom w:val="nil"/>
              <w:right w:val="nil"/>
            </w:tcBorders>
            <w:shd w:val="clear" w:color="auto" w:fill="auto"/>
            <w:noWrap/>
            <w:vAlign w:val="center"/>
            <w:hideMark/>
          </w:tcPr>
          <w:p w14:paraId="5A25D5E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60.17</w:t>
            </w:r>
          </w:p>
        </w:tc>
        <w:tc>
          <w:tcPr>
            <w:tcW w:w="268" w:type="pct"/>
            <w:tcBorders>
              <w:top w:val="nil"/>
              <w:left w:val="nil"/>
              <w:bottom w:val="nil"/>
              <w:right w:val="nil"/>
            </w:tcBorders>
            <w:shd w:val="clear" w:color="auto" w:fill="auto"/>
            <w:noWrap/>
            <w:vAlign w:val="bottom"/>
            <w:hideMark/>
          </w:tcPr>
          <w:p w14:paraId="788B664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5CA77806" w14:textId="77777777" w:rsidTr="005F41CC">
        <w:trPr>
          <w:trHeight w:val="240"/>
        </w:trPr>
        <w:tc>
          <w:tcPr>
            <w:tcW w:w="918" w:type="pct"/>
            <w:tcBorders>
              <w:top w:val="nil"/>
              <w:left w:val="nil"/>
              <w:bottom w:val="nil"/>
              <w:right w:val="nil"/>
            </w:tcBorders>
            <w:shd w:val="clear" w:color="auto" w:fill="auto"/>
            <w:noWrap/>
            <w:vAlign w:val="center"/>
            <w:hideMark/>
          </w:tcPr>
          <w:p w14:paraId="091EEE6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Canada</w:t>
            </w:r>
          </w:p>
        </w:tc>
        <w:tc>
          <w:tcPr>
            <w:tcW w:w="442" w:type="pct"/>
            <w:tcBorders>
              <w:top w:val="nil"/>
              <w:left w:val="nil"/>
              <w:bottom w:val="nil"/>
              <w:right w:val="nil"/>
            </w:tcBorders>
            <w:shd w:val="clear" w:color="auto" w:fill="auto"/>
            <w:noWrap/>
            <w:vAlign w:val="center"/>
            <w:hideMark/>
          </w:tcPr>
          <w:p w14:paraId="02AD114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132.57</w:t>
            </w:r>
          </w:p>
        </w:tc>
        <w:tc>
          <w:tcPr>
            <w:tcW w:w="467" w:type="pct"/>
            <w:tcBorders>
              <w:top w:val="nil"/>
              <w:left w:val="nil"/>
              <w:bottom w:val="nil"/>
              <w:right w:val="nil"/>
            </w:tcBorders>
            <w:shd w:val="clear" w:color="auto" w:fill="auto"/>
            <w:noWrap/>
            <w:vAlign w:val="center"/>
            <w:hideMark/>
          </w:tcPr>
          <w:p w14:paraId="447DAB0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24175FF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0.96</w:t>
            </w:r>
          </w:p>
        </w:tc>
        <w:tc>
          <w:tcPr>
            <w:tcW w:w="330" w:type="pct"/>
            <w:tcBorders>
              <w:top w:val="nil"/>
              <w:left w:val="nil"/>
              <w:bottom w:val="nil"/>
              <w:right w:val="nil"/>
            </w:tcBorders>
            <w:shd w:val="clear" w:color="auto" w:fill="auto"/>
            <w:noWrap/>
            <w:vAlign w:val="center"/>
            <w:hideMark/>
          </w:tcPr>
          <w:p w14:paraId="2FC9ACE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1.03</w:t>
            </w:r>
          </w:p>
        </w:tc>
        <w:tc>
          <w:tcPr>
            <w:tcW w:w="341" w:type="pct"/>
            <w:tcBorders>
              <w:top w:val="nil"/>
              <w:left w:val="nil"/>
              <w:bottom w:val="nil"/>
              <w:right w:val="nil"/>
            </w:tcBorders>
            <w:shd w:val="clear" w:color="auto" w:fill="auto"/>
            <w:noWrap/>
            <w:vAlign w:val="center"/>
            <w:hideMark/>
          </w:tcPr>
          <w:p w14:paraId="66FBAEE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1.96</w:t>
            </w:r>
          </w:p>
        </w:tc>
        <w:tc>
          <w:tcPr>
            <w:tcW w:w="404" w:type="pct"/>
            <w:tcBorders>
              <w:top w:val="nil"/>
              <w:left w:val="nil"/>
              <w:bottom w:val="nil"/>
              <w:right w:val="nil"/>
            </w:tcBorders>
            <w:shd w:val="clear" w:color="auto" w:fill="auto"/>
            <w:noWrap/>
            <w:vAlign w:val="center"/>
            <w:hideMark/>
          </w:tcPr>
          <w:p w14:paraId="6072A81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1.88</w:t>
            </w:r>
          </w:p>
        </w:tc>
        <w:tc>
          <w:tcPr>
            <w:tcW w:w="485" w:type="pct"/>
            <w:tcBorders>
              <w:top w:val="nil"/>
              <w:left w:val="nil"/>
              <w:bottom w:val="nil"/>
              <w:right w:val="nil"/>
            </w:tcBorders>
            <w:shd w:val="clear" w:color="auto" w:fill="auto"/>
            <w:noWrap/>
            <w:vAlign w:val="center"/>
            <w:hideMark/>
          </w:tcPr>
          <w:p w14:paraId="29A76D1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66.5</w:t>
            </w:r>
          </w:p>
        </w:tc>
        <w:tc>
          <w:tcPr>
            <w:tcW w:w="416" w:type="pct"/>
            <w:tcBorders>
              <w:top w:val="nil"/>
              <w:left w:val="nil"/>
              <w:bottom w:val="nil"/>
              <w:right w:val="nil"/>
            </w:tcBorders>
            <w:shd w:val="clear" w:color="auto" w:fill="auto"/>
            <w:noWrap/>
            <w:vAlign w:val="center"/>
            <w:hideMark/>
          </w:tcPr>
          <w:p w14:paraId="171028E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0.08</w:t>
            </w:r>
          </w:p>
        </w:tc>
        <w:tc>
          <w:tcPr>
            <w:tcW w:w="511" w:type="pct"/>
            <w:tcBorders>
              <w:top w:val="nil"/>
              <w:left w:val="nil"/>
              <w:bottom w:val="nil"/>
              <w:right w:val="nil"/>
            </w:tcBorders>
            <w:shd w:val="clear" w:color="auto" w:fill="auto"/>
            <w:noWrap/>
            <w:vAlign w:val="center"/>
            <w:hideMark/>
          </w:tcPr>
          <w:p w14:paraId="61FDE5D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35.09</w:t>
            </w:r>
          </w:p>
        </w:tc>
        <w:tc>
          <w:tcPr>
            <w:tcW w:w="268" w:type="pct"/>
            <w:tcBorders>
              <w:top w:val="nil"/>
              <w:left w:val="nil"/>
              <w:bottom w:val="nil"/>
              <w:right w:val="nil"/>
            </w:tcBorders>
            <w:shd w:val="clear" w:color="auto" w:fill="auto"/>
            <w:noWrap/>
            <w:vAlign w:val="bottom"/>
            <w:hideMark/>
          </w:tcPr>
          <w:p w14:paraId="6466F3E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042121CB" w14:textId="77777777" w:rsidTr="005F41CC">
        <w:trPr>
          <w:trHeight w:val="240"/>
        </w:trPr>
        <w:tc>
          <w:tcPr>
            <w:tcW w:w="918" w:type="pct"/>
            <w:tcBorders>
              <w:top w:val="nil"/>
              <w:left w:val="nil"/>
              <w:bottom w:val="nil"/>
              <w:right w:val="nil"/>
            </w:tcBorders>
            <w:shd w:val="clear" w:color="auto" w:fill="auto"/>
            <w:noWrap/>
            <w:vAlign w:val="center"/>
            <w:hideMark/>
          </w:tcPr>
          <w:p w14:paraId="1FB4643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Denmark</w:t>
            </w:r>
          </w:p>
        </w:tc>
        <w:tc>
          <w:tcPr>
            <w:tcW w:w="442" w:type="pct"/>
            <w:tcBorders>
              <w:top w:val="nil"/>
              <w:left w:val="nil"/>
              <w:bottom w:val="nil"/>
              <w:right w:val="nil"/>
            </w:tcBorders>
            <w:shd w:val="clear" w:color="auto" w:fill="auto"/>
            <w:noWrap/>
            <w:vAlign w:val="center"/>
            <w:hideMark/>
          </w:tcPr>
          <w:p w14:paraId="6676146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53.41</w:t>
            </w:r>
          </w:p>
        </w:tc>
        <w:tc>
          <w:tcPr>
            <w:tcW w:w="467" w:type="pct"/>
            <w:tcBorders>
              <w:top w:val="nil"/>
              <w:left w:val="nil"/>
              <w:bottom w:val="nil"/>
              <w:right w:val="nil"/>
            </w:tcBorders>
            <w:shd w:val="clear" w:color="auto" w:fill="auto"/>
            <w:noWrap/>
            <w:vAlign w:val="center"/>
            <w:hideMark/>
          </w:tcPr>
          <w:p w14:paraId="5AF9C5F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3B2CECC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1.00</w:t>
            </w:r>
          </w:p>
        </w:tc>
        <w:tc>
          <w:tcPr>
            <w:tcW w:w="330" w:type="pct"/>
            <w:tcBorders>
              <w:top w:val="nil"/>
              <w:left w:val="nil"/>
              <w:bottom w:val="nil"/>
              <w:right w:val="nil"/>
            </w:tcBorders>
            <w:shd w:val="clear" w:color="auto" w:fill="auto"/>
            <w:noWrap/>
            <w:vAlign w:val="center"/>
            <w:hideMark/>
          </w:tcPr>
          <w:p w14:paraId="45834EE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0.44</w:t>
            </w:r>
          </w:p>
        </w:tc>
        <w:tc>
          <w:tcPr>
            <w:tcW w:w="341" w:type="pct"/>
            <w:tcBorders>
              <w:top w:val="nil"/>
              <w:left w:val="nil"/>
              <w:bottom w:val="nil"/>
              <w:right w:val="nil"/>
            </w:tcBorders>
            <w:shd w:val="clear" w:color="auto" w:fill="auto"/>
            <w:noWrap/>
            <w:vAlign w:val="center"/>
            <w:hideMark/>
          </w:tcPr>
          <w:p w14:paraId="5977B76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0.98</w:t>
            </w:r>
          </w:p>
        </w:tc>
        <w:tc>
          <w:tcPr>
            <w:tcW w:w="404" w:type="pct"/>
            <w:tcBorders>
              <w:top w:val="nil"/>
              <w:left w:val="nil"/>
              <w:bottom w:val="nil"/>
              <w:right w:val="nil"/>
            </w:tcBorders>
            <w:shd w:val="clear" w:color="auto" w:fill="auto"/>
            <w:noWrap/>
            <w:vAlign w:val="center"/>
            <w:hideMark/>
          </w:tcPr>
          <w:p w14:paraId="60C309E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1.73</w:t>
            </w:r>
          </w:p>
        </w:tc>
        <w:tc>
          <w:tcPr>
            <w:tcW w:w="485" w:type="pct"/>
            <w:tcBorders>
              <w:top w:val="nil"/>
              <w:left w:val="nil"/>
              <w:bottom w:val="nil"/>
              <w:right w:val="nil"/>
            </w:tcBorders>
            <w:shd w:val="clear" w:color="auto" w:fill="auto"/>
            <w:noWrap/>
            <w:vAlign w:val="center"/>
            <w:hideMark/>
          </w:tcPr>
          <w:p w14:paraId="35600B4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95.12</w:t>
            </w:r>
          </w:p>
        </w:tc>
        <w:tc>
          <w:tcPr>
            <w:tcW w:w="416" w:type="pct"/>
            <w:tcBorders>
              <w:top w:val="nil"/>
              <w:left w:val="nil"/>
              <w:bottom w:val="nil"/>
              <w:right w:val="nil"/>
            </w:tcBorders>
            <w:shd w:val="clear" w:color="auto" w:fill="auto"/>
            <w:noWrap/>
            <w:vAlign w:val="center"/>
            <w:hideMark/>
          </w:tcPr>
          <w:p w14:paraId="409DA89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0.36</w:t>
            </w:r>
          </w:p>
        </w:tc>
        <w:tc>
          <w:tcPr>
            <w:tcW w:w="511" w:type="pct"/>
            <w:tcBorders>
              <w:top w:val="nil"/>
              <w:left w:val="nil"/>
              <w:bottom w:val="nil"/>
              <w:right w:val="nil"/>
            </w:tcBorders>
            <w:shd w:val="clear" w:color="auto" w:fill="auto"/>
            <w:noWrap/>
            <w:vAlign w:val="center"/>
            <w:hideMark/>
          </w:tcPr>
          <w:p w14:paraId="7B5A789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36.63</w:t>
            </w:r>
          </w:p>
        </w:tc>
        <w:tc>
          <w:tcPr>
            <w:tcW w:w="268" w:type="pct"/>
            <w:tcBorders>
              <w:top w:val="nil"/>
              <w:left w:val="nil"/>
              <w:bottom w:val="nil"/>
              <w:right w:val="nil"/>
            </w:tcBorders>
            <w:shd w:val="clear" w:color="auto" w:fill="auto"/>
            <w:noWrap/>
            <w:vAlign w:val="bottom"/>
            <w:hideMark/>
          </w:tcPr>
          <w:p w14:paraId="58D1CFE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w:t>
            </w:r>
          </w:p>
        </w:tc>
      </w:tr>
      <w:tr w:rsidR="0044607F" w:rsidRPr="00357722" w14:paraId="0742859C" w14:textId="77777777" w:rsidTr="005F41CC">
        <w:trPr>
          <w:trHeight w:val="240"/>
        </w:trPr>
        <w:tc>
          <w:tcPr>
            <w:tcW w:w="918" w:type="pct"/>
            <w:tcBorders>
              <w:top w:val="nil"/>
              <w:left w:val="nil"/>
              <w:bottom w:val="nil"/>
              <w:right w:val="nil"/>
            </w:tcBorders>
            <w:shd w:val="clear" w:color="auto" w:fill="auto"/>
            <w:noWrap/>
            <w:vAlign w:val="center"/>
            <w:hideMark/>
          </w:tcPr>
          <w:p w14:paraId="061A128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Finland</w:t>
            </w:r>
          </w:p>
        </w:tc>
        <w:tc>
          <w:tcPr>
            <w:tcW w:w="442" w:type="pct"/>
            <w:tcBorders>
              <w:top w:val="nil"/>
              <w:left w:val="nil"/>
              <w:bottom w:val="nil"/>
              <w:right w:val="nil"/>
            </w:tcBorders>
            <w:shd w:val="clear" w:color="auto" w:fill="auto"/>
            <w:noWrap/>
            <w:vAlign w:val="center"/>
            <w:hideMark/>
          </w:tcPr>
          <w:p w14:paraId="3146B91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56.88</w:t>
            </w:r>
          </w:p>
        </w:tc>
        <w:tc>
          <w:tcPr>
            <w:tcW w:w="467" w:type="pct"/>
            <w:tcBorders>
              <w:top w:val="nil"/>
              <w:left w:val="nil"/>
              <w:bottom w:val="nil"/>
              <w:right w:val="nil"/>
            </w:tcBorders>
            <w:shd w:val="clear" w:color="auto" w:fill="auto"/>
            <w:noWrap/>
            <w:vAlign w:val="center"/>
            <w:hideMark/>
          </w:tcPr>
          <w:p w14:paraId="01366EB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2042E68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1.00</w:t>
            </w:r>
          </w:p>
        </w:tc>
        <w:tc>
          <w:tcPr>
            <w:tcW w:w="330" w:type="pct"/>
            <w:tcBorders>
              <w:top w:val="nil"/>
              <w:left w:val="nil"/>
              <w:bottom w:val="nil"/>
              <w:right w:val="nil"/>
            </w:tcBorders>
            <w:shd w:val="clear" w:color="auto" w:fill="auto"/>
            <w:noWrap/>
            <w:vAlign w:val="center"/>
            <w:hideMark/>
          </w:tcPr>
          <w:p w14:paraId="4193C1A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0.37</w:t>
            </w:r>
          </w:p>
        </w:tc>
        <w:tc>
          <w:tcPr>
            <w:tcW w:w="341" w:type="pct"/>
            <w:tcBorders>
              <w:top w:val="nil"/>
              <w:left w:val="nil"/>
              <w:bottom w:val="nil"/>
              <w:right w:val="nil"/>
            </w:tcBorders>
            <w:shd w:val="clear" w:color="auto" w:fill="auto"/>
            <w:noWrap/>
            <w:vAlign w:val="center"/>
            <w:hideMark/>
          </w:tcPr>
          <w:p w14:paraId="5C78465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1.23</w:t>
            </w:r>
          </w:p>
        </w:tc>
        <w:tc>
          <w:tcPr>
            <w:tcW w:w="404" w:type="pct"/>
            <w:tcBorders>
              <w:top w:val="nil"/>
              <w:left w:val="nil"/>
              <w:bottom w:val="nil"/>
              <w:right w:val="nil"/>
            </w:tcBorders>
            <w:shd w:val="clear" w:color="auto" w:fill="auto"/>
            <w:noWrap/>
            <w:vAlign w:val="center"/>
            <w:hideMark/>
          </w:tcPr>
          <w:p w14:paraId="0D2F821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1.52</w:t>
            </w:r>
          </w:p>
        </w:tc>
        <w:tc>
          <w:tcPr>
            <w:tcW w:w="485" w:type="pct"/>
            <w:tcBorders>
              <w:top w:val="nil"/>
              <w:left w:val="nil"/>
              <w:bottom w:val="nil"/>
              <w:right w:val="nil"/>
            </w:tcBorders>
            <w:shd w:val="clear" w:color="auto" w:fill="auto"/>
            <w:noWrap/>
            <w:vAlign w:val="center"/>
            <w:hideMark/>
          </w:tcPr>
          <w:p w14:paraId="729DE02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75.84</w:t>
            </w:r>
          </w:p>
        </w:tc>
        <w:tc>
          <w:tcPr>
            <w:tcW w:w="416" w:type="pct"/>
            <w:tcBorders>
              <w:top w:val="nil"/>
              <w:left w:val="nil"/>
              <w:bottom w:val="nil"/>
              <w:right w:val="nil"/>
            </w:tcBorders>
            <w:shd w:val="clear" w:color="auto" w:fill="auto"/>
            <w:noWrap/>
            <w:vAlign w:val="center"/>
            <w:hideMark/>
          </w:tcPr>
          <w:p w14:paraId="2DAD1C6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0.34</w:t>
            </w:r>
          </w:p>
        </w:tc>
        <w:tc>
          <w:tcPr>
            <w:tcW w:w="511" w:type="pct"/>
            <w:tcBorders>
              <w:top w:val="nil"/>
              <w:left w:val="nil"/>
              <w:bottom w:val="nil"/>
              <w:right w:val="nil"/>
            </w:tcBorders>
            <w:shd w:val="clear" w:color="auto" w:fill="auto"/>
            <w:noWrap/>
            <w:vAlign w:val="center"/>
            <w:hideMark/>
          </w:tcPr>
          <w:p w14:paraId="6528369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38.72</w:t>
            </w:r>
          </w:p>
        </w:tc>
        <w:tc>
          <w:tcPr>
            <w:tcW w:w="268" w:type="pct"/>
            <w:tcBorders>
              <w:top w:val="nil"/>
              <w:left w:val="nil"/>
              <w:bottom w:val="nil"/>
              <w:right w:val="nil"/>
            </w:tcBorders>
            <w:shd w:val="clear" w:color="auto" w:fill="auto"/>
            <w:noWrap/>
            <w:vAlign w:val="bottom"/>
            <w:hideMark/>
          </w:tcPr>
          <w:p w14:paraId="52C268F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w:t>
            </w:r>
          </w:p>
        </w:tc>
      </w:tr>
      <w:tr w:rsidR="0044607F" w:rsidRPr="00357722" w14:paraId="79E8323D" w14:textId="77777777" w:rsidTr="005F41CC">
        <w:trPr>
          <w:trHeight w:val="240"/>
        </w:trPr>
        <w:tc>
          <w:tcPr>
            <w:tcW w:w="918" w:type="pct"/>
            <w:tcBorders>
              <w:top w:val="nil"/>
              <w:left w:val="nil"/>
              <w:bottom w:val="nil"/>
              <w:right w:val="nil"/>
            </w:tcBorders>
            <w:shd w:val="clear" w:color="auto" w:fill="auto"/>
            <w:noWrap/>
            <w:vAlign w:val="center"/>
            <w:hideMark/>
          </w:tcPr>
          <w:p w14:paraId="1E0C610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France</w:t>
            </w:r>
          </w:p>
        </w:tc>
        <w:tc>
          <w:tcPr>
            <w:tcW w:w="442" w:type="pct"/>
            <w:tcBorders>
              <w:top w:val="nil"/>
              <w:left w:val="nil"/>
              <w:bottom w:val="nil"/>
              <w:right w:val="nil"/>
            </w:tcBorders>
            <w:shd w:val="clear" w:color="auto" w:fill="auto"/>
            <w:noWrap/>
            <w:vAlign w:val="center"/>
            <w:hideMark/>
          </w:tcPr>
          <w:p w14:paraId="5BF31B9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70.44</w:t>
            </w:r>
          </w:p>
        </w:tc>
        <w:tc>
          <w:tcPr>
            <w:tcW w:w="467" w:type="pct"/>
            <w:tcBorders>
              <w:top w:val="nil"/>
              <w:left w:val="nil"/>
              <w:bottom w:val="nil"/>
              <w:right w:val="nil"/>
            </w:tcBorders>
            <w:shd w:val="clear" w:color="auto" w:fill="auto"/>
            <w:noWrap/>
            <w:vAlign w:val="center"/>
            <w:hideMark/>
          </w:tcPr>
          <w:p w14:paraId="187645B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0C5DAA3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0.82</w:t>
            </w:r>
          </w:p>
        </w:tc>
        <w:tc>
          <w:tcPr>
            <w:tcW w:w="330" w:type="pct"/>
            <w:tcBorders>
              <w:top w:val="nil"/>
              <w:left w:val="nil"/>
              <w:bottom w:val="nil"/>
              <w:right w:val="nil"/>
            </w:tcBorders>
            <w:shd w:val="clear" w:color="auto" w:fill="auto"/>
            <w:noWrap/>
            <w:vAlign w:val="center"/>
            <w:hideMark/>
          </w:tcPr>
          <w:p w14:paraId="0056E76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0.58</w:t>
            </w:r>
          </w:p>
        </w:tc>
        <w:tc>
          <w:tcPr>
            <w:tcW w:w="341" w:type="pct"/>
            <w:tcBorders>
              <w:top w:val="nil"/>
              <w:left w:val="nil"/>
              <w:bottom w:val="nil"/>
              <w:right w:val="nil"/>
            </w:tcBorders>
            <w:shd w:val="clear" w:color="auto" w:fill="auto"/>
            <w:noWrap/>
            <w:vAlign w:val="center"/>
            <w:hideMark/>
          </w:tcPr>
          <w:p w14:paraId="20F9215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1.14</w:t>
            </w:r>
          </w:p>
        </w:tc>
        <w:tc>
          <w:tcPr>
            <w:tcW w:w="404" w:type="pct"/>
            <w:tcBorders>
              <w:top w:val="nil"/>
              <w:left w:val="nil"/>
              <w:bottom w:val="nil"/>
              <w:right w:val="nil"/>
            </w:tcBorders>
            <w:shd w:val="clear" w:color="auto" w:fill="auto"/>
            <w:noWrap/>
            <w:vAlign w:val="center"/>
            <w:hideMark/>
          </w:tcPr>
          <w:p w14:paraId="1080807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1.42</w:t>
            </w:r>
          </w:p>
        </w:tc>
        <w:tc>
          <w:tcPr>
            <w:tcW w:w="485" w:type="pct"/>
            <w:tcBorders>
              <w:top w:val="nil"/>
              <w:left w:val="nil"/>
              <w:bottom w:val="nil"/>
              <w:right w:val="nil"/>
            </w:tcBorders>
            <w:shd w:val="clear" w:color="auto" w:fill="auto"/>
            <w:noWrap/>
            <w:vAlign w:val="center"/>
            <w:hideMark/>
          </w:tcPr>
          <w:p w14:paraId="2CCD1B2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56.35</w:t>
            </w:r>
          </w:p>
        </w:tc>
        <w:tc>
          <w:tcPr>
            <w:tcW w:w="416" w:type="pct"/>
            <w:tcBorders>
              <w:top w:val="nil"/>
              <w:left w:val="nil"/>
              <w:bottom w:val="nil"/>
              <w:right w:val="nil"/>
            </w:tcBorders>
            <w:shd w:val="clear" w:color="auto" w:fill="auto"/>
            <w:noWrap/>
            <w:vAlign w:val="center"/>
            <w:hideMark/>
          </w:tcPr>
          <w:p w14:paraId="5396F99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0.76</w:t>
            </w:r>
          </w:p>
        </w:tc>
        <w:tc>
          <w:tcPr>
            <w:tcW w:w="511" w:type="pct"/>
            <w:tcBorders>
              <w:top w:val="nil"/>
              <w:left w:val="nil"/>
              <w:bottom w:val="nil"/>
              <w:right w:val="nil"/>
            </w:tcBorders>
            <w:shd w:val="clear" w:color="auto" w:fill="auto"/>
            <w:noWrap/>
            <w:vAlign w:val="center"/>
            <w:hideMark/>
          </w:tcPr>
          <w:p w14:paraId="61F2C51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53.07</w:t>
            </w:r>
          </w:p>
        </w:tc>
        <w:tc>
          <w:tcPr>
            <w:tcW w:w="268" w:type="pct"/>
            <w:tcBorders>
              <w:top w:val="nil"/>
              <w:left w:val="nil"/>
              <w:bottom w:val="nil"/>
              <w:right w:val="nil"/>
            </w:tcBorders>
            <w:shd w:val="clear" w:color="auto" w:fill="auto"/>
            <w:noWrap/>
            <w:vAlign w:val="bottom"/>
            <w:hideMark/>
          </w:tcPr>
          <w:p w14:paraId="397FE10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21100611" w14:textId="77777777" w:rsidTr="005F41CC">
        <w:trPr>
          <w:trHeight w:val="240"/>
        </w:trPr>
        <w:tc>
          <w:tcPr>
            <w:tcW w:w="918" w:type="pct"/>
            <w:tcBorders>
              <w:top w:val="nil"/>
              <w:left w:val="nil"/>
              <w:bottom w:val="nil"/>
              <w:right w:val="nil"/>
            </w:tcBorders>
            <w:shd w:val="clear" w:color="auto" w:fill="auto"/>
            <w:noWrap/>
            <w:vAlign w:val="center"/>
            <w:hideMark/>
          </w:tcPr>
          <w:p w14:paraId="5BDC3B8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Germany</w:t>
            </w:r>
          </w:p>
        </w:tc>
        <w:tc>
          <w:tcPr>
            <w:tcW w:w="442" w:type="pct"/>
            <w:tcBorders>
              <w:top w:val="nil"/>
              <w:left w:val="nil"/>
              <w:bottom w:val="nil"/>
              <w:right w:val="nil"/>
            </w:tcBorders>
            <w:shd w:val="clear" w:color="auto" w:fill="auto"/>
            <w:noWrap/>
            <w:vAlign w:val="center"/>
            <w:hideMark/>
          </w:tcPr>
          <w:p w14:paraId="2AE597E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69.97</w:t>
            </w:r>
          </w:p>
        </w:tc>
        <w:tc>
          <w:tcPr>
            <w:tcW w:w="467" w:type="pct"/>
            <w:tcBorders>
              <w:top w:val="nil"/>
              <w:left w:val="nil"/>
              <w:bottom w:val="nil"/>
              <w:right w:val="nil"/>
            </w:tcBorders>
            <w:shd w:val="clear" w:color="auto" w:fill="auto"/>
            <w:noWrap/>
            <w:vAlign w:val="center"/>
            <w:hideMark/>
          </w:tcPr>
          <w:p w14:paraId="4501EA5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7587C88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75248A0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w:t>
            </w:r>
          </w:p>
        </w:tc>
        <w:tc>
          <w:tcPr>
            <w:tcW w:w="341" w:type="pct"/>
            <w:tcBorders>
              <w:top w:val="nil"/>
              <w:left w:val="nil"/>
              <w:bottom w:val="nil"/>
              <w:right w:val="nil"/>
            </w:tcBorders>
            <w:shd w:val="clear" w:color="auto" w:fill="auto"/>
            <w:noWrap/>
            <w:vAlign w:val="center"/>
            <w:hideMark/>
          </w:tcPr>
          <w:p w14:paraId="15CF339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1.23</w:t>
            </w:r>
          </w:p>
        </w:tc>
        <w:tc>
          <w:tcPr>
            <w:tcW w:w="404" w:type="pct"/>
            <w:tcBorders>
              <w:top w:val="nil"/>
              <w:left w:val="nil"/>
              <w:bottom w:val="nil"/>
              <w:right w:val="nil"/>
            </w:tcBorders>
            <w:shd w:val="clear" w:color="auto" w:fill="auto"/>
            <w:noWrap/>
            <w:vAlign w:val="center"/>
            <w:hideMark/>
          </w:tcPr>
          <w:p w14:paraId="48FAD8A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1.42</w:t>
            </w:r>
          </w:p>
        </w:tc>
        <w:tc>
          <w:tcPr>
            <w:tcW w:w="485" w:type="pct"/>
            <w:tcBorders>
              <w:top w:val="nil"/>
              <w:left w:val="nil"/>
              <w:bottom w:val="nil"/>
              <w:right w:val="nil"/>
            </w:tcBorders>
            <w:shd w:val="clear" w:color="auto" w:fill="auto"/>
            <w:noWrap/>
            <w:vAlign w:val="center"/>
            <w:hideMark/>
          </w:tcPr>
          <w:p w14:paraId="5A55A23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76.12</w:t>
            </w:r>
          </w:p>
        </w:tc>
        <w:tc>
          <w:tcPr>
            <w:tcW w:w="416" w:type="pct"/>
            <w:tcBorders>
              <w:top w:val="nil"/>
              <w:left w:val="nil"/>
              <w:bottom w:val="nil"/>
              <w:right w:val="nil"/>
            </w:tcBorders>
            <w:shd w:val="clear" w:color="auto" w:fill="auto"/>
            <w:noWrap/>
            <w:vAlign w:val="center"/>
            <w:hideMark/>
          </w:tcPr>
          <w:p w14:paraId="223C9F8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0.33</w:t>
            </w:r>
          </w:p>
        </w:tc>
        <w:tc>
          <w:tcPr>
            <w:tcW w:w="511" w:type="pct"/>
            <w:tcBorders>
              <w:top w:val="nil"/>
              <w:left w:val="nil"/>
              <w:bottom w:val="nil"/>
              <w:right w:val="nil"/>
            </w:tcBorders>
            <w:shd w:val="clear" w:color="auto" w:fill="auto"/>
            <w:noWrap/>
            <w:vAlign w:val="center"/>
            <w:hideMark/>
          </w:tcPr>
          <w:p w14:paraId="0AC1A4F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54.35</w:t>
            </w:r>
          </w:p>
        </w:tc>
        <w:tc>
          <w:tcPr>
            <w:tcW w:w="268" w:type="pct"/>
            <w:tcBorders>
              <w:top w:val="nil"/>
              <w:left w:val="nil"/>
              <w:bottom w:val="nil"/>
              <w:right w:val="nil"/>
            </w:tcBorders>
            <w:shd w:val="clear" w:color="auto" w:fill="auto"/>
            <w:noWrap/>
            <w:vAlign w:val="bottom"/>
            <w:hideMark/>
          </w:tcPr>
          <w:p w14:paraId="41E248C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17754674" w14:textId="77777777" w:rsidTr="005F41CC">
        <w:trPr>
          <w:trHeight w:val="240"/>
        </w:trPr>
        <w:tc>
          <w:tcPr>
            <w:tcW w:w="918" w:type="pct"/>
            <w:tcBorders>
              <w:top w:val="nil"/>
              <w:left w:val="nil"/>
              <w:bottom w:val="nil"/>
              <w:right w:val="nil"/>
            </w:tcBorders>
            <w:shd w:val="clear" w:color="auto" w:fill="auto"/>
            <w:noWrap/>
            <w:vAlign w:val="center"/>
            <w:hideMark/>
          </w:tcPr>
          <w:p w14:paraId="7EC57DF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Greece</w:t>
            </w:r>
          </w:p>
        </w:tc>
        <w:tc>
          <w:tcPr>
            <w:tcW w:w="442" w:type="pct"/>
            <w:tcBorders>
              <w:top w:val="nil"/>
              <w:left w:val="nil"/>
              <w:bottom w:val="nil"/>
              <w:right w:val="nil"/>
            </w:tcBorders>
            <w:shd w:val="clear" w:color="auto" w:fill="auto"/>
            <w:noWrap/>
            <w:vAlign w:val="center"/>
            <w:hideMark/>
          </w:tcPr>
          <w:p w14:paraId="797F152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85.48</w:t>
            </w:r>
          </w:p>
        </w:tc>
        <w:tc>
          <w:tcPr>
            <w:tcW w:w="467" w:type="pct"/>
            <w:tcBorders>
              <w:top w:val="nil"/>
              <w:left w:val="nil"/>
              <w:bottom w:val="nil"/>
              <w:right w:val="nil"/>
            </w:tcBorders>
            <w:shd w:val="clear" w:color="auto" w:fill="auto"/>
            <w:noWrap/>
            <w:vAlign w:val="center"/>
            <w:hideMark/>
          </w:tcPr>
          <w:p w14:paraId="1B5B1C2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2.23</w:t>
            </w:r>
          </w:p>
        </w:tc>
        <w:tc>
          <w:tcPr>
            <w:tcW w:w="418" w:type="pct"/>
            <w:tcBorders>
              <w:top w:val="nil"/>
              <w:left w:val="nil"/>
              <w:bottom w:val="nil"/>
              <w:right w:val="nil"/>
            </w:tcBorders>
            <w:shd w:val="clear" w:color="auto" w:fill="auto"/>
            <w:noWrap/>
            <w:vAlign w:val="center"/>
            <w:hideMark/>
          </w:tcPr>
          <w:p w14:paraId="1154242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0.72</w:t>
            </w:r>
          </w:p>
        </w:tc>
        <w:tc>
          <w:tcPr>
            <w:tcW w:w="330" w:type="pct"/>
            <w:tcBorders>
              <w:top w:val="nil"/>
              <w:left w:val="nil"/>
              <w:bottom w:val="nil"/>
              <w:right w:val="nil"/>
            </w:tcBorders>
            <w:shd w:val="clear" w:color="auto" w:fill="auto"/>
            <w:noWrap/>
            <w:vAlign w:val="center"/>
            <w:hideMark/>
          </w:tcPr>
          <w:p w14:paraId="63FB4B5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-0.02</w:t>
            </w:r>
          </w:p>
        </w:tc>
        <w:tc>
          <w:tcPr>
            <w:tcW w:w="341" w:type="pct"/>
            <w:tcBorders>
              <w:top w:val="nil"/>
              <w:left w:val="nil"/>
              <w:bottom w:val="nil"/>
              <w:right w:val="nil"/>
            </w:tcBorders>
            <w:shd w:val="clear" w:color="auto" w:fill="auto"/>
            <w:noWrap/>
            <w:vAlign w:val="center"/>
            <w:hideMark/>
          </w:tcPr>
          <w:p w14:paraId="3A86801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-0.07</w:t>
            </w:r>
          </w:p>
        </w:tc>
        <w:tc>
          <w:tcPr>
            <w:tcW w:w="404" w:type="pct"/>
            <w:tcBorders>
              <w:top w:val="nil"/>
              <w:left w:val="nil"/>
              <w:bottom w:val="nil"/>
              <w:right w:val="nil"/>
            </w:tcBorders>
            <w:shd w:val="clear" w:color="auto" w:fill="auto"/>
            <w:noWrap/>
            <w:vAlign w:val="center"/>
            <w:hideMark/>
          </w:tcPr>
          <w:p w14:paraId="54ED5F6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2.07</w:t>
            </w:r>
          </w:p>
        </w:tc>
        <w:tc>
          <w:tcPr>
            <w:tcW w:w="485" w:type="pct"/>
            <w:tcBorders>
              <w:top w:val="nil"/>
              <w:left w:val="nil"/>
              <w:bottom w:val="nil"/>
              <w:right w:val="nil"/>
            </w:tcBorders>
            <w:shd w:val="clear" w:color="auto" w:fill="auto"/>
            <w:noWrap/>
            <w:vAlign w:val="center"/>
            <w:hideMark/>
          </w:tcPr>
          <w:p w14:paraId="3172CDB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56.32</w:t>
            </w:r>
          </w:p>
        </w:tc>
        <w:tc>
          <w:tcPr>
            <w:tcW w:w="416" w:type="pct"/>
            <w:tcBorders>
              <w:top w:val="nil"/>
              <w:left w:val="nil"/>
              <w:bottom w:val="nil"/>
              <w:right w:val="nil"/>
            </w:tcBorders>
            <w:shd w:val="clear" w:color="auto" w:fill="auto"/>
            <w:noWrap/>
            <w:vAlign w:val="center"/>
            <w:hideMark/>
          </w:tcPr>
          <w:p w14:paraId="1C4A954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0.58</w:t>
            </w:r>
          </w:p>
        </w:tc>
        <w:tc>
          <w:tcPr>
            <w:tcW w:w="511" w:type="pct"/>
            <w:tcBorders>
              <w:top w:val="nil"/>
              <w:left w:val="nil"/>
              <w:bottom w:val="nil"/>
              <w:right w:val="nil"/>
            </w:tcBorders>
            <w:shd w:val="clear" w:color="auto" w:fill="auto"/>
            <w:noWrap/>
            <w:vAlign w:val="center"/>
            <w:hideMark/>
          </w:tcPr>
          <w:p w14:paraId="744DE70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56.6</w:t>
            </w:r>
          </w:p>
        </w:tc>
        <w:tc>
          <w:tcPr>
            <w:tcW w:w="268" w:type="pct"/>
            <w:tcBorders>
              <w:top w:val="nil"/>
              <w:left w:val="nil"/>
              <w:bottom w:val="nil"/>
              <w:right w:val="nil"/>
            </w:tcBorders>
            <w:shd w:val="clear" w:color="auto" w:fill="auto"/>
            <w:noWrap/>
            <w:vAlign w:val="bottom"/>
            <w:hideMark/>
          </w:tcPr>
          <w:p w14:paraId="6BA4419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3721B6A7" w14:textId="77777777" w:rsidTr="005F41CC">
        <w:trPr>
          <w:trHeight w:val="240"/>
        </w:trPr>
        <w:tc>
          <w:tcPr>
            <w:tcW w:w="918" w:type="pct"/>
            <w:tcBorders>
              <w:top w:val="nil"/>
              <w:left w:val="nil"/>
              <w:bottom w:val="nil"/>
              <w:right w:val="nil"/>
            </w:tcBorders>
            <w:shd w:val="clear" w:color="auto" w:fill="auto"/>
            <w:noWrap/>
            <w:vAlign w:val="center"/>
            <w:hideMark/>
          </w:tcPr>
          <w:p w14:paraId="091C88B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Hong Kong</w:t>
            </w:r>
          </w:p>
        </w:tc>
        <w:tc>
          <w:tcPr>
            <w:tcW w:w="442" w:type="pct"/>
            <w:tcBorders>
              <w:top w:val="nil"/>
              <w:left w:val="nil"/>
              <w:bottom w:val="nil"/>
              <w:right w:val="nil"/>
            </w:tcBorders>
            <w:shd w:val="clear" w:color="auto" w:fill="auto"/>
            <w:noWrap/>
            <w:vAlign w:val="center"/>
            <w:hideMark/>
          </w:tcPr>
          <w:p w14:paraId="26B58D4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281.21</w:t>
            </w:r>
          </w:p>
        </w:tc>
        <w:tc>
          <w:tcPr>
            <w:tcW w:w="467" w:type="pct"/>
            <w:tcBorders>
              <w:top w:val="nil"/>
              <w:left w:val="nil"/>
              <w:bottom w:val="nil"/>
              <w:right w:val="nil"/>
            </w:tcBorders>
            <w:shd w:val="clear" w:color="auto" w:fill="auto"/>
            <w:noWrap/>
            <w:vAlign w:val="center"/>
            <w:hideMark/>
          </w:tcPr>
          <w:p w14:paraId="1DF9AA7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0E0E8B7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0.81</w:t>
            </w:r>
          </w:p>
        </w:tc>
        <w:tc>
          <w:tcPr>
            <w:tcW w:w="330" w:type="pct"/>
            <w:tcBorders>
              <w:top w:val="nil"/>
              <w:left w:val="nil"/>
              <w:bottom w:val="nil"/>
              <w:right w:val="nil"/>
            </w:tcBorders>
            <w:shd w:val="clear" w:color="auto" w:fill="auto"/>
            <w:noWrap/>
            <w:vAlign w:val="center"/>
            <w:hideMark/>
          </w:tcPr>
          <w:p w14:paraId="5F0989C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0.60</w:t>
            </w:r>
          </w:p>
        </w:tc>
        <w:tc>
          <w:tcPr>
            <w:tcW w:w="341" w:type="pct"/>
            <w:tcBorders>
              <w:top w:val="nil"/>
              <w:left w:val="nil"/>
              <w:bottom w:val="nil"/>
              <w:right w:val="nil"/>
            </w:tcBorders>
            <w:shd w:val="clear" w:color="auto" w:fill="auto"/>
            <w:noWrap/>
            <w:vAlign w:val="center"/>
            <w:hideMark/>
          </w:tcPr>
          <w:p w14:paraId="0BF79BE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3.64</w:t>
            </w:r>
          </w:p>
        </w:tc>
        <w:tc>
          <w:tcPr>
            <w:tcW w:w="404" w:type="pct"/>
            <w:tcBorders>
              <w:top w:val="nil"/>
              <w:left w:val="nil"/>
              <w:bottom w:val="nil"/>
              <w:right w:val="nil"/>
            </w:tcBorders>
            <w:shd w:val="clear" w:color="auto" w:fill="auto"/>
            <w:noWrap/>
            <w:vAlign w:val="center"/>
            <w:hideMark/>
          </w:tcPr>
          <w:p w14:paraId="35254D2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1.75</w:t>
            </w:r>
          </w:p>
        </w:tc>
        <w:tc>
          <w:tcPr>
            <w:tcW w:w="485" w:type="pct"/>
            <w:tcBorders>
              <w:top w:val="nil"/>
              <w:left w:val="nil"/>
              <w:bottom w:val="nil"/>
              <w:right w:val="nil"/>
            </w:tcBorders>
            <w:shd w:val="clear" w:color="auto" w:fill="auto"/>
            <w:noWrap/>
            <w:vAlign w:val="center"/>
            <w:hideMark/>
          </w:tcPr>
          <w:p w14:paraId="730EAA2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362.01</w:t>
            </w:r>
          </w:p>
        </w:tc>
        <w:tc>
          <w:tcPr>
            <w:tcW w:w="416" w:type="pct"/>
            <w:tcBorders>
              <w:top w:val="nil"/>
              <w:left w:val="nil"/>
              <w:bottom w:val="nil"/>
              <w:right w:val="nil"/>
            </w:tcBorders>
            <w:shd w:val="clear" w:color="auto" w:fill="auto"/>
            <w:noWrap/>
            <w:vAlign w:val="center"/>
            <w:hideMark/>
          </w:tcPr>
          <w:p w14:paraId="14A1E50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0.13</w:t>
            </w:r>
          </w:p>
        </w:tc>
        <w:tc>
          <w:tcPr>
            <w:tcW w:w="511" w:type="pct"/>
            <w:tcBorders>
              <w:top w:val="nil"/>
              <w:left w:val="nil"/>
              <w:bottom w:val="nil"/>
              <w:right w:val="nil"/>
            </w:tcBorders>
            <w:shd w:val="clear" w:color="auto" w:fill="auto"/>
            <w:noWrap/>
            <w:vAlign w:val="center"/>
            <w:hideMark/>
          </w:tcPr>
          <w:p w14:paraId="21DCB93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34.23</w:t>
            </w:r>
          </w:p>
        </w:tc>
        <w:tc>
          <w:tcPr>
            <w:tcW w:w="268" w:type="pct"/>
            <w:tcBorders>
              <w:top w:val="nil"/>
              <w:left w:val="nil"/>
              <w:bottom w:val="nil"/>
              <w:right w:val="nil"/>
            </w:tcBorders>
            <w:shd w:val="clear" w:color="auto" w:fill="auto"/>
            <w:noWrap/>
            <w:vAlign w:val="bottom"/>
            <w:hideMark/>
          </w:tcPr>
          <w:p w14:paraId="2BBAC4E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1C1BE97D" w14:textId="77777777" w:rsidTr="005F41CC">
        <w:trPr>
          <w:trHeight w:val="240"/>
        </w:trPr>
        <w:tc>
          <w:tcPr>
            <w:tcW w:w="918" w:type="pct"/>
            <w:tcBorders>
              <w:top w:val="nil"/>
              <w:left w:val="nil"/>
              <w:bottom w:val="nil"/>
              <w:right w:val="nil"/>
            </w:tcBorders>
            <w:shd w:val="clear" w:color="auto" w:fill="auto"/>
            <w:noWrap/>
            <w:vAlign w:val="center"/>
            <w:hideMark/>
          </w:tcPr>
          <w:p w14:paraId="2368F67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Ireland</w:t>
            </w:r>
          </w:p>
        </w:tc>
        <w:tc>
          <w:tcPr>
            <w:tcW w:w="442" w:type="pct"/>
            <w:tcBorders>
              <w:top w:val="nil"/>
              <w:left w:val="nil"/>
              <w:bottom w:val="nil"/>
              <w:right w:val="nil"/>
            </w:tcBorders>
            <w:shd w:val="clear" w:color="auto" w:fill="auto"/>
            <w:noWrap/>
            <w:vAlign w:val="center"/>
            <w:hideMark/>
          </w:tcPr>
          <w:p w14:paraId="0CC500B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84.39</w:t>
            </w:r>
          </w:p>
        </w:tc>
        <w:tc>
          <w:tcPr>
            <w:tcW w:w="467" w:type="pct"/>
            <w:tcBorders>
              <w:top w:val="nil"/>
              <w:left w:val="nil"/>
              <w:bottom w:val="nil"/>
              <w:right w:val="nil"/>
            </w:tcBorders>
            <w:shd w:val="clear" w:color="auto" w:fill="auto"/>
            <w:noWrap/>
            <w:vAlign w:val="center"/>
            <w:hideMark/>
          </w:tcPr>
          <w:p w14:paraId="7CBA18A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0A503E7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1.00</w:t>
            </w:r>
          </w:p>
        </w:tc>
        <w:tc>
          <w:tcPr>
            <w:tcW w:w="330" w:type="pct"/>
            <w:tcBorders>
              <w:top w:val="nil"/>
              <w:left w:val="nil"/>
              <w:bottom w:val="nil"/>
              <w:right w:val="nil"/>
            </w:tcBorders>
            <w:shd w:val="clear" w:color="auto" w:fill="auto"/>
            <w:noWrap/>
            <w:vAlign w:val="center"/>
            <w:hideMark/>
          </w:tcPr>
          <w:p w14:paraId="4378606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1.39</w:t>
            </w:r>
          </w:p>
        </w:tc>
        <w:tc>
          <w:tcPr>
            <w:tcW w:w="341" w:type="pct"/>
            <w:tcBorders>
              <w:top w:val="nil"/>
              <w:left w:val="nil"/>
              <w:bottom w:val="nil"/>
              <w:right w:val="nil"/>
            </w:tcBorders>
            <w:shd w:val="clear" w:color="auto" w:fill="auto"/>
            <w:noWrap/>
            <w:vAlign w:val="center"/>
            <w:hideMark/>
          </w:tcPr>
          <w:p w14:paraId="7C17F43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4.72</w:t>
            </w:r>
          </w:p>
        </w:tc>
        <w:tc>
          <w:tcPr>
            <w:tcW w:w="404" w:type="pct"/>
            <w:tcBorders>
              <w:top w:val="nil"/>
              <w:left w:val="nil"/>
              <w:bottom w:val="nil"/>
              <w:right w:val="nil"/>
            </w:tcBorders>
            <w:shd w:val="clear" w:color="auto" w:fill="auto"/>
            <w:noWrap/>
            <w:vAlign w:val="center"/>
            <w:hideMark/>
          </w:tcPr>
          <w:p w14:paraId="3E019C4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1.86</w:t>
            </w:r>
          </w:p>
        </w:tc>
        <w:tc>
          <w:tcPr>
            <w:tcW w:w="485" w:type="pct"/>
            <w:tcBorders>
              <w:top w:val="nil"/>
              <w:left w:val="nil"/>
              <w:bottom w:val="nil"/>
              <w:right w:val="nil"/>
            </w:tcBorders>
            <w:shd w:val="clear" w:color="auto" w:fill="auto"/>
            <w:noWrap/>
            <w:vAlign w:val="center"/>
            <w:hideMark/>
          </w:tcPr>
          <w:p w14:paraId="5ED6359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176.8</w:t>
            </w:r>
          </w:p>
        </w:tc>
        <w:tc>
          <w:tcPr>
            <w:tcW w:w="416" w:type="pct"/>
            <w:tcBorders>
              <w:top w:val="nil"/>
              <w:left w:val="nil"/>
              <w:bottom w:val="nil"/>
              <w:right w:val="nil"/>
            </w:tcBorders>
            <w:shd w:val="clear" w:color="auto" w:fill="auto"/>
            <w:noWrap/>
            <w:vAlign w:val="center"/>
            <w:hideMark/>
          </w:tcPr>
          <w:p w14:paraId="5AD22F0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0.25</w:t>
            </w:r>
          </w:p>
        </w:tc>
        <w:tc>
          <w:tcPr>
            <w:tcW w:w="511" w:type="pct"/>
            <w:tcBorders>
              <w:top w:val="nil"/>
              <w:left w:val="nil"/>
              <w:bottom w:val="nil"/>
              <w:right w:val="nil"/>
            </w:tcBorders>
            <w:shd w:val="clear" w:color="auto" w:fill="auto"/>
            <w:noWrap/>
            <w:vAlign w:val="center"/>
            <w:hideMark/>
          </w:tcPr>
          <w:p w14:paraId="4C64001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121.76</w:t>
            </w:r>
          </w:p>
        </w:tc>
        <w:tc>
          <w:tcPr>
            <w:tcW w:w="268" w:type="pct"/>
            <w:tcBorders>
              <w:top w:val="nil"/>
              <w:left w:val="nil"/>
              <w:bottom w:val="nil"/>
              <w:right w:val="nil"/>
            </w:tcBorders>
            <w:shd w:val="clear" w:color="auto" w:fill="auto"/>
            <w:noWrap/>
            <w:vAlign w:val="bottom"/>
            <w:hideMark/>
          </w:tcPr>
          <w:p w14:paraId="3363F0D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1B9D9363" w14:textId="77777777" w:rsidTr="005F41CC">
        <w:trPr>
          <w:trHeight w:val="240"/>
        </w:trPr>
        <w:tc>
          <w:tcPr>
            <w:tcW w:w="918" w:type="pct"/>
            <w:tcBorders>
              <w:top w:val="nil"/>
              <w:left w:val="nil"/>
              <w:bottom w:val="nil"/>
              <w:right w:val="nil"/>
            </w:tcBorders>
            <w:shd w:val="clear" w:color="auto" w:fill="auto"/>
            <w:noWrap/>
            <w:vAlign w:val="center"/>
            <w:hideMark/>
          </w:tcPr>
          <w:p w14:paraId="75D9116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Israel</w:t>
            </w:r>
          </w:p>
        </w:tc>
        <w:tc>
          <w:tcPr>
            <w:tcW w:w="442" w:type="pct"/>
            <w:tcBorders>
              <w:top w:val="nil"/>
              <w:left w:val="nil"/>
              <w:bottom w:val="nil"/>
              <w:right w:val="nil"/>
            </w:tcBorders>
            <w:shd w:val="clear" w:color="auto" w:fill="auto"/>
            <w:noWrap/>
            <w:vAlign w:val="center"/>
            <w:hideMark/>
          </w:tcPr>
          <w:p w14:paraId="237DE16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77.85</w:t>
            </w:r>
          </w:p>
        </w:tc>
        <w:tc>
          <w:tcPr>
            <w:tcW w:w="467" w:type="pct"/>
            <w:tcBorders>
              <w:top w:val="nil"/>
              <w:left w:val="nil"/>
              <w:bottom w:val="nil"/>
              <w:right w:val="nil"/>
            </w:tcBorders>
            <w:shd w:val="clear" w:color="auto" w:fill="auto"/>
            <w:noWrap/>
            <w:vAlign w:val="center"/>
            <w:hideMark/>
          </w:tcPr>
          <w:p w14:paraId="2F3D1AC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2.15</w:t>
            </w:r>
          </w:p>
        </w:tc>
        <w:tc>
          <w:tcPr>
            <w:tcW w:w="418" w:type="pct"/>
            <w:tcBorders>
              <w:top w:val="nil"/>
              <w:left w:val="nil"/>
              <w:bottom w:val="nil"/>
              <w:right w:val="nil"/>
            </w:tcBorders>
            <w:shd w:val="clear" w:color="auto" w:fill="auto"/>
            <w:noWrap/>
            <w:vAlign w:val="center"/>
            <w:hideMark/>
          </w:tcPr>
          <w:p w14:paraId="5639803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76F886B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1.92</w:t>
            </w:r>
          </w:p>
        </w:tc>
        <w:tc>
          <w:tcPr>
            <w:tcW w:w="341" w:type="pct"/>
            <w:tcBorders>
              <w:top w:val="nil"/>
              <w:left w:val="nil"/>
              <w:bottom w:val="nil"/>
              <w:right w:val="nil"/>
            </w:tcBorders>
            <w:shd w:val="clear" w:color="auto" w:fill="auto"/>
            <w:noWrap/>
            <w:vAlign w:val="center"/>
            <w:hideMark/>
          </w:tcPr>
          <w:p w14:paraId="3755C27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3.22</w:t>
            </w:r>
          </w:p>
        </w:tc>
        <w:tc>
          <w:tcPr>
            <w:tcW w:w="404" w:type="pct"/>
            <w:tcBorders>
              <w:top w:val="nil"/>
              <w:left w:val="nil"/>
              <w:bottom w:val="nil"/>
              <w:right w:val="nil"/>
            </w:tcBorders>
            <w:shd w:val="clear" w:color="auto" w:fill="auto"/>
            <w:noWrap/>
            <w:vAlign w:val="center"/>
            <w:hideMark/>
          </w:tcPr>
          <w:p w14:paraId="70117BD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1.73</w:t>
            </w:r>
          </w:p>
        </w:tc>
        <w:tc>
          <w:tcPr>
            <w:tcW w:w="485" w:type="pct"/>
            <w:tcBorders>
              <w:top w:val="nil"/>
              <w:left w:val="nil"/>
              <w:bottom w:val="nil"/>
              <w:right w:val="nil"/>
            </w:tcBorders>
            <w:shd w:val="clear" w:color="auto" w:fill="auto"/>
            <w:noWrap/>
            <w:vAlign w:val="center"/>
            <w:hideMark/>
          </w:tcPr>
          <w:p w14:paraId="69C8943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70.38</w:t>
            </w:r>
          </w:p>
        </w:tc>
        <w:tc>
          <w:tcPr>
            <w:tcW w:w="416" w:type="pct"/>
            <w:tcBorders>
              <w:top w:val="nil"/>
              <w:left w:val="nil"/>
              <w:bottom w:val="nil"/>
              <w:right w:val="nil"/>
            </w:tcBorders>
            <w:shd w:val="clear" w:color="auto" w:fill="auto"/>
            <w:noWrap/>
            <w:vAlign w:val="center"/>
            <w:hideMark/>
          </w:tcPr>
          <w:p w14:paraId="4EEAC2F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0.25</w:t>
            </w:r>
          </w:p>
        </w:tc>
        <w:tc>
          <w:tcPr>
            <w:tcW w:w="511" w:type="pct"/>
            <w:tcBorders>
              <w:top w:val="nil"/>
              <w:left w:val="nil"/>
              <w:bottom w:val="nil"/>
              <w:right w:val="nil"/>
            </w:tcBorders>
            <w:shd w:val="clear" w:color="auto" w:fill="auto"/>
            <w:noWrap/>
            <w:vAlign w:val="center"/>
            <w:hideMark/>
          </w:tcPr>
          <w:p w14:paraId="1F4583E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11.00</w:t>
            </w:r>
          </w:p>
        </w:tc>
        <w:tc>
          <w:tcPr>
            <w:tcW w:w="268" w:type="pct"/>
            <w:tcBorders>
              <w:top w:val="nil"/>
              <w:left w:val="nil"/>
              <w:bottom w:val="nil"/>
              <w:right w:val="nil"/>
            </w:tcBorders>
            <w:shd w:val="clear" w:color="auto" w:fill="auto"/>
            <w:noWrap/>
            <w:vAlign w:val="bottom"/>
            <w:hideMark/>
          </w:tcPr>
          <w:p w14:paraId="48E1DB0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5BC353FD" w14:textId="77777777" w:rsidTr="005F41CC">
        <w:trPr>
          <w:trHeight w:val="240"/>
        </w:trPr>
        <w:tc>
          <w:tcPr>
            <w:tcW w:w="918" w:type="pct"/>
            <w:tcBorders>
              <w:top w:val="nil"/>
              <w:left w:val="nil"/>
              <w:bottom w:val="nil"/>
              <w:right w:val="nil"/>
            </w:tcBorders>
            <w:shd w:val="clear" w:color="auto" w:fill="auto"/>
            <w:noWrap/>
            <w:vAlign w:val="center"/>
            <w:hideMark/>
          </w:tcPr>
          <w:p w14:paraId="072BF4A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Italy</w:t>
            </w:r>
          </w:p>
        </w:tc>
        <w:tc>
          <w:tcPr>
            <w:tcW w:w="442" w:type="pct"/>
            <w:tcBorders>
              <w:top w:val="nil"/>
              <w:left w:val="nil"/>
              <w:bottom w:val="nil"/>
              <w:right w:val="nil"/>
            </w:tcBorders>
            <w:shd w:val="clear" w:color="auto" w:fill="auto"/>
            <w:noWrap/>
            <w:vAlign w:val="center"/>
            <w:hideMark/>
          </w:tcPr>
          <w:p w14:paraId="3C54E97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66.19</w:t>
            </w:r>
          </w:p>
        </w:tc>
        <w:tc>
          <w:tcPr>
            <w:tcW w:w="467" w:type="pct"/>
            <w:tcBorders>
              <w:top w:val="nil"/>
              <w:left w:val="nil"/>
              <w:bottom w:val="nil"/>
              <w:right w:val="nil"/>
            </w:tcBorders>
            <w:shd w:val="clear" w:color="auto" w:fill="auto"/>
            <w:noWrap/>
            <w:vAlign w:val="center"/>
            <w:hideMark/>
          </w:tcPr>
          <w:p w14:paraId="208DEC7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7FB5C12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0.65</w:t>
            </w:r>
          </w:p>
        </w:tc>
        <w:tc>
          <w:tcPr>
            <w:tcW w:w="330" w:type="pct"/>
            <w:tcBorders>
              <w:top w:val="nil"/>
              <w:left w:val="nil"/>
              <w:bottom w:val="nil"/>
              <w:right w:val="nil"/>
            </w:tcBorders>
            <w:shd w:val="clear" w:color="auto" w:fill="auto"/>
            <w:noWrap/>
            <w:vAlign w:val="center"/>
            <w:hideMark/>
          </w:tcPr>
          <w:p w14:paraId="7AC02E9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0.39</w:t>
            </w:r>
          </w:p>
        </w:tc>
        <w:tc>
          <w:tcPr>
            <w:tcW w:w="341" w:type="pct"/>
            <w:tcBorders>
              <w:top w:val="nil"/>
              <w:left w:val="nil"/>
              <w:bottom w:val="nil"/>
              <w:right w:val="nil"/>
            </w:tcBorders>
            <w:shd w:val="clear" w:color="auto" w:fill="auto"/>
            <w:noWrap/>
            <w:vAlign w:val="center"/>
            <w:hideMark/>
          </w:tcPr>
          <w:p w14:paraId="39C92C7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0.08</w:t>
            </w:r>
          </w:p>
        </w:tc>
        <w:tc>
          <w:tcPr>
            <w:tcW w:w="404" w:type="pct"/>
            <w:tcBorders>
              <w:top w:val="nil"/>
              <w:left w:val="nil"/>
              <w:bottom w:val="nil"/>
              <w:right w:val="nil"/>
            </w:tcBorders>
            <w:shd w:val="clear" w:color="auto" w:fill="auto"/>
            <w:noWrap/>
            <w:vAlign w:val="center"/>
            <w:hideMark/>
          </w:tcPr>
          <w:p w14:paraId="75BB3BD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w:t>
            </w:r>
          </w:p>
        </w:tc>
        <w:tc>
          <w:tcPr>
            <w:tcW w:w="485" w:type="pct"/>
            <w:tcBorders>
              <w:top w:val="nil"/>
              <w:left w:val="nil"/>
              <w:bottom w:val="nil"/>
              <w:right w:val="nil"/>
            </w:tcBorders>
            <w:shd w:val="clear" w:color="auto" w:fill="auto"/>
            <w:noWrap/>
            <w:vAlign w:val="center"/>
            <w:hideMark/>
          </w:tcPr>
          <w:p w14:paraId="2AF4E32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52.44</w:t>
            </w:r>
          </w:p>
        </w:tc>
        <w:tc>
          <w:tcPr>
            <w:tcW w:w="416" w:type="pct"/>
            <w:tcBorders>
              <w:top w:val="nil"/>
              <w:left w:val="nil"/>
              <w:bottom w:val="nil"/>
              <w:right w:val="nil"/>
            </w:tcBorders>
            <w:shd w:val="clear" w:color="auto" w:fill="auto"/>
            <w:noWrap/>
            <w:vAlign w:val="center"/>
            <w:hideMark/>
          </w:tcPr>
          <w:p w14:paraId="0FBA526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0.32</w:t>
            </w:r>
          </w:p>
        </w:tc>
        <w:tc>
          <w:tcPr>
            <w:tcW w:w="511" w:type="pct"/>
            <w:tcBorders>
              <w:top w:val="nil"/>
              <w:left w:val="nil"/>
              <w:bottom w:val="nil"/>
              <w:right w:val="nil"/>
            </w:tcBorders>
            <w:shd w:val="clear" w:color="auto" w:fill="auto"/>
            <w:noWrap/>
            <w:vAlign w:val="center"/>
            <w:hideMark/>
          </w:tcPr>
          <w:p w14:paraId="79F875C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43.84</w:t>
            </w:r>
          </w:p>
        </w:tc>
        <w:tc>
          <w:tcPr>
            <w:tcW w:w="268" w:type="pct"/>
            <w:tcBorders>
              <w:top w:val="nil"/>
              <w:left w:val="nil"/>
              <w:bottom w:val="nil"/>
              <w:right w:val="nil"/>
            </w:tcBorders>
            <w:shd w:val="clear" w:color="auto" w:fill="auto"/>
            <w:noWrap/>
            <w:vAlign w:val="bottom"/>
            <w:hideMark/>
          </w:tcPr>
          <w:p w14:paraId="4BCB929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4DB76E1E" w14:textId="77777777" w:rsidTr="005F41CC">
        <w:trPr>
          <w:trHeight w:val="240"/>
        </w:trPr>
        <w:tc>
          <w:tcPr>
            <w:tcW w:w="918" w:type="pct"/>
            <w:tcBorders>
              <w:top w:val="nil"/>
              <w:left w:val="nil"/>
              <w:bottom w:val="nil"/>
              <w:right w:val="nil"/>
            </w:tcBorders>
            <w:shd w:val="clear" w:color="auto" w:fill="auto"/>
            <w:noWrap/>
            <w:vAlign w:val="center"/>
            <w:hideMark/>
          </w:tcPr>
          <w:p w14:paraId="6F7A066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Japan</w:t>
            </w:r>
          </w:p>
        </w:tc>
        <w:tc>
          <w:tcPr>
            <w:tcW w:w="442" w:type="pct"/>
            <w:tcBorders>
              <w:top w:val="nil"/>
              <w:left w:val="nil"/>
              <w:bottom w:val="nil"/>
              <w:right w:val="nil"/>
            </w:tcBorders>
            <w:shd w:val="clear" w:color="auto" w:fill="auto"/>
            <w:noWrap/>
            <w:vAlign w:val="center"/>
            <w:hideMark/>
          </w:tcPr>
          <w:p w14:paraId="375449B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198.53</w:t>
            </w:r>
          </w:p>
        </w:tc>
        <w:tc>
          <w:tcPr>
            <w:tcW w:w="467" w:type="pct"/>
            <w:tcBorders>
              <w:top w:val="nil"/>
              <w:left w:val="nil"/>
              <w:bottom w:val="nil"/>
              <w:right w:val="nil"/>
            </w:tcBorders>
            <w:shd w:val="clear" w:color="auto" w:fill="auto"/>
            <w:noWrap/>
            <w:vAlign w:val="center"/>
            <w:hideMark/>
          </w:tcPr>
          <w:p w14:paraId="379C3F5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00374C0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646D0E7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w:t>
            </w:r>
          </w:p>
        </w:tc>
        <w:tc>
          <w:tcPr>
            <w:tcW w:w="341" w:type="pct"/>
            <w:tcBorders>
              <w:top w:val="nil"/>
              <w:left w:val="nil"/>
              <w:bottom w:val="nil"/>
              <w:right w:val="nil"/>
            </w:tcBorders>
            <w:shd w:val="clear" w:color="auto" w:fill="auto"/>
            <w:noWrap/>
            <w:vAlign w:val="center"/>
            <w:hideMark/>
          </w:tcPr>
          <w:p w14:paraId="46D2096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w:t>
            </w:r>
          </w:p>
        </w:tc>
        <w:tc>
          <w:tcPr>
            <w:tcW w:w="404" w:type="pct"/>
            <w:tcBorders>
              <w:top w:val="nil"/>
              <w:left w:val="nil"/>
              <w:bottom w:val="nil"/>
              <w:right w:val="nil"/>
            </w:tcBorders>
            <w:shd w:val="clear" w:color="auto" w:fill="auto"/>
            <w:noWrap/>
            <w:vAlign w:val="center"/>
            <w:hideMark/>
          </w:tcPr>
          <w:p w14:paraId="02C0D3C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0.05</w:t>
            </w:r>
          </w:p>
        </w:tc>
        <w:tc>
          <w:tcPr>
            <w:tcW w:w="485" w:type="pct"/>
            <w:tcBorders>
              <w:top w:val="nil"/>
              <w:left w:val="nil"/>
              <w:bottom w:val="nil"/>
              <w:right w:val="nil"/>
            </w:tcBorders>
            <w:shd w:val="clear" w:color="auto" w:fill="auto"/>
            <w:noWrap/>
            <w:vAlign w:val="center"/>
            <w:hideMark/>
          </w:tcPr>
          <w:p w14:paraId="3A8819D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28.94</w:t>
            </w:r>
          </w:p>
        </w:tc>
        <w:tc>
          <w:tcPr>
            <w:tcW w:w="416" w:type="pct"/>
            <w:tcBorders>
              <w:top w:val="nil"/>
              <w:left w:val="nil"/>
              <w:bottom w:val="nil"/>
              <w:right w:val="nil"/>
            </w:tcBorders>
            <w:shd w:val="clear" w:color="auto" w:fill="auto"/>
            <w:noWrap/>
            <w:vAlign w:val="center"/>
            <w:hideMark/>
          </w:tcPr>
          <w:p w14:paraId="1254CDB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0.04</w:t>
            </w:r>
          </w:p>
        </w:tc>
        <w:tc>
          <w:tcPr>
            <w:tcW w:w="511" w:type="pct"/>
            <w:tcBorders>
              <w:top w:val="nil"/>
              <w:left w:val="nil"/>
              <w:bottom w:val="nil"/>
              <w:right w:val="nil"/>
            </w:tcBorders>
            <w:shd w:val="clear" w:color="auto" w:fill="auto"/>
            <w:noWrap/>
            <w:vAlign w:val="center"/>
            <w:hideMark/>
          </w:tcPr>
          <w:p w14:paraId="5A659AB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7.03</w:t>
            </w:r>
          </w:p>
        </w:tc>
        <w:tc>
          <w:tcPr>
            <w:tcW w:w="268" w:type="pct"/>
            <w:tcBorders>
              <w:top w:val="nil"/>
              <w:left w:val="nil"/>
              <w:bottom w:val="nil"/>
              <w:right w:val="nil"/>
            </w:tcBorders>
            <w:shd w:val="clear" w:color="auto" w:fill="auto"/>
            <w:noWrap/>
            <w:vAlign w:val="bottom"/>
            <w:hideMark/>
          </w:tcPr>
          <w:p w14:paraId="06ED03C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7409ACDC" w14:textId="77777777" w:rsidTr="005F41CC">
        <w:trPr>
          <w:trHeight w:val="240"/>
        </w:trPr>
        <w:tc>
          <w:tcPr>
            <w:tcW w:w="918" w:type="pct"/>
            <w:tcBorders>
              <w:top w:val="nil"/>
              <w:left w:val="nil"/>
              <w:bottom w:val="nil"/>
              <w:right w:val="nil"/>
            </w:tcBorders>
            <w:shd w:val="clear" w:color="auto" w:fill="auto"/>
            <w:noWrap/>
            <w:vAlign w:val="center"/>
            <w:hideMark/>
          </w:tcPr>
          <w:p w14:paraId="110859E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Netherland</w:t>
            </w:r>
          </w:p>
        </w:tc>
        <w:tc>
          <w:tcPr>
            <w:tcW w:w="442" w:type="pct"/>
            <w:tcBorders>
              <w:top w:val="nil"/>
              <w:left w:val="nil"/>
              <w:bottom w:val="nil"/>
              <w:right w:val="nil"/>
            </w:tcBorders>
            <w:shd w:val="clear" w:color="auto" w:fill="auto"/>
            <w:noWrap/>
            <w:vAlign w:val="center"/>
            <w:hideMark/>
          </w:tcPr>
          <w:p w14:paraId="086DC71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91.51</w:t>
            </w:r>
          </w:p>
        </w:tc>
        <w:tc>
          <w:tcPr>
            <w:tcW w:w="467" w:type="pct"/>
            <w:tcBorders>
              <w:top w:val="nil"/>
              <w:left w:val="nil"/>
              <w:bottom w:val="nil"/>
              <w:right w:val="nil"/>
            </w:tcBorders>
            <w:shd w:val="clear" w:color="auto" w:fill="auto"/>
            <w:noWrap/>
            <w:vAlign w:val="center"/>
            <w:hideMark/>
          </w:tcPr>
          <w:p w14:paraId="767A89F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560C1B8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1.00</w:t>
            </w:r>
          </w:p>
        </w:tc>
        <w:tc>
          <w:tcPr>
            <w:tcW w:w="330" w:type="pct"/>
            <w:tcBorders>
              <w:top w:val="nil"/>
              <w:left w:val="nil"/>
              <w:bottom w:val="nil"/>
              <w:right w:val="nil"/>
            </w:tcBorders>
            <w:shd w:val="clear" w:color="auto" w:fill="auto"/>
            <w:noWrap/>
            <w:vAlign w:val="center"/>
            <w:hideMark/>
          </w:tcPr>
          <w:p w14:paraId="2987FC0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0.42</w:t>
            </w:r>
          </w:p>
        </w:tc>
        <w:tc>
          <w:tcPr>
            <w:tcW w:w="341" w:type="pct"/>
            <w:tcBorders>
              <w:top w:val="nil"/>
              <w:left w:val="nil"/>
              <w:bottom w:val="nil"/>
              <w:right w:val="nil"/>
            </w:tcBorders>
            <w:shd w:val="clear" w:color="auto" w:fill="auto"/>
            <w:noWrap/>
            <w:vAlign w:val="center"/>
            <w:hideMark/>
          </w:tcPr>
          <w:p w14:paraId="60DD76E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1.22</w:t>
            </w:r>
          </w:p>
        </w:tc>
        <w:tc>
          <w:tcPr>
            <w:tcW w:w="404" w:type="pct"/>
            <w:tcBorders>
              <w:top w:val="nil"/>
              <w:left w:val="nil"/>
              <w:bottom w:val="nil"/>
              <w:right w:val="nil"/>
            </w:tcBorders>
            <w:shd w:val="clear" w:color="auto" w:fill="auto"/>
            <w:noWrap/>
            <w:vAlign w:val="center"/>
            <w:hideMark/>
          </w:tcPr>
          <w:p w14:paraId="2B27899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1.84</w:t>
            </w:r>
          </w:p>
        </w:tc>
        <w:tc>
          <w:tcPr>
            <w:tcW w:w="485" w:type="pct"/>
            <w:tcBorders>
              <w:top w:val="nil"/>
              <w:left w:val="nil"/>
              <w:bottom w:val="nil"/>
              <w:right w:val="nil"/>
            </w:tcBorders>
            <w:shd w:val="clear" w:color="auto" w:fill="auto"/>
            <w:noWrap/>
            <w:vAlign w:val="center"/>
            <w:hideMark/>
          </w:tcPr>
          <w:p w14:paraId="26D6EBA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135.06</w:t>
            </w:r>
          </w:p>
        </w:tc>
        <w:tc>
          <w:tcPr>
            <w:tcW w:w="416" w:type="pct"/>
            <w:tcBorders>
              <w:top w:val="nil"/>
              <w:left w:val="nil"/>
              <w:bottom w:val="nil"/>
              <w:right w:val="nil"/>
            </w:tcBorders>
            <w:shd w:val="clear" w:color="auto" w:fill="auto"/>
            <w:noWrap/>
            <w:vAlign w:val="center"/>
            <w:hideMark/>
          </w:tcPr>
          <w:p w14:paraId="1E1B588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0.18</w:t>
            </w:r>
          </w:p>
        </w:tc>
        <w:tc>
          <w:tcPr>
            <w:tcW w:w="511" w:type="pct"/>
            <w:tcBorders>
              <w:top w:val="nil"/>
              <w:left w:val="nil"/>
              <w:bottom w:val="nil"/>
              <w:right w:val="nil"/>
            </w:tcBorders>
            <w:shd w:val="clear" w:color="auto" w:fill="auto"/>
            <w:noWrap/>
            <w:vAlign w:val="center"/>
            <w:hideMark/>
          </w:tcPr>
          <w:p w14:paraId="1A2044B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126.78</w:t>
            </w:r>
          </w:p>
        </w:tc>
        <w:tc>
          <w:tcPr>
            <w:tcW w:w="268" w:type="pct"/>
            <w:tcBorders>
              <w:top w:val="nil"/>
              <w:left w:val="nil"/>
              <w:bottom w:val="nil"/>
              <w:right w:val="nil"/>
            </w:tcBorders>
            <w:shd w:val="clear" w:color="auto" w:fill="auto"/>
            <w:noWrap/>
            <w:vAlign w:val="bottom"/>
            <w:hideMark/>
          </w:tcPr>
          <w:p w14:paraId="62F88B6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5B56955A" w14:textId="77777777" w:rsidTr="005F41CC">
        <w:trPr>
          <w:trHeight w:val="240"/>
        </w:trPr>
        <w:tc>
          <w:tcPr>
            <w:tcW w:w="918" w:type="pct"/>
            <w:tcBorders>
              <w:top w:val="nil"/>
              <w:left w:val="nil"/>
              <w:bottom w:val="nil"/>
              <w:right w:val="nil"/>
            </w:tcBorders>
            <w:shd w:val="clear" w:color="auto" w:fill="auto"/>
            <w:noWrap/>
            <w:vAlign w:val="center"/>
            <w:hideMark/>
          </w:tcPr>
          <w:p w14:paraId="3239731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New Zealand</w:t>
            </w:r>
          </w:p>
        </w:tc>
        <w:tc>
          <w:tcPr>
            <w:tcW w:w="442" w:type="pct"/>
            <w:tcBorders>
              <w:top w:val="nil"/>
              <w:left w:val="nil"/>
              <w:bottom w:val="nil"/>
              <w:right w:val="nil"/>
            </w:tcBorders>
            <w:shd w:val="clear" w:color="auto" w:fill="auto"/>
            <w:noWrap/>
            <w:vAlign w:val="center"/>
            <w:hideMark/>
          </w:tcPr>
          <w:p w14:paraId="6100832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83.27</w:t>
            </w:r>
          </w:p>
        </w:tc>
        <w:tc>
          <w:tcPr>
            <w:tcW w:w="467" w:type="pct"/>
            <w:tcBorders>
              <w:top w:val="nil"/>
              <w:left w:val="nil"/>
              <w:bottom w:val="nil"/>
              <w:right w:val="nil"/>
            </w:tcBorders>
            <w:shd w:val="clear" w:color="auto" w:fill="auto"/>
            <w:noWrap/>
            <w:vAlign w:val="center"/>
            <w:hideMark/>
          </w:tcPr>
          <w:p w14:paraId="6BB56F6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2A7F874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0.94</w:t>
            </w:r>
          </w:p>
        </w:tc>
        <w:tc>
          <w:tcPr>
            <w:tcW w:w="330" w:type="pct"/>
            <w:tcBorders>
              <w:top w:val="nil"/>
              <w:left w:val="nil"/>
              <w:bottom w:val="nil"/>
              <w:right w:val="nil"/>
            </w:tcBorders>
            <w:shd w:val="clear" w:color="auto" w:fill="auto"/>
            <w:noWrap/>
            <w:vAlign w:val="center"/>
            <w:hideMark/>
          </w:tcPr>
          <w:p w14:paraId="797585E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1.23</w:t>
            </w:r>
          </w:p>
        </w:tc>
        <w:tc>
          <w:tcPr>
            <w:tcW w:w="341" w:type="pct"/>
            <w:tcBorders>
              <w:top w:val="nil"/>
              <w:left w:val="nil"/>
              <w:bottom w:val="nil"/>
              <w:right w:val="nil"/>
            </w:tcBorders>
            <w:shd w:val="clear" w:color="auto" w:fill="auto"/>
            <w:noWrap/>
            <w:vAlign w:val="center"/>
            <w:hideMark/>
          </w:tcPr>
          <w:p w14:paraId="2CA0052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2.89</w:t>
            </w:r>
          </w:p>
        </w:tc>
        <w:tc>
          <w:tcPr>
            <w:tcW w:w="404" w:type="pct"/>
            <w:tcBorders>
              <w:top w:val="nil"/>
              <w:left w:val="nil"/>
              <w:bottom w:val="nil"/>
              <w:right w:val="nil"/>
            </w:tcBorders>
            <w:shd w:val="clear" w:color="auto" w:fill="auto"/>
            <w:noWrap/>
            <w:vAlign w:val="center"/>
            <w:hideMark/>
          </w:tcPr>
          <w:p w14:paraId="11F38A2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2.17</w:t>
            </w:r>
          </w:p>
        </w:tc>
        <w:tc>
          <w:tcPr>
            <w:tcW w:w="485" w:type="pct"/>
            <w:tcBorders>
              <w:top w:val="nil"/>
              <w:left w:val="nil"/>
              <w:bottom w:val="nil"/>
              <w:right w:val="nil"/>
            </w:tcBorders>
            <w:shd w:val="clear" w:color="auto" w:fill="auto"/>
            <w:noWrap/>
            <w:vAlign w:val="center"/>
            <w:hideMark/>
          </w:tcPr>
          <w:p w14:paraId="4707EF3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58.33</w:t>
            </w:r>
          </w:p>
        </w:tc>
        <w:tc>
          <w:tcPr>
            <w:tcW w:w="416" w:type="pct"/>
            <w:tcBorders>
              <w:top w:val="nil"/>
              <w:left w:val="nil"/>
              <w:bottom w:val="nil"/>
              <w:right w:val="nil"/>
            </w:tcBorders>
            <w:shd w:val="clear" w:color="auto" w:fill="auto"/>
            <w:noWrap/>
            <w:vAlign w:val="center"/>
            <w:hideMark/>
          </w:tcPr>
          <w:p w14:paraId="1670937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0.29</w:t>
            </w:r>
          </w:p>
        </w:tc>
        <w:tc>
          <w:tcPr>
            <w:tcW w:w="511" w:type="pct"/>
            <w:tcBorders>
              <w:top w:val="nil"/>
              <w:left w:val="nil"/>
              <w:bottom w:val="nil"/>
              <w:right w:val="nil"/>
            </w:tcBorders>
            <w:shd w:val="clear" w:color="auto" w:fill="auto"/>
            <w:noWrap/>
            <w:vAlign w:val="center"/>
            <w:hideMark/>
          </w:tcPr>
          <w:p w14:paraId="77D5A2C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10.38</w:t>
            </w:r>
          </w:p>
        </w:tc>
        <w:tc>
          <w:tcPr>
            <w:tcW w:w="268" w:type="pct"/>
            <w:tcBorders>
              <w:top w:val="nil"/>
              <w:left w:val="nil"/>
              <w:bottom w:val="nil"/>
              <w:right w:val="nil"/>
            </w:tcBorders>
            <w:shd w:val="clear" w:color="auto" w:fill="auto"/>
            <w:noWrap/>
            <w:vAlign w:val="bottom"/>
            <w:hideMark/>
          </w:tcPr>
          <w:p w14:paraId="59D1A93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716BFFB9" w14:textId="77777777" w:rsidTr="005F41CC">
        <w:trPr>
          <w:trHeight w:val="240"/>
        </w:trPr>
        <w:tc>
          <w:tcPr>
            <w:tcW w:w="918" w:type="pct"/>
            <w:tcBorders>
              <w:top w:val="nil"/>
              <w:left w:val="nil"/>
              <w:bottom w:val="nil"/>
              <w:right w:val="nil"/>
            </w:tcBorders>
            <w:shd w:val="clear" w:color="auto" w:fill="auto"/>
            <w:noWrap/>
            <w:vAlign w:val="center"/>
            <w:hideMark/>
          </w:tcPr>
          <w:p w14:paraId="23AC71C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Norway</w:t>
            </w:r>
          </w:p>
        </w:tc>
        <w:tc>
          <w:tcPr>
            <w:tcW w:w="442" w:type="pct"/>
            <w:tcBorders>
              <w:top w:val="nil"/>
              <w:left w:val="nil"/>
              <w:bottom w:val="nil"/>
              <w:right w:val="nil"/>
            </w:tcBorders>
            <w:shd w:val="clear" w:color="auto" w:fill="auto"/>
            <w:noWrap/>
            <w:vAlign w:val="center"/>
            <w:hideMark/>
          </w:tcPr>
          <w:p w14:paraId="29953E6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52.61</w:t>
            </w:r>
          </w:p>
        </w:tc>
        <w:tc>
          <w:tcPr>
            <w:tcW w:w="467" w:type="pct"/>
            <w:tcBorders>
              <w:top w:val="nil"/>
              <w:left w:val="nil"/>
              <w:bottom w:val="nil"/>
              <w:right w:val="nil"/>
            </w:tcBorders>
            <w:shd w:val="clear" w:color="auto" w:fill="auto"/>
            <w:noWrap/>
            <w:vAlign w:val="center"/>
            <w:hideMark/>
          </w:tcPr>
          <w:p w14:paraId="5D87B2D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39E579A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1.00</w:t>
            </w:r>
          </w:p>
        </w:tc>
        <w:tc>
          <w:tcPr>
            <w:tcW w:w="330" w:type="pct"/>
            <w:tcBorders>
              <w:top w:val="nil"/>
              <w:left w:val="nil"/>
              <w:bottom w:val="nil"/>
              <w:right w:val="nil"/>
            </w:tcBorders>
            <w:shd w:val="clear" w:color="auto" w:fill="auto"/>
            <w:noWrap/>
            <w:vAlign w:val="center"/>
            <w:hideMark/>
          </w:tcPr>
          <w:p w14:paraId="33793D2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0.96</w:t>
            </w:r>
          </w:p>
        </w:tc>
        <w:tc>
          <w:tcPr>
            <w:tcW w:w="341" w:type="pct"/>
            <w:tcBorders>
              <w:top w:val="nil"/>
              <w:left w:val="nil"/>
              <w:bottom w:val="nil"/>
              <w:right w:val="nil"/>
            </w:tcBorders>
            <w:shd w:val="clear" w:color="auto" w:fill="auto"/>
            <w:noWrap/>
            <w:vAlign w:val="center"/>
            <w:hideMark/>
          </w:tcPr>
          <w:p w14:paraId="4D2B1B0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1.6</w:t>
            </w:r>
          </w:p>
        </w:tc>
        <w:tc>
          <w:tcPr>
            <w:tcW w:w="404" w:type="pct"/>
            <w:tcBorders>
              <w:top w:val="nil"/>
              <w:left w:val="nil"/>
              <w:bottom w:val="nil"/>
              <w:right w:val="nil"/>
            </w:tcBorders>
            <w:shd w:val="clear" w:color="auto" w:fill="auto"/>
            <w:noWrap/>
            <w:vAlign w:val="center"/>
            <w:hideMark/>
          </w:tcPr>
          <w:p w14:paraId="09B938B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c>
          <w:tcPr>
            <w:tcW w:w="485" w:type="pct"/>
            <w:tcBorders>
              <w:top w:val="nil"/>
              <w:left w:val="nil"/>
              <w:bottom w:val="nil"/>
              <w:right w:val="nil"/>
            </w:tcBorders>
            <w:shd w:val="clear" w:color="auto" w:fill="auto"/>
            <w:noWrap/>
            <w:vAlign w:val="center"/>
            <w:hideMark/>
          </w:tcPr>
          <w:p w14:paraId="21C23F9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69.62</w:t>
            </w:r>
          </w:p>
        </w:tc>
        <w:tc>
          <w:tcPr>
            <w:tcW w:w="416" w:type="pct"/>
            <w:tcBorders>
              <w:top w:val="nil"/>
              <w:left w:val="nil"/>
              <w:bottom w:val="nil"/>
              <w:right w:val="nil"/>
            </w:tcBorders>
            <w:shd w:val="clear" w:color="auto" w:fill="auto"/>
            <w:noWrap/>
            <w:vAlign w:val="center"/>
            <w:hideMark/>
          </w:tcPr>
          <w:p w14:paraId="340D6B2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0.16</w:t>
            </w:r>
          </w:p>
        </w:tc>
        <w:tc>
          <w:tcPr>
            <w:tcW w:w="511" w:type="pct"/>
            <w:tcBorders>
              <w:top w:val="nil"/>
              <w:left w:val="nil"/>
              <w:bottom w:val="nil"/>
              <w:right w:val="nil"/>
            </w:tcBorders>
            <w:shd w:val="clear" w:color="auto" w:fill="auto"/>
            <w:noWrap/>
            <w:vAlign w:val="center"/>
            <w:hideMark/>
          </w:tcPr>
          <w:p w14:paraId="01D489F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38.89</w:t>
            </w:r>
          </w:p>
        </w:tc>
        <w:tc>
          <w:tcPr>
            <w:tcW w:w="268" w:type="pct"/>
            <w:tcBorders>
              <w:top w:val="nil"/>
              <w:left w:val="nil"/>
              <w:bottom w:val="nil"/>
              <w:right w:val="nil"/>
            </w:tcBorders>
            <w:shd w:val="clear" w:color="auto" w:fill="auto"/>
            <w:noWrap/>
            <w:vAlign w:val="bottom"/>
            <w:hideMark/>
          </w:tcPr>
          <w:p w14:paraId="51BD978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w:t>
            </w:r>
          </w:p>
        </w:tc>
      </w:tr>
      <w:tr w:rsidR="0044607F" w:rsidRPr="00357722" w14:paraId="3CDA8FD8" w14:textId="77777777" w:rsidTr="005F41CC">
        <w:trPr>
          <w:trHeight w:val="240"/>
        </w:trPr>
        <w:tc>
          <w:tcPr>
            <w:tcW w:w="918" w:type="pct"/>
            <w:tcBorders>
              <w:top w:val="nil"/>
              <w:left w:val="nil"/>
              <w:bottom w:val="nil"/>
              <w:right w:val="nil"/>
            </w:tcBorders>
            <w:shd w:val="clear" w:color="auto" w:fill="auto"/>
            <w:noWrap/>
            <w:vAlign w:val="center"/>
            <w:hideMark/>
          </w:tcPr>
          <w:p w14:paraId="573E449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Portugal</w:t>
            </w:r>
          </w:p>
        </w:tc>
        <w:tc>
          <w:tcPr>
            <w:tcW w:w="442" w:type="pct"/>
            <w:tcBorders>
              <w:top w:val="nil"/>
              <w:left w:val="nil"/>
              <w:bottom w:val="nil"/>
              <w:right w:val="nil"/>
            </w:tcBorders>
            <w:shd w:val="clear" w:color="auto" w:fill="auto"/>
            <w:noWrap/>
            <w:vAlign w:val="center"/>
            <w:hideMark/>
          </w:tcPr>
          <w:p w14:paraId="0AD9E30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81.83</w:t>
            </w:r>
          </w:p>
        </w:tc>
        <w:tc>
          <w:tcPr>
            <w:tcW w:w="467" w:type="pct"/>
            <w:tcBorders>
              <w:top w:val="nil"/>
              <w:left w:val="nil"/>
              <w:bottom w:val="nil"/>
              <w:right w:val="nil"/>
            </w:tcBorders>
            <w:shd w:val="clear" w:color="auto" w:fill="auto"/>
            <w:noWrap/>
            <w:vAlign w:val="center"/>
            <w:hideMark/>
          </w:tcPr>
          <w:p w14:paraId="63E6F6F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2E9CDB1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528CC84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0.02</w:t>
            </w:r>
          </w:p>
        </w:tc>
        <w:tc>
          <w:tcPr>
            <w:tcW w:w="341" w:type="pct"/>
            <w:tcBorders>
              <w:top w:val="nil"/>
              <w:left w:val="nil"/>
              <w:bottom w:val="nil"/>
              <w:right w:val="nil"/>
            </w:tcBorders>
            <w:shd w:val="clear" w:color="auto" w:fill="auto"/>
            <w:noWrap/>
            <w:vAlign w:val="center"/>
            <w:hideMark/>
          </w:tcPr>
          <w:p w14:paraId="7DEC595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w:t>
            </w:r>
          </w:p>
        </w:tc>
        <w:tc>
          <w:tcPr>
            <w:tcW w:w="404" w:type="pct"/>
            <w:tcBorders>
              <w:top w:val="nil"/>
              <w:left w:val="nil"/>
              <w:bottom w:val="nil"/>
              <w:right w:val="nil"/>
            </w:tcBorders>
            <w:shd w:val="clear" w:color="auto" w:fill="auto"/>
            <w:noWrap/>
            <w:vAlign w:val="center"/>
            <w:hideMark/>
          </w:tcPr>
          <w:p w14:paraId="6F2BF04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2.01</w:t>
            </w:r>
          </w:p>
        </w:tc>
        <w:tc>
          <w:tcPr>
            <w:tcW w:w="485" w:type="pct"/>
            <w:tcBorders>
              <w:top w:val="nil"/>
              <w:left w:val="nil"/>
              <w:bottom w:val="nil"/>
              <w:right w:val="nil"/>
            </w:tcBorders>
            <w:shd w:val="clear" w:color="auto" w:fill="auto"/>
            <w:noWrap/>
            <w:vAlign w:val="center"/>
            <w:hideMark/>
          </w:tcPr>
          <w:p w14:paraId="03AE1BA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69.83</w:t>
            </w:r>
          </w:p>
        </w:tc>
        <w:tc>
          <w:tcPr>
            <w:tcW w:w="416" w:type="pct"/>
            <w:tcBorders>
              <w:top w:val="nil"/>
              <w:left w:val="nil"/>
              <w:bottom w:val="nil"/>
              <w:right w:val="nil"/>
            </w:tcBorders>
            <w:shd w:val="clear" w:color="auto" w:fill="auto"/>
            <w:noWrap/>
            <w:vAlign w:val="center"/>
            <w:hideMark/>
          </w:tcPr>
          <w:p w14:paraId="4966B3B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0.22</w:t>
            </w:r>
          </w:p>
        </w:tc>
        <w:tc>
          <w:tcPr>
            <w:tcW w:w="511" w:type="pct"/>
            <w:tcBorders>
              <w:top w:val="nil"/>
              <w:left w:val="nil"/>
              <w:bottom w:val="nil"/>
              <w:right w:val="nil"/>
            </w:tcBorders>
            <w:shd w:val="clear" w:color="auto" w:fill="auto"/>
            <w:noWrap/>
            <w:vAlign w:val="center"/>
            <w:hideMark/>
          </w:tcPr>
          <w:p w14:paraId="040A927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68.05</w:t>
            </w:r>
          </w:p>
        </w:tc>
        <w:tc>
          <w:tcPr>
            <w:tcW w:w="268" w:type="pct"/>
            <w:tcBorders>
              <w:top w:val="nil"/>
              <w:left w:val="nil"/>
              <w:bottom w:val="nil"/>
              <w:right w:val="nil"/>
            </w:tcBorders>
            <w:shd w:val="clear" w:color="auto" w:fill="auto"/>
            <w:noWrap/>
            <w:vAlign w:val="bottom"/>
            <w:hideMark/>
          </w:tcPr>
          <w:p w14:paraId="24A0835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4DBA7231" w14:textId="77777777" w:rsidTr="005F41CC">
        <w:trPr>
          <w:trHeight w:val="240"/>
        </w:trPr>
        <w:tc>
          <w:tcPr>
            <w:tcW w:w="918" w:type="pct"/>
            <w:tcBorders>
              <w:top w:val="nil"/>
              <w:left w:val="nil"/>
              <w:bottom w:val="nil"/>
              <w:right w:val="nil"/>
            </w:tcBorders>
            <w:shd w:val="clear" w:color="auto" w:fill="auto"/>
            <w:noWrap/>
            <w:vAlign w:val="center"/>
            <w:hideMark/>
          </w:tcPr>
          <w:p w14:paraId="27CD2E0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Singapore</w:t>
            </w:r>
          </w:p>
        </w:tc>
        <w:tc>
          <w:tcPr>
            <w:tcW w:w="442" w:type="pct"/>
            <w:tcBorders>
              <w:top w:val="nil"/>
              <w:left w:val="nil"/>
              <w:bottom w:val="nil"/>
              <w:right w:val="nil"/>
            </w:tcBorders>
            <w:shd w:val="clear" w:color="auto" w:fill="auto"/>
            <w:noWrap/>
            <w:vAlign w:val="center"/>
            <w:hideMark/>
          </w:tcPr>
          <w:p w14:paraId="056AC2B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113.46</w:t>
            </w:r>
          </w:p>
        </w:tc>
        <w:tc>
          <w:tcPr>
            <w:tcW w:w="467" w:type="pct"/>
            <w:tcBorders>
              <w:top w:val="nil"/>
              <w:left w:val="nil"/>
              <w:bottom w:val="nil"/>
              <w:right w:val="nil"/>
            </w:tcBorders>
            <w:shd w:val="clear" w:color="auto" w:fill="auto"/>
            <w:noWrap/>
            <w:vAlign w:val="center"/>
            <w:hideMark/>
          </w:tcPr>
          <w:p w14:paraId="6BBCC4F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43DD137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0.84</w:t>
            </w:r>
          </w:p>
        </w:tc>
        <w:tc>
          <w:tcPr>
            <w:tcW w:w="330" w:type="pct"/>
            <w:tcBorders>
              <w:top w:val="nil"/>
              <w:left w:val="nil"/>
              <w:bottom w:val="nil"/>
              <w:right w:val="nil"/>
            </w:tcBorders>
            <w:shd w:val="clear" w:color="auto" w:fill="auto"/>
            <w:noWrap/>
            <w:vAlign w:val="center"/>
            <w:hideMark/>
          </w:tcPr>
          <w:p w14:paraId="133FBC7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2.07</w:t>
            </w:r>
          </w:p>
        </w:tc>
        <w:tc>
          <w:tcPr>
            <w:tcW w:w="341" w:type="pct"/>
            <w:tcBorders>
              <w:top w:val="nil"/>
              <w:left w:val="nil"/>
              <w:bottom w:val="nil"/>
              <w:right w:val="nil"/>
            </w:tcBorders>
            <w:shd w:val="clear" w:color="auto" w:fill="auto"/>
            <w:noWrap/>
            <w:vAlign w:val="center"/>
            <w:hideMark/>
          </w:tcPr>
          <w:p w14:paraId="0F2E79C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w:t>
            </w:r>
          </w:p>
        </w:tc>
        <w:tc>
          <w:tcPr>
            <w:tcW w:w="404" w:type="pct"/>
            <w:tcBorders>
              <w:top w:val="nil"/>
              <w:left w:val="nil"/>
              <w:bottom w:val="nil"/>
              <w:right w:val="nil"/>
            </w:tcBorders>
            <w:shd w:val="clear" w:color="auto" w:fill="auto"/>
            <w:noWrap/>
            <w:vAlign w:val="center"/>
            <w:hideMark/>
          </w:tcPr>
          <w:p w14:paraId="0502788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1.78</w:t>
            </w:r>
          </w:p>
        </w:tc>
        <w:tc>
          <w:tcPr>
            <w:tcW w:w="485" w:type="pct"/>
            <w:tcBorders>
              <w:top w:val="nil"/>
              <w:left w:val="nil"/>
              <w:bottom w:val="nil"/>
              <w:right w:val="nil"/>
            </w:tcBorders>
            <w:shd w:val="clear" w:color="auto" w:fill="auto"/>
            <w:noWrap/>
            <w:vAlign w:val="center"/>
            <w:hideMark/>
          </w:tcPr>
          <w:p w14:paraId="4AD66D1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377.42</w:t>
            </w:r>
          </w:p>
        </w:tc>
        <w:tc>
          <w:tcPr>
            <w:tcW w:w="416" w:type="pct"/>
            <w:tcBorders>
              <w:top w:val="nil"/>
              <w:left w:val="nil"/>
              <w:bottom w:val="nil"/>
              <w:right w:val="nil"/>
            </w:tcBorders>
            <w:shd w:val="clear" w:color="auto" w:fill="auto"/>
            <w:noWrap/>
            <w:vAlign w:val="center"/>
            <w:hideMark/>
          </w:tcPr>
          <w:p w14:paraId="1F24F9D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NA</w:t>
            </w:r>
          </w:p>
        </w:tc>
        <w:tc>
          <w:tcPr>
            <w:tcW w:w="511" w:type="pct"/>
            <w:tcBorders>
              <w:top w:val="nil"/>
              <w:left w:val="nil"/>
              <w:bottom w:val="nil"/>
              <w:right w:val="nil"/>
            </w:tcBorders>
            <w:shd w:val="clear" w:color="auto" w:fill="auto"/>
            <w:noWrap/>
            <w:vAlign w:val="center"/>
            <w:hideMark/>
          </w:tcPr>
          <w:p w14:paraId="6891235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26.8</w:t>
            </w:r>
          </w:p>
        </w:tc>
        <w:tc>
          <w:tcPr>
            <w:tcW w:w="268" w:type="pct"/>
            <w:tcBorders>
              <w:top w:val="nil"/>
              <w:left w:val="nil"/>
              <w:bottom w:val="nil"/>
              <w:right w:val="nil"/>
            </w:tcBorders>
            <w:shd w:val="clear" w:color="auto" w:fill="auto"/>
            <w:noWrap/>
            <w:vAlign w:val="bottom"/>
            <w:hideMark/>
          </w:tcPr>
          <w:p w14:paraId="23068F7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231ACA21" w14:textId="77777777" w:rsidTr="005F41CC">
        <w:trPr>
          <w:trHeight w:val="240"/>
        </w:trPr>
        <w:tc>
          <w:tcPr>
            <w:tcW w:w="918" w:type="pct"/>
            <w:tcBorders>
              <w:top w:val="nil"/>
              <w:left w:val="nil"/>
              <w:bottom w:val="nil"/>
              <w:right w:val="nil"/>
            </w:tcBorders>
            <w:shd w:val="clear" w:color="auto" w:fill="auto"/>
            <w:noWrap/>
            <w:vAlign w:val="center"/>
            <w:hideMark/>
          </w:tcPr>
          <w:p w14:paraId="04BB90D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Spain</w:t>
            </w:r>
          </w:p>
        </w:tc>
        <w:tc>
          <w:tcPr>
            <w:tcW w:w="442" w:type="pct"/>
            <w:tcBorders>
              <w:top w:val="nil"/>
              <w:left w:val="nil"/>
              <w:bottom w:val="nil"/>
              <w:right w:val="nil"/>
            </w:tcBorders>
            <w:shd w:val="clear" w:color="auto" w:fill="auto"/>
            <w:noWrap/>
            <w:vAlign w:val="center"/>
            <w:hideMark/>
          </w:tcPr>
          <w:p w14:paraId="2AB0C6E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87.58</w:t>
            </w:r>
          </w:p>
        </w:tc>
        <w:tc>
          <w:tcPr>
            <w:tcW w:w="467" w:type="pct"/>
            <w:tcBorders>
              <w:top w:val="nil"/>
              <w:left w:val="nil"/>
              <w:bottom w:val="nil"/>
              <w:right w:val="nil"/>
            </w:tcBorders>
            <w:shd w:val="clear" w:color="auto" w:fill="auto"/>
            <w:noWrap/>
            <w:vAlign w:val="center"/>
            <w:hideMark/>
          </w:tcPr>
          <w:p w14:paraId="5ACA446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1CAE489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0.82</w:t>
            </w:r>
          </w:p>
        </w:tc>
        <w:tc>
          <w:tcPr>
            <w:tcW w:w="330" w:type="pct"/>
            <w:tcBorders>
              <w:top w:val="nil"/>
              <w:left w:val="nil"/>
              <w:bottom w:val="nil"/>
              <w:right w:val="nil"/>
            </w:tcBorders>
            <w:shd w:val="clear" w:color="auto" w:fill="auto"/>
            <w:noWrap/>
            <w:vAlign w:val="center"/>
            <w:hideMark/>
          </w:tcPr>
          <w:p w14:paraId="6524367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0.85</w:t>
            </w:r>
          </w:p>
        </w:tc>
        <w:tc>
          <w:tcPr>
            <w:tcW w:w="341" w:type="pct"/>
            <w:tcBorders>
              <w:top w:val="nil"/>
              <w:left w:val="nil"/>
              <w:bottom w:val="nil"/>
              <w:right w:val="nil"/>
            </w:tcBorders>
            <w:shd w:val="clear" w:color="auto" w:fill="auto"/>
            <w:noWrap/>
            <w:vAlign w:val="center"/>
            <w:hideMark/>
          </w:tcPr>
          <w:p w14:paraId="3949D94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1.56</w:t>
            </w:r>
          </w:p>
        </w:tc>
        <w:tc>
          <w:tcPr>
            <w:tcW w:w="404" w:type="pct"/>
            <w:tcBorders>
              <w:top w:val="nil"/>
              <w:left w:val="nil"/>
              <w:bottom w:val="nil"/>
              <w:right w:val="nil"/>
            </w:tcBorders>
            <w:shd w:val="clear" w:color="auto" w:fill="auto"/>
            <w:noWrap/>
            <w:vAlign w:val="center"/>
            <w:hideMark/>
          </w:tcPr>
          <w:p w14:paraId="6122650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2.14</w:t>
            </w:r>
          </w:p>
        </w:tc>
        <w:tc>
          <w:tcPr>
            <w:tcW w:w="485" w:type="pct"/>
            <w:tcBorders>
              <w:top w:val="nil"/>
              <w:left w:val="nil"/>
              <w:bottom w:val="nil"/>
              <w:right w:val="nil"/>
            </w:tcBorders>
            <w:shd w:val="clear" w:color="auto" w:fill="auto"/>
            <w:noWrap/>
            <w:vAlign w:val="center"/>
            <w:hideMark/>
          </w:tcPr>
          <w:p w14:paraId="7F8A48E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56.94</w:t>
            </w:r>
          </w:p>
        </w:tc>
        <w:tc>
          <w:tcPr>
            <w:tcW w:w="416" w:type="pct"/>
            <w:tcBorders>
              <w:top w:val="nil"/>
              <w:left w:val="nil"/>
              <w:bottom w:val="nil"/>
              <w:right w:val="nil"/>
            </w:tcBorders>
            <w:shd w:val="clear" w:color="auto" w:fill="auto"/>
            <w:noWrap/>
            <w:vAlign w:val="center"/>
            <w:hideMark/>
          </w:tcPr>
          <w:p w14:paraId="771CC3A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0.14</w:t>
            </w:r>
          </w:p>
        </w:tc>
        <w:tc>
          <w:tcPr>
            <w:tcW w:w="511" w:type="pct"/>
            <w:tcBorders>
              <w:top w:val="nil"/>
              <w:left w:val="nil"/>
              <w:bottom w:val="nil"/>
              <w:right w:val="nil"/>
            </w:tcBorders>
            <w:shd w:val="clear" w:color="auto" w:fill="auto"/>
            <w:noWrap/>
            <w:vAlign w:val="center"/>
            <w:hideMark/>
          </w:tcPr>
          <w:p w14:paraId="258BAF5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62.24</w:t>
            </w:r>
          </w:p>
        </w:tc>
        <w:tc>
          <w:tcPr>
            <w:tcW w:w="268" w:type="pct"/>
            <w:tcBorders>
              <w:top w:val="nil"/>
              <w:left w:val="nil"/>
              <w:bottom w:val="nil"/>
              <w:right w:val="nil"/>
            </w:tcBorders>
            <w:shd w:val="clear" w:color="auto" w:fill="auto"/>
            <w:noWrap/>
            <w:vAlign w:val="bottom"/>
            <w:hideMark/>
          </w:tcPr>
          <w:p w14:paraId="7AD39C2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397E6A7E" w14:textId="77777777" w:rsidTr="005F41CC">
        <w:trPr>
          <w:trHeight w:val="240"/>
        </w:trPr>
        <w:tc>
          <w:tcPr>
            <w:tcW w:w="918" w:type="pct"/>
            <w:tcBorders>
              <w:top w:val="nil"/>
              <w:left w:val="nil"/>
              <w:bottom w:val="nil"/>
              <w:right w:val="nil"/>
            </w:tcBorders>
            <w:shd w:val="clear" w:color="auto" w:fill="auto"/>
            <w:noWrap/>
            <w:vAlign w:val="center"/>
            <w:hideMark/>
          </w:tcPr>
          <w:p w14:paraId="55C929E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lastRenderedPageBreak/>
              <w:t>Sweden</w:t>
            </w:r>
          </w:p>
        </w:tc>
        <w:tc>
          <w:tcPr>
            <w:tcW w:w="442" w:type="pct"/>
            <w:tcBorders>
              <w:top w:val="nil"/>
              <w:left w:val="nil"/>
              <w:bottom w:val="nil"/>
              <w:right w:val="nil"/>
            </w:tcBorders>
            <w:shd w:val="clear" w:color="auto" w:fill="auto"/>
            <w:noWrap/>
            <w:vAlign w:val="center"/>
            <w:hideMark/>
          </w:tcPr>
          <w:p w14:paraId="215A766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51.24</w:t>
            </w:r>
          </w:p>
        </w:tc>
        <w:tc>
          <w:tcPr>
            <w:tcW w:w="467" w:type="pct"/>
            <w:tcBorders>
              <w:top w:val="nil"/>
              <w:left w:val="nil"/>
              <w:bottom w:val="nil"/>
              <w:right w:val="nil"/>
            </w:tcBorders>
            <w:shd w:val="clear" w:color="auto" w:fill="auto"/>
            <w:noWrap/>
            <w:vAlign w:val="center"/>
            <w:hideMark/>
          </w:tcPr>
          <w:p w14:paraId="267D8A0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3924763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1.00</w:t>
            </w:r>
          </w:p>
        </w:tc>
        <w:tc>
          <w:tcPr>
            <w:tcW w:w="330" w:type="pct"/>
            <w:tcBorders>
              <w:top w:val="nil"/>
              <w:left w:val="nil"/>
              <w:bottom w:val="nil"/>
              <w:right w:val="nil"/>
            </w:tcBorders>
            <w:shd w:val="clear" w:color="auto" w:fill="auto"/>
            <w:noWrap/>
            <w:vAlign w:val="center"/>
            <w:hideMark/>
          </w:tcPr>
          <w:p w14:paraId="46D7459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0.70</w:t>
            </w:r>
          </w:p>
        </w:tc>
        <w:tc>
          <w:tcPr>
            <w:tcW w:w="341" w:type="pct"/>
            <w:tcBorders>
              <w:top w:val="nil"/>
              <w:left w:val="nil"/>
              <w:bottom w:val="nil"/>
              <w:right w:val="nil"/>
            </w:tcBorders>
            <w:shd w:val="clear" w:color="auto" w:fill="auto"/>
            <w:noWrap/>
            <w:vAlign w:val="center"/>
            <w:hideMark/>
          </w:tcPr>
          <w:p w14:paraId="4B957B2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2.22</w:t>
            </w:r>
          </w:p>
        </w:tc>
        <w:tc>
          <w:tcPr>
            <w:tcW w:w="404" w:type="pct"/>
            <w:tcBorders>
              <w:top w:val="nil"/>
              <w:left w:val="nil"/>
              <w:bottom w:val="nil"/>
              <w:right w:val="nil"/>
            </w:tcBorders>
            <w:shd w:val="clear" w:color="auto" w:fill="auto"/>
            <w:noWrap/>
            <w:vAlign w:val="center"/>
            <w:hideMark/>
          </w:tcPr>
          <w:p w14:paraId="40A1B9E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1.22</w:t>
            </w:r>
          </w:p>
        </w:tc>
        <w:tc>
          <w:tcPr>
            <w:tcW w:w="485" w:type="pct"/>
            <w:tcBorders>
              <w:top w:val="nil"/>
              <w:left w:val="nil"/>
              <w:bottom w:val="nil"/>
              <w:right w:val="nil"/>
            </w:tcBorders>
            <w:shd w:val="clear" w:color="auto" w:fill="auto"/>
            <w:noWrap/>
            <w:vAlign w:val="center"/>
            <w:hideMark/>
          </w:tcPr>
          <w:p w14:paraId="17663BC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84.75</w:t>
            </w:r>
          </w:p>
        </w:tc>
        <w:tc>
          <w:tcPr>
            <w:tcW w:w="416" w:type="pct"/>
            <w:tcBorders>
              <w:top w:val="nil"/>
              <w:left w:val="nil"/>
              <w:bottom w:val="nil"/>
              <w:right w:val="nil"/>
            </w:tcBorders>
            <w:shd w:val="clear" w:color="auto" w:fill="auto"/>
            <w:noWrap/>
            <w:vAlign w:val="center"/>
            <w:hideMark/>
          </w:tcPr>
          <w:p w14:paraId="4810C94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0.62</w:t>
            </w:r>
          </w:p>
        </w:tc>
        <w:tc>
          <w:tcPr>
            <w:tcW w:w="511" w:type="pct"/>
            <w:tcBorders>
              <w:top w:val="nil"/>
              <w:left w:val="nil"/>
              <w:bottom w:val="nil"/>
              <w:right w:val="nil"/>
            </w:tcBorders>
            <w:shd w:val="clear" w:color="auto" w:fill="auto"/>
            <w:noWrap/>
            <w:vAlign w:val="center"/>
            <w:hideMark/>
          </w:tcPr>
          <w:p w14:paraId="47060C7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66.07</w:t>
            </w:r>
          </w:p>
        </w:tc>
        <w:tc>
          <w:tcPr>
            <w:tcW w:w="268" w:type="pct"/>
            <w:tcBorders>
              <w:top w:val="nil"/>
              <w:left w:val="nil"/>
              <w:bottom w:val="nil"/>
              <w:right w:val="nil"/>
            </w:tcBorders>
            <w:shd w:val="clear" w:color="auto" w:fill="auto"/>
            <w:noWrap/>
            <w:vAlign w:val="bottom"/>
            <w:hideMark/>
          </w:tcPr>
          <w:p w14:paraId="4E193E7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w:t>
            </w:r>
          </w:p>
        </w:tc>
      </w:tr>
      <w:tr w:rsidR="0044607F" w:rsidRPr="00357722" w14:paraId="62DCDA44" w14:textId="77777777" w:rsidTr="005F41CC">
        <w:trPr>
          <w:trHeight w:val="240"/>
        </w:trPr>
        <w:tc>
          <w:tcPr>
            <w:tcW w:w="918" w:type="pct"/>
            <w:tcBorders>
              <w:top w:val="nil"/>
              <w:left w:val="nil"/>
              <w:bottom w:val="nil"/>
              <w:right w:val="nil"/>
            </w:tcBorders>
            <w:shd w:val="clear" w:color="auto" w:fill="auto"/>
            <w:noWrap/>
            <w:vAlign w:val="center"/>
            <w:hideMark/>
          </w:tcPr>
          <w:p w14:paraId="41C8490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Switzerland</w:t>
            </w:r>
          </w:p>
        </w:tc>
        <w:tc>
          <w:tcPr>
            <w:tcW w:w="442" w:type="pct"/>
            <w:tcBorders>
              <w:top w:val="nil"/>
              <w:left w:val="nil"/>
              <w:bottom w:val="nil"/>
              <w:right w:val="nil"/>
            </w:tcBorders>
            <w:shd w:val="clear" w:color="auto" w:fill="auto"/>
            <w:noWrap/>
            <w:vAlign w:val="center"/>
            <w:hideMark/>
          </w:tcPr>
          <w:p w14:paraId="3BA56E0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134.93</w:t>
            </w:r>
          </w:p>
        </w:tc>
        <w:tc>
          <w:tcPr>
            <w:tcW w:w="467" w:type="pct"/>
            <w:tcBorders>
              <w:top w:val="nil"/>
              <w:left w:val="nil"/>
              <w:bottom w:val="nil"/>
              <w:right w:val="nil"/>
            </w:tcBorders>
            <w:shd w:val="clear" w:color="auto" w:fill="auto"/>
            <w:noWrap/>
            <w:vAlign w:val="center"/>
            <w:hideMark/>
          </w:tcPr>
          <w:p w14:paraId="547BB58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28EFB67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0F38A6F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0.96</w:t>
            </w:r>
          </w:p>
        </w:tc>
        <w:tc>
          <w:tcPr>
            <w:tcW w:w="341" w:type="pct"/>
            <w:tcBorders>
              <w:top w:val="nil"/>
              <w:left w:val="nil"/>
              <w:bottom w:val="nil"/>
              <w:right w:val="nil"/>
            </w:tcBorders>
            <w:shd w:val="clear" w:color="auto" w:fill="auto"/>
            <w:noWrap/>
            <w:vAlign w:val="center"/>
            <w:hideMark/>
          </w:tcPr>
          <w:p w14:paraId="0B6A052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1.75</w:t>
            </w:r>
          </w:p>
        </w:tc>
        <w:tc>
          <w:tcPr>
            <w:tcW w:w="404" w:type="pct"/>
            <w:tcBorders>
              <w:top w:val="nil"/>
              <w:left w:val="nil"/>
              <w:bottom w:val="nil"/>
              <w:right w:val="nil"/>
            </w:tcBorders>
            <w:shd w:val="clear" w:color="auto" w:fill="auto"/>
            <w:noWrap/>
            <w:vAlign w:val="center"/>
            <w:hideMark/>
          </w:tcPr>
          <w:p w14:paraId="7D53B40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w:t>
            </w:r>
          </w:p>
        </w:tc>
        <w:tc>
          <w:tcPr>
            <w:tcW w:w="485" w:type="pct"/>
            <w:tcBorders>
              <w:top w:val="nil"/>
              <w:left w:val="nil"/>
              <w:bottom w:val="nil"/>
              <w:right w:val="nil"/>
            </w:tcBorders>
            <w:shd w:val="clear" w:color="auto" w:fill="auto"/>
            <w:noWrap/>
            <w:vAlign w:val="center"/>
            <w:hideMark/>
          </w:tcPr>
          <w:p w14:paraId="0F2F5A9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109.62</w:t>
            </w:r>
          </w:p>
        </w:tc>
        <w:tc>
          <w:tcPr>
            <w:tcW w:w="416" w:type="pct"/>
            <w:tcBorders>
              <w:top w:val="nil"/>
              <w:left w:val="nil"/>
              <w:bottom w:val="nil"/>
              <w:right w:val="nil"/>
            </w:tcBorders>
            <w:shd w:val="clear" w:color="auto" w:fill="auto"/>
            <w:noWrap/>
            <w:vAlign w:val="center"/>
            <w:hideMark/>
          </w:tcPr>
          <w:p w14:paraId="26B36D6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w:t>
            </w:r>
          </w:p>
        </w:tc>
        <w:tc>
          <w:tcPr>
            <w:tcW w:w="511" w:type="pct"/>
            <w:tcBorders>
              <w:top w:val="nil"/>
              <w:left w:val="nil"/>
              <w:bottom w:val="nil"/>
              <w:right w:val="nil"/>
            </w:tcBorders>
            <w:shd w:val="clear" w:color="auto" w:fill="auto"/>
            <w:noWrap/>
            <w:vAlign w:val="center"/>
            <w:hideMark/>
          </w:tcPr>
          <w:p w14:paraId="4C7A0A9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57.32</w:t>
            </w:r>
          </w:p>
        </w:tc>
        <w:tc>
          <w:tcPr>
            <w:tcW w:w="268" w:type="pct"/>
            <w:tcBorders>
              <w:top w:val="nil"/>
              <w:left w:val="nil"/>
              <w:bottom w:val="nil"/>
              <w:right w:val="nil"/>
            </w:tcBorders>
            <w:shd w:val="clear" w:color="auto" w:fill="auto"/>
            <w:noWrap/>
            <w:vAlign w:val="bottom"/>
            <w:hideMark/>
          </w:tcPr>
          <w:p w14:paraId="00F5702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75B62B55" w14:textId="77777777" w:rsidTr="005F41CC">
        <w:trPr>
          <w:trHeight w:val="240"/>
        </w:trPr>
        <w:tc>
          <w:tcPr>
            <w:tcW w:w="918" w:type="pct"/>
            <w:tcBorders>
              <w:top w:val="nil"/>
              <w:left w:val="nil"/>
              <w:bottom w:val="nil"/>
              <w:right w:val="nil"/>
            </w:tcBorders>
            <w:shd w:val="clear" w:color="auto" w:fill="auto"/>
            <w:noWrap/>
            <w:vAlign w:val="center"/>
            <w:hideMark/>
          </w:tcPr>
          <w:p w14:paraId="4DAE48D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United Kingdom</w:t>
            </w:r>
          </w:p>
        </w:tc>
        <w:tc>
          <w:tcPr>
            <w:tcW w:w="442" w:type="pct"/>
            <w:tcBorders>
              <w:top w:val="nil"/>
              <w:left w:val="nil"/>
              <w:bottom w:val="nil"/>
              <w:right w:val="nil"/>
            </w:tcBorders>
            <w:shd w:val="clear" w:color="auto" w:fill="auto"/>
            <w:noWrap/>
            <w:vAlign w:val="center"/>
            <w:hideMark/>
          </w:tcPr>
          <w:p w14:paraId="322CE86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NA</w:t>
            </w:r>
          </w:p>
        </w:tc>
        <w:tc>
          <w:tcPr>
            <w:tcW w:w="467" w:type="pct"/>
            <w:tcBorders>
              <w:top w:val="nil"/>
              <w:left w:val="nil"/>
              <w:bottom w:val="nil"/>
              <w:right w:val="nil"/>
            </w:tcBorders>
            <w:shd w:val="clear" w:color="auto" w:fill="auto"/>
            <w:noWrap/>
            <w:vAlign w:val="center"/>
            <w:hideMark/>
          </w:tcPr>
          <w:p w14:paraId="7FDD574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696AACD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0.89</w:t>
            </w:r>
          </w:p>
        </w:tc>
        <w:tc>
          <w:tcPr>
            <w:tcW w:w="330" w:type="pct"/>
            <w:tcBorders>
              <w:top w:val="nil"/>
              <w:left w:val="nil"/>
              <w:bottom w:val="nil"/>
              <w:right w:val="nil"/>
            </w:tcBorders>
            <w:shd w:val="clear" w:color="auto" w:fill="auto"/>
            <w:noWrap/>
            <w:vAlign w:val="center"/>
            <w:hideMark/>
          </w:tcPr>
          <w:p w14:paraId="3C7590C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0.67</w:t>
            </w:r>
          </w:p>
        </w:tc>
        <w:tc>
          <w:tcPr>
            <w:tcW w:w="341" w:type="pct"/>
            <w:tcBorders>
              <w:top w:val="nil"/>
              <w:left w:val="nil"/>
              <w:bottom w:val="nil"/>
              <w:right w:val="nil"/>
            </w:tcBorders>
            <w:shd w:val="clear" w:color="auto" w:fill="auto"/>
            <w:noWrap/>
            <w:vAlign w:val="center"/>
            <w:hideMark/>
          </w:tcPr>
          <w:p w14:paraId="054089A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1.75</w:t>
            </w:r>
          </w:p>
        </w:tc>
        <w:tc>
          <w:tcPr>
            <w:tcW w:w="404" w:type="pct"/>
            <w:tcBorders>
              <w:top w:val="nil"/>
              <w:left w:val="nil"/>
              <w:bottom w:val="nil"/>
              <w:right w:val="nil"/>
            </w:tcBorders>
            <w:shd w:val="clear" w:color="auto" w:fill="auto"/>
            <w:noWrap/>
            <w:vAlign w:val="center"/>
            <w:hideMark/>
          </w:tcPr>
          <w:p w14:paraId="17EE61B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2.06</w:t>
            </w:r>
          </w:p>
        </w:tc>
        <w:tc>
          <w:tcPr>
            <w:tcW w:w="485" w:type="pct"/>
            <w:tcBorders>
              <w:top w:val="nil"/>
              <w:left w:val="nil"/>
              <w:bottom w:val="nil"/>
              <w:right w:val="nil"/>
            </w:tcBorders>
            <w:shd w:val="clear" w:color="auto" w:fill="auto"/>
            <w:noWrap/>
            <w:vAlign w:val="center"/>
            <w:hideMark/>
          </w:tcPr>
          <w:p w14:paraId="2F27F90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55.62</w:t>
            </w:r>
          </w:p>
        </w:tc>
        <w:tc>
          <w:tcPr>
            <w:tcW w:w="416" w:type="pct"/>
            <w:tcBorders>
              <w:top w:val="nil"/>
              <w:left w:val="nil"/>
              <w:bottom w:val="nil"/>
              <w:right w:val="nil"/>
            </w:tcBorders>
            <w:shd w:val="clear" w:color="auto" w:fill="auto"/>
            <w:noWrap/>
            <w:vAlign w:val="center"/>
            <w:hideMark/>
          </w:tcPr>
          <w:p w14:paraId="2B89874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0.22</w:t>
            </w:r>
          </w:p>
        </w:tc>
        <w:tc>
          <w:tcPr>
            <w:tcW w:w="511" w:type="pct"/>
            <w:tcBorders>
              <w:top w:val="nil"/>
              <w:left w:val="nil"/>
              <w:bottom w:val="nil"/>
              <w:right w:val="nil"/>
            </w:tcBorders>
            <w:shd w:val="clear" w:color="auto" w:fill="auto"/>
            <w:noWrap/>
            <w:vAlign w:val="center"/>
            <w:hideMark/>
          </w:tcPr>
          <w:p w14:paraId="5618047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80.68</w:t>
            </w:r>
          </w:p>
        </w:tc>
        <w:tc>
          <w:tcPr>
            <w:tcW w:w="268" w:type="pct"/>
            <w:tcBorders>
              <w:top w:val="nil"/>
              <w:left w:val="nil"/>
              <w:bottom w:val="nil"/>
              <w:right w:val="nil"/>
            </w:tcBorders>
            <w:shd w:val="clear" w:color="auto" w:fill="auto"/>
            <w:noWrap/>
            <w:vAlign w:val="bottom"/>
            <w:hideMark/>
          </w:tcPr>
          <w:p w14:paraId="72710AB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2FDAFFC0" w14:textId="77777777" w:rsidTr="005F41CC">
        <w:trPr>
          <w:trHeight w:val="240"/>
        </w:trPr>
        <w:tc>
          <w:tcPr>
            <w:tcW w:w="918" w:type="pct"/>
            <w:tcBorders>
              <w:top w:val="nil"/>
              <w:left w:val="nil"/>
              <w:bottom w:val="nil"/>
              <w:right w:val="nil"/>
            </w:tcBorders>
            <w:shd w:val="clear" w:color="auto" w:fill="auto"/>
            <w:noWrap/>
            <w:vAlign w:val="center"/>
            <w:hideMark/>
          </w:tcPr>
          <w:p w14:paraId="68A9561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United States</w:t>
            </w:r>
          </w:p>
        </w:tc>
        <w:tc>
          <w:tcPr>
            <w:tcW w:w="442" w:type="pct"/>
            <w:tcBorders>
              <w:top w:val="nil"/>
              <w:left w:val="nil"/>
              <w:bottom w:val="nil"/>
              <w:right w:val="nil"/>
            </w:tcBorders>
            <w:shd w:val="clear" w:color="auto" w:fill="auto"/>
            <w:noWrap/>
            <w:vAlign w:val="center"/>
            <w:hideMark/>
          </w:tcPr>
          <w:p w14:paraId="43586DB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74.04</w:t>
            </w:r>
          </w:p>
        </w:tc>
        <w:tc>
          <w:tcPr>
            <w:tcW w:w="467" w:type="pct"/>
            <w:tcBorders>
              <w:top w:val="nil"/>
              <w:left w:val="nil"/>
              <w:bottom w:val="nil"/>
              <w:right w:val="nil"/>
            </w:tcBorders>
            <w:shd w:val="clear" w:color="auto" w:fill="auto"/>
            <w:noWrap/>
            <w:vAlign w:val="center"/>
            <w:hideMark/>
          </w:tcPr>
          <w:p w14:paraId="327622F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7928C9A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2CCDF18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0.85</w:t>
            </w:r>
          </w:p>
        </w:tc>
        <w:tc>
          <w:tcPr>
            <w:tcW w:w="341" w:type="pct"/>
            <w:tcBorders>
              <w:top w:val="nil"/>
              <w:left w:val="nil"/>
              <w:bottom w:val="nil"/>
              <w:right w:val="nil"/>
            </w:tcBorders>
            <w:shd w:val="clear" w:color="auto" w:fill="auto"/>
            <w:noWrap/>
            <w:vAlign w:val="center"/>
            <w:hideMark/>
          </w:tcPr>
          <w:p w14:paraId="73B78F4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1.81</w:t>
            </w:r>
          </w:p>
        </w:tc>
        <w:tc>
          <w:tcPr>
            <w:tcW w:w="404" w:type="pct"/>
            <w:tcBorders>
              <w:top w:val="nil"/>
              <w:left w:val="nil"/>
              <w:bottom w:val="nil"/>
              <w:right w:val="nil"/>
            </w:tcBorders>
            <w:shd w:val="clear" w:color="auto" w:fill="auto"/>
            <w:noWrap/>
            <w:vAlign w:val="center"/>
            <w:hideMark/>
          </w:tcPr>
          <w:p w14:paraId="64014CD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w:t>
            </w:r>
          </w:p>
        </w:tc>
        <w:tc>
          <w:tcPr>
            <w:tcW w:w="485" w:type="pct"/>
            <w:tcBorders>
              <w:top w:val="nil"/>
              <w:left w:val="nil"/>
              <w:bottom w:val="nil"/>
              <w:right w:val="nil"/>
            </w:tcBorders>
            <w:shd w:val="clear" w:color="auto" w:fill="auto"/>
            <w:noWrap/>
            <w:vAlign w:val="center"/>
            <w:hideMark/>
          </w:tcPr>
          <w:p w14:paraId="20EDEC9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26.96</w:t>
            </w:r>
          </w:p>
        </w:tc>
        <w:tc>
          <w:tcPr>
            <w:tcW w:w="416" w:type="pct"/>
            <w:tcBorders>
              <w:top w:val="nil"/>
              <w:left w:val="nil"/>
              <w:bottom w:val="nil"/>
              <w:right w:val="nil"/>
            </w:tcBorders>
            <w:shd w:val="clear" w:color="auto" w:fill="auto"/>
            <w:noWrap/>
            <w:vAlign w:val="center"/>
            <w:hideMark/>
          </w:tcPr>
          <w:p w14:paraId="629A027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0.04</w:t>
            </w:r>
          </w:p>
        </w:tc>
        <w:tc>
          <w:tcPr>
            <w:tcW w:w="511" w:type="pct"/>
            <w:tcBorders>
              <w:top w:val="nil"/>
              <w:left w:val="nil"/>
              <w:bottom w:val="nil"/>
              <w:right w:val="nil"/>
            </w:tcBorders>
            <w:shd w:val="clear" w:color="auto" w:fill="auto"/>
            <w:noWrap/>
            <w:vAlign w:val="center"/>
            <w:hideMark/>
          </w:tcPr>
          <w:p w14:paraId="495D967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19.3</w:t>
            </w:r>
          </w:p>
        </w:tc>
        <w:tc>
          <w:tcPr>
            <w:tcW w:w="268" w:type="pct"/>
            <w:tcBorders>
              <w:top w:val="nil"/>
              <w:left w:val="nil"/>
              <w:bottom w:val="nil"/>
              <w:right w:val="nil"/>
            </w:tcBorders>
            <w:shd w:val="clear" w:color="auto" w:fill="auto"/>
            <w:noWrap/>
            <w:vAlign w:val="bottom"/>
            <w:hideMark/>
          </w:tcPr>
          <w:p w14:paraId="26629AD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39059B31" w14:textId="77777777" w:rsidTr="005F41CC">
        <w:trPr>
          <w:trHeight w:val="451"/>
        </w:trPr>
        <w:tc>
          <w:tcPr>
            <w:tcW w:w="918" w:type="pct"/>
            <w:tcBorders>
              <w:top w:val="single" w:sz="4" w:space="0" w:color="auto"/>
              <w:left w:val="nil"/>
              <w:bottom w:val="single" w:sz="4" w:space="0" w:color="auto"/>
              <w:right w:val="nil"/>
            </w:tcBorders>
            <w:shd w:val="clear" w:color="auto" w:fill="auto"/>
            <w:noWrap/>
            <w:vAlign w:val="center"/>
            <w:hideMark/>
          </w:tcPr>
          <w:p w14:paraId="7F9233D3"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Mean</w:t>
            </w:r>
          </w:p>
        </w:tc>
        <w:tc>
          <w:tcPr>
            <w:tcW w:w="442" w:type="pct"/>
            <w:tcBorders>
              <w:top w:val="single" w:sz="4" w:space="0" w:color="auto"/>
              <w:left w:val="nil"/>
              <w:bottom w:val="single" w:sz="4" w:space="0" w:color="auto"/>
              <w:right w:val="nil"/>
            </w:tcBorders>
            <w:shd w:val="clear" w:color="auto" w:fill="auto"/>
            <w:noWrap/>
            <w:vAlign w:val="center"/>
            <w:hideMark/>
          </w:tcPr>
          <w:p w14:paraId="26DB2602"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95.5</w:t>
            </w:r>
          </w:p>
        </w:tc>
        <w:tc>
          <w:tcPr>
            <w:tcW w:w="467" w:type="pct"/>
            <w:tcBorders>
              <w:top w:val="single" w:sz="4" w:space="0" w:color="auto"/>
              <w:left w:val="nil"/>
              <w:bottom w:val="single" w:sz="4" w:space="0" w:color="auto"/>
              <w:right w:val="nil"/>
            </w:tcBorders>
            <w:shd w:val="clear" w:color="auto" w:fill="auto"/>
            <w:noWrap/>
            <w:vAlign w:val="center"/>
            <w:hideMark/>
          </w:tcPr>
          <w:p w14:paraId="404DD40C"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2.3</w:t>
            </w:r>
          </w:p>
        </w:tc>
        <w:tc>
          <w:tcPr>
            <w:tcW w:w="418" w:type="pct"/>
            <w:tcBorders>
              <w:top w:val="single" w:sz="4" w:space="0" w:color="auto"/>
              <w:left w:val="nil"/>
              <w:bottom w:val="single" w:sz="4" w:space="0" w:color="auto"/>
              <w:right w:val="nil"/>
            </w:tcBorders>
            <w:shd w:val="clear" w:color="auto" w:fill="auto"/>
            <w:noWrap/>
            <w:vAlign w:val="center"/>
            <w:hideMark/>
          </w:tcPr>
          <w:p w14:paraId="04CCA87B"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0.9</w:t>
            </w:r>
          </w:p>
        </w:tc>
        <w:tc>
          <w:tcPr>
            <w:tcW w:w="330" w:type="pct"/>
            <w:tcBorders>
              <w:top w:val="single" w:sz="4" w:space="0" w:color="auto"/>
              <w:left w:val="nil"/>
              <w:bottom w:val="single" w:sz="4" w:space="0" w:color="auto"/>
              <w:right w:val="nil"/>
            </w:tcBorders>
            <w:shd w:val="clear" w:color="auto" w:fill="auto"/>
            <w:noWrap/>
            <w:vAlign w:val="center"/>
            <w:hideMark/>
          </w:tcPr>
          <w:p w14:paraId="3A681B2D"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0.8</w:t>
            </w:r>
          </w:p>
        </w:tc>
        <w:tc>
          <w:tcPr>
            <w:tcW w:w="341" w:type="pct"/>
            <w:tcBorders>
              <w:top w:val="single" w:sz="4" w:space="0" w:color="auto"/>
              <w:left w:val="nil"/>
              <w:bottom w:val="single" w:sz="4" w:space="0" w:color="auto"/>
              <w:right w:val="nil"/>
            </w:tcBorders>
            <w:shd w:val="clear" w:color="auto" w:fill="auto"/>
            <w:noWrap/>
            <w:vAlign w:val="center"/>
            <w:hideMark/>
          </w:tcPr>
          <w:p w14:paraId="46E7526E"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1.9</w:t>
            </w:r>
          </w:p>
        </w:tc>
        <w:tc>
          <w:tcPr>
            <w:tcW w:w="404" w:type="pct"/>
            <w:tcBorders>
              <w:top w:val="single" w:sz="4" w:space="0" w:color="auto"/>
              <w:left w:val="nil"/>
              <w:bottom w:val="single" w:sz="4" w:space="0" w:color="auto"/>
              <w:right w:val="nil"/>
            </w:tcBorders>
            <w:shd w:val="clear" w:color="auto" w:fill="auto"/>
            <w:noWrap/>
            <w:vAlign w:val="center"/>
            <w:hideMark/>
          </w:tcPr>
          <w:p w14:paraId="335231EF"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1.7</w:t>
            </w:r>
          </w:p>
        </w:tc>
        <w:tc>
          <w:tcPr>
            <w:tcW w:w="485" w:type="pct"/>
            <w:tcBorders>
              <w:top w:val="single" w:sz="4" w:space="0" w:color="auto"/>
              <w:left w:val="nil"/>
              <w:bottom w:val="single" w:sz="4" w:space="0" w:color="auto"/>
              <w:right w:val="nil"/>
            </w:tcBorders>
            <w:shd w:val="clear" w:color="auto" w:fill="auto"/>
            <w:noWrap/>
            <w:vAlign w:val="center"/>
            <w:hideMark/>
          </w:tcPr>
          <w:p w14:paraId="73526DD8"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102.1</w:t>
            </w:r>
          </w:p>
        </w:tc>
        <w:tc>
          <w:tcPr>
            <w:tcW w:w="416" w:type="pct"/>
            <w:tcBorders>
              <w:top w:val="single" w:sz="4" w:space="0" w:color="auto"/>
              <w:left w:val="nil"/>
              <w:bottom w:val="single" w:sz="4" w:space="0" w:color="auto"/>
              <w:right w:val="nil"/>
            </w:tcBorders>
            <w:shd w:val="clear" w:color="auto" w:fill="auto"/>
            <w:noWrap/>
            <w:vAlign w:val="center"/>
            <w:hideMark/>
          </w:tcPr>
          <w:p w14:paraId="3C4CF75F"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0.4</w:t>
            </w:r>
          </w:p>
        </w:tc>
        <w:tc>
          <w:tcPr>
            <w:tcW w:w="511" w:type="pct"/>
            <w:tcBorders>
              <w:top w:val="single" w:sz="4" w:space="0" w:color="auto"/>
              <w:left w:val="nil"/>
              <w:bottom w:val="single" w:sz="4" w:space="0" w:color="auto"/>
              <w:right w:val="nil"/>
            </w:tcBorders>
            <w:shd w:val="clear" w:color="auto" w:fill="auto"/>
            <w:noWrap/>
            <w:vAlign w:val="center"/>
            <w:hideMark/>
          </w:tcPr>
          <w:p w14:paraId="6FBAD3BF"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50.8</w:t>
            </w:r>
          </w:p>
        </w:tc>
        <w:tc>
          <w:tcPr>
            <w:tcW w:w="268" w:type="pct"/>
            <w:tcBorders>
              <w:top w:val="single" w:sz="4" w:space="0" w:color="auto"/>
              <w:left w:val="nil"/>
              <w:bottom w:val="single" w:sz="4" w:space="0" w:color="auto"/>
              <w:right w:val="nil"/>
            </w:tcBorders>
            <w:shd w:val="clear" w:color="auto" w:fill="auto"/>
            <w:noWrap/>
            <w:vAlign w:val="center"/>
            <w:hideMark/>
          </w:tcPr>
          <w:p w14:paraId="6D5A373A"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2.1</w:t>
            </w:r>
          </w:p>
        </w:tc>
      </w:tr>
      <w:tr w:rsidR="00AC4020" w:rsidRPr="00357722" w14:paraId="7AFF0EA2" w14:textId="77777777" w:rsidTr="005F41CC">
        <w:trPr>
          <w:trHeight w:val="415"/>
        </w:trPr>
        <w:tc>
          <w:tcPr>
            <w:tcW w:w="5000" w:type="pct"/>
            <w:gridSpan w:val="11"/>
            <w:tcBorders>
              <w:top w:val="single" w:sz="4" w:space="0" w:color="auto"/>
              <w:left w:val="nil"/>
              <w:bottom w:val="single" w:sz="4" w:space="0" w:color="auto"/>
              <w:right w:val="nil"/>
            </w:tcBorders>
            <w:shd w:val="clear" w:color="auto" w:fill="auto"/>
            <w:noWrap/>
            <w:vAlign w:val="center"/>
            <w:hideMark/>
          </w:tcPr>
          <w:p w14:paraId="271F68AA" w14:textId="359FE519" w:rsidR="00AC4020" w:rsidRPr="00357722" w:rsidRDefault="00AC4020" w:rsidP="008C7C9D">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 xml:space="preserve">Panel B: Emerging </w:t>
            </w:r>
            <w:r w:rsidR="008C7C9D" w:rsidRPr="00357722">
              <w:rPr>
                <w:rFonts w:ascii="Times New Roman" w:eastAsia="Times New Roman" w:hAnsi="Times New Roman" w:cs="Times New Roman"/>
                <w:b/>
                <w:bCs/>
                <w:color w:val="000000"/>
                <w:sz w:val="16"/>
                <w:szCs w:val="16"/>
              </w:rPr>
              <w:t>countries</w:t>
            </w:r>
          </w:p>
        </w:tc>
      </w:tr>
      <w:tr w:rsidR="0044607F" w:rsidRPr="00357722" w14:paraId="49ECBBF3" w14:textId="77777777" w:rsidTr="005F41CC">
        <w:trPr>
          <w:trHeight w:val="240"/>
        </w:trPr>
        <w:tc>
          <w:tcPr>
            <w:tcW w:w="918" w:type="pct"/>
            <w:tcBorders>
              <w:top w:val="nil"/>
              <w:left w:val="nil"/>
              <w:bottom w:val="nil"/>
              <w:right w:val="nil"/>
            </w:tcBorders>
            <w:shd w:val="clear" w:color="auto" w:fill="auto"/>
            <w:noWrap/>
            <w:vAlign w:val="center"/>
            <w:hideMark/>
          </w:tcPr>
          <w:p w14:paraId="25E144A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Argentina</w:t>
            </w:r>
          </w:p>
        </w:tc>
        <w:tc>
          <w:tcPr>
            <w:tcW w:w="442" w:type="pct"/>
            <w:tcBorders>
              <w:top w:val="nil"/>
              <w:left w:val="nil"/>
              <w:bottom w:val="nil"/>
              <w:right w:val="nil"/>
            </w:tcBorders>
            <w:shd w:val="clear" w:color="auto" w:fill="auto"/>
            <w:noWrap/>
            <w:vAlign w:val="center"/>
            <w:hideMark/>
          </w:tcPr>
          <w:p w14:paraId="4E129DF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18.34</w:t>
            </w:r>
          </w:p>
        </w:tc>
        <w:tc>
          <w:tcPr>
            <w:tcW w:w="467" w:type="pct"/>
            <w:tcBorders>
              <w:top w:val="nil"/>
              <w:left w:val="nil"/>
              <w:bottom w:val="nil"/>
              <w:right w:val="nil"/>
            </w:tcBorders>
            <w:shd w:val="clear" w:color="auto" w:fill="auto"/>
            <w:noWrap/>
            <w:vAlign w:val="center"/>
            <w:hideMark/>
          </w:tcPr>
          <w:p w14:paraId="3B43FA6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-1.03</w:t>
            </w:r>
          </w:p>
        </w:tc>
        <w:tc>
          <w:tcPr>
            <w:tcW w:w="418" w:type="pct"/>
            <w:tcBorders>
              <w:top w:val="nil"/>
              <w:left w:val="nil"/>
              <w:bottom w:val="nil"/>
              <w:right w:val="nil"/>
            </w:tcBorders>
            <w:shd w:val="clear" w:color="auto" w:fill="auto"/>
            <w:noWrap/>
            <w:vAlign w:val="center"/>
            <w:hideMark/>
          </w:tcPr>
          <w:p w14:paraId="39E944A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0.38</w:t>
            </w:r>
          </w:p>
        </w:tc>
        <w:tc>
          <w:tcPr>
            <w:tcW w:w="330" w:type="pct"/>
            <w:tcBorders>
              <w:top w:val="nil"/>
              <w:left w:val="nil"/>
              <w:bottom w:val="nil"/>
              <w:right w:val="nil"/>
            </w:tcBorders>
            <w:shd w:val="clear" w:color="auto" w:fill="auto"/>
            <w:noWrap/>
            <w:vAlign w:val="center"/>
            <w:hideMark/>
          </w:tcPr>
          <w:p w14:paraId="44FBF70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1.05</w:t>
            </w:r>
          </w:p>
        </w:tc>
        <w:tc>
          <w:tcPr>
            <w:tcW w:w="341" w:type="pct"/>
            <w:tcBorders>
              <w:top w:val="nil"/>
              <w:left w:val="nil"/>
              <w:bottom w:val="nil"/>
              <w:right w:val="nil"/>
            </w:tcBorders>
            <w:shd w:val="clear" w:color="auto" w:fill="auto"/>
            <w:noWrap/>
            <w:vAlign w:val="center"/>
            <w:hideMark/>
          </w:tcPr>
          <w:p w14:paraId="114106D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2.66</w:t>
            </w:r>
          </w:p>
        </w:tc>
        <w:tc>
          <w:tcPr>
            <w:tcW w:w="404" w:type="pct"/>
            <w:tcBorders>
              <w:top w:val="nil"/>
              <w:left w:val="nil"/>
              <w:bottom w:val="nil"/>
              <w:right w:val="nil"/>
            </w:tcBorders>
            <w:shd w:val="clear" w:color="auto" w:fill="auto"/>
            <w:noWrap/>
            <w:vAlign w:val="center"/>
            <w:hideMark/>
          </w:tcPr>
          <w:p w14:paraId="06B00F2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9.83</w:t>
            </w:r>
          </w:p>
        </w:tc>
        <w:tc>
          <w:tcPr>
            <w:tcW w:w="485" w:type="pct"/>
            <w:tcBorders>
              <w:top w:val="nil"/>
              <w:left w:val="nil"/>
              <w:bottom w:val="nil"/>
              <w:right w:val="nil"/>
            </w:tcBorders>
            <w:shd w:val="clear" w:color="auto" w:fill="auto"/>
            <w:noWrap/>
            <w:vAlign w:val="center"/>
            <w:hideMark/>
          </w:tcPr>
          <w:p w14:paraId="2B42ACC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34.27</w:t>
            </w:r>
          </w:p>
        </w:tc>
        <w:tc>
          <w:tcPr>
            <w:tcW w:w="416" w:type="pct"/>
            <w:tcBorders>
              <w:top w:val="nil"/>
              <w:left w:val="nil"/>
              <w:bottom w:val="nil"/>
              <w:right w:val="nil"/>
            </w:tcBorders>
            <w:shd w:val="clear" w:color="auto" w:fill="auto"/>
            <w:noWrap/>
            <w:vAlign w:val="center"/>
            <w:hideMark/>
          </w:tcPr>
          <w:p w14:paraId="37EB251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0.16</w:t>
            </w:r>
          </w:p>
        </w:tc>
        <w:tc>
          <w:tcPr>
            <w:tcW w:w="511" w:type="pct"/>
            <w:tcBorders>
              <w:top w:val="nil"/>
              <w:left w:val="nil"/>
              <w:bottom w:val="nil"/>
              <w:right w:val="nil"/>
            </w:tcBorders>
            <w:shd w:val="clear" w:color="auto" w:fill="auto"/>
            <w:noWrap/>
            <w:vAlign w:val="center"/>
            <w:hideMark/>
          </w:tcPr>
          <w:p w14:paraId="52F9975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25.84</w:t>
            </w:r>
          </w:p>
        </w:tc>
        <w:tc>
          <w:tcPr>
            <w:tcW w:w="268" w:type="pct"/>
            <w:tcBorders>
              <w:top w:val="nil"/>
              <w:left w:val="nil"/>
              <w:bottom w:val="nil"/>
              <w:right w:val="nil"/>
            </w:tcBorders>
            <w:shd w:val="clear" w:color="auto" w:fill="auto"/>
            <w:noWrap/>
            <w:vAlign w:val="center"/>
            <w:hideMark/>
          </w:tcPr>
          <w:p w14:paraId="4C2F340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01ED392C" w14:textId="77777777" w:rsidTr="005F41CC">
        <w:trPr>
          <w:trHeight w:val="240"/>
        </w:trPr>
        <w:tc>
          <w:tcPr>
            <w:tcW w:w="918" w:type="pct"/>
            <w:tcBorders>
              <w:top w:val="nil"/>
              <w:left w:val="nil"/>
              <w:bottom w:val="nil"/>
              <w:right w:val="nil"/>
            </w:tcBorders>
            <w:shd w:val="clear" w:color="auto" w:fill="auto"/>
            <w:noWrap/>
            <w:vAlign w:val="center"/>
            <w:hideMark/>
          </w:tcPr>
          <w:p w14:paraId="19F3425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Brazil</w:t>
            </w:r>
          </w:p>
        </w:tc>
        <w:tc>
          <w:tcPr>
            <w:tcW w:w="442" w:type="pct"/>
            <w:tcBorders>
              <w:top w:val="nil"/>
              <w:left w:val="nil"/>
              <w:bottom w:val="nil"/>
              <w:right w:val="nil"/>
            </w:tcBorders>
            <w:shd w:val="clear" w:color="auto" w:fill="auto"/>
            <w:noWrap/>
            <w:vAlign w:val="center"/>
            <w:hideMark/>
          </w:tcPr>
          <w:p w14:paraId="24445D5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49.2</w:t>
            </w:r>
          </w:p>
        </w:tc>
        <w:tc>
          <w:tcPr>
            <w:tcW w:w="467" w:type="pct"/>
            <w:tcBorders>
              <w:top w:val="nil"/>
              <w:left w:val="nil"/>
              <w:bottom w:val="nil"/>
              <w:right w:val="nil"/>
            </w:tcBorders>
            <w:shd w:val="clear" w:color="auto" w:fill="auto"/>
            <w:noWrap/>
            <w:vAlign w:val="center"/>
            <w:hideMark/>
          </w:tcPr>
          <w:p w14:paraId="6DBCCD3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w:t>
            </w:r>
          </w:p>
        </w:tc>
        <w:tc>
          <w:tcPr>
            <w:tcW w:w="418" w:type="pct"/>
            <w:tcBorders>
              <w:top w:val="nil"/>
              <w:left w:val="nil"/>
              <w:bottom w:val="nil"/>
              <w:right w:val="nil"/>
            </w:tcBorders>
            <w:shd w:val="clear" w:color="auto" w:fill="auto"/>
            <w:noWrap/>
            <w:vAlign w:val="center"/>
            <w:hideMark/>
          </w:tcPr>
          <w:p w14:paraId="7F1A445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0.34</w:t>
            </w:r>
          </w:p>
        </w:tc>
        <w:tc>
          <w:tcPr>
            <w:tcW w:w="330" w:type="pct"/>
            <w:tcBorders>
              <w:top w:val="nil"/>
              <w:left w:val="nil"/>
              <w:bottom w:val="nil"/>
              <w:right w:val="nil"/>
            </w:tcBorders>
            <w:shd w:val="clear" w:color="auto" w:fill="auto"/>
            <w:noWrap/>
            <w:vAlign w:val="center"/>
            <w:hideMark/>
          </w:tcPr>
          <w:p w14:paraId="2DBCE42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1.06</w:t>
            </w:r>
          </w:p>
        </w:tc>
        <w:tc>
          <w:tcPr>
            <w:tcW w:w="341" w:type="pct"/>
            <w:tcBorders>
              <w:top w:val="nil"/>
              <w:left w:val="nil"/>
              <w:bottom w:val="nil"/>
              <w:right w:val="nil"/>
            </w:tcBorders>
            <w:shd w:val="clear" w:color="auto" w:fill="auto"/>
            <w:noWrap/>
            <w:vAlign w:val="center"/>
            <w:hideMark/>
          </w:tcPr>
          <w:p w14:paraId="428A3DB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2.47</w:t>
            </w:r>
          </w:p>
        </w:tc>
        <w:tc>
          <w:tcPr>
            <w:tcW w:w="404" w:type="pct"/>
            <w:tcBorders>
              <w:top w:val="nil"/>
              <w:left w:val="nil"/>
              <w:bottom w:val="nil"/>
              <w:right w:val="nil"/>
            </w:tcBorders>
            <w:shd w:val="clear" w:color="auto" w:fill="auto"/>
            <w:noWrap/>
            <w:vAlign w:val="center"/>
            <w:hideMark/>
          </w:tcPr>
          <w:p w14:paraId="4C6F0F4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6.83</w:t>
            </w:r>
          </w:p>
        </w:tc>
        <w:tc>
          <w:tcPr>
            <w:tcW w:w="485" w:type="pct"/>
            <w:tcBorders>
              <w:top w:val="nil"/>
              <w:left w:val="nil"/>
              <w:bottom w:val="nil"/>
              <w:right w:val="nil"/>
            </w:tcBorders>
            <w:shd w:val="clear" w:color="auto" w:fill="auto"/>
            <w:noWrap/>
            <w:vAlign w:val="center"/>
            <w:hideMark/>
          </w:tcPr>
          <w:p w14:paraId="5BAA7A5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25.81</w:t>
            </w:r>
          </w:p>
        </w:tc>
        <w:tc>
          <w:tcPr>
            <w:tcW w:w="416" w:type="pct"/>
            <w:tcBorders>
              <w:top w:val="nil"/>
              <w:left w:val="nil"/>
              <w:bottom w:val="nil"/>
              <w:right w:val="nil"/>
            </w:tcBorders>
            <w:shd w:val="clear" w:color="auto" w:fill="auto"/>
            <w:noWrap/>
            <w:vAlign w:val="center"/>
            <w:hideMark/>
          </w:tcPr>
          <w:p w14:paraId="36249AD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0.23</w:t>
            </w:r>
          </w:p>
        </w:tc>
        <w:tc>
          <w:tcPr>
            <w:tcW w:w="511" w:type="pct"/>
            <w:tcBorders>
              <w:top w:val="nil"/>
              <w:left w:val="nil"/>
              <w:bottom w:val="nil"/>
              <w:right w:val="nil"/>
            </w:tcBorders>
            <w:shd w:val="clear" w:color="auto" w:fill="auto"/>
            <w:noWrap/>
            <w:vAlign w:val="center"/>
            <w:hideMark/>
          </w:tcPr>
          <w:p w14:paraId="3554591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11.97</w:t>
            </w:r>
          </w:p>
        </w:tc>
        <w:tc>
          <w:tcPr>
            <w:tcW w:w="268" w:type="pct"/>
            <w:tcBorders>
              <w:top w:val="nil"/>
              <w:left w:val="nil"/>
              <w:bottom w:val="nil"/>
              <w:right w:val="nil"/>
            </w:tcBorders>
            <w:shd w:val="clear" w:color="auto" w:fill="auto"/>
            <w:noWrap/>
            <w:vAlign w:val="center"/>
            <w:hideMark/>
          </w:tcPr>
          <w:p w14:paraId="7FEB537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4FE0A993" w14:textId="77777777" w:rsidTr="005F41CC">
        <w:trPr>
          <w:trHeight w:val="240"/>
        </w:trPr>
        <w:tc>
          <w:tcPr>
            <w:tcW w:w="918" w:type="pct"/>
            <w:tcBorders>
              <w:top w:val="nil"/>
              <w:left w:val="nil"/>
              <w:bottom w:val="nil"/>
              <w:right w:val="nil"/>
            </w:tcBorders>
            <w:shd w:val="clear" w:color="auto" w:fill="auto"/>
            <w:noWrap/>
            <w:vAlign w:val="center"/>
            <w:hideMark/>
          </w:tcPr>
          <w:p w14:paraId="04B7111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Bulgaria</w:t>
            </w:r>
          </w:p>
        </w:tc>
        <w:tc>
          <w:tcPr>
            <w:tcW w:w="442" w:type="pct"/>
            <w:tcBorders>
              <w:top w:val="nil"/>
              <w:left w:val="nil"/>
              <w:bottom w:val="nil"/>
              <w:right w:val="nil"/>
            </w:tcBorders>
            <w:shd w:val="clear" w:color="auto" w:fill="auto"/>
            <w:noWrap/>
            <w:vAlign w:val="center"/>
            <w:hideMark/>
          </w:tcPr>
          <w:p w14:paraId="7E17A3D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48.94</w:t>
            </w:r>
          </w:p>
        </w:tc>
        <w:tc>
          <w:tcPr>
            <w:tcW w:w="467" w:type="pct"/>
            <w:tcBorders>
              <w:top w:val="nil"/>
              <w:left w:val="nil"/>
              <w:bottom w:val="nil"/>
              <w:right w:val="nil"/>
            </w:tcBorders>
            <w:shd w:val="clear" w:color="auto" w:fill="auto"/>
            <w:noWrap/>
            <w:vAlign w:val="center"/>
            <w:hideMark/>
          </w:tcPr>
          <w:p w14:paraId="6BF4F23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1.27</w:t>
            </w:r>
          </w:p>
        </w:tc>
        <w:tc>
          <w:tcPr>
            <w:tcW w:w="418" w:type="pct"/>
            <w:tcBorders>
              <w:top w:val="nil"/>
              <w:left w:val="nil"/>
              <w:bottom w:val="nil"/>
              <w:right w:val="nil"/>
            </w:tcBorders>
            <w:shd w:val="clear" w:color="auto" w:fill="auto"/>
            <w:noWrap/>
            <w:vAlign w:val="center"/>
            <w:hideMark/>
          </w:tcPr>
          <w:p w14:paraId="2EFE175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w:t>
            </w:r>
          </w:p>
        </w:tc>
        <w:tc>
          <w:tcPr>
            <w:tcW w:w="330" w:type="pct"/>
            <w:tcBorders>
              <w:top w:val="nil"/>
              <w:left w:val="nil"/>
              <w:bottom w:val="nil"/>
              <w:right w:val="nil"/>
            </w:tcBorders>
            <w:shd w:val="clear" w:color="auto" w:fill="auto"/>
            <w:noWrap/>
            <w:vAlign w:val="center"/>
            <w:hideMark/>
          </w:tcPr>
          <w:p w14:paraId="64D2C80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-0.85</w:t>
            </w:r>
          </w:p>
        </w:tc>
        <w:tc>
          <w:tcPr>
            <w:tcW w:w="341" w:type="pct"/>
            <w:tcBorders>
              <w:top w:val="nil"/>
              <w:left w:val="nil"/>
              <w:bottom w:val="nil"/>
              <w:right w:val="nil"/>
            </w:tcBorders>
            <w:shd w:val="clear" w:color="auto" w:fill="auto"/>
            <w:noWrap/>
            <w:vAlign w:val="center"/>
            <w:hideMark/>
          </w:tcPr>
          <w:p w14:paraId="054FFFA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3.63</w:t>
            </w:r>
          </w:p>
        </w:tc>
        <w:tc>
          <w:tcPr>
            <w:tcW w:w="404" w:type="pct"/>
            <w:tcBorders>
              <w:top w:val="nil"/>
              <w:left w:val="nil"/>
              <w:bottom w:val="nil"/>
              <w:right w:val="nil"/>
            </w:tcBorders>
            <w:shd w:val="clear" w:color="auto" w:fill="auto"/>
            <w:noWrap/>
            <w:vAlign w:val="center"/>
            <w:hideMark/>
          </w:tcPr>
          <w:p w14:paraId="690F2DA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w:t>
            </w:r>
          </w:p>
        </w:tc>
        <w:tc>
          <w:tcPr>
            <w:tcW w:w="485" w:type="pct"/>
            <w:tcBorders>
              <w:top w:val="nil"/>
              <w:left w:val="nil"/>
              <w:bottom w:val="nil"/>
              <w:right w:val="nil"/>
            </w:tcBorders>
            <w:shd w:val="clear" w:color="auto" w:fill="auto"/>
            <w:noWrap/>
            <w:vAlign w:val="center"/>
            <w:hideMark/>
          </w:tcPr>
          <w:p w14:paraId="0656B81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108.8</w:t>
            </w:r>
          </w:p>
        </w:tc>
        <w:tc>
          <w:tcPr>
            <w:tcW w:w="416" w:type="pct"/>
            <w:tcBorders>
              <w:top w:val="nil"/>
              <w:left w:val="nil"/>
              <w:bottom w:val="nil"/>
              <w:right w:val="nil"/>
            </w:tcBorders>
            <w:shd w:val="clear" w:color="auto" w:fill="auto"/>
            <w:noWrap/>
            <w:vAlign w:val="center"/>
            <w:hideMark/>
          </w:tcPr>
          <w:p w14:paraId="47E1C13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w:t>
            </w:r>
          </w:p>
        </w:tc>
        <w:tc>
          <w:tcPr>
            <w:tcW w:w="511" w:type="pct"/>
            <w:tcBorders>
              <w:top w:val="nil"/>
              <w:left w:val="nil"/>
              <w:bottom w:val="nil"/>
              <w:right w:val="nil"/>
            </w:tcBorders>
            <w:shd w:val="clear" w:color="auto" w:fill="auto"/>
            <w:noWrap/>
            <w:vAlign w:val="center"/>
            <w:hideMark/>
          </w:tcPr>
          <w:p w14:paraId="3ABF54C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12.12</w:t>
            </w:r>
          </w:p>
        </w:tc>
        <w:tc>
          <w:tcPr>
            <w:tcW w:w="268" w:type="pct"/>
            <w:tcBorders>
              <w:top w:val="nil"/>
              <w:left w:val="nil"/>
              <w:bottom w:val="nil"/>
              <w:right w:val="nil"/>
            </w:tcBorders>
            <w:shd w:val="clear" w:color="auto" w:fill="auto"/>
            <w:noWrap/>
            <w:vAlign w:val="center"/>
            <w:hideMark/>
          </w:tcPr>
          <w:p w14:paraId="5923DCF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769E7FE9" w14:textId="77777777" w:rsidTr="005F41CC">
        <w:trPr>
          <w:trHeight w:val="240"/>
        </w:trPr>
        <w:tc>
          <w:tcPr>
            <w:tcW w:w="918" w:type="pct"/>
            <w:tcBorders>
              <w:top w:val="nil"/>
              <w:left w:val="nil"/>
              <w:bottom w:val="nil"/>
              <w:right w:val="nil"/>
            </w:tcBorders>
            <w:shd w:val="clear" w:color="auto" w:fill="auto"/>
            <w:noWrap/>
            <w:vAlign w:val="center"/>
            <w:hideMark/>
          </w:tcPr>
          <w:p w14:paraId="78D64EE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Chile</w:t>
            </w:r>
          </w:p>
        </w:tc>
        <w:tc>
          <w:tcPr>
            <w:tcW w:w="442" w:type="pct"/>
            <w:tcBorders>
              <w:top w:val="nil"/>
              <w:left w:val="nil"/>
              <w:bottom w:val="nil"/>
              <w:right w:val="nil"/>
            </w:tcBorders>
            <w:shd w:val="clear" w:color="auto" w:fill="auto"/>
            <w:noWrap/>
            <w:vAlign w:val="center"/>
            <w:hideMark/>
          </w:tcPr>
          <w:p w14:paraId="509EFB3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46.1</w:t>
            </w:r>
          </w:p>
        </w:tc>
        <w:tc>
          <w:tcPr>
            <w:tcW w:w="467" w:type="pct"/>
            <w:tcBorders>
              <w:top w:val="nil"/>
              <w:left w:val="nil"/>
              <w:bottom w:val="nil"/>
              <w:right w:val="nil"/>
            </w:tcBorders>
            <w:shd w:val="clear" w:color="auto" w:fill="auto"/>
            <w:noWrap/>
            <w:vAlign w:val="center"/>
            <w:hideMark/>
          </w:tcPr>
          <w:p w14:paraId="7E17750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1.69</w:t>
            </w:r>
          </w:p>
        </w:tc>
        <w:tc>
          <w:tcPr>
            <w:tcW w:w="418" w:type="pct"/>
            <w:tcBorders>
              <w:top w:val="nil"/>
              <w:left w:val="nil"/>
              <w:bottom w:val="nil"/>
              <w:right w:val="nil"/>
            </w:tcBorders>
            <w:shd w:val="clear" w:color="auto" w:fill="auto"/>
            <w:noWrap/>
            <w:vAlign w:val="center"/>
            <w:hideMark/>
          </w:tcPr>
          <w:p w14:paraId="64F1221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0.79</w:t>
            </w:r>
          </w:p>
        </w:tc>
        <w:tc>
          <w:tcPr>
            <w:tcW w:w="330" w:type="pct"/>
            <w:tcBorders>
              <w:top w:val="nil"/>
              <w:left w:val="nil"/>
              <w:bottom w:val="nil"/>
              <w:right w:val="nil"/>
            </w:tcBorders>
            <w:shd w:val="clear" w:color="auto" w:fill="auto"/>
            <w:noWrap/>
            <w:vAlign w:val="center"/>
            <w:hideMark/>
          </w:tcPr>
          <w:p w14:paraId="11B5040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c>
          <w:tcPr>
            <w:tcW w:w="341" w:type="pct"/>
            <w:tcBorders>
              <w:top w:val="nil"/>
              <w:left w:val="nil"/>
              <w:bottom w:val="nil"/>
              <w:right w:val="nil"/>
            </w:tcBorders>
            <w:shd w:val="clear" w:color="auto" w:fill="auto"/>
            <w:noWrap/>
            <w:vAlign w:val="center"/>
            <w:hideMark/>
          </w:tcPr>
          <w:p w14:paraId="686935B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3.96</w:t>
            </w:r>
          </w:p>
        </w:tc>
        <w:tc>
          <w:tcPr>
            <w:tcW w:w="404" w:type="pct"/>
            <w:tcBorders>
              <w:top w:val="nil"/>
              <w:left w:val="nil"/>
              <w:bottom w:val="nil"/>
              <w:right w:val="nil"/>
            </w:tcBorders>
            <w:shd w:val="clear" w:color="auto" w:fill="auto"/>
            <w:noWrap/>
            <w:vAlign w:val="center"/>
            <w:hideMark/>
          </w:tcPr>
          <w:p w14:paraId="273DD8B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3.23</w:t>
            </w:r>
          </w:p>
        </w:tc>
        <w:tc>
          <w:tcPr>
            <w:tcW w:w="485" w:type="pct"/>
            <w:tcBorders>
              <w:top w:val="nil"/>
              <w:left w:val="nil"/>
              <w:bottom w:val="nil"/>
              <w:right w:val="nil"/>
            </w:tcBorders>
            <w:shd w:val="clear" w:color="auto" w:fill="auto"/>
            <w:noWrap/>
            <w:vAlign w:val="center"/>
            <w:hideMark/>
          </w:tcPr>
          <w:p w14:paraId="0AB093C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67.82</w:t>
            </w:r>
          </w:p>
        </w:tc>
        <w:tc>
          <w:tcPr>
            <w:tcW w:w="416" w:type="pct"/>
            <w:tcBorders>
              <w:top w:val="nil"/>
              <w:left w:val="nil"/>
              <w:bottom w:val="nil"/>
              <w:right w:val="nil"/>
            </w:tcBorders>
            <w:shd w:val="clear" w:color="auto" w:fill="auto"/>
            <w:noWrap/>
            <w:vAlign w:val="center"/>
            <w:hideMark/>
          </w:tcPr>
          <w:p w14:paraId="3322910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0.02</w:t>
            </w:r>
          </w:p>
        </w:tc>
        <w:tc>
          <w:tcPr>
            <w:tcW w:w="511" w:type="pct"/>
            <w:tcBorders>
              <w:top w:val="nil"/>
              <w:left w:val="nil"/>
              <w:bottom w:val="nil"/>
              <w:right w:val="nil"/>
            </w:tcBorders>
            <w:shd w:val="clear" w:color="auto" w:fill="auto"/>
            <w:noWrap/>
            <w:vAlign w:val="center"/>
            <w:hideMark/>
          </w:tcPr>
          <w:p w14:paraId="5021F7C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11.13</w:t>
            </w:r>
          </w:p>
        </w:tc>
        <w:tc>
          <w:tcPr>
            <w:tcW w:w="268" w:type="pct"/>
            <w:tcBorders>
              <w:top w:val="nil"/>
              <w:left w:val="nil"/>
              <w:bottom w:val="nil"/>
              <w:right w:val="nil"/>
            </w:tcBorders>
            <w:shd w:val="clear" w:color="auto" w:fill="auto"/>
            <w:noWrap/>
            <w:vAlign w:val="center"/>
            <w:hideMark/>
          </w:tcPr>
          <w:p w14:paraId="422A94E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41499EDA" w14:textId="77777777" w:rsidTr="005F41CC">
        <w:trPr>
          <w:trHeight w:val="240"/>
        </w:trPr>
        <w:tc>
          <w:tcPr>
            <w:tcW w:w="918" w:type="pct"/>
            <w:tcBorders>
              <w:top w:val="nil"/>
              <w:left w:val="nil"/>
              <w:bottom w:val="nil"/>
              <w:right w:val="nil"/>
            </w:tcBorders>
            <w:shd w:val="clear" w:color="auto" w:fill="auto"/>
            <w:noWrap/>
            <w:vAlign w:val="center"/>
            <w:hideMark/>
          </w:tcPr>
          <w:p w14:paraId="399DF75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China</w:t>
            </w:r>
          </w:p>
        </w:tc>
        <w:tc>
          <w:tcPr>
            <w:tcW w:w="442" w:type="pct"/>
            <w:tcBorders>
              <w:top w:val="nil"/>
              <w:left w:val="nil"/>
              <w:bottom w:val="nil"/>
              <w:right w:val="nil"/>
            </w:tcBorders>
            <w:shd w:val="clear" w:color="auto" w:fill="auto"/>
            <w:noWrap/>
            <w:vAlign w:val="center"/>
            <w:hideMark/>
          </w:tcPr>
          <w:p w14:paraId="7C27B66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43.57</w:t>
            </w:r>
          </w:p>
        </w:tc>
        <w:tc>
          <w:tcPr>
            <w:tcW w:w="467" w:type="pct"/>
            <w:tcBorders>
              <w:top w:val="nil"/>
              <w:left w:val="nil"/>
              <w:bottom w:val="nil"/>
              <w:right w:val="nil"/>
            </w:tcBorders>
            <w:shd w:val="clear" w:color="auto" w:fill="auto"/>
            <w:noWrap/>
            <w:vAlign w:val="center"/>
            <w:hideMark/>
          </w:tcPr>
          <w:p w14:paraId="1A8C69E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-1.19</w:t>
            </w:r>
          </w:p>
        </w:tc>
        <w:tc>
          <w:tcPr>
            <w:tcW w:w="418" w:type="pct"/>
            <w:tcBorders>
              <w:top w:val="nil"/>
              <w:left w:val="nil"/>
              <w:bottom w:val="nil"/>
              <w:right w:val="nil"/>
            </w:tcBorders>
            <w:shd w:val="clear" w:color="auto" w:fill="auto"/>
            <w:noWrap/>
            <w:vAlign w:val="center"/>
            <w:hideMark/>
          </w:tcPr>
          <w:p w14:paraId="17C8760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0.68</w:t>
            </w:r>
          </w:p>
        </w:tc>
        <w:tc>
          <w:tcPr>
            <w:tcW w:w="330" w:type="pct"/>
            <w:tcBorders>
              <w:top w:val="nil"/>
              <w:left w:val="nil"/>
              <w:bottom w:val="nil"/>
              <w:right w:val="nil"/>
            </w:tcBorders>
            <w:shd w:val="clear" w:color="auto" w:fill="auto"/>
            <w:noWrap/>
            <w:vAlign w:val="center"/>
            <w:hideMark/>
          </w:tcPr>
          <w:p w14:paraId="0065991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0.55</w:t>
            </w:r>
          </w:p>
        </w:tc>
        <w:tc>
          <w:tcPr>
            <w:tcW w:w="341" w:type="pct"/>
            <w:tcBorders>
              <w:top w:val="nil"/>
              <w:left w:val="nil"/>
              <w:bottom w:val="nil"/>
              <w:right w:val="nil"/>
            </w:tcBorders>
            <w:shd w:val="clear" w:color="auto" w:fill="auto"/>
            <w:noWrap/>
            <w:vAlign w:val="center"/>
            <w:hideMark/>
          </w:tcPr>
          <w:p w14:paraId="54AF661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9.48</w:t>
            </w:r>
          </w:p>
        </w:tc>
        <w:tc>
          <w:tcPr>
            <w:tcW w:w="404" w:type="pct"/>
            <w:tcBorders>
              <w:top w:val="nil"/>
              <w:left w:val="nil"/>
              <w:bottom w:val="nil"/>
              <w:right w:val="nil"/>
            </w:tcBorders>
            <w:shd w:val="clear" w:color="auto" w:fill="auto"/>
            <w:noWrap/>
            <w:vAlign w:val="center"/>
            <w:hideMark/>
          </w:tcPr>
          <w:p w14:paraId="67ED676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2.35</w:t>
            </w:r>
          </w:p>
        </w:tc>
        <w:tc>
          <w:tcPr>
            <w:tcW w:w="485" w:type="pct"/>
            <w:tcBorders>
              <w:top w:val="nil"/>
              <w:left w:val="nil"/>
              <w:bottom w:val="nil"/>
              <w:right w:val="nil"/>
            </w:tcBorders>
            <w:shd w:val="clear" w:color="auto" w:fill="auto"/>
            <w:noWrap/>
            <w:vAlign w:val="center"/>
            <w:hideMark/>
          </w:tcPr>
          <w:p w14:paraId="19A51F8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49.93</w:t>
            </w:r>
          </w:p>
        </w:tc>
        <w:tc>
          <w:tcPr>
            <w:tcW w:w="416" w:type="pct"/>
            <w:tcBorders>
              <w:top w:val="nil"/>
              <w:left w:val="nil"/>
              <w:bottom w:val="nil"/>
              <w:right w:val="nil"/>
            </w:tcBorders>
            <w:shd w:val="clear" w:color="auto" w:fill="auto"/>
            <w:noWrap/>
            <w:vAlign w:val="center"/>
            <w:hideMark/>
          </w:tcPr>
          <w:p w14:paraId="6EB8607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0.22</w:t>
            </w:r>
          </w:p>
        </w:tc>
        <w:tc>
          <w:tcPr>
            <w:tcW w:w="511" w:type="pct"/>
            <w:tcBorders>
              <w:top w:val="nil"/>
              <w:left w:val="nil"/>
              <w:bottom w:val="nil"/>
              <w:right w:val="nil"/>
            </w:tcBorders>
            <w:shd w:val="clear" w:color="auto" w:fill="auto"/>
            <w:noWrap/>
            <w:vAlign w:val="center"/>
            <w:hideMark/>
          </w:tcPr>
          <w:p w14:paraId="3259222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2.03</w:t>
            </w:r>
          </w:p>
        </w:tc>
        <w:tc>
          <w:tcPr>
            <w:tcW w:w="268" w:type="pct"/>
            <w:tcBorders>
              <w:top w:val="nil"/>
              <w:left w:val="nil"/>
              <w:bottom w:val="nil"/>
              <w:right w:val="nil"/>
            </w:tcBorders>
            <w:shd w:val="clear" w:color="auto" w:fill="auto"/>
            <w:noWrap/>
            <w:vAlign w:val="center"/>
            <w:hideMark/>
          </w:tcPr>
          <w:p w14:paraId="207EF35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0315457A" w14:textId="77777777" w:rsidTr="005F41CC">
        <w:trPr>
          <w:trHeight w:val="240"/>
        </w:trPr>
        <w:tc>
          <w:tcPr>
            <w:tcW w:w="918" w:type="pct"/>
            <w:tcBorders>
              <w:top w:val="nil"/>
              <w:left w:val="nil"/>
              <w:bottom w:val="nil"/>
              <w:right w:val="nil"/>
            </w:tcBorders>
            <w:shd w:val="clear" w:color="auto" w:fill="auto"/>
            <w:noWrap/>
            <w:vAlign w:val="center"/>
            <w:hideMark/>
          </w:tcPr>
          <w:p w14:paraId="405FFA0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Colombia</w:t>
            </w:r>
          </w:p>
        </w:tc>
        <w:tc>
          <w:tcPr>
            <w:tcW w:w="442" w:type="pct"/>
            <w:tcBorders>
              <w:top w:val="nil"/>
              <w:left w:val="nil"/>
              <w:bottom w:val="nil"/>
              <w:right w:val="nil"/>
            </w:tcBorders>
            <w:shd w:val="clear" w:color="auto" w:fill="auto"/>
            <w:noWrap/>
            <w:vAlign w:val="center"/>
            <w:hideMark/>
          </w:tcPr>
          <w:p w14:paraId="3D07701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18.21</w:t>
            </w:r>
          </w:p>
        </w:tc>
        <w:tc>
          <w:tcPr>
            <w:tcW w:w="467" w:type="pct"/>
            <w:tcBorders>
              <w:top w:val="nil"/>
              <w:left w:val="nil"/>
              <w:bottom w:val="nil"/>
              <w:right w:val="nil"/>
            </w:tcBorders>
            <w:shd w:val="clear" w:color="auto" w:fill="auto"/>
            <w:noWrap/>
            <w:vAlign w:val="center"/>
            <w:hideMark/>
          </w:tcPr>
          <w:p w14:paraId="6163761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-0.26</w:t>
            </w:r>
          </w:p>
        </w:tc>
        <w:tc>
          <w:tcPr>
            <w:tcW w:w="418" w:type="pct"/>
            <w:tcBorders>
              <w:top w:val="nil"/>
              <w:left w:val="nil"/>
              <w:bottom w:val="nil"/>
              <w:right w:val="nil"/>
            </w:tcBorders>
            <w:shd w:val="clear" w:color="auto" w:fill="auto"/>
            <w:noWrap/>
            <w:vAlign w:val="center"/>
            <w:hideMark/>
          </w:tcPr>
          <w:p w14:paraId="3FB5835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0.28</w:t>
            </w:r>
          </w:p>
        </w:tc>
        <w:tc>
          <w:tcPr>
            <w:tcW w:w="330" w:type="pct"/>
            <w:tcBorders>
              <w:top w:val="nil"/>
              <w:left w:val="nil"/>
              <w:bottom w:val="nil"/>
              <w:right w:val="nil"/>
            </w:tcBorders>
            <w:shd w:val="clear" w:color="auto" w:fill="auto"/>
            <w:noWrap/>
            <w:vAlign w:val="center"/>
            <w:hideMark/>
          </w:tcPr>
          <w:p w14:paraId="317C11D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1.16</w:t>
            </w:r>
          </w:p>
        </w:tc>
        <w:tc>
          <w:tcPr>
            <w:tcW w:w="341" w:type="pct"/>
            <w:tcBorders>
              <w:top w:val="nil"/>
              <w:left w:val="nil"/>
              <w:bottom w:val="nil"/>
              <w:right w:val="nil"/>
            </w:tcBorders>
            <w:shd w:val="clear" w:color="auto" w:fill="auto"/>
            <w:noWrap/>
            <w:vAlign w:val="center"/>
            <w:hideMark/>
          </w:tcPr>
          <w:p w14:paraId="7FC56D9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4.12</w:t>
            </w:r>
          </w:p>
        </w:tc>
        <w:tc>
          <w:tcPr>
            <w:tcW w:w="404" w:type="pct"/>
            <w:tcBorders>
              <w:top w:val="nil"/>
              <w:left w:val="nil"/>
              <w:bottom w:val="nil"/>
              <w:right w:val="nil"/>
            </w:tcBorders>
            <w:shd w:val="clear" w:color="auto" w:fill="auto"/>
            <w:noWrap/>
            <w:vAlign w:val="center"/>
            <w:hideMark/>
          </w:tcPr>
          <w:p w14:paraId="540B6B0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4.98</w:t>
            </w:r>
          </w:p>
        </w:tc>
        <w:tc>
          <w:tcPr>
            <w:tcW w:w="485" w:type="pct"/>
            <w:tcBorders>
              <w:top w:val="nil"/>
              <w:left w:val="nil"/>
              <w:bottom w:val="nil"/>
              <w:right w:val="nil"/>
            </w:tcBorders>
            <w:shd w:val="clear" w:color="auto" w:fill="auto"/>
            <w:noWrap/>
            <w:vAlign w:val="center"/>
            <w:hideMark/>
          </w:tcPr>
          <w:p w14:paraId="551554D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36.41</w:t>
            </w:r>
          </w:p>
        </w:tc>
        <w:tc>
          <w:tcPr>
            <w:tcW w:w="416" w:type="pct"/>
            <w:tcBorders>
              <w:top w:val="nil"/>
              <w:left w:val="nil"/>
              <w:bottom w:val="nil"/>
              <w:right w:val="nil"/>
            </w:tcBorders>
            <w:shd w:val="clear" w:color="auto" w:fill="auto"/>
            <w:noWrap/>
            <w:vAlign w:val="center"/>
            <w:hideMark/>
          </w:tcPr>
          <w:p w14:paraId="2E64948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1.91</w:t>
            </w:r>
          </w:p>
        </w:tc>
        <w:tc>
          <w:tcPr>
            <w:tcW w:w="511" w:type="pct"/>
            <w:tcBorders>
              <w:top w:val="nil"/>
              <w:left w:val="nil"/>
              <w:bottom w:val="nil"/>
              <w:right w:val="nil"/>
            </w:tcBorders>
            <w:shd w:val="clear" w:color="auto" w:fill="auto"/>
            <w:noWrap/>
            <w:vAlign w:val="center"/>
            <w:hideMark/>
          </w:tcPr>
          <w:p w14:paraId="63A2990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11.1</w:t>
            </w:r>
          </w:p>
        </w:tc>
        <w:tc>
          <w:tcPr>
            <w:tcW w:w="268" w:type="pct"/>
            <w:tcBorders>
              <w:top w:val="nil"/>
              <w:left w:val="nil"/>
              <w:bottom w:val="nil"/>
              <w:right w:val="nil"/>
            </w:tcBorders>
            <w:shd w:val="clear" w:color="auto" w:fill="auto"/>
            <w:noWrap/>
            <w:vAlign w:val="center"/>
            <w:hideMark/>
          </w:tcPr>
          <w:p w14:paraId="6FD615F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51FCEAA1" w14:textId="77777777" w:rsidTr="005F41CC">
        <w:trPr>
          <w:trHeight w:val="240"/>
        </w:trPr>
        <w:tc>
          <w:tcPr>
            <w:tcW w:w="918" w:type="pct"/>
            <w:tcBorders>
              <w:top w:val="nil"/>
              <w:left w:val="nil"/>
              <w:bottom w:val="nil"/>
              <w:right w:val="nil"/>
            </w:tcBorders>
            <w:shd w:val="clear" w:color="auto" w:fill="auto"/>
            <w:noWrap/>
            <w:vAlign w:val="center"/>
            <w:hideMark/>
          </w:tcPr>
          <w:p w14:paraId="62171B5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Czech Republic</w:t>
            </w:r>
          </w:p>
        </w:tc>
        <w:tc>
          <w:tcPr>
            <w:tcW w:w="442" w:type="pct"/>
            <w:tcBorders>
              <w:top w:val="nil"/>
              <w:left w:val="nil"/>
              <w:bottom w:val="nil"/>
              <w:right w:val="nil"/>
            </w:tcBorders>
            <w:shd w:val="clear" w:color="auto" w:fill="auto"/>
            <w:noWrap/>
            <w:vAlign w:val="center"/>
            <w:hideMark/>
          </w:tcPr>
          <w:p w14:paraId="2B8066B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59.5</w:t>
            </w:r>
          </w:p>
        </w:tc>
        <w:tc>
          <w:tcPr>
            <w:tcW w:w="467" w:type="pct"/>
            <w:tcBorders>
              <w:top w:val="nil"/>
              <w:left w:val="nil"/>
              <w:bottom w:val="nil"/>
              <w:right w:val="nil"/>
            </w:tcBorders>
            <w:shd w:val="clear" w:color="auto" w:fill="auto"/>
            <w:noWrap/>
            <w:vAlign w:val="center"/>
            <w:hideMark/>
          </w:tcPr>
          <w:p w14:paraId="77F08AD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2.27</w:t>
            </w:r>
          </w:p>
        </w:tc>
        <w:tc>
          <w:tcPr>
            <w:tcW w:w="418" w:type="pct"/>
            <w:tcBorders>
              <w:top w:val="nil"/>
              <w:left w:val="nil"/>
              <w:bottom w:val="nil"/>
              <w:right w:val="nil"/>
            </w:tcBorders>
            <w:shd w:val="clear" w:color="auto" w:fill="auto"/>
            <w:noWrap/>
            <w:vAlign w:val="center"/>
            <w:hideMark/>
          </w:tcPr>
          <w:p w14:paraId="620B1B3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330" w:type="pct"/>
            <w:tcBorders>
              <w:top w:val="nil"/>
              <w:left w:val="nil"/>
              <w:bottom w:val="nil"/>
              <w:right w:val="nil"/>
            </w:tcBorders>
            <w:shd w:val="clear" w:color="auto" w:fill="auto"/>
            <w:noWrap/>
            <w:vAlign w:val="center"/>
            <w:hideMark/>
          </w:tcPr>
          <w:p w14:paraId="5F20075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0.19</w:t>
            </w:r>
          </w:p>
        </w:tc>
        <w:tc>
          <w:tcPr>
            <w:tcW w:w="341" w:type="pct"/>
            <w:tcBorders>
              <w:top w:val="nil"/>
              <w:left w:val="nil"/>
              <w:bottom w:val="nil"/>
              <w:right w:val="nil"/>
            </w:tcBorders>
            <w:shd w:val="clear" w:color="auto" w:fill="auto"/>
            <w:noWrap/>
            <w:vAlign w:val="center"/>
            <w:hideMark/>
          </w:tcPr>
          <w:p w14:paraId="6AC65FD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2.71</w:t>
            </w:r>
          </w:p>
        </w:tc>
        <w:tc>
          <w:tcPr>
            <w:tcW w:w="404" w:type="pct"/>
            <w:tcBorders>
              <w:top w:val="nil"/>
              <w:left w:val="nil"/>
              <w:bottom w:val="nil"/>
              <w:right w:val="nil"/>
            </w:tcBorders>
            <w:shd w:val="clear" w:color="auto" w:fill="auto"/>
            <w:noWrap/>
            <w:vAlign w:val="center"/>
            <w:hideMark/>
          </w:tcPr>
          <w:p w14:paraId="5757564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w:t>
            </w:r>
          </w:p>
        </w:tc>
        <w:tc>
          <w:tcPr>
            <w:tcW w:w="485" w:type="pct"/>
            <w:tcBorders>
              <w:top w:val="nil"/>
              <w:left w:val="nil"/>
              <w:bottom w:val="nil"/>
              <w:right w:val="nil"/>
            </w:tcBorders>
            <w:shd w:val="clear" w:color="auto" w:fill="auto"/>
            <w:noWrap/>
            <w:vAlign w:val="center"/>
            <w:hideMark/>
          </w:tcPr>
          <w:p w14:paraId="4C96C5C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127.95</w:t>
            </w:r>
          </w:p>
        </w:tc>
        <w:tc>
          <w:tcPr>
            <w:tcW w:w="416" w:type="pct"/>
            <w:tcBorders>
              <w:top w:val="nil"/>
              <w:left w:val="nil"/>
              <w:bottom w:val="nil"/>
              <w:right w:val="nil"/>
            </w:tcBorders>
            <w:shd w:val="clear" w:color="auto" w:fill="auto"/>
            <w:noWrap/>
            <w:vAlign w:val="center"/>
            <w:hideMark/>
          </w:tcPr>
          <w:p w14:paraId="4F2E3C2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511" w:type="pct"/>
            <w:tcBorders>
              <w:top w:val="nil"/>
              <w:left w:val="nil"/>
              <w:bottom w:val="nil"/>
              <w:right w:val="nil"/>
            </w:tcBorders>
            <w:shd w:val="clear" w:color="auto" w:fill="auto"/>
            <w:noWrap/>
            <w:vAlign w:val="center"/>
            <w:hideMark/>
          </w:tcPr>
          <w:p w14:paraId="3BC6B4B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8.14</w:t>
            </w:r>
          </w:p>
        </w:tc>
        <w:tc>
          <w:tcPr>
            <w:tcW w:w="268" w:type="pct"/>
            <w:tcBorders>
              <w:top w:val="nil"/>
              <w:left w:val="nil"/>
              <w:bottom w:val="nil"/>
              <w:right w:val="nil"/>
            </w:tcBorders>
            <w:shd w:val="clear" w:color="auto" w:fill="auto"/>
            <w:noWrap/>
            <w:vAlign w:val="center"/>
            <w:hideMark/>
          </w:tcPr>
          <w:p w14:paraId="510F45F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0CB58EBC" w14:textId="77777777" w:rsidTr="005F41CC">
        <w:trPr>
          <w:trHeight w:val="240"/>
        </w:trPr>
        <w:tc>
          <w:tcPr>
            <w:tcW w:w="918" w:type="pct"/>
            <w:tcBorders>
              <w:top w:val="nil"/>
              <w:left w:val="nil"/>
              <w:bottom w:val="nil"/>
              <w:right w:val="nil"/>
            </w:tcBorders>
            <w:shd w:val="clear" w:color="auto" w:fill="auto"/>
            <w:noWrap/>
            <w:vAlign w:val="center"/>
            <w:hideMark/>
          </w:tcPr>
          <w:p w14:paraId="6EC1F5A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Egypt</w:t>
            </w:r>
          </w:p>
        </w:tc>
        <w:tc>
          <w:tcPr>
            <w:tcW w:w="442" w:type="pct"/>
            <w:tcBorders>
              <w:top w:val="nil"/>
              <w:left w:val="nil"/>
              <w:bottom w:val="nil"/>
              <w:right w:val="nil"/>
            </w:tcBorders>
            <w:shd w:val="clear" w:color="auto" w:fill="auto"/>
            <w:noWrap/>
            <w:vAlign w:val="center"/>
            <w:hideMark/>
          </w:tcPr>
          <w:p w14:paraId="21FA1FB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66.21</w:t>
            </w:r>
          </w:p>
        </w:tc>
        <w:tc>
          <w:tcPr>
            <w:tcW w:w="467" w:type="pct"/>
            <w:tcBorders>
              <w:top w:val="nil"/>
              <w:left w:val="nil"/>
              <w:bottom w:val="nil"/>
              <w:right w:val="nil"/>
            </w:tcBorders>
            <w:shd w:val="clear" w:color="auto" w:fill="auto"/>
            <w:noWrap/>
            <w:vAlign w:val="center"/>
            <w:hideMark/>
          </w:tcPr>
          <w:p w14:paraId="139EDEA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1.34</w:t>
            </w:r>
          </w:p>
        </w:tc>
        <w:tc>
          <w:tcPr>
            <w:tcW w:w="418" w:type="pct"/>
            <w:tcBorders>
              <w:top w:val="nil"/>
              <w:left w:val="nil"/>
              <w:bottom w:val="nil"/>
              <w:right w:val="nil"/>
            </w:tcBorders>
            <w:shd w:val="clear" w:color="auto" w:fill="auto"/>
            <w:noWrap/>
            <w:vAlign w:val="center"/>
            <w:hideMark/>
          </w:tcPr>
          <w:p w14:paraId="50CFC71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0.58</w:t>
            </w:r>
          </w:p>
        </w:tc>
        <w:tc>
          <w:tcPr>
            <w:tcW w:w="330" w:type="pct"/>
            <w:tcBorders>
              <w:top w:val="nil"/>
              <w:left w:val="nil"/>
              <w:bottom w:val="nil"/>
              <w:right w:val="nil"/>
            </w:tcBorders>
            <w:shd w:val="clear" w:color="auto" w:fill="auto"/>
            <w:noWrap/>
            <w:vAlign w:val="center"/>
            <w:hideMark/>
          </w:tcPr>
          <w:p w14:paraId="4E14A55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1.96</w:t>
            </w:r>
          </w:p>
        </w:tc>
        <w:tc>
          <w:tcPr>
            <w:tcW w:w="341" w:type="pct"/>
            <w:tcBorders>
              <w:top w:val="nil"/>
              <w:left w:val="nil"/>
              <w:bottom w:val="nil"/>
              <w:right w:val="nil"/>
            </w:tcBorders>
            <w:shd w:val="clear" w:color="auto" w:fill="auto"/>
            <w:noWrap/>
            <w:vAlign w:val="center"/>
            <w:hideMark/>
          </w:tcPr>
          <w:p w14:paraId="09174C4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4.15</w:t>
            </w:r>
          </w:p>
        </w:tc>
        <w:tc>
          <w:tcPr>
            <w:tcW w:w="404" w:type="pct"/>
            <w:tcBorders>
              <w:top w:val="nil"/>
              <w:left w:val="nil"/>
              <w:bottom w:val="nil"/>
              <w:right w:val="nil"/>
            </w:tcBorders>
            <w:shd w:val="clear" w:color="auto" w:fill="auto"/>
            <w:noWrap/>
            <w:vAlign w:val="center"/>
            <w:hideMark/>
          </w:tcPr>
          <w:p w14:paraId="5DD6F61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9.05</w:t>
            </w:r>
          </w:p>
        </w:tc>
        <w:tc>
          <w:tcPr>
            <w:tcW w:w="485" w:type="pct"/>
            <w:tcBorders>
              <w:top w:val="nil"/>
              <w:left w:val="nil"/>
              <w:bottom w:val="nil"/>
              <w:right w:val="nil"/>
            </w:tcBorders>
            <w:shd w:val="clear" w:color="auto" w:fill="auto"/>
            <w:noWrap/>
            <w:vAlign w:val="center"/>
            <w:hideMark/>
          </w:tcPr>
          <w:p w14:paraId="1AAAF10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48.67</w:t>
            </w:r>
          </w:p>
        </w:tc>
        <w:tc>
          <w:tcPr>
            <w:tcW w:w="416" w:type="pct"/>
            <w:tcBorders>
              <w:top w:val="nil"/>
              <w:left w:val="nil"/>
              <w:bottom w:val="nil"/>
              <w:right w:val="nil"/>
            </w:tcBorders>
            <w:shd w:val="clear" w:color="auto" w:fill="auto"/>
            <w:noWrap/>
            <w:vAlign w:val="center"/>
            <w:hideMark/>
          </w:tcPr>
          <w:p w14:paraId="2AEE316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5.12</w:t>
            </w:r>
          </w:p>
        </w:tc>
        <w:tc>
          <w:tcPr>
            <w:tcW w:w="511" w:type="pct"/>
            <w:tcBorders>
              <w:top w:val="nil"/>
              <w:left w:val="nil"/>
              <w:bottom w:val="nil"/>
              <w:right w:val="nil"/>
            </w:tcBorders>
            <w:shd w:val="clear" w:color="auto" w:fill="auto"/>
            <w:noWrap/>
            <w:vAlign w:val="center"/>
            <w:hideMark/>
          </w:tcPr>
          <w:p w14:paraId="0EEA004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2.67</w:t>
            </w:r>
          </w:p>
        </w:tc>
        <w:tc>
          <w:tcPr>
            <w:tcW w:w="268" w:type="pct"/>
            <w:tcBorders>
              <w:top w:val="nil"/>
              <w:left w:val="nil"/>
              <w:bottom w:val="nil"/>
              <w:right w:val="nil"/>
            </w:tcBorders>
            <w:shd w:val="clear" w:color="auto" w:fill="auto"/>
            <w:noWrap/>
            <w:vAlign w:val="center"/>
            <w:hideMark/>
          </w:tcPr>
          <w:p w14:paraId="421A798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5E57621D" w14:textId="77777777" w:rsidTr="005F41CC">
        <w:trPr>
          <w:trHeight w:val="240"/>
        </w:trPr>
        <w:tc>
          <w:tcPr>
            <w:tcW w:w="918" w:type="pct"/>
            <w:tcBorders>
              <w:top w:val="nil"/>
              <w:left w:val="nil"/>
              <w:bottom w:val="nil"/>
              <w:right w:val="nil"/>
            </w:tcBorders>
            <w:shd w:val="clear" w:color="auto" w:fill="auto"/>
            <w:noWrap/>
            <w:vAlign w:val="center"/>
            <w:hideMark/>
          </w:tcPr>
          <w:p w14:paraId="2C316F7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Hungary</w:t>
            </w:r>
          </w:p>
        </w:tc>
        <w:tc>
          <w:tcPr>
            <w:tcW w:w="442" w:type="pct"/>
            <w:tcBorders>
              <w:top w:val="nil"/>
              <w:left w:val="nil"/>
              <w:bottom w:val="nil"/>
              <w:right w:val="nil"/>
            </w:tcBorders>
            <w:shd w:val="clear" w:color="auto" w:fill="auto"/>
            <w:noWrap/>
            <w:vAlign w:val="center"/>
            <w:hideMark/>
          </w:tcPr>
          <w:p w14:paraId="7F8E897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43.92</w:t>
            </w:r>
          </w:p>
        </w:tc>
        <w:tc>
          <w:tcPr>
            <w:tcW w:w="467" w:type="pct"/>
            <w:tcBorders>
              <w:top w:val="nil"/>
              <w:left w:val="nil"/>
              <w:bottom w:val="nil"/>
              <w:right w:val="nil"/>
            </w:tcBorders>
            <w:shd w:val="clear" w:color="auto" w:fill="auto"/>
            <w:noWrap/>
            <w:vAlign w:val="center"/>
            <w:hideMark/>
          </w:tcPr>
          <w:p w14:paraId="1A3C748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w:t>
            </w:r>
          </w:p>
        </w:tc>
        <w:tc>
          <w:tcPr>
            <w:tcW w:w="418" w:type="pct"/>
            <w:tcBorders>
              <w:top w:val="nil"/>
              <w:left w:val="nil"/>
              <w:bottom w:val="nil"/>
              <w:right w:val="nil"/>
            </w:tcBorders>
            <w:shd w:val="clear" w:color="auto" w:fill="auto"/>
            <w:noWrap/>
            <w:vAlign w:val="center"/>
            <w:hideMark/>
          </w:tcPr>
          <w:p w14:paraId="1C4EE78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0.67</w:t>
            </w:r>
          </w:p>
        </w:tc>
        <w:tc>
          <w:tcPr>
            <w:tcW w:w="330" w:type="pct"/>
            <w:tcBorders>
              <w:top w:val="nil"/>
              <w:left w:val="nil"/>
              <w:bottom w:val="nil"/>
              <w:right w:val="nil"/>
            </w:tcBorders>
            <w:shd w:val="clear" w:color="auto" w:fill="auto"/>
            <w:noWrap/>
            <w:vAlign w:val="center"/>
            <w:hideMark/>
          </w:tcPr>
          <w:p w14:paraId="1A14543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-0.25</w:t>
            </w:r>
          </w:p>
        </w:tc>
        <w:tc>
          <w:tcPr>
            <w:tcW w:w="341" w:type="pct"/>
            <w:tcBorders>
              <w:top w:val="nil"/>
              <w:left w:val="nil"/>
              <w:bottom w:val="nil"/>
              <w:right w:val="nil"/>
            </w:tcBorders>
            <w:shd w:val="clear" w:color="auto" w:fill="auto"/>
            <w:noWrap/>
            <w:vAlign w:val="center"/>
            <w:hideMark/>
          </w:tcPr>
          <w:p w14:paraId="18EFDB1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2.05</w:t>
            </w:r>
          </w:p>
        </w:tc>
        <w:tc>
          <w:tcPr>
            <w:tcW w:w="404" w:type="pct"/>
            <w:tcBorders>
              <w:top w:val="nil"/>
              <w:left w:val="nil"/>
              <w:bottom w:val="nil"/>
              <w:right w:val="nil"/>
            </w:tcBorders>
            <w:shd w:val="clear" w:color="auto" w:fill="auto"/>
            <w:noWrap/>
            <w:vAlign w:val="center"/>
            <w:hideMark/>
          </w:tcPr>
          <w:p w14:paraId="44B3ABC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4.24</w:t>
            </w:r>
          </w:p>
        </w:tc>
        <w:tc>
          <w:tcPr>
            <w:tcW w:w="485" w:type="pct"/>
            <w:tcBorders>
              <w:top w:val="nil"/>
              <w:left w:val="nil"/>
              <w:bottom w:val="nil"/>
              <w:right w:val="nil"/>
            </w:tcBorders>
            <w:shd w:val="clear" w:color="auto" w:fill="auto"/>
            <w:noWrap/>
            <w:vAlign w:val="center"/>
            <w:hideMark/>
          </w:tcPr>
          <w:p w14:paraId="3BD30A7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149.27</w:t>
            </w:r>
          </w:p>
        </w:tc>
        <w:tc>
          <w:tcPr>
            <w:tcW w:w="416" w:type="pct"/>
            <w:tcBorders>
              <w:top w:val="nil"/>
              <w:left w:val="nil"/>
              <w:bottom w:val="nil"/>
              <w:right w:val="nil"/>
            </w:tcBorders>
            <w:shd w:val="clear" w:color="auto" w:fill="auto"/>
            <w:noWrap/>
            <w:vAlign w:val="center"/>
            <w:hideMark/>
          </w:tcPr>
          <w:p w14:paraId="2A45C1D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1.95</w:t>
            </w:r>
          </w:p>
        </w:tc>
        <w:tc>
          <w:tcPr>
            <w:tcW w:w="511" w:type="pct"/>
            <w:tcBorders>
              <w:top w:val="nil"/>
              <w:left w:val="nil"/>
              <w:bottom w:val="nil"/>
              <w:right w:val="nil"/>
            </w:tcBorders>
            <w:shd w:val="clear" w:color="auto" w:fill="auto"/>
            <w:noWrap/>
            <w:vAlign w:val="center"/>
            <w:hideMark/>
          </w:tcPr>
          <w:p w14:paraId="512A0E9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22.93</w:t>
            </w:r>
          </w:p>
        </w:tc>
        <w:tc>
          <w:tcPr>
            <w:tcW w:w="268" w:type="pct"/>
            <w:tcBorders>
              <w:top w:val="nil"/>
              <w:left w:val="nil"/>
              <w:bottom w:val="nil"/>
              <w:right w:val="nil"/>
            </w:tcBorders>
            <w:shd w:val="clear" w:color="auto" w:fill="auto"/>
            <w:noWrap/>
            <w:vAlign w:val="center"/>
            <w:hideMark/>
          </w:tcPr>
          <w:p w14:paraId="557E037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3B3CE029" w14:textId="77777777" w:rsidTr="005F41CC">
        <w:trPr>
          <w:trHeight w:val="240"/>
        </w:trPr>
        <w:tc>
          <w:tcPr>
            <w:tcW w:w="918" w:type="pct"/>
            <w:tcBorders>
              <w:top w:val="nil"/>
              <w:left w:val="nil"/>
              <w:bottom w:val="nil"/>
              <w:right w:val="nil"/>
            </w:tcBorders>
            <w:shd w:val="clear" w:color="auto" w:fill="auto"/>
            <w:noWrap/>
            <w:vAlign w:val="center"/>
            <w:hideMark/>
          </w:tcPr>
          <w:p w14:paraId="595BDEB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India</w:t>
            </w:r>
          </w:p>
        </w:tc>
        <w:tc>
          <w:tcPr>
            <w:tcW w:w="442" w:type="pct"/>
            <w:tcBorders>
              <w:top w:val="nil"/>
              <w:left w:val="nil"/>
              <w:bottom w:val="nil"/>
              <w:right w:val="nil"/>
            </w:tcBorders>
            <w:shd w:val="clear" w:color="auto" w:fill="auto"/>
            <w:noWrap/>
            <w:vAlign w:val="center"/>
            <w:hideMark/>
          </w:tcPr>
          <w:p w14:paraId="347C90D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56.76</w:t>
            </w:r>
          </w:p>
        </w:tc>
        <w:tc>
          <w:tcPr>
            <w:tcW w:w="467" w:type="pct"/>
            <w:tcBorders>
              <w:top w:val="nil"/>
              <w:left w:val="nil"/>
              <w:bottom w:val="nil"/>
              <w:right w:val="nil"/>
            </w:tcBorders>
            <w:shd w:val="clear" w:color="auto" w:fill="auto"/>
            <w:noWrap/>
            <w:vAlign w:val="center"/>
            <w:hideMark/>
          </w:tcPr>
          <w:p w14:paraId="29CE3B7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-1.19</w:t>
            </w:r>
          </w:p>
        </w:tc>
        <w:tc>
          <w:tcPr>
            <w:tcW w:w="418" w:type="pct"/>
            <w:tcBorders>
              <w:top w:val="nil"/>
              <w:left w:val="nil"/>
              <w:bottom w:val="nil"/>
              <w:right w:val="nil"/>
            </w:tcBorders>
            <w:shd w:val="clear" w:color="auto" w:fill="auto"/>
            <w:noWrap/>
            <w:vAlign w:val="center"/>
            <w:hideMark/>
          </w:tcPr>
          <w:p w14:paraId="67CBFB2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0.68</w:t>
            </w:r>
          </w:p>
        </w:tc>
        <w:tc>
          <w:tcPr>
            <w:tcW w:w="330" w:type="pct"/>
            <w:tcBorders>
              <w:top w:val="nil"/>
              <w:left w:val="nil"/>
              <w:bottom w:val="nil"/>
              <w:right w:val="nil"/>
            </w:tcBorders>
            <w:shd w:val="clear" w:color="auto" w:fill="auto"/>
            <w:noWrap/>
            <w:vAlign w:val="center"/>
            <w:hideMark/>
          </w:tcPr>
          <w:p w14:paraId="176EE67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1.43</w:t>
            </w:r>
          </w:p>
        </w:tc>
        <w:tc>
          <w:tcPr>
            <w:tcW w:w="341" w:type="pct"/>
            <w:tcBorders>
              <w:top w:val="nil"/>
              <w:left w:val="nil"/>
              <w:bottom w:val="nil"/>
              <w:right w:val="nil"/>
            </w:tcBorders>
            <w:shd w:val="clear" w:color="auto" w:fill="auto"/>
            <w:noWrap/>
            <w:vAlign w:val="center"/>
            <w:hideMark/>
          </w:tcPr>
          <w:p w14:paraId="148CB1F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7.28</w:t>
            </w:r>
          </w:p>
        </w:tc>
        <w:tc>
          <w:tcPr>
            <w:tcW w:w="404" w:type="pct"/>
            <w:tcBorders>
              <w:top w:val="nil"/>
              <w:left w:val="nil"/>
              <w:bottom w:val="nil"/>
              <w:right w:val="nil"/>
            </w:tcBorders>
            <w:shd w:val="clear" w:color="auto" w:fill="auto"/>
            <w:noWrap/>
            <w:vAlign w:val="center"/>
            <w:hideMark/>
          </w:tcPr>
          <w:p w14:paraId="7493E37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6.83</w:t>
            </w:r>
          </w:p>
        </w:tc>
        <w:tc>
          <w:tcPr>
            <w:tcW w:w="485" w:type="pct"/>
            <w:tcBorders>
              <w:top w:val="nil"/>
              <w:left w:val="nil"/>
              <w:bottom w:val="nil"/>
              <w:right w:val="nil"/>
            </w:tcBorders>
            <w:shd w:val="clear" w:color="auto" w:fill="auto"/>
            <w:noWrap/>
            <w:vAlign w:val="center"/>
            <w:hideMark/>
          </w:tcPr>
          <w:p w14:paraId="688A0F7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44.18</w:t>
            </w:r>
          </w:p>
        </w:tc>
        <w:tc>
          <w:tcPr>
            <w:tcW w:w="416" w:type="pct"/>
            <w:tcBorders>
              <w:top w:val="nil"/>
              <w:left w:val="nil"/>
              <w:bottom w:val="nil"/>
              <w:right w:val="nil"/>
            </w:tcBorders>
            <w:shd w:val="clear" w:color="auto" w:fill="auto"/>
            <w:noWrap/>
            <w:vAlign w:val="center"/>
            <w:hideMark/>
          </w:tcPr>
          <w:p w14:paraId="137F395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w:t>
            </w:r>
          </w:p>
        </w:tc>
        <w:tc>
          <w:tcPr>
            <w:tcW w:w="511" w:type="pct"/>
            <w:tcBorders>
              <w:top w:val="nil"/>
              <w:left w:val="nil"/>
              <w:bottom w:val="nil"/>
              <w:right w:val="nil"/>
            </w:tcBorders>
            <w:shd w:val="clear" w:color="auto" w:fill="auto"/>
            <w:noWrap/>
            <w:vAlign w:val="center"/>
            <w:hideMark/>
          </w:tcPr>
          <w:p w14:paraId="12C7AFE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NA</w:t>
            </w:r>
          </w:p>
        </w:tc>
        <w:tc>
          <w:tcPr>
            <w:tcW w:w="268" w:type="pct"/>
            <w:tcBorders>
              <w:top w:val="nil"/>
              <w:left w:val="nil"/>
              <w:bottom w:val="nil"/>
              <w:right w:val="nil"/>
            </w:tcBorders>
            <w:shd w:val="clear" w:color="auto" w:fill="auto"/>
            <w:noWrap/>
            <w:vAlign w:val="center"/>
            <w:hideMark/>
          </w:tcPr>
          <w:p w14:paraId="11B3D69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545E53EC" w14:textId="77777777" w:rsidTr="005F41CC">
        <w:trPr>
          <w:trHeight w:val="240"/>
        </w:trPr>
        <w:tc>
          <w:tcPr>
            <w:tcW w:w="918" w:type="pct"/>
            <w:tcBorders>
              <w:top w:val="nil"/>
              <w:left w:val="nil"/>
              <w:bottom w:val="nil"/>
              <w:right w:val="nil"/>
            </w:tcBorders>
            <w:shd w:val="clear" w:color="auto" w:fill="auto"/>
            <w:noWrap/>
            <w:vAlign w:val="center"/>
            <w:hideMark/>
          </w:tcPr>
          <w:p w14:paraId="2970554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Indonesia</w:t>
            </w:r>
          </w:p>
        </w:tc>
        <w:tc>
          <w:tcPr>
            <w:tcW w:w="442" w:type="pct"/>
            <w:tcBorders>
              <w:top w:val="nil"/>
              <w:left w:val="nil"/>
              <w:bottom w:val="nil"/>
              <w:right w:val="nil"/>
            </w:tcBorders>
            <w:shd w:val="clear" w:color="auto" w:fill="auto"/>
            <w:noWrap/>
            <w:vAlign w:val="center"/>
            <w:hideMark/>
          </w:tcPr>
          <w:p w14:paraId="5584F44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33.32</w:t>
            </w:r>
          </w:p>
        </w:tc>
        <w:tc>
          <w:tcPr>
            <w:tcW w:w="467" w:type="pct"/>
            <w:tcBorders>
              <w:top w:val="nil"/>
              <w:left w:val="nil"/>
              <w:bottom w:val="nil"/>
              <w:right w:val="nil"/>
            </w:tcBorders>
            <w:shd w:val="clear" w:color="auto" w:fill="auto"/>
            <w:noWrap/>
            <w:vAlign w:val="center"/>
            <w:hideMark/>
          </w:tcPr>
          <w:p w14:paraId="689B9C4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0.68</w:t>
            </w:r>
          </w:p>
        </w:tc>
        <w:tc>
          <w:tcPr>
            <w:tcW w:w="418" w:type="pct"/>
            <w:tcBorders>
              <w:top w:val="nil"/>
              <w:left w:val="nil"/>
              <w:bottom w:val="nil"/>
              <w:right w:val="nil"/>
            </w:tcBorders>
            <w:shd w:val="clear" w:color="auto" w:fill="auto"/>
            <w:noWrap/>
            <w:vAlign w:val="center"/>
            <w:hideMark/>
          </w:tcPr>
          <w:p w14:paraId="34C67BB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0.47</w:t>
            </w:r>
          </w:p>
        </w:tc>
        <w:tc>
          <w:tcPr>
            <w:tcW w:w="330" w:type="pct"/>
            <w:tcBorders>
              <w:top w:val="nil"/>
              <w:left w:val="nil"/>
              <w:bottom w:val="nil"/>
              <w:right w:val="nil"/>
            </w:tcBorders>
            <w:shd w:val="clear" w:color="auto" w:fill="auto"/>
            <w:noWrap/>
            <w:vAlign w:val="center"/>
            <w:hideMark/>
          </w:tcPr>
          <w:p w14:paraId="3D8549B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1.32</w:t>
            </w:r>
          </w:p>
        </w:tc>
        <w:tc>
          <w:tcPr>
            <w:tcW w:w="341" w:type="pct"/>
            <w:tcBorders>
              <w:top w:val="nil"/>
              <w:left w:val="nil"/>
              <w:bottom w:val="nil"/>
              <w:right w:val="nil"/>
            </w:tcBorders>
            <w:shd w:val="clear" w:color="auto" w:fill="auto"/>
            <w:noWrap/>
            <w:vAlign w:val="center"/>
            <w:hideMark/>
          </w:tcPr>
          <w:p w14:paraId="3D68CAD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5.31</w:t>
            </w:r>
          </w:p>
        </w:tc>
        <w:tc>
          <w:tcPr>
            <w:tcW w:w="404" w:type="pct"/>
            <w:tcBorders>
              <w:top w:val="nil"/>
              <w:left w:val="nil"/>
              <w:bottom w:val="nil"/>
              <w:right w:val="nil"/>
            </w:tcBorders>
            <w:shd w:val="clear" w:color="auto" w:fill="auto"/>
            <w:noWrap/>
            <w:vAlign w:val="center"/>
            <w:hideMark/>
          </w:tcPr>
          <w:p w14:paraId="783A752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7.39</w:t>
            </w:r>
          </w:p>
        </w:tc>
        <w:tc>
          <w:tcPr>
            <w:tcW w:w="485" w:type="pct"/>
            <w:tcBorders>
              <w:top w:val="nil"/>
              <w:left w:val="nil"/>
              <w:bottom w:val="nil"/>
              <w:right w:val="nil"/>
            </w:tcBorders>
            <w:shd w:val="clear" w:color="auto" w:fill="auto"/>
            <w:noWrap/>
            <w:vAlign w:val="center"/>
            <w:hideMark/>
          </w:tcPr>
          <w:p w14:paraId="75ACDA8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52.77</w:t>
            </w:r>
          </w:p>
        </w:tc>
        <w:tc>
          <w:tcPr>
            <w:tcW w:w="416" w:type="pct"/>
            <w:tcBorders>
              <w:top w:val="nil"/>
              <w:left w:val="nil"/>
              <w:bottom w:val="nil"/>
              <w:right w:val="nil"/>
            </w:tcBorders>
            <w:shd w:val="clear" w:color="auto" w:fill="auto"/>
            <w:noWrap/>
            <w:vAlign w:val="center"/>
            <w:hideMark/>
          </w:tcPr>
          <w:p w14:paraId="0347DE4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1.03</w:t>
            </w:r>
          </w:p>
        </w:tc>
        <w:tc>
          <w:tcPr>
            <w:tcW w:w="511" w:type="pct"/>
            <w:tcBorders>
              <w:top w:val="nil"/>
              <w:left w:val="nil"/>
              <w:bottom w:val="nil"/>
              <w:right w:val="nil"/>
            </w:tcBorders>
            <w:shd w:val="clear" w:color="auto" w:fill="auto"/>
            <w:noWrap/>
            <w:vAlign w:val="center"/>
            <w:hideMark/>
          </w:tcPr>
          <w:p w14:paraId="7727526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5.33</w:t>
            </w:r>
          </w:p>
        </w:tc>
        <w:tc>
          <w:tcPr>
            <w:tcW w:w="268" w:type="pct"/>
            <w:tcBorders>
              <w:top w:val="nil"/>
              <w:left w:val="nil"/>
              <w:bottom w:val="nil"/>
              <w:right w:val="nil"/>
            </w:tcBorders>
            <w:shd w:val="clear" w:color="auto" w:fill="auto"/>
            <w:noWrap/>
            <w:vAlign w:val="center"/>
            <w:hideMark/>
          </w:tcPr>
          <w:p w14:paraId="3A907ED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605A615C" w14:textId="77777777" w:rsidTr="005F41CC">
        <w:trPr>
          <w:trHeight w:val="240"/>
        </w:trPr>
        <w:tc>
          <w:tcPr>
            <w:tcW w:w="918" w:type="pct"/>
            <w:tcBorders>
              <w:top w:val="nil"/>
              <w:left w:val="nil"/>
              <w:bottom w:val="nil"/>
              <w:right w:val="nil"/>
            </w:tcBorders>
            <w:shd w:val="clear" w:color="auto" w:fill="auto"/>
            <w:noWrap/>
            <w:vAlign w:val="center"/>
            <w:hideMark/>
          </w:tcPr>
          <w:p w14:paraId="41C6547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Korea</w:t>
            </w:r>
          </w:p>
        </w:tc>
        <w:tc>
          <w:tcPr>
            <w:tcW w:w="442" w:type="pct"/>
            <w:tcBorders>
              <w:top w:val="nil"/>
              <w:left w:val="nil"/>
              <w:bottom w:val="nil"/>
              <w:right w:val="nil"/>
            </w:tcBorders>
            <w:shd w:val="clear" w:color="auto" w:fill="auto"/>
            <w:noWrap/>
            <w:vAlign w:val="center"/>
            <w:hideMark/>
          </w:tcPr>
          <w:p w14:paraId="70A2F08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76.32</w:t>
            </w:r>
          </w:p>
        </w:tc>
        <w:tc>
          <w:tcPr>
            <w:tcW w:w="467" w:type="pct"/>
            <w:tcBorders>
              <w:top w:val="nil"/>
              <w:left w:val="nil"/>
              <w:bottom w:val="nil"/>
              <w:right w:val="nil"/>
            </w:tcBorders>
            <w:shd w:val="clear" w:color="auto" w:fill="auto"/>
            <w:noWrap/>
            <w:vAlign w:val="center"/>
            <w:hideMark/>
          </w:tcPr>
          <w:p w14:paraId="35F27E0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0.39</w:t>
            </w:r>
          </w:p>
        </w:tc>
        <w:tc>
          <w:tcPr>
            <w:tcW w:w="418" w:type="pct"/>
            <w:tcBorders>
              <w:top w:val="nil"/>
              <w:left w:val="nil"/>
              <w:bottom w:val="nil"/>
              <w:right w:val="nil"/>
            </w:tcBorders>
            <w:shd w:val="clear" w:color="auto" w:fill="auto"/>
            <w:noWrap/>
            <w:vAlign w:val="center"/>
            <w:hideMark/>
          </w:tcPr>
          <w:p w14:paraId="32DAA14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0.82</w:t>
            </w:r>
          </w:p>
        </w:tc>
        <w:tc>
          <w:tcPr>
            <w:tcW w:w="330" w:type="pct"/>
            <w:tcBorders>
              <w:top w:val="nil"/>
              <w:left w:val="nil"/>
              <w:bottom w:val="nil"/>
              <w:right w:val="nil"/>
            </w:tcBorders>
            <w:shd w:val="clear" w:color="auto" w:fill="auto"/>
            <w:noWrap/>
            <w:vAlign w:val="center"/>
            <w:hideMark/>
          </w:tcPr>
          <w:p w14:paraId="0868D6A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0.54</w:t>
            </w:r>
          </w:p>
        </w:tc>
        <w:tc>
          <w:tcPr>
            <w:tcW w:w="341" w:type="pct"/>
            <w:tcBorders>
              <w:top w:val="nil"/>
              <w:left w:val="nil"/>
              <w:bottom w:val="nil"/>
              <w:right w:val="nil"/>
            </w:tcBorders>
            <w:shd w:val="clear" w:color="auto" w:fill="auto"/>
            <w:noWrap/>
            <w:vAlign w:val="center"/>
            <w:hideMark/>
          </w:tcPr>
          <w:p w14:paraId="38FF028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3.89</w:t>
            </w:r>
          </w:p>
        </w:tc>
        <w:tc>
          <w:tcPr>
            <w:tcW w:w="404" w:type="pct"/>
            <w:tcBorders>
              <w:top w:val="nil"/>
              <w:left w:val="nil"/>
              <w:bottom w:val="nil"/>
              <w:right w:val="nil"/>
            </w:tcBorders>
            <w:shd w:val="clear" w:color="auto" w:fill="auto"/>
            <w:noWrap/>
            <w:vAlign w:val="center"/>
            <w:hideMark/>
          </w:tcPr>
          <w:p w14:paraId="2A10002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2.64</w:t>
            </w:r>
          </w:p>
        </w:tc>
        <w:tc>
          <w:tcPr>
            <w:tcW w:w="485" w:type="pct"/>
            <w:tcBorders>
              <w:top w:val="nil"/>
              <w:left w:val="nil"/>
              <w:bottom w:val="nil"/>
              <w:right w:val="nil"/>
            </w:tcBorders>
            <w:shd w:val="clear" w:color="auto" w:fill="auto"/>
            <w:noWrap/>
            <w:vAlign w:val="center"/>
            <w:hideMark/>
          </w:tcPr>
          <w:p w14:paraId="42E2CA9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84.22</w:t>
            </w:r>
          </w:p>
        </w:tc>
        <w:tc>
          <w:tcPr>
            <w:tcW w:w="416" w:type="pct"/>
            <w:tcBorders>
              <w:top w:val="nil"/>
              <w:left w:val="nil"/>
              <w:bottom w:val="nil"/>
              <w:right w:val="nil"/>
            </w:tcBorders>
            <w:shd w:val="clear" w:color="auto" w:fill="auto"/>
            <w:noWrap/>
            <w:vAlign w:val="center"/>
            <w:hideMark/>
          </w:tcPr>
          <w:p w14:paraId="11829DF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0.61</w:t>
            </w:r>
          </w:p>
        </w:tc>
        <w:tc>
          <w:tcPr>
            <w:tcW w:w="511" w:type="pct"/>
            <w:tcBorders>
              <w:top w:val="nil"/>
              <w:left w:val="nil"/>
              <w:bottom w:val="nil"/>
              <w:right w:val="nil"/>
            </w:tcBorders>
            <w:shd w:val="clear" w:color="auto" w:fill="auto"/>
            <w:noWrap/>
            <w:vAlign w:val="center"/>
            <w:hideMark/>
          </w:tcPr>
          <w:p w14:paraId="5AF3769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11.12</w:t>
            </w:r>
          </w:p>
        </w:tc>
        <w:tc>
          <w:tcPr>
            <w:tcW w:w="268" w:type="pct"/>
            <w:tcBorders>
              <w:top w:val="nil"/>
              <w:left w:val="nil"/>
              <w:bottom w:val="nil"/>
              <w:right w:val="nil"/>
            </w:tcBorders>
            <w:shd w:val="clear" w:color="auto" w:fill="auto"/>
            <w:noWrap/>
            <w:vAlign w:val="center"/>
            <w:hideMark/>
          </w:tcPr>
          <w:p w14:paraId="4919082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075BF3C6" w14:textId="77777777" w:rsidTr="005F41CC">
        <w:trPr>
          <w:trHeight w:val="240"/>
        </w:trPr>
        <w:tc>
          <w:tcPr>
            <w:tcW w:w="918" w:type="pct"/>
            <w:tcBorders>
              <w:top w:val="nil"/>
              <w:left w:val="nil"/>
              <w:bottom w:val="nil"/>
              <w:right w:val="nil"/>
            </w:tcBorders>
            <w:shd w:val="clear" w:color="auto" w:fill="auto"/>
            <w:noWrap/>
            <w:vAlign w:val="center"/>
            <w:hideMark/>
          </w:tcPr>
          <w:p w14:paraId="0655F22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Malaysia</w:t>
            </w:r>
          </w:p>
        </w:tc>
        <w:tc>
          <w:tcPr>
            <w:tcW w:w="442" w:type="pct"/>
            <w:tcBorders>
              <w:top w:val="nil"/>
              <w:left w:val="nil"/>
              <w:bottom w:val="nil"/>
              <w:right w:val="nil"/>
            </w:tcBorders>
            <w:shd w:val="clear" w:color="auto" w:fill="auto"/>
            <w:noWrap/>
            <w:vAlign w:val="center"/>
            <w:hideMark/>
          </w:tcPr>
          <w:p w14:paraId="2A383D1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113.05</w:t>
            </w:r>
          </w:p>
        </w:tc>
        <w:tc>
          <w:tcPr>
            <w:tcW w:w="467" w:type="pct"/>
            <w:tcBorders>
              <w:top w:val="nil"/>
              <w:left w:val="nil"/>
              <w:bottom w:val="nil"/>
              <w:right w:val="nil"/>
            </w:tcBorders>
            <w:shd w:val="clear" w:color="auto" w:fill="auto"/>
            <w:noWrap/>
            <w:vAlign w:val="center"/>
            <w:hideMark/>
          </w:tcPr>
          <w:p w14:paraId="4A8CF45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-0.33</w:t>
            </w:r>
          </w:p>
        </w:tc>
        <w:tc>
          <w:tcPr>
            <w:tcW w:w="418" w:type="pct"/>
            <w:tcBorders>
              <w:top w:val="nil"/>
              <w:left w:val="nil"/>
              <w:bottom w:val="nil"/>
              <w:right w:val="nil"/>
            </w:tcBorders>
            <w:shd w:val="clear" w:color="auto" w:fill="auto"/>
            <w:noWrap/>
            <w:vAlign w:val="center"/>
            <w:hideMark/>
          </w:tcPr>
          <w:p w14:paraId="1C86D55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0.65</w:t>
            </w:r>
          </w:p>
        </w:tc>
        <w:tc>
          <w:tcPr>
            <w:tcW w:w="330" w:type="pct"/>
            <w:tcBorders>
              <w:top w:val="nil"/>
              <w:left w:val="nil"/>
              <w:bottom w:val="nil"/>
              <w:right w:val="nil"/>
            </w:tcBorders>
            <w:shd w:val="clear" w:color="auto" w:fill="auto"/>
            <w:noWrap/>
            <w:vAlign w:val="center"/>
            <w:hideMark/>
          </w:tcPr>
          <w:p w14:paraId="7BB46B9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1.85</w:t>
            </w:r>
          </w:p>
        </w:tc>
        <w:tc>
          <w:tcPr>
            <w:tcW w:w="341" w:type="pct"/>
            <w:tcBorders>
              <w:top w:val="nil"/>
              <w:left w:val="nil"/>
              <w:bottom w:val="nil"/>
              <w:right w:val="nil"/>
            </w:tcBorders>
            <w:shd w:val="clear" w:color="auto" w:fill="auto"/>
            <w:noWrap/>
            <w:vAlign w:val="center"/>
            <w:hideMark/>
          </w:tcPr>
          <w:p w14:paraId="53903DA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4.82</w:t>
            </w:r>
          </w:p>
        </w:tc>
        <w:tc>
          <w:tcPr>
            <w:tcW w:w="404" w:type="pct"/>
            <w:tcBorders>
              <w:top w:val="nil"/>
              <w:left w:val="nil"/>
              <w:bottom w:val="nil"/>
              <w:right w:val="nil"/>
            </w:tcBorders>
            <w:shd w:val="clear" w:color="auto" w:fill="auto"/>
            <w:noWrap/>
            <w:vAlign w:val="center"/>
            <w:hideMark/>
          </w:tcPr>
          <w:p w14:paraId="5F9AC3C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2.27</w:t>
            </w:r>
          </w:p>
        </w:tc>
        <w:tc>
          <w:tcPr>
            <w:tcW w:w="485" w:type="pct"/>
            <w:tcBorders>
              <w:top w:val="nil"/>
              <w:left w:val="nil"/>
              <w:bottom w:val="nil"/>
              <w:right w:val="nil"/>
            </w:tcBorders>
            <w:shd w:val="clear" w:color="auto" w:fill="auto"/>
            <w:noWrap/>
            <w:vAlign w:val="center"/>
            <w:hideMark/>
          </w:tcPr>
          <w:p w14:paraId="4F55906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171.84</w:t>
            </w:r>
          </w:p>
        </w:tc>
        <w:tc>
          <w:tcPr>
            <w:tcW w:w="416" w:type="pct"/>
            <w:tcBorders>
              <w:top w:val="nil"/>
              <w:left w:val="nil"/>
              <w:bottom w:val="nil"/>
              <w:right w:val="nil"/>
            </w:tcBorders>
            <w:shd w:val="clear" w:color="auto" w:fill="auto"/>
            <w:noWrap/>
            <w:vAlign w:val="center"/>
            <w:hideMark/>
          </w:tcPr>
          <w:p w14:paraId="20914A2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0.55</w:t>
            </w:r>
          </w:p>
        </w:tc>
        <w:tc>
          <w:tcPr>
            <w:tcW w:w="511" w:type="pct"/>
            <w:tcBorders>
              <w:top w:val="nil"/>
              <w:left w:val="nil"/>
              <w:bottom w:val="nil"/>
              <w:right w:val="nil"/>
            </w:tcBorders>
            <w:shd w:val="clear" w:color="auto" w:fill="auto"/>
            <w:noWrap/>
            <w:vAlign w:val="center"/>
            <w:hideMark/>
          </w:tcPr>
          <w:p w14:paraId="00D5D33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17.48</w:t>
            </w:r>
          </w:p>
        </w:tc>
        <w:tc>
          <w:tcPr>
            <w:tcW w:w="268" w:type="pct"/>
            <w:tcBorders>
              <w:top w:val="nil"/>
              <w:left w:val="nil"/>
              <w:bottom w:val="nil"/>
              <w:right w:val="nil"/>
            </w:tcBorders>
            <w:shd w:val="clear" w:color="auto" w:fill="auto"/>
            <w:noWrap/>
            <w:vAlign w:val="center"/>
            <w:hideMark/>
          </w:tcPr>
          <w:p w14:paraId="2614CF2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4E48ED45" w14:textId="77777777" w:rsidTr="005F41CC">
        <w:trPr>
          <w:trHeight w:val="240"/>
        </w:trPr>
        <w:tc>
          <w:tcPr>
            <w:tcW w:w="918" w:type="pct"/>
            <w:tcBorders>
              <w:top w:val="nil"/>
              <w:left w:val="nil"/>
              <w:bottom w:val="nil"/>
              <w:right w:val="nil"/>
            </w:tcBorders>
            <w:shd w:val="clear" w:color="auto" w:fill="auto"/>
            <w:noWrap/>
            <w:vAlign w:val="center"/>
            <w:hideMark/>
          </w:tcPr>
          <w:p w14:paraId="6DA3A16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Mexico</w:t>
            </w:r>
          </w:p>
        </w:tc>
        <w:tc>
          <w:tcPr>
            <w:tcW w:w="442" w:type="pct"/>
            <w:tcBorders>
              <w:top w:val="nil"/>
              <w:left w:val="nil"/>
              <w:bottom w:val="nil"/>
              <w:right w:val="nil"/>
            </w:tcBorders>
            <w:shd w:val="clear" w:color="auto" w:fill="auto"/>
            <w:noWrap/>
            <w:vAlign w:val="center"/>
            <w:hideMark/>
          </w:tcPr>
          <w:p w14:paraId="39748E0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23.42</w:t>
            </w:r>
          </w:p>
        </w:tc>
        <w:tc>
          <w:tcPr>
            <w:tcW w:w="467" w:type="pct"/>
            <w:tcBorders>
              <w:top w:val="nil"/>
              <w:left w:val="nil"/>
              <w:bottom w:val="nil"/>
              <w:right w:val="nil"/>
            </w:tcBorders>
            <w:shd w:val="clear" w:color="auto" w:fill="auto"/>
            <w:noWrap/>
            <w:vAlign w:val="center"/>
            <w:hideMark/>
          </w:tcPr>
          <w:p w14:paraId="477A7AD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0.94</w:t>
            </w:r>
          </w:p>
        </w:tc>
        <w:tc>
          <w:tcPr>
            <w:tcW w:w="418" w:type="pct"/>
            <w:tcBorders>
              <w:top w:val="nil"/>
              <w:left w:val="nil"/>
              <w:bottom w:val="nil"/>
              <w:right w:val="nil"/>
            </w:tcBorders>
            <w:shd w:val="clear" w:color="auto" w:fill="auto"/>
            <w:noWrap/>
            <w:vAlign w:val="center"/>
            <w:hideMark/>
          </w:tcPr>
          <w:p w14:paraId="40C7561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0.36</w:t>
            </w:r>
          </w:p>
        </w:tc>
        <w:tc>
          <w:tcPr>
            <w:tcW w:w="330" w:type="pct"/>
            <w:tcBorders>
              <w:top w:val="nil"/>
              <w:left w:val="nil"/>
              <w:bottom w:val="nil"/>
              <w:right w:val="nil"/>
            </w:tcBorders>
            <w:shd w:val="clear" w:color="auto" w:fill="auto"/>
            <w:noWrap/>
            <w:vAlign w:val="center"/>
            <w:hideMark/>
          </w:tcPr>
          <w:p w14:paraId="3A3E448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1.41</w:t>
            </w:r>
          </w:p>
        </w:tc>
        <w:tc>
          <w:tcPr>
            <w:tcW w:w="341" w:type="pct"/>
            <w:tcBorders>
              <w:top w:val="nil"/>
              <w:left w:val="nil"/>
              <w:bottom w:val="nil"/>
              <w:right w:val="nil"/>
            </w:tcBorders>
            <w:shd w:val="clear" w:color="auto" w:fill="auto"/>
            <w:noWrap/>
            <w:vAlign w:val="center"/>
            <w:hideMark/>
          </w:tcPr>
          <w:p w14:paraId="01D72A1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2.04</w:t>
            </w:r>
          </w:p>
        </w:tc>
        <w:tc>
          <w:tcPr>
            <w:tcW w:w="404" w:type="pct"/>
            <w:tcBorders>
              <w:top w:val="nil"/>
              <w:left w:val="nil"/>
              <w:bottom w:val="nil"/>
              <w:right w:val="nil"/>
            </w:tcBorders>
            <w:shd w:val="clear" w:color="auto" w:fill="auto"/>
            <w:noWrap/>
            <w:vAlign w:val="center"/>
            <w:hideMark/>
          </w:tcPr>
          <w:p w14:paraId="367749D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4.23</w:t>
            </w:r>
          </w:p>
        </w:tc>
        <w:tc>
          <w:tcPr>
            <w:tcW w:w="485" w:type="pct"/>
            <w:tcBorders>
              <w:top w:val="nil"/>
              <w:left w:val="nil"/>
              <w:bottom w:val="nil"/>
              <w:right w:val="nil"/>
            </w:tcBorders>
            <w:shd w:val="clear" w:color="auto" w:fill="auto"/>
            <w:noWrap/>
            <w:vAlign w:val="center"/>
            <w:hideMark/>
          </w:tcPr>
          <w:p w14:paraId="1957A20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59.85</w:t>
            </w:r>
          </w:p>
        </w:tc>
        <w:tc>
          <w:tcPr>
            <w:tcW w:w="416" w:type="pct"/>
            <w:tcBorders>
              <w:top w:val="nil"/>
              <w:left w:val="nil"/>
              <w:bottom w:val="nil"/>
              <w:right w:val="nil"/>
            </w:tcBorders>
            <w:shd w:val="clear" w:color="auto" w:fill="auto"/>
            <w:noWrap/>
            <w:vAlign w:val="center"/>
            <w:hideMark/>
          </w:tcPr>
          <w:p w14:paraId="51EEF15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2.18</w:t>
            </w:r>
          </w:p>
        </w:tc>
        <w:tc>
          <w:tcPr>
            <w:tcW w:w="511" w:type="pct"/>
            <w:tcBorders>
              <w:top w:val="nil"/>
              <w:left w:val="nil"/>
              <w:bottom w:val="nil"/>
              <w:right w:val="nil"/>
            </w:tcBorders>
            <w:shd w:val="clear" w:color="auto" w:fill="auto"/>
            <w:noWrap/>
            <w:vAlign w:val="center"/>
            <w:hideMark/>
          </w:tcPr>
          <w:p w14:paraId="56AE069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11.53</w:t>
            </w:r>
          </w:p>
        </w:tc>
        <w:tc>
          <w:tcPr>
            <w:tcW w:w="268" w:type="pct"/>
            <w:tcBorders>
              <w:top w:val="nil"/>
              <w:left w:val="nil"/>
              <w:bottom w:val="nil"/>
              <w:right w:val="nil"/>
            </w:tcBorders>
            <w:shd w:val="clear" w:color="auto" w:fill="auto"/>
            <w:noWrap/>
            <w:vAlign w:val="center"/>
            <w:hideMark/>
          </w:tcPr>
          <w:p w14:paraId="6D4013E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4C98F98E" w14:textId="77777777" w:rsidTr="005F41CC">
        <w:trPr>
          <w:trHeight w:val="240"/>
        </w:trPr>
        <w:tc>
          <w:tcPr>
            <w:tcW w:w="918" w:type="pct"/>
            <w:tcBorders>
              <w:top w:val="nil"/>
              <w:left w:val="nil"/>
              <w:bottom w:val="nil"/>
              <w:right w:val="nil"/>
            </w:tcBorders>
            <w:shd w:val="clear" w:color="auto" w:fill="auto"/>
            <w:noWrap/>
            <w:vAlign w:val="center"/>
            <w:hideMark/>
          </w:tcPr>
          <w:p w14:paraId="5EC3543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Pakistan</w:t>
            </w:r>
          </w:p>
        </w:tc>
        <w:tc>
          <w:tcPr>
            <w:tcW w:w="442" w:type="pct"/>
            <w:tcBorders>
              <w:top w:val="nil"/>
              <w:left w:val="nil"/>
              <w:bottom w:val="nil"/>
              <w:right w:val="nil"/>
            </w:tcBorders>
            <w:shd w:val="clear" w:color="auto" w:fill="auto"/>
            <w:noWrap/>
            <w:vAlign w:val="center"/>
            <w:hideMark/>
          </w:tcPr>
          <w:p w14:paraId="0683C91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30.07</w:t>
            </w:r>
          </w:p>
        </w:tc>
        <w:tc>
          <w:tcPr>
            <w:tcW w:w="467" w:type="pct"/>
            <w:tcBorders>
              <w:top w:val="nil"/>
              <w:left w:val="nil"/>
              <w:bottom w:val="nil"/>
              <w:right w:val="nil"/>
            </w:tcBorders>
            <w:shd w:val="clear" w:color="auto" w:fill="auto"/>
            <w:noWrap/>
            <w:vAlign w:val="center"/>
            <w:hideMark/>
          </w:tcPr>
          <w:p w14:paraId="08C6F0F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-1.19</w:t>
            </w:r>
          </w:p>
        </w:tc>
        <w:tc>
          <w:tcPr>
            <w:tcW w:w="418" w:type="pct"/>
            <w:tcBorders>
              <w:top w:val="nil"/>
              <w:left w:val="nil"/>
              <w:bottom w:val="nil"/>
              <w:right w:val="nil"/>
            </w:tcBorders>
            <w:shd w:val="clear" w:color="auto" w:fill="auto"/>
            <w:noWrap/>
            <w:vAlign w:val="center"/>
            <w:hideMark/>
          </w:tcPr>
          <w:p w14:paraId="5316291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0.52</w:t>
            </w:r>
          </w:p>
        </w:tc>
        <w:tc>
          <w:tcPr>
            <w:tcW w:w="330" w:type="pct"/>
            <w:tcBorders>
              <w:top w:val="nil"/>
              <w:left w:val="nil"/>
              <w:bottom w:val="nil"/>
              <w:right w:val="nil"/>
            </w:tcBorders>
            <w:shd w:val="clear" w:color="auto" w:fill="auto"/>
            <w:noWrap/>
            <w:vAlign w:val="center"/>
            <w:hideMark/>
          </w:tcPr>
          <w:p w14:paraId="1434160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2.08</w:t>
            </w:r>
          </w:p>
        </w:tc>
        <w:tc>
          <w:tcPr>
            <w:tcW w:w="341" w:type="pct"/>
            <w:tcBorders>
              <w:top w:val="nil"/>
              <w:left w:val="nil"/>
              <w:bottom w:val="nil"/>
              <w:right w:val="nil"/>
            </w:tcBorders>
            <w:shd w:val="clear" w:color="auto" w:fill="auto"/>
            <w:noWrap/>
            <w:vAlign w:val="center"/>
            <w:hideMark/>
          </w:tcPr>
          <w:p w14:paraId="2D3DD1E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4.24</w:t>
            </w:r>
          </w:p>
        </w:tc>
        <w:tc>
          <w:tcPr>
            <w:tcW w:w="404" w:type="pct"/>
            <w:tcBorders>
              <w:top w:val="nil"/>
              <w:left w:val="nil"/>
              <w:bottom w:val="nil"/>
              <w:right w:val="nil"/>
            </w:tcBorders>
            <w:shd w:val="clear" w:color="auto" w:fill="auto"/>
            <w:noWrap/>
            <w:vAlign w:val="center"/>
            <w:hideMark/>
          </w:tcPr>
          <w:p w14:paraId="37A9553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8.25</w:t>
            </w:r>
          </w:p>
        </w:tc>
        <w:tc>
          <w:tcPr>
            <w:tcW w:w="485" w:type="pct"/>
            <w:tcBorders>
              <w:top w:val="nil"/>
              <w:left w:val="nil"/>
              <w:bottom w:val="nil"/>
              <w:right w:val="nil"/>
            </w:tcBorders>
            <w:shd w:val="clear" w:color="auto" w:fill="auto"/>
            <w:noWrap/>
            <w:vAlign w:val="center"/>
            <w:hideMark/>
          </w:tcPr>
          <w:p w14:paraId="76370CD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31.97</w:t>
            </w:r>
          </w:p>
        </w:tc>
        <w:tc>
          <w:tcPr>
            <w:tcW w:w="416" w:type="pct"/>
            <w:tcBorders>
              <w:top w:val="nil"/>
              <w:left w:val="nil"/>
              <w:bottom w:val="nil"/>
              <w:right w:val="nil"/>
            </w:tcBorders>
            <w:shd w:val="clear" w:color="auto" w:fill="auto"/>
            <w:noWrap/>
            <w:vAlign w:val="center"/>
            <w:hideMark/>
          </w:tcPr>
          <w:p w14:paraId="38F3DF6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5.11</w:t>
            </w:r>
          </w:p>
        </w:tc>
        <w:tc>
          <w:tcPr>
            <w:tcW w:w="511" w:type="pct"/>
            <w:tcBorders>
              <w:top w:val="nil"/>
              <w:left w:val="nil"/>
              <w:bottom w:val="nil"/>
              <w:right w:val="nil"/>
            </w:tcBorders>
            <w:shd w:val="clear" w:color="auto" w:fill="auto"/>
            <w:noWrap/>
            <w:vAlign w:val="center"/>
            <w:hideMark/>
          </w:tcPr>
          <w:p w14:paraId="7ECF64A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1.13</w:t>
            </w:r>
          </w:p>
        </w:tc>
        <w:tc>
          <w:tcPr>
            <w:tcW w:w="268" w:type="pct"/>
            <w:tcBorders>
              <w:top w:val="nil"/>
              <w:left w:val="nil"/>
              <w:bottom w:val="nil"/>
              <w:right w:val="nil"/>
            </w:tcBorders>
            <w:shd w:val="clear" w:color="auto" w:fill="auto"/>
            <w:noWrap/>
            <w:vAlign w:val="center"/>
            <w:hideMark/>
          </w:tcPr>
          <w:p w14:paraId="7554ADB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2316FB9A" w14:textId="77777777" w:rsidTr="005F41CC">
        <w:trPr>
          <w:trHeight w:val="240"/>
        </w:trPr>
        <w:tc>
          <w:tcPr>
            <w:tcW w:w="918" w:type="pct"/>
            <w:tcBorders>
              <w:top w:val="nil"/>
              <w:left w:val="nil"/>
              <w:bottom w:val="nil"/>
              <w:right w:val="nil"/>
            </w:tcBorders>
            <w:shd w:val="clear" w:color="auto" w:fill="auto"/>
            <w:noWrap/>
            <w:vAlign w:val="center"/>
            <w:hideMark/>
          </w:tcPr>
          <w:p w14:paraId="23AA9FB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Peru</w:t>
            </w:r>
          </w:p>
        </w:tc>
        <w:tc>
          <w:tcPr>
            <w:tcW w:w="442" w:type="pct"/>
            <w:tcBorders>
              <w:top w:val="nil"/>
              <w:left w:val="nil"/>
              <w:bottom w:val="nil"/>
              <w:right w:val="nil"/>
            </w:tcBorders>
            <w:shd w:val="clear" w:color="auto" w:fill="auto"/>
            <w:noWrap/>
            <w:vAlign w:val="center"/>
            <w:hideMark/>
          </w:tcPr>
          <w:p w14:paraId="63BE153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28.32</w:t>
            </w:r>
          </w:p>
        </w:tc>
        <w:tc>
          <w:tcPr>
            <w:tcW w:w="467" w:type="pct"/>
            <w:tcBorders>
              <w:top w:val="nil"/>
              <w:left w:val="nil"/>
              <w:bottom w:val="nil"/>
              <w:right w:val="nil"/>
            </w:tcBorders>
            <w:shd w:val="clear" w:color="auto" w:fill="auto"/>
            <w:noWrap/>
            <w:vAlign w:val="center"/>
            <w:hideMark/>
          </w:tcPr>
          <w:p w14:paraId="0E416BE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2.37</w:t>
            </w:r>
          </w:p>
        </w:tc>
        <w:tc>
          <w:tcPr>
            <w:tcW w:w="418" w:type="pct"/>
            <w:tcBorders>
              <w:top w:val="nil"/>
              <w:left w:val="nil"/>
              <w:bottom w:val="nil"/>
              <w:right w:val="nil"/>
            </w:tcBorders>
            <w:shd w:val="clear" w:color="auto" w:fill="auto"/>
            <w:noWrap/>
            <w:vAlign w:val="center"/>
            <w:hideMark/>
          </w:tcPr>
          <w:p w14:paraId="7ED52CD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0.51</w:t>
            </w:r>
          </w:p>
        </w:tc>
        <w:tc>
          <w:tcPr>
            <w:tcW w:w="330" w:type="pct"/>
            <w:tcBorders>
              <w:top w:val="nil"/>
              <w:left w:val="nil"/>
              <w:bottom w:val="nil"/>
              <w:right w:val="nil"/>
            </w:tcBorders>
            <w:shd w:val="clear" w:color="auto" w:fill="auto"/>
            <w:noWrap/>
            <w:vAlign w:val="center"/>
            <w:hideMark/>
          </w:tcPr>
          <w:p w14:paraId="53274A7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1.27</w:t>
            </w:r>
          </w:p>
        </w:tc>
        <w:tc>
          <w:tcPr>
            <w:tcW w:w="341" w:type="pct"/>
            <w:tcBorders>
              <w:top w:val="nil"/>
              <w:left w:val="nil"/>
              <w:bottom w:val="nil"/>
              <w:right w:val="nil"/>
            </w:tcBorders>
            <w:shd w:val="clear" w:color="auto" w:fill="auto"/>
            <w:noWrap/>
            <w:vAlign w:val="center"/>
            <w:hideMark/>
          </w:tcPr>
          <w:p w14:paraId="255FAC6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5.25</w:t>
            </w:r>
          </w:p>
        </w:tc>
        <w:tc>
          <w:tcPr>
            <w:tcW w:w="404" w:type="pct"/>
            <w:tcBorders>
              <w:top w:val="nil"/>
              <w:left w:val="nil"/>
              <w:bottom w:val="nil"/>
              <w:right w:val="nil"/>
            </w:tcBorders>
            <w:shd w:val="clear" w:color="auto" w:fill="auto"/>
            <w:noWrap/>
            <w:vAlign w:val="center"/>
            <w:hideMark/>
          </w:tcPr>
          <w:p w14:paraId="62653BE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2.75</w:t>
            </w:r>
          </w:p>
        </w:tc>
        <w:tc>
          <w:tcPr>
            <w:tcW w:w="485" w:type="pct"/>
            <w:tcBorders>
              <w:top w:val="nil"/>
              <w:left w:val="nil"/>
              <w:bottom w:val="nil"/>
              <w:right w:val="nil"/>
            </w:tcBorders>
            <w:shd w:val="clear" w:color="auto" w:fill="auto"/>
            <w:noWrap/>
            <w:vAlign w:val="center"/>
            <w:hideMark/>
          </w:tcPr>
          <w:p w14:paraId="60B853B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47.41</w:t>
            </w:r>
          </w:p>
        </w:tc>
        <w:tc>
          <w:tcPr>
            <w:tcW w:w="416" w:type="pct"/>
            <w:tcBorders>
              <w:top w:val="nil"/>
              <w:left w:val="nil"/>
              <w:bottom w:val="nil"/>
              <w:right w:val="nil"/>
            </w:tcBorders>
            <w:shd w:val="clear" w:color="auto" w:fill="auto"/>
            <w:noWrap/>
            <w:vAlign w:val="center"/>
            <w:hideMark/>
          </w:tcPr>
          <w:p w14:paraId="1A6FF61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1.64</w:t>
            </w:r>
          </w:p>
        </w:tc>
        <w:tc>
          <w:tcPr>
            <w:tcW w:w="511" w:type="pct"/>
            <w:tcBorders>
              <w:top w:val="nil"/>
              <w:left w:val="nil"/>
              <w:bottom w:val="nil"/>
              <w:right w:val="nil"/>
            </w:tcBorders>
            <w:shd w:val="clear" w:color="auto" w:fill="auto"/>
            <w:noWrap/>
            <w:vAlign w:val="center"/>
            <w:hideMark/>
          </w:tcPr>
          <w:p w14:paraId="5441623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12.63</w:t>
            </w:r>
          </w:p>
        </w:tc>
        <w:tc>
          <w:tcPr>
            <w:tcW w:w="268" w:type="pct"/>
            <w:tcBorders>
              <w:top w:val="nil"/>
              <w:left w:val="nil"/>
              <w:bottom w:val="nil"/>
              <w:right w:val="nil"/>
            </w:tcBorders>
            <w:shd w:val="clear" w:color="auto" w:fill="auto"/>
            <w:noWrap/>
            <w:vAlign w:val="center"/>
            <w:hideMark/>
          </w:tcPr>
          <w:p w14:paraId="6B61D43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4B42CBE5" w14:textId="77777777" w:rsidTr="005F41CC">
        <w:trPr>
          <w:trHeight w:val="240"/>
        </w:trPr>
        <w:tc>
          <w:tcPr>
            <w:tcW w:w="918" w:type="pct"/>
            <w:tcBorders>
              <w:top w:val="nil"/>
              <w:left w:val="nil"/>
              <w:bottom w:val="nil"/>
              <w:right w:val="nil"/>
            </w:tcBorders>
            <w:shd w:val="clear" w:color="auto" w:fill="auto"/>
            <w:noWrap/>
            <w:vAlign w:val="center"/>
            <w:hideMark/>
          </w:tcPr>
          <w:p w14:paraId="43BF10A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Philippines</w:t>
            </w:r>
          </w:p>
        </w:tc>
        <w:tc>
          <w:tcPr>
            <w:tcW w:w="442" w:type="pct"/>
            <w:tcBorders>
              <w:top w:val="nil"/>
              <w:left w:val="nil"/>
              <w:bottom w:val="nil"/>
              <w:right w:val="nil"/>
            </w:tcBorders>
            <w:shd w:val="clear" w:color="auto" w:fill="auto"/>
            <w:noWrap/>
            <w:vAlign w:val="center"/>
            <w:hideMark/>
          </w:tcPr>
          <w:p w14:paraId="13EE71A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52.82</w:t>
            </w:r>
          </w:p>
        </w:tc>
        <w:tc>
          <w:tcPr>
            <w:tcW w:w="467" w:type="pct"/>
            <w:tcBorders>
              <w:top w:val="nil"/>
              <w:left w:val="nil"/>
              <w:bottom w:val="nil"/>
              <w:right w:val="nil"/>
            </w:tcBorders>
            <w:shd w:val="clear" w:color="auto" w:fill="auto"/>
            <w:noWrap/>
            <w:vAlign w:val="center"/>
            <w:hideMark/>
          </w:tcPr>
          <w:p w14:paraId="3D8A896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-0.31</w:t>
            </w:r>
          </w:p>
        </w:tc>
        <w:tc>
          <w:tcPr>
            <w:tcW w:w="418" w:type="pct"/>
            <w:tcBorders>
              <w:top w:val="nil"/>
              <w:left w:val="nil"/>
              <w:bottom w:val="nil"/>
              <w:right w:val="nil"/>
            </w:tcBorders>
            <w:shd w:val="clear" w:color="auto" w:fill="auto"/>
            <w:noWrap/>
            <w:vAlign w:val="center"/>
            <w:hideMark/>
          </w:tcPr>
          <w:p w14:paraId="06C612A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w:t>
            </w:r>
          </w:p>
        </w:tc>
        <w:tc>
          <w:tcPr>
            <w:tcW w:w="330" w:type="pct"/>
            <w:tcBorders>
              <w:top w:val="nil"/>
              <w:left w:val="nil"/>
              <w:bottom w:val="nil"/>
              <w:right w:val="nil"/>
            </w:tcBorders>
            <w:shd w:val="clear" w:color="auto" w:fill="auto"/>
            <w:noWrap/>
            <w:vAlign w:val="center"/>
            <w:hideMark/>
          </w:tcPr>
          <w:p w14:paraId="77C7640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1.76</w:t>
            </w:r>
          </w:p>
        </w:tc>
        <w:tc>
          <w:tcPr>
            <w:tcW w:w="341" w:type="pct"/>
            <w:tcBorders>
              <w:top w:val="nil"/>
              <w:left w:val="nil"/>
              <w:bottom w:val="nil"/>
              <w:right w:val="nil"/>
            </w:tcBorders>
            <w:shd w:val="clear" w:color="auto" w:fill="auto"/>
            <w:noWrap/>
            <w:vAlign w:val="center"/>
            <w:hideMark/>
          </w:tcPr>
          <w:p w14:paraId="3754E03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5.27</w:t>
            </w:r>
          </w:p>
        </w:tc>
        <w:tc>
          <w:tcPr>
            <w:tcW w:w="404" w:type="pct"/>
            <w:tcBorders>
              <w:top w:val="nil"/>
              <w:left w:val="nil"/>
              <w:bottom w:val="nil"/>
              <w:right w:val="nil"/>
            </w:tcBorders>
            <w:shd w:val="clear" w:color="auto" w:fill="auto"/>
            <w:noWrap/>
            <w:vAlign w:val="center"/>
            <w:hideMark/>
          </w:tcPr>
          <w:p w14:paraId="4E2B8ED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4.03</w:t>
            </w:r>
          </w:p>
        </w:tc>
        <w:tc>
          <w:tcPr>
            <w:tcW w:w="485" w:type="pct"/>
            <w:tcBorders>
              <w:top w:val="nil"/>
              <w:left w:val="nil"/>
              <w:bottom w:val="nil"/>
              <w:right w:val="nil"/>
            </w:tcBorders>
            <w:shd w:val="clear" w:color="auto" w:fill="auto"/>
            <w:noWrap/>
            <w:vAlign w:val="center"/>
            <w:hideMark/>
          </w:tcPr>
          <w:p w14:paraId="7814235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80.03</w:t>
            </w:r>
          </w:p>
        </w:tc>
        <w:tc>
          <w:tcPr>
            <w:tcW w:w="416" w:type="pct"/>
            <w:tcBorders>
              <w:top w:val="nil"/>
              <w:left w:val="nil"/>
              <w:bottom w:val="nil"/>
              <w:right w:val="nil"/>
            </w:tcBorders>
            <w:shd w:val="clear" w:color="auto" w:fill="auto"/>
            <w:noWrap/>
            <w:vAlign w:val="center"/>
            <w:hideMark/>
          </w:tcPr>
          <w:p w14:paraId="379D0B9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11.2</w:t>
            </w:r>
          </w:p>
        </w:tc>
        <w:tc>
          <w:tcPr>
            <w:tcW w:w="511" w:type="pct"/>
            <w:tcBorders>
              <w:top w:val="nil"/>
              <w:left w:val="nil"/>
              <w:bottom w:val="nil"/>
              <w:right w:val="nil"/>
            </w:tcBorders>
            <w:shd w:val="clear" w:color="auto" w:fill="auto"/>
            <w:noWrap/>
            <w:vAlign w:val="center"/>
            <w:hideMark/>
          </w:tcPr>
          <w:p w14:paraId="1ED255E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21.76</w:t>
            </w:r>
          </w:p>
        </w:tc>
        <w:tc>
          <w:tcPr>
            <w:tcW w:w="268" w:type="pct"/>
            <w:tcBorders>
              <w:top w:val="nil"/>
              <w:left w:val="nil"/>
              <w:bottom w:val="nil"/>
              <w:right w:val="nil"/>
            </w:tcBorders>
            <w:shd w:val="clear" w:color="auto" w:fill="auto"/>
            <w:noWrap/>
            <w:vAlign w:val="center"/>
            <w:hideMark/>
          </w:tcPr>
          <w:p w14:paraId="0635712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7073C292" w14:textId="77777777" w:rsidTr="005F41CC">
        <w:trPr>
          <w:trHeight w:val="240"/>
        </w:trPr>
        <w:tc>
          <w:tcPr>
            <w:tcW w:w="918" w:type="pct"/>
            <w:tcBorders>
              <w:top w:val="nil"/>
              <w:left w:val="nil"/>
              <w:bottom w:val="nil"/>
              <w:right w:val="nil"/>
            </w:tcBorders>
            <w:shd w:val="clear" w:color="auto" w:fill="auto"/>
            <w:noWrap/>
            <w:vAlign w:val="center"/>
            <w:hideMark/>
          </w:tcPr>
          <w:p w14:paraId="5C94EB2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Poland</w:t>
            </w:r>
          </w:p>
        </w:tc>
        <w:tc>
          <w:tcPr>
            <w:tcW w:w="442" w:type="pct"/>
            <w:tcBorders>
              <w:top w:val="nil"/>
              <w:left w:val="nil"/>
              <w:bottom w:val="nil"/>
              <w:right w:val="nil"/>
            </w:tcBorders>
            <w:shd w:val="clear" w:color="auto" w:fill="auto"/>
            <w:noWrap/>
            <w:vAlign w:val="center"/>
            <w:hideMark/>
          </w:tcPr>
          <w:p w14:paraId="580E24A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43.45</w:t>
            </w:r>
          </w:p>
        </w:tc>
        <w:tc>
          <w:tcPr>
            <w:tcW w:w="467" w:type="pct"/>
            <w:tcBorders>
              <w:top w:val="nil"/>
              <w:left w:val="nil"/>
              <w:bottom w:val="nil"/>
              <w:right w:val="nil"/>
            </w:tcBorders>
            <w:shd w:val="clear" w:color="auto" w:fill="auto"/>
            <w:noWrap/>
            <w:vAlign w:val="center"/>
            <w:hideMark/>
          </w:tcPr>
          <w:p w14:paraId="31A0698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w:t>
            </w:r>
          </w:p>
        </w:tc>
        <w:tc>
          <w:tcPr>
            <w:tcW w:w="418" w:type="pct"/>
            <w:tcBorders>
              <w:top w:val="nil"/>
              <w:left w:val="nil"/>
              <w:bottom w:val="nil"/>
              <w:right w:val="nil"/>
            </w:tcBorders>
            <w:shd w:val="clear" w:color="auto" w:fill="auto"/>
            <w:noWrap/>
            <w:vAlign w:val="center"/>
            <w:hideMark/>
          </w:tcPr>
          <w:p w14:paraId="71FCC0C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0.73</w:t>
            </w:r>
          </w:p>
        </w:tc>
        <w:tc>
          <w:tcPr>
            <w:tcW w:w="330" w:type="pct"/>
            <w:tcBorders>
              <w:top w:val="nil"/>
              <w:left w:val="nil"/>
              <w:bottom w:val="nil"/>
              <w:right w:val="nil"/>
            </w:tcBorders>
            <w:shd w:val="clear" w:color="auto" w:fill="auto"/>
            <w:noWrap/>
            <w:vAlign w:val="center"/>
            <w:hideMark/>
          </w:tcPr>
          <w:p w14:paraId="087D35C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-0.05</w:t>
            </w:r>
          </w:p>
        </w:tc>
        <w:tc>
          <w:tcPr>
            <w:tcW w:w="341" w:type="pct"/>
            <w:tcBorders>
              <w:top w:val="nil"/>
              <w:left w:val="nil"/>
              <w:bottom w:val="nil"/>
              <w:right w:val="nil"/>
            </w:tcBorders>
            <w:shd w:val="clear" w:color="auto" w:fill="auto"/>
            <w:noWrap/>
            <w:vAlign w:val="center"/>
            <w:hideMark/>
          </w:tcPr>
          <w:p w14:paraId="46846A2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3.59</w:t>
            </w:r>
          </w:p>
        </w:tc>
        <w:tc>
          <w:tcPr>
            <w:tcW w:w="404" w:type="pct"/>
            <w:tcBorders>
              <w:top w:val="nil"/>
              <w:left w:val="nil"/>
              <w:bottom w:val="nil"/>
              <w:right w:val="nil"/>
            </w:tcBorders>
            <w:shd w:val="clear" w:color="auto" w:fill="auto"/>
            <w:noWrap/>
            <w:vAlign w:val="center"/>
            <w:hideMark/>
          </w:tcPr>
          <w:p w14:paraId="60E9651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2.23</w:t>
            </w:r>
          </w:p>
        </w:tc>
        <w:tc>
          <w:tcPr>
            <w:tcW w:w="485" w:type="pct"/>
            <w:tcBorders>
              <w:top w:val="nil"/>
              <w:left w:val="nil"/>
              <w:bottom w:val="nil"/>
              <w:right w:val="nil"/>
            </w:tcBorders>
            <w:shd w:val="clear" w:color="auto" w:fill="auto"/>
            <w:noWrap/>
            <w:vAlign w:val="center"/>
            <w:hideMark/>
          </w:tcPr>
          <w:p w14:paraId="74D7CDB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80.23</w:t>
            </w:r>
          </w:p>
        </w:tc>
        <w:tc>
          <w:tcPr>
            <w:tcW w:w="416" w:type="pct"/>
            <w:tcBorders>
              <w:top w:val="nil"/>
              <w:left w:val="nil"/>
              <w:bottom w:val="nil"/>
              <w:right w:val="nil"/>
            </w:tcBorders>
            <w:shd w:val="clear" w:color="auto" w:fill="auto"/>
            <w:noWrap/>
            <w:vAlign w:val="center"/>
            <w:hideMark/>
          </w:tcPr>
          <w:p w14:paraId="15FACAD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1.59</w:t>
            </w:r>
          </w:p>
        </w:tc>
        <w:tc>
          <w:tcPr>
            <w:tcW w:w="511" w:type="pct"/>
            <w:tcBorders>
              <w:top w:val="nil"/>
              <w:left w:val="nil"/>
              <w:bottom w:val="nil"/>
              <w:right w:val="nil"/>
            </w:tcBorders>
            <w:shd w:val="clear" w:color="auto" w:fill="auto"/>
            <w:noWrap/>
            <w:vAlign w:val="center"/>
            <w:hideMark/>
          </w:tcPr>
          <w:p w14:paraId="5144047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11.59</w:t>
            </w:r>
          </w:p>
        </w:tc>
        <w:tc>
          <w:tcPr>
            <w:tcW w:w="268" w:type="pct"/>
            <w:tcBorders>
              <w:top w:val="nil"/>
              <w:left w:val="nil"/>
              <w:bottom w:val="nil"/>
              <w:right w:val="nil"/>
            </w:tcBorders>
            <w:shd w:val="clear" w:color="auto" w:fill="auto"/>
            <w:noWrap/>
            <w:vAlign w:val="center"/>
            <w:hideMark/>
          </w:tcPr>
          <w:p w14:paraId="396B9D0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22B2FD48" w14:textId="77777777" w:rsidTr="005F41CC">
        <w:trPr>
          <w:trHeight w:val="240"/>
        </w:trPr>
        <w:tc>
          <w:tcPr>
            <w:tcW w:w="918" w:type="pct"/>
            <w:tcBorders>
              <w:top w:val="nil"/>
              <w:left w:val="nil"/>
              <w:bottom w:val="nil"/>
              <w:right w:val="nil"/>
            </w:tcBorders>
            <w:shd w:val="clear" w:color="auto" w:fill="auto"/>
            <w:noWrap/>
            <w:vAlign w:val="center"/>
            <w:hideMark/>
          </w:tcPr>
          <w:p w14:paraId="23FC619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Romania</w:t>
            </w:r>
          </w:p>
        </w:tc>
        <w:tc>
          <w:tcPr>
            <w:tcW w:w="442" w:type="pct"/>
            <w:tcBorders>
              <w:top w:val="nil"/>
              <w:left w:val="nil"/>
              <w:bottom w:val="nil"/>
              <w:right w:val="nil"/>
            </w:tcBorders>
            <w:shd w:val="clear" w:color="auto" w:fill="auto"/>
            <w:noWrap/>
            <w:vAlign w:val="center"/>
            <w:hideMark/>
          </w:tcPr>
          <w:p w14:paraId="2439803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26.28</w:t>
            </w:r>
          </w:p>
        </w:tc>
        <w:tc>
          <w:tcPr>
            <w:tcW w:w="467" w:type="pct"/>
            <w:tcBorders>
              <w:top w:val="nil"/>
              <w:left w:val="nil"/>
              <w:bottom w:val="nil"/>
              <w:right w:val="nil"/>
            </w:tcBorders>
            <w:shd w:val="clear" w:color="auto" w:fill="auto"/>
            <w:noWrap/>
            <w:vAlign w:val="center"/>
            <w:hideMark/>
          </w:tcPr>
          <w:p w14:paraId="4CF81F4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1.74</w:t>
            </w:r>
          </w:p>
        </w:tc>
        <w:tc>
          <w:tcPr>
            <w:tcW w:w="418" w:type="pct"/>
            <w:tcBorders>
              <w:top w:val="nil"/>
              <w:left w:val="nil"/>
              <w:bottom w:val="nil"/>
              <w:right w:val="nil"/>
            </w:tcBorders>
            <w:shd w:val="clear" w:color="auto" w:fill="auto"/>
            <w:noWrap/>
            <w:vAlign w:val="center"/>
            <w:hideMark/>
          </w:tcPr>
          <w:p w14:paraId="65D4150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0.64</w:t>
            </w:r>
          </w:p>
        </w:tc>
        <w:tc>
          <w:tcPr>
            <w:tcW w:w="330" w:type="pct"/>
            <w:tcBorders>
              <w:top w:val="nil"/>
              <w:left w:val="nil"/>
              <w:bottom w:val="nil"/>
              <w:right w:val="nil"/>
            </w:tcBorders>
            <w:shd w:val="clear" w:color="auto" w:fill="auto"/>
            <w:noWrap/>
            <w:vAlign w:val="center"/>
            <w:hideMark/>
          </w:tcPr>
          <w:p w14:paraId="143840A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-0.81</w:t>
            </w:r>
          </w:p>
        </w:tc>
        <w:tc>
          <w:tcPr>
            <w:tcW w:w="341" w:type="pct"/>
            <w:tcBorders>
              <w:top w:val="nil"/>
              <w:left w:val="nil"/>
              <w:bottom w:val="nil"/>
              <w:right w:val="nil"/>
            </w:tcBorders>
            <w:shd w:val="clear" w:color="auto" w:fill="auto"/>
            <w:noWrap/>
            <w:vAlign w:val="center"/>
            <w:hideMark/>
          </w:tcPr>
          <w:p w14:paraId="4D162C7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3.87</w:t>
            </w:r>
          </w:p>
        </w:tc>
        <w:tc>
          <w:tcPr>
            <w:tcW w:w="404" w:type="pct"/>
            <w:tcBorders>
              <w:top w:val="nil"/>
              <w:left w:val="nil"/>
              <w:bottom w:val="nil"/>
              <w:right w:val="nil"/>
            </w:tcBorders>
            <w:shd w:val="clear" w:color="auto" w:fill="auto"/>
            <w:noWrap/>
            <w:vAlign w:val="center"/>
            <w:hideMark/>
          </w:tcPr>
          <w:p w14:paraId="66B41E6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8.51</w:t>
            </w:r>
          </w:p>
        </w:tc>
        <w:tc>
          <w:tcPr>
            <w:tcW w:w="485" w:type="pct"/>
            <w:tcBorders>
              <w:top w:val="nil"/>
              <w:left w:val="nil"/>
              <w:bottom w:val="nil"/>
              <w:right w:val="nil"/>
            </w:tcBorders>
            <w:shd w:val="clear" w:color="auto" w:fill="auto"/>
            <w:noWrap/>
            <w:vAlign w:val="center"/>
            <w:hideMark/>
          </w:tcPr>
          <w:p w14:paraId="270035F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75.87</w:t>
            </w:r>
          </w:p>
        </w:tc>
        <w:tc>
          <w:tcPr>
            <w:tcW w:w="416" w:type="pct"/>
            <w:tcBorders>
              <w:top w:val="nil"/>
              <w:left w:val="nil"/>
              <w:bottom w:val="nil"/>
              <w:right w:val="nil"/>
            </w:tcBorders>
            <w:shd w:val="clear" w:color="auto" w:fill="auto"/>
            <w:noWrap/>
            <w:vAlign w:val="center"/>
            <w:hideMark/>
          </w:tcPr>
          <w:p w14:paraId="4E22C33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0.83</w:t>
            </w:r>
          </w:p>
        </w:tc>
        <w:tc>
          <w:tcPr>
            <w:tcW w:w="511" w:type="pct"/>
            <w:tcBorders>
              <w:top w:val="nil"/>
              <w:left w:val="nil"/>
              <w:bottom w:val="nil"/>
              <w:right w:val="nil"/>
            </w:tcBorders>
            <w:shd w:val="clear" w:color="auto" w:fill="auto"/>
            <w:noWrap/>
            <w:vAlign w:val="center"/>
            <w:hideMark/>
          </w:tcPr>
          <w:p w14:paraId="26A8965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5.35</w:t>
            </w:r>
          </w:p>
        </w:tc>
        <w:tc>
          <w:tcPr>
            <w:tcW w:w="268" w:type="pct"/>
            <w:tcBorders>
              <w:top w:val="nil"/>
              <w:left w:val="nil"/>
              <w:bottom w:val="nil"/>
              <w:right w:val="nil"/>
            </w:tcBorders>
            <w:shd w:val="clear" w:color="auto" w:fill="auto"/>
            <w:noWrap/>
            <w:vAlign w:val="center"/>
            <w:hideMark/>
          </w:tcPr>
          <w:p w14:paraId="2C9D1EC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005B03EA" w14:textId="77777777" w:rsidTr="005F41CC">
        <w:trPr>
          <w:trHeight w:val="240"/>
        </w:trPr>
        <w:tc>
          <w:tcPr>
            <w:tcW w:w="918" w:type="pct"/>
            <w:tcBorders>
              <w:top w:val="nil"/>
              <w:left w:val="nil"/>
              <w:bottom w:val="nil"/>
              <w:right w:val="nil"/>
            </w:tcBorders>
            <w:shd w:val="clear" w:color="auto" w:fill="auto"/>
            <w:noWrap/>
            <w:vAlign w:val="center"/>
            <w:hideMark/>
          </w:tcPr>
          <w:p w14:paraId="47AB7B1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lastRenderedPageBreak/>
              <w:t>Russia</w:t>
            </w:r>
          </w:p>
        </w:tc>
        <w:tc>
          <w:tcPr>
            <w:tcW w:w="442" w:type="pct"/>
            <w:tcBorders>
              <w:top w:val="nil"/>
              <w:left w:val="nil"/>
              <w:bottom w:val="nil"/>
              <w:right w:val="nil"/>
            </w:tcBorders>
            <w:shd w:val="clear" w:color="auto" w:fill="auto"/>
            <w:noWrap/>
            <w:vAlign w:val="center"/>
            <w:hideMark/>
          </w:tcPr>
          <w:p w14:paraId="189DE33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29.52</w:t>
            </w:r>
          </w:p>
        </w:tc>
        <w:tc>
          <w:tcPr>
            <w:tcW w:w="467" w:type="pct"/>
            <w:tcBorders>
              <w:top w:val="nil"/>
              <w:left w:val="nil"/>
              <w:bottom w:val="nil"/>
              <w:right w:val="nil"/>
            </w:tcBorders>
            <w:shd w:val="clear" w:color="auto" w:fill="auto"/>
            <w:noWrap/>
            <w:vAlign w:val="center"/>
            <w:hideMark/>
          </w:tcPr>
          <w:p w14:paraId="7C22A83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0.18</w:t>
            </w:r>
          </w:p>
        </w:tc>
        <w:tc>
          <w:tcPr>
            <w:tcW w:w="418" w:type="pct"/>
            <w:tcBorders>
              <w:top w:val="nil"/>
              <w:left w:val="nil"/>
              <w:bottom w:val="nil"/>
              <w:right w:val="nil"/>
            </w:tcBorders>
            <w:shd w:val="clear" w:color="auto" w:fill="auto"/>
            <w:noWrap/>
            <w:vAlign w:val="center"/>
            <w:hideMark/>
          </w:tcPr>
          <w:p w14:paraId="589C541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0.61</w:t>
            </w:r>
          </w:p>
        </w:tc>
        <w:tc>
          <w:tcPr>
            <w:tcW w:w="330" w:type="pct"/>
            <w:tcBorders>
              <w:top w:val="nil"/>
              <w:left w:val="nil"/>
              <w:bottom w:val="nil"/>
              <w:right w:val="nil"/>
            </w:tcBorders>
            <w:shd w:val="clear" w:color="auto" w:fill="auto"/>
            <w:noWrap/>
            <w:vAlign w:val="center"/>
            <w:hideMark/>
          </w:tcPr>
          <w:p w14:paraId="0053F2C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w:t>
            </w:r>
          </w:p>
        </w:tc>
        <w:tc>
          <w:tcPr>
            <w:tcW w:w="341" w:type="pct"/>
            <w:tcBorders>
              <w:top w:val="nil"/>
              <w:left w:val="nil"/>
              <w:bottom w:val="nil"/>
              <w:right w:val="nil"/>
            </w:tcBorders>
            <w:shd w:val="clear" w:color="auto" w:fill="auto"/>
            <w:noWrap/>
            <w:vAlign w:val="center"/>
            <w:hideMark/>
          </w:tcPr>
          <w:p w14:paraId="2F952A5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3.61</w:t>
            </w:r>
          </w:p>
        </w:tc>
        <w:tc>
          <w:tcPr>
            <w:tcW w:w="404" w:type="pct"/>
            <w:tcBorders>
              <w:top w:val="nil"/>
              <w:left w:val="nil"/>
              <w:bottom w:val="nil"/>
              <w:right w:val="nil"/>
            </w:tcBorders>
            <w:shd w:val="clear" w:color="auto" w:fill="auto"/>
            <w:noWrap/>
            <w:vAlign w:val="center"/>
            <w:hideMark/>
          </w:tcPr>
          <w:p w14:paraId="0885022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11.03</w:t>
            </w:r>
          </w:p>
        </w:tc>
        <w:tc>
          <w:tcPr>
            <w:tcW w:w="485" w:type="pct"/>
            <w:tcBorders>
              <w:top w:val="nil"/>
              <w:left w:val="nil"/>
              <w:bottom w:val="nil"/>
              <w:right w:val="nil"/>
            </w:tcBorders>
            <w:shd w:val="clear" w:color="auto" w:fill="auto"/>
            <w:noWrap/>
            <w:vAlign w:val="center"/>
            <w:hideMark/>
          </w:tcPr>
          <w:p w14:paraId="71AF5D4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52.26</w:t>
            </w:r>
          </w:p>
        </w:tc>
        <w:tc>
          <w:tcPr>
            <w:tcW w:w="416" w:type="pct"/>
            <w:tcBorders>
              <w:top w:val="nil"/>
              <w:left w:val="nil"/>
              <w:bottom w:val="nil"/>
              <w:right w:val="nil"/>
            </w:tcBorders>
            <w:shd w:val="clear" w:color="auto" w:fill="auto"/>
            <w:noWrap/>
            <w:vAlign w:val="center"/>
            <w:hideMark/>
          </w:tcPr>
          <w:p w14:paraId="6F9ACDA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0.36</w:t>
            </w:r>
          </w:p>
        </w:tc>
        <w:tc>
          <w:tcPr>
            <w:tcW w:w="511" w:type="pct"/>
            <w:tcBorders>
              <w:top w:val="nil"/>
              <w:left w:val="nil"/>
              <w:bottom w:val="nil"/>
              <w:right w:val="nil"/>
            </w:tcBorders>
            <w:shd w:val="clear" w:color="auto" w:fill="auto"/>
            <w:noWrap/>
            <w:vAlign w:val="center"/>
            <w:hideMark/>
          </w:tcPr>
          <w:p w14:paraId="20D05D8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10.49</w:t>
            </w:r>
          </w:p>
        </w:tc>
        <w:tc>
          <w:tcPr>
            <w:tcW w:w="268" w:type="pct"/>
            <w:tcBorders>
              <w:top w:val="nil"/>
              <w:left w:val="nil"/>
              <w:bottom w:val="nil"/>
              <w:right w:val="nil"/>
            </w:tcBorders>
            <w:shd w:val="clear" w:color="auto" w:fill="auto"/>
            <w:noWrap/>
            <w:vAlign w:val="center"/>
            <w:hideMark/>
          </w:tcPr>
          <w:p w14:paraId="74A1DAF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w:t>
            </w:r>
          </w:p>
        </w:tc>
      </w:tr>
      <w:tr w:rsidR="0044607F" w:rsidRPr="00357722" w14:paraId="6CCFA983" w14:textId="77777777" w:rsidTr="005F41CC">
        <w:trPr>
          <w:trHeight w:val="240"/>
        </w:trPr>
        <w:tc>
          <w:tcPr>
            <w:tcW w:w="918" w:type="pct"/>
            <w:tcBorders>
              <w:top w:val="nil"/>
              <w:left w:val="nil"/>
              <w:bottom w:val="nil"/>
              <w:right w:val="nil"/>
            </w:tcBorders>
            <w:shd w:val="clear" w:color="auto" w:fill="auto"/>
            <w:noWrap/>
            <w:vAlign w:val="center"/>
            <w:hideMark/>
          </w:tcPr>
          <w:p w14:paraId="3EB1DFF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Slovenia</w:t>
            </w:r>
          </w:p>
        </w:tc>
        <w:tc>
          <w:tcPr>
            <w:tcW w:w="442" w:type="pct"/>
            <w:tcBorders>
              <w:top w:val="nil"/>
              <w:left w:val="nil"/>
              <w:bottom w:val="nil"/>
              <w:right w:val="nil"/>
            </w:tcBorders>
            <w:shd w:val="clear" w:color="auto" w:fill="auto"/>
            <w:noWrap/>
            <w:vAlign w:val="center"/>
            <w:hideMark/>
          </w:tcPr>
          <w:p w14:paraId="48EA6DF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49.93</w:t>
            </w:r>
          </w:p>
        </w:tc>
        <w:tc>
          <w:tcPr>
            <w:tcW w:w="467" w:type="pct"/>
            <w:tcBorders>
              <w:top w:val="nil"/>
              <w:left w:val="nil"/>
              <w:bottom w:val="nil"/>
              <w:right w:val="nil"/>
            </w:tcBorders>
            <w:shd w:val="clear" w:color="auto" w:fill="auto"/>
            <w:noWrap/>
            <w:vAlign w:val="center"/>
            <w:hideMark/>
          </w:tcPr>
          <w:p w14:paraId="64894D0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1.51</w:t>
            </w:r>
          </w:p>
        </w:tc>
        <w:tc>
          <w:tcPr>
            <w:tcW w:w="418" w:type="pct"/>
            <w:tcBorders>
              <w:top w:val="nil"/>
              <w:left w:val="nil"/>
              <w:bottom w:val="nil"/>
              <w:right w:val="nil"/>
            </w:tcBorders>
            <w:shd w:val="clear" w:color="auto" w:fill="auto"/>
            <w:noWrap/>
            <w:vAlign w:val="center"/>
            <w:hideMark/>
          </w:tcPr>
          <w:p w14:paraId="025E185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0.75</w:t>
            </w:r>
          </w:p>
        </w:tc>
        <w:tc>
          <w:tcPr>
            <w:tcW w:w="330" w:type="pct"/>
            <w:tcBorders>
              <w:top w:val="nil"/>
              <w:left w:val="nil"/>
              <w:bottom w:val="nil"/>
              <w:right w:val="nil"/>
            </w:tcBorders>
            <w:shd w:val="clear" w:color="auto" w:fill="auto"/>
            <w:noWrap/>
            <w:vAlign w:val="center"/>
            <w:hideMark/>
          </w:tcPr>
          <w:p w14:paraId="6ED94814"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0.23</w:t>
            </w:r>
          </w:p>
        </w:tc>
        <w:tc>
          <w:tcPr>
            <w:tcW w:w="341" w:type="pct"/>
            <w:tcBorders>
              <w:top w:val="nil"/>
              <w:left w:val="nil"/>
              <w:bottom w:val="nil"/>
              <w:right w:val="nil"/>
            </w:tcBorders>
            <w:shd w:val="clear" w:color="auto" w:fill="auto"/>
            <w:noWrap/>
            <w:vAlign w:val="center"/>
            <w:hideMark/>
          </w:tcPr>
          <w:p w14:paraId="20AF0C2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2.03</w:t>
            </w:r>
          </w:p>
        </w:tc>
        <w:tc>
          <w:tcPr>
            <w:tcW w:w="404" w:type="pct"/>
            <w:tcBorders>
              <w:top w:val="nil"/>
              <w:left w:val="nil"/>
              <w:bottom w:val="nil"/>
              <w:right w:val="nil"/>
            </w:tcBorders>
            <w:shd w:val="clear" w:color="auto" w:fill="auto"/>
            <w:noWrap/>
            <w:vAlign w:val="center"/>
            <w:hideMark/>
          </w:tcPr>
          <w:p w14:paraId="7670DE8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2.98</w:t>
            </w:r>
          </w:p>
        </w:tc>
        <w:tc>
          <w:tcPr>
            <w:tcW w:w="485" w:type="pct"/>
            <w:tcBorders>
              <w:top w:val="nil"/>
              <w:left w:val="nil"/>
              <w:bottom w:val="nil"/>
              <w:right w:val="nil"/>
            </w:tcBorders>
            <w:shd w:val="clear" w:color="auto" w:fill="auto"/>
            <w:noWrap/>
            <w:vAlign w:val="center"/>
            <w:hideMark/>
          </w:tcPr>
          <w:p w14:paraId="6316802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127.57</w:t>
            </w:r>
          </w:p>
        </w:tc>
        <w:tc>
          <w:tcPr>
            <w:tcW w:w="416" w:type="pct"/>
            <w:tcBorders>
              <w:top w:val="nil"/>
              <w:left w:val="nil"/>
              <w:bottom w:val="nil"/>
              <w:right w:val="nil"/>
            </w:tcBorders>
            <w:shd w:val="clear" w:color="auto" w:fill="auto"/>
            <w:noWrap/>
            <w:vAlign w:val="center"/>
            <w:hideMark/>
          </w:tcPr>
          <w:p w14:paraId="713FCD4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0.76</w:t>
            </w:r>
          </w:p>
        </w:tc>
        <w:tc>
          <w:tcPr>
            <w:tcW w:w="511" w:type="pct"/>
            <w:tcBorders>
              <w:top w:val="nil"/>
              <w:left w:val="nil"/>
              <w:bottom w:val="nil"/>
              <w:right w:val="nil"/>
            </w:tcBorders>
            <w:shd w:val="clear" w:color="auto" w:fill="auto"/>
            <w:noWrap/>
            <w:vAlign w:val="center"/>
            <w:hideMark/>
          </w:tcPr>
          <w:p w14:paraId="37B23C7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15.78</w:t>
            </w:r>
          </w:p>
        </w:tc>
        <w:tc>
          <w:tcPr>
            <w:tcW w:w="268" w:type="pct"/>
            <w:tcBorders>
              <w:top w:val="nil"/>
              <w:left w:val="nil"/>
              <w:bottom w:val="nil"/>
              <w:right w:val="nil"/>
            </w:tcBorders>
            <w:shd w:val="clear" w:color="auto" w:fill="auto"/>
            <w:noWrap/>
            <w:vAlign w:val="center"/>
            <w:hideMark/>
          </w:tcPr>
          <w:p w14:paraId="4BC5580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r>
      <w:tr w:rsidR="0044607F" w:rsidRPr="00357722" w14:paraId="10509287" w14:textId="77777777" w:rsidTr="005F41CC">
        <w:trPr>
          <w:trHeight w:val="240"/>
        </w:trPr>
        <w:tc>
          <w:tcPr>
            <w:tcW w:w="918" w:type="pct"/>
            <w:tcBorders>
              <w:top w:val="nil"/>
              <w:left w:val="nil"/>
              <w:bottom w:val="nil"/>
              <w:right w:val="nil"/>
            </w:tcBorders>
            <w:shd w:val="clear" w:color="auto" w:fill="auto"/>
            <w:noWrap/>
            <w:vAlign w:val="center"/>
            <w:hideMark/>
          </w:tcPr>
          <w:p w14:paraId="75A6E8A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South Africa</w:t>
            </w:r>
          </w:p>
        </w:tc>
        <w:tc>
          <w:tcPr>
            <w:tcW w:w="442" w:type="pct"/>
            <w:tcBorders>
              <w:top w:val="nil"/>
              <w:left w:val="nil"/>
              <w:bottom w:val="nil"/>
              <w:right w:val="nil"/>
            </w:tcBorders>
            <w:shd w:val="clear" w:color="auto" w:fill="auto"/>
            <w:noWrap/>
            <w:vAlign w:val="center"/>
            <w:hideMark/>
          </w:tcPr>
          <w:p w14:paraId="1F38DF7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55.38</w:t>
            </w:r>
          </w:p>
        </w:tc>
        <w:tc>
          <w:tcPr>
            <w:tcW w:w="467" w:type="pct"/>
            <w:tcBorders>
              <w:top w:val="nil"/>
              <w:left w:val="nil"/>
              <w:bottom w:val="nil"/>
              <w:right w:val="nil"/>
            </w:tcBorders>
            <w:shd w:val="clear" w:color="auto" w:fill="auto"/>
            <w:noWrap/>
            <w:vAlign w:val="center"/>
            <w:hideMark/>
          </w:tcPr>
          <w:p w14:paraId="63E2592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-1.19</w:t>
            </w:r>
          </w:p>
        </w:tc>
        <w:tc>
          <w:tcPr>
            <w:tcW w:w="418" w:type="pct"/>
            <w:tcBorders>
              <w:top w:val="nil"/>
              <w:left w:val="nil"/>
              <w:bottom w:val="nil"/>
              <w:right w:val="nil"/>
            </w:tcBorders>
            <w:shd w:val="clear" w:color="auto" w:fill="auto"/>
            <w:noWrap/>
            <w:vAlign w:val="center"/>
            <w:hideMark/>
          </w:tcPr>
          <w:p w14:paraId="7D834DD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0.38</w:t>
            </w:r>
          </w:p>
        </w:tc>
        <w:tc>
          <w:tcPr>
            <w:tcW w:w="330" w:type="pct"/>
            <w:tcBorders>
              <w:top w:val="nil"/>
              <w:left w:val="nil"/>
              <w:bottom w:val="nil"/>
              <w:right w:val="nil"/>
            </w:tcBorders>
            <w:shd w:val="clear" w:color="auto" w:fill="auto"/>
            <w:noWrap/>
            <w:vAlign w:val="center"/>
            <w:hideMark/>
          </w:tcPr>
          <w:p w14:paraId="314D0F3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1.27</w:t>
            </w:r>
          </w:p>
        </w:tc>
        <w:tc>
          <w:tcPr>
            <w:tcW w:w="341" w:type="pct"/>
            <w:tcBorders>
              <w:top w:val="nil"/>
              <w:left w:val="nil"/>
              <w:bottom w:val="nil"/>
              <w:right w:val="nil"/>
            </w:tcBorders>
            <w:shd w:val="clear" w:color="auto" w:fill="auto"/>
            <w:noWrap/>
            <w:vAlign w:val="center"/>
            <w:hideMark/>
          </w:tcPr>
          <w:p w14:paraId="744C6A3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2.91</w:t>
            </w:r>
          </w:p>
        </w:tc>
        <w:tc>
          <w:tcPr>
            <w:tcW w:w="404" w:type="pct"/>
            <w:tcBorders>
              <w:top w:val="nil"/>
              <w:left w:val="nil"/>
              <w:bottom w:val="nil"/>
              <w:right w:val="nil"/>
            </w:tcBorders>
            <w:shd w:val="clear" w:color="auto" w:fill="auto"/>
            <w:noWrap/>
            <w:vAlign w:val="center"/>
            <w:hideMark/>
          </w:tcPr>
          <w:p w14:paraId="3292DE2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5.85</w:t>
            </w:r>
          </w:p>
        </w:tc>
        <w:tc>
          <w:tcPr>
            <w:tcW w:w="485" w:type="pct"/>
            <w:tcBorders>
              <w:top w:val="nil"/>
              <w:left w:val="nil"/>
              <w:bottom w:val="nil"/>
              <w:right w:val="nil"/>
            </w:tcBorders>
            <w:shd w:val="clear" w:color="auto" w:fill="auto"/>
            <w:noWrap/>
            <w:vAlign w:val="center"/>
            <w:hideMark/>
          </w:tcPr>
          <w:p w14:paraId="4760431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59.41</w:t>
            </w:r>
          </w:p>
        </w:tc>
        <w:tc>
          <w:tcPr>
            <w:tcW w:w="416" w:type="pct"/>
            <w:tcBorders>
              <w:top w:val="nil"/>
              <w:left w:val="nil"/>
              <w:bottom w:val="nil"/>
              <w:right w:val="nil"/>
            </w:tcBorders>
            <w:shd w:val="clear" w:color="auto" w:fill="auto"/>
            <w:noWrap/>
            <w:vAlign w:val="center"/>
            <w:hideMark/>
          </w:tcPr>
          <w:p w14:paraId="52F9F46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0.26</w:t>
            </w:r>
          </w:p>
        </w:tc>
        <w:tc>
          <w:tcPr>
            <w:tcW w:w="511" w:type="pct"/>
            <w:tcBorders>
              <w:top w:val="nil"/>
              <w:left w:val="nil"/>
              <w:bottom w:val="nil"/>
              <w:right w:val="nil"/>
            </w:tcBorders>
            <w:shd w:val="clear" w:color="auto" w:fill="auto"/>
            <w:noWrap/>
            <w:vAlign w:val="center"/>
            <w:hideMark/>
          </w:tcPr>
          <w:p w14:paraId="5A21548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13.05</w:t>
            </w:r>
          </w:p>
        </w:tc>
        <w:tc>
          <w:tcPr>
            <w:tcW w:w="268" w:type="pct"/>
            <w:tcBorders>
              <w:top w:val="nil"/>
              <w:left w:val="nil"/>
              <w:bottom w:val="nil"/>
              <w:right w:val="nil"/>
            </w:tcBorders>
            <w:shd w:val="clear" w:color="auto" w:fill="auto"/>
            <w:noWrap/>
            <w:vAlign w:val="center"/>
            <w:hideMark/>
          </w:tcPr>
          <w:p w14:paraId="4BB5963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45727FBC" w14:textId="77777777" w:rsidTr="005F41CC">
        <w:trPr>
          <w:trHeight w:val="240"/>
        </w:trPr>
        <w:tc>
          <w:tcPr>
            <w:tcW w:w="918" w:type="pct"/>
            <w:tcBorders>
              <w:top w:val="nil"/>
              <w:left w:val="nil"/>
              <w:bottom w:val="nil"/>
              <w:right w:val="nil"/>
            </w:tcBorders>
            <w:shd w:val="clear" w:color="auto" w:fill="auto"/>
            <w:noWrap/>
            <w:vAlign w:val="center"/>
            <w:hideMark/>
          </w:tcPr>
          <w:p w14:paraId="7E11F0A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Thailand</w:t>
            </w:r>
          </w:p>
        </w:tc>
        <w:tc>
          <w:tcPr>
            <w:tcW w:w="442" w:type="pct"/>
            <w:tcBorders>
              <w:top w:val="nil"/>
              <w:left w:val="nil"/>
              <w:bottom w:val="nil"/>
              <w:right w:val="nil"/>
            </w:tcBorders>
            <w:shd w:val="clear" w:color="auto" w:fill="auto"/>
            <w:noWrap/>
            <w:vAlign w:val="center"/>
            <w:hideMark/>
          </w:tcPr>
          <w:p w14:paraId="114A059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98.29</w:t>
            </w:r>
          </w:p>
        </w:tc>
        <w:tc>
          <w:tcPr>
            <w:tcW w:w="467" w:type="pct"/>
            <w:tcBorders>
              <w:top w:val="nil"/>
              <w:left w:val="nil"/>
              <w:bottom w:val="nil"/>
              <w:right w:val="nil"/>
            </w:tcBorders>
            <w:shd w:val="clear" w:color="auto" w:fill="auto"/>
            <w:noWrap/>
            <w:vAlign w:val="center"/>
            <w:hideMark/>
          </w:tcPr>
          <w:p w14:paraId="5FC46FD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w:t>
            </w:r>
          </w:p>
        </w:tc>
        <w:tc>
          <w:tcPr>
            <w:tcW w:w="418" w:type="pct"/>
            <w:tcBorders>
              <w:top w:val="nil"/>
              <w:left w:val="nil"/>
              <w:bottom w:val="nil"/>
              <w:right w:val="nil"/>
            </w:tcBorders>
            <w:shd w:val="clear" w:color="auto" w:fill="auto"/>
            <w:noWrap/>
            <w:vAlign w:val="center"/>
            <w:hideMark/>
          </w:tcPr>
          <w:p w14:paraId="0E03F8C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0.45</w:t>
            </w:r>
          </w:p>
        </w:tc>
        <w:tc>
          <w:tcPr>
            <w:tcW w:w="330" w:type="pct"/>
            <w:tcBorders>
              <w:top w:val="nil"/>
              <w:left w:val="nil"/>
              <w:bottom w:val="nil"/>
              <w:right w:val="nil"/>
            </w:tcBorders>
            <w:shd w:val="clear" w:color="auto" w:fill="auto"/>
            <w:noWrap/>
            <w:vAlign w:val="center"/>
            <w:hideMark/>
          </w:tcPr>
          <w:p w14:paraId="496BCA6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0.56</w:t>
            </w:r>
          </w:p>
        </w:tc>
        <w:tc>
          <w:tcPr>
            <w:tcW w:w="341" w:type="pct"/>
            <w:tcBorders>
              <w:top w:val="nil"/>
              <w:left w:val="nil"/>
              <w:bottom w:val="nil"/>
              <w:right w:val="nil"/>
            </w:tcBorders>
            <w:shd w:val="clear" w:color="auto" w:fill="auto"/>
            <w:noWrap/>
            <w:vAlign w:val="center"/>
            <w:hideMark/>
          </w:tcPr>
          <w:p w14:paraId="4741932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4.02</w:t>
            </w:r>
          </w:p>
        </w:tc>
        <w:tc>
          <w:tcPr>
            <w:tcW w:w="404" w:type="pct"/>
            <w:tcBorders>
              <w:top w:val="nil"/>
              <w:left w:val="nil"/>
              <w:bottom w:val="nil"/>
              <w:right w:val="nil"/>
            </w:tcBorders>
            <w:shd w:val="clear" w:color="auto" w:fill="auto"/>
            <w:noWrap/>
            <w:vAlign w:val="center"/>
            <w:hideMark/>
          </w:tcPr>
          <w:p w14:paraId="39B7646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2.27</w:t>
            </w:r>
          </w:p>
        </w:tc>
        <w:tc>
          <w:tcPr>
            <w:tcW w:w="485" w:type="pct"/>
            <w:tcBorders>
              <w:top w:val="nil"/>
              <w:left w:val="nil"/>
              <w:bottom w:val="nil"/>
              <w:right w:val="nil"/>
            </w:tcBorders>
            <w:shd w:val="clear" w:color="auto" w:fill="auto"/>
            <w:noWrap/>
            <w:vAlign w:val="center"/>
            <w:hideMark/>
          </w:tcPr>
          <w:p w14:paraId="4B92F14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128.69</w:t>
            </w:r>
          </w:p>
        </w:tc>
        <w:tc>
          <w:tcPr>
            <w:tcW w:w="416" w:type="pct"/>
            <w:tcBorders>
              <w:top w:val="nil"/>
              <w:left w:val="nil"/>
              <w:bottom w:val="nil"/>
              <w:right w:val="nil"/>
            </w:tcBorders>
            <w:shd w:val="clear" w:color="auto" w:fill="auto"/>
            <w:noWrap/>
            <w:vAlign w:val="center"/>
            <w:hideMark/>
          </w:tcPr>
          <w:p w14:paraId="5F3FC77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1.14</w:t>
            </w:r>
          </w:p>
        </w:tc>
        <w:tc>
          <w:tcPr>
            <w:tcW w:w="511" w:type="pct"/>
            <w:tcBorders>
              <w:top w:val="nil"/>
              <w:left w:val="nil"/>
              <w:bottom w:val="nil"/>
              <w:right w:val="nil"/>
            </w:tcBorders>
            <w:shd w:val="clear" w:color="auto" w:fill="auto"/>
            <w:noWrap/>
            <w:vAlign w:val="center"/>
            <w:hideMark/>
          </w:tcPr>
          <w:p w14:paraId="2CD374A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4.76</w:t>
            </w:r>
          </w:p>
        </w:tc>
        <w:tc>
          <w:tcPr>
            <w:tcW w:w="268" w:type="pct"/>
            <w:tcBorders>
              <w:top w:val="nil"/>
              <w:left w:val="nil"/>
              <w:bottom w:val="nil"/>
              <w:right w:val="nil"/>
            </w:tcBorders>
            <w:shd w:val="clear" w:color="auto" w:fill="auto"/>
            <w:noWrap/>
            <w:vAlign w:val="center"/>
            <w:hideMark/>
          </w:tcPr>
          <w:p w14:paraId="472DDC8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w:t>
            </w:r>
          </w:p>
        </w:tc>
      </w:tr>
      <w:tr w:rsidR="0044607F" w:rsidRPr="00357722" w14:paraId="2EC37BA5" w14:textId="77777777" w:rsidTr="005F41CC">
        <w:trPr>
          <w:trHeight w:val="240"/>
        </w:trPr>
        <w:tc>
          <w:tcPr>
            <w:tcW w:w="918" w:type="pct"/>
            <w:tcBorders>
              <w:top w:val="nil"/>
              <w:left w:val="nil"/>
              <w:bottom w:val="nil"/>
              <w:right w:val="nil"/>
            </w:tcBorders>
            <w:shd w:val="clear" w:color="auto" w:fill="auto"/>
            <w:noWrap/>
            <w:vAlign w:val="center"/>
            <w:hideMark/>
          </w:tcPr>
          <w:p w14:paraId="549B34D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Turkey</w:t>
            </w:r>
          </w:p>
        </w:tc>
        <w:tc>
          <w:tcPr>
            <w:tcW w:w="442" w:type="pct"/>
            <w:tcBorders>
              <w:top w:val="nil"/>
              <w:left w:val="nil"/>
              <w:bottom w:val="nil"/>
              <w:right w:val="nil"/>
            </w:tcBorders>
            <w:shd w:val="clear" w:color="auto" w:fill="auto"/>
            <w:noWrap/>
            <w:vAlign w:val="center"/>
            <w:hideMark/>
          </w:tcPr>
          <w:p w14:paraId="6146613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38.94</w:t>
            </w:r>
          </w:p>
        </w:tc>
        <w:tc>
          <w:tcPr>
            <w:tcW w:w="467" w:type="pct"/>
            <w:tcBorders>
              <w:top w:val="nil"/>
              <w:left w:val="nil"/>
              <w:bottom w:val="nil"/>
              <w:right w:val="nil"/>
            </w:tcBorders>
            <w:shd w:val="clear" w:color="auto" w:fill="auto"/>
            <w:noWrap/>
            <w:vAlign w:val="center"/>
            <w:hideMark/>
          </w:tcPr>
          <w:p w14:paraId="640C374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-0.55</w:t>
            </w:r>
          </w:p>
        </w:tc>
        <w:tc>
          <w:tcPr>
            <w:tcW w:w="418" w:type="pct"/>
            <w:tcBorders>
              <w:top w:val="nil"/>
              <w:left w:val="nil"/>
              <w:bottom w:val="nil"/>
              <w:right w:val="nil"/>
            </w:tcBorders>
            <w:shd w:val="clear" w:color="auto" w:fill="auto"/>
            <w:noWrap/>
            <w:vAlign w:val="center"/>
            <w:hideMark/>
          </w:tcPr>
          <w:p w14:paraId="43B240E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0.65</w:t>
            </w:r>
          </w:p>
        </w:tc>
        <w:tc>
          <w:tcPr>
            <w:tcW w:w="330" w:type="pct"/>
            <w:tcBorders>
              <w:top w:val="nil"/>
              <w:left w:val="nil"/>
              <w:bottom w:val="nil"/>
              <w:right w:val="nil"/>
            </w:tcBorders>
            <w:shd w:val="clear" w:color="auto" w:fill="auto"/>
            <w:noWrap/>
            <w:vAlign w:val="center"/>
            <w:hideMark/>
          </w:tcPr>
          <w:p w14:paraId="287136D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1.43</w:t>
            </w:r>
          </w:p>
        </w:tc>
        <w:tc>
          <w:tcPr>
            <w:tcW w:w="341" w:type="pct"/>
            <w:tcBorders>
              <w:top w:val="nil"/>
              <w:left w:val="nil"/>
              <w:bottom w:val="nil"/>
              <w:right w:val="nil"/>
            </w:tcBorders>
            <w:shd w:val="clear" w:color="auto" w:fill="auto"/>
            <w:noWrap/>
            <w:vAlign w:val="center"/>
            <w:hideMark/>
          </w:tcPr>
          <w:p w14:paraId="1A5183D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5.02</w:t>
            </w:r>
          </w:p>
        </w:tc>
        <w:tc>
          <w:tcPr>
            <w:tcW w:w="404" w:type="pct"/>
            <w:tcBorders>
              <w:top w:val="nil"/>
              <w:left w:val="nil"/>
              <w:bottom w:val="nil"/>
              <w:right w:val="nil"/>
            </w:tcBorders>
            <w:shd w:val="clear" w:color="auto" w:fill="auto"/>
            <w:noWrap/>
            <w:vAlign w:val="center"/>
            <w:hideMark/>
          </w:tcPr>
          <w:p w14:paraId="443A94C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14.76</w:t>
            </w:r>
          </w:p>
        </w:tc>
        <w:tc>
          <w:tcPr>
            <w:tcW w:w="485" w:type="pct"/>
            <w:tcBorders>
              <w:top w:val="nil"/>
              <w:left w:val="nil"/>
              <w:bottom w:val="nil"/>
              <w:right w:val="nil"/>
            </w:tcBorders>
            <w:shd w:val="clear" w:color="auto" w:fill="auto"/>
            <w:noWrap/>
            <w:vAlign w:val="center"/>
            <w:hideMark/>
          </w:tcPr>
          <w:p w14:paraId="1669BA4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48.5</w:t>
            </w:r>
          </w:p>
        </w:tc>
        <w:tc>
          <w:tcPr>
            <w:tcW w:w="416" w:type="pct"/>
            <w:tcBorders>
              <w:top w:val="nil"/>
              <w:left w:val="nil"/>
              <w:bottom w:val="nil"/>
              <w:right w:val="nil"/>
            </w:tcBorders>
            <w:shd w:val="clear" w:color="auto" w:fill="auto"/>
            <w:noWrap/>
            <w:vAlign w:val="center"/>
            <w:hideMark/>
          </w:tcPr>
          <w:p w14:paraId="711C33E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0.34</w:t>
            </w:r>
          </w:p>
        </w:tc>
        <w:tc>
          <w:tcPr>
            <w:tcW w:w="511" w:type="pct"/>
            <w:tcBorders>
              <w:top w:val="nil"/>
              <w:left w:val="nil"/>
              <w:bottom w:val="nil"/>
              <w:right w:val="nil"/>
            </w:tcBorders>
            <w:shd w:val="clear" w:color="auto" w:fill="auto"/>
            <w:noWrap/>
            <w:vAlign w:val="center"/>
            <w:hideMark/>
          </w:tcPr>
          <w:p w14:paraId="61FFCCE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8.5</w:t>
            </w:r>
          </w:p>
        </w:tc>
        <w:tc>
          <w:tcPr>
            <w:tcW w:w="268" w:type="pct"/>
            <w:tcBorders>
              <w:top w:val="nil"/>
              <w:left w:val="nil"/>
              <w:bottom w:val="nil"/>
              <w:right w:val="nil"/>
            </w:tcBorders>
            <w:shd w:val="clear" w:color="auto" w:fill="auto"/>
            <w:noWrap/>
            <w:vAlign w:val="center"/>
            <w:hideMark/>
          </w:tcPr>
          <w:p w14:paraId="2D65A04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w:t>
            </w:r>
          </w:p>
        </w:tc>
      </w:tr>
      <w:tr w:rsidR="0044607F" w:rsidRPr="00357722" w14:paraId="6B629B91" w14:textId="77777777" w:rsidTr="005F41CC">
        <w:trPr>
          <w:trHeight w:val="240"/>
        </w:trPr>
        <w:tc>
          <w:tcPr>
            <w:tcW w:w="918" w:type="pct"/>
            <w:tcBorders>
              <w:top w:val="nil"/>
              <w:left w:val="nil"/>
              <w:bottom w:val="nil"/>
              <w:right w:val="nil"/>
            </w:tcBorders>
            <w:shd w:val="clear" w:color="auto" w:fill="auto"/>
            <w:noWrap/>
            <w:vAlign w:val="center"/>
            <w:hideMark/>
          </w:tcPr>
          <w:p w14:paraId="1C6B425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Ukraine</w:t>
            </w:r>
          </w:p>
        </w:tc>
        <w:tc>
          <w:tcPr>
            <w:tcW w:w="442" w:type="pct"/>
            <w:tcBorders>
              <w:top w:val="nil"/>
              <w:left w:val="nil"/>
              <w:bottom w:val="nil"/>
              <w:right w:val="nil"/>
            </w:tcBorders>
            <w:shd w:val="clear" w:color="auto" w:fill="auto"/>
            <w:noWrap/>
            <w:vAlign w:val="center"/>
            <w:hideMark/>
          </w:tcPr>
          <w:p w14:paraId="59DC851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29.64</w:t>
            </w:r>
          </w:p>
        </w:tc>
        <w:tc>
          <w:tcPr>
            <w:tcW w:w="467" w:type="pct"/>
            <w:tcBorders>
              <w:top w:val="nil"/>
              <w:left w:val="nil"/>
              <w:bottom w:val="nil"/>
              <w:right w:val="nil"/>
            </w:tcBorders>
            <w:shd w:val="clear" w:color="auto" w:fill="auto"/>
            <w:noWrap/>
            <w:vAlign w:val="center"/>
            <w:hideMark/>
          </w:tcPr>
          <w:p w14:paraId="7BEB288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-1.53</w:t>
            </w:r>
          </w:p>
        </w:tc>
        <w:tc>
          <w:tcPr>
            <w:tcW w:w="418" w:type="pct"/>
            <w:tcBorders>
              <w:top w:val="nil"/>
              <w:left w:val="nil"/>
              <w:bottom w:val="nil"/>
              <w:right w:val="nil"/>
            </w:tcBorders>
            <w:shd w:val="clear" w:color="auto" w:fill="auto"/>
            <w:noWrap/>
            <w:vAlign w:val="center"/>
            <w:hideMark/>
          </w:tcPr>
          <w:p w14:paraId="077FE84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0.67</w:t>
            </w:r>
          </w:p>
        </w:tc>
        <w:tc>
          <w:tcPr>
            <w:tcW w:w="330" w:type="pct"/>
            <w:tcBorders>
              <w:top w:val="nil"/>
              <w:left w:val="nil"/>
              <w:bottom w:val="nil"/>
              <w:right w:val="nil"/>
            </w:tcBorders>
            <w:shd w:val="clear" w:color="auto" w:fill="auto"/>
            <w:noWrap/>
            <w:vAlign w:val="center"/>
            <w:hideMark/>
          </w:tcPr>
          <w:p w14:paraId="50FF3FE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-0.55</w:t>
            </w:r>
          </w:p>
        </w:tc>
        <w:tc>
          <w:tcPr>
            <w:tcW w:w="341" w:type="pct"/>
            <w:tcBorders>
              <w:top w:val="nil"/>
              <w:left w:val="nil"/>
              <w:bottom w:val="nil"/>
              <w:right w:val="nil"/>
            </w:tcBorders>
            <w:shd w:val="clear" w:color="auto" w:fill="auto"/>
            <w:noWrap/>
            <w:vAlign w:val="center"/>
            <w:hideMark/>
          </w:tcPr>
          <w:p w14:paraId="6B43D67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2.32</w:t>
            </w:r>
          </w:p>
        </w:tc>
        <w:tc>
          <w:tcPr>
            <w:tcW w:w="404" w:type="pct"/>
            <w:tcBorders>
              <w:top w:val="nil"/>
              <w:left w:val="nil"/>
              <w:bottom w:val="nil"/>
              <w:right w:val="nil"/>
            </w:tcBorders>
            <w:shd w:val="clear" w:color="auto" w:fill="auto"/>
            <w:noWrap/>
            <w:vAlign w:val="center"/>
            <w:hideMark/>
          </w:tcPr>
          <w:p w14:paraId="248760A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12.25</w:t>
            </w:r>
          </w:p>
        </w:tc>
        <w:tc>
          <w:tcPr>
            <w:tcW w:w="485" w:type="pct"/>
            <w:tcBorders>
              <w:top w:val="nil"/>
              <w:left w:val="nil"/>
              <w:bottom w:val="nil"/>
              <w:right w:val="nil"/>
            </w:tcBorders>
            <w:shd w:val="clear" w:color="auto" w:fill="auto"/>
            <w:noWrap/>
            <w:vAlign w:val="center"/>
            <w:hideMark/>
          </w:tcPr>
          <w:p w14:paraId="7892F2C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102.28</w:t>
            </w:r>
          </w:p>
        </w:tc>
        <w:tc>
          <w:tcPr>
            <w:tcW w:w="416" w:type="pct"/>
            <w:tcBorders>
              <w:top w:val="nil"/>
              <w:left w:val="nil"/>
              <w:bottom w:val="nil"/>
              <w:right w:val="nil"/>
            </w:tcBorders>
            <w:shd w:val="clear" w:color="auto" w:fill="auto"/>
            <w:noWrap/>
            <w:vAlign w:val="center"/>
            <w:hideMark/>
          </w:tcPr>
          <w:p w14:paraId="3877B00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4.61</w:t>
            </w:r>
          </w:p>
        </w:tc>
        <w:tc>
          <w:tcPr>
            <w:tcW w:w="511" w:type="pct"/>
            <w:tcBorders>
              <w:top w:val="nil"/>
              <w:left w:val="nil"/>
              <w:bottom w:val="nil"/>
              <w:right w:val="nil"/>
            </w:tcBorders>
            <w:shd w:val="clear" w:color="auto" w:fill="auto"/>
            <w:noWrap/>
            <w:vAlign w:val="center"/>
            <w:hideMark/>
          </w:tcPr>
          <w:p w14:paraId="62A8D52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9.84</w:t>
            </w:r>
          </w:p>
        </w:tc>
        <w:tc>
          <w:tcPr>
            <w:tcW w:w="268" w:type="pct"/>
            <w:tcBorders>
              <w:top w:val="nil"/>
              <w:left w:val="nil"/>
              <w:bottom w:val="nil"/>
              <w:right w:val="nil"/>
            </w:tcBorders>
            <w:shd w:val="clear" w:color="auto" w:fill="auto"/>
            <w:noWrap/>
            <w:vAlign w:val="center"/>
            <w:hideMark/>
          </w:tcPr>
          <w:p w14:paraId="0207415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w:t>
            </w:r>
          </w:p>
        </w:tc>
      </w:tr>
      <w:tr w:rsidR="0044607F" w:rsidRPr="00357722" w14:paraId="37219434" w14:textId="77777777" w:rsidTr="005F41CC">
        <w:trPr>
          <w:trHeight w:val="487"/>
        </w:trPr>
        <w:tc>
          <w:tcPr>
            <w:tcW w:w="918" w:type="pct"/>
            <w:tcBorders>
              <w:top w:val="single" w:sz="4" w:space="0" w:color="auto"/>
              <w:left w:val="nil"/>
              <w:bottom w:val="single" w:sz="4" w:space="0" w:color="auto"/>
              <w:right w:val="nil"/>
            </w:tcBorders>
            <w:shd w:val="clear" w:color="auto" w:fill="auto"/>
            <w:noWrap/>
            <w:vAlign w:val="center"/>
            <w:hideMark/>
          </w:tcPr>
          <w:p w14:paraId="40F6F846"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Mean</w:t>
            </w:r>
          </w:p>
        </w:tc>
        <w:tc>
          <w:tcPr>
            <w:tcW w:w="442" w:type="pct"/>
            <w:tcBorders>
              <w:top w:val="single" w:sz="4" w:space="0" w:color="auto"/>
              <w:left w:val="nil"/>
              <w:bottom w:val="single" w:sz="4" w:space="0" w:color="auto"/>
              <w:right w:val="nil"/>
            </w:tcBorders>
            <w:shd w:val="clear" w:color="auto" w:fill="auto"/>
            <w:noWrap/>
            <w:vAlign w:val="center"/>
            <w:hideMark/>
          </w:tcPr>
          <w:p w14:paraId="5D9F63E1"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47.2</w:t>
            </w:r>
          </w:p>
        </w:tc>
        <w:tc>
          <w:tcPr>
            <w:tcW w:w="467" w:type="pct"/>
            <w:tcBorders>
              <w:top w:val="single" w:sz="4" w:space="0" w:color="auto"/>
              <w:left w:val="nil"/>
              <w:bottom w:val="single" w:sz="4" w:space="0" w:color="auto"/>
              <w:right w:val="nil"/>
            </w:tcBorders>
            <w:shd w:val="clear" w:color="auto" w:fill="auto"/>
            <w:noWrap/>
            <w:vAlign w:val="center"/>
            <w:hideMark/>
          </w:tcPr>
          <w:p w14:paraId="46C78F65"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0.3</w:t>
            </w:r>
          </w:p>
        </w:tc>
        <w:tc>
          <w:tcPr>
            <w:tcW w:w="418" w:type="pct"/>
            <w:tcBorders>
              <w:top w:val="single" w:sz="4" w:space="0" w:color="auto"/>
              <w:left w:val="nil"/>
              <w:bottom w:val="single" w:sz="4" w:space="0" w:color="auto"/>
              <w:right w:val="nil"/>
            </w:tcBorders>
            <w:shd w:val="clear" w:color="auto" w:fill="auto"/>
            <w:noWrap/>
            <w:vAlign w:val="center"/>
            <w:hideMark/>
          </w:tcPr>
          <w:p w14:paraId="70D4FBAB"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0.6</w:t>
            </w:r>
          </w:p>
        </w:tc>
        <w:tc>
          <w:tcPr>
            <w:tcW w:w="330" w:type="pct"/>
            <w:tcBorders>
              <w:top w:val="single" w:sz="4" w:space="0" w:color="auto"/>
              <w:left w:val="nil"/>
              <w:bottom w:val="single" w:sz="4" w:space="0" w:color="auto"/>
              <w:right w:val="nil"/>
            </w:tcBorders>
            <w:shd w:val="clear" w:color="auto" w:fill="auto"/>
            <w:noWrap/>
            <w:vAlign w:val="center"/>
            <w:hideMark/>
          </w:tcPr>
          <w:p w14:paraId="35C7B121"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0.8</w:t>
            </w:r>
          </w:p>
        </w:tc>
        <w:tc>
          <w:tcPr>
            <w:tcW w:w="341" w:type="pct"/>
            <w:tcBorders>
              <w:top w:val="single" w:sz="4" w:space="0" w:color="auto"/>
              <w:left w:val="nil"/>
              <w:bottom w:val="single" w:sz="4" w:space="0" w:color="auto"/>
              <w:right w:val="nil"/>
            </w:tcBorders>
            <w:shd w:val="clear" w:color="auto" w:fill="auto"/>
            <w:noWrap/>
            <w:vAlign w:val="center"/>
            <w:hideMark/>
          </w:tcPr>
          <w:p w14:paraId="48E308F1"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4.0</w:t>
            </w:r>
          </w:p>
        </w:tc>
        <w:tc>
          <w:tcPr>
            <w:tcW w:w="404" w:type="pct"/>
            <w:tcBorders>
              <w:top w:val="single" w:sz="4" w:space="0" w:color="auto"/>
              <w:left w:val="nil"/>
              <w:bottom w:val="single" w:sz="4" w:space="0" w:color="auto"/>
              <w:right w:val="nil"/>
            </w:tcBorders>
            <w:shd w:val="clear" w:color="auto" w:fill="auto"/>
            <w:noWrap/>
            <w:vAlign w:val="center"/>
            <w:hideMark/>
          </w:tcPr>
          <w:p w14:paraId="48DAEA1B"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5.8</w:t>
            </w:r>
          </w:p>
        </w:tc>
        <w:tc>
          <w:tcPr>
            <w:tcW w:w="485" w:type="pct"/>
            <w:tcBorders>
              <w:top w:val="single" w:sz="4" w:space="0" w:color="auto"/>
              <w:left w:val="nil"/>
              <w:bottom w:val="single" w:sz="4" w:space="0" w:color="auto"/>
              <w:right w:val="nil"/>
            </w:tcBorders>
            <w:shd w:val="clear" w:color="auto" w:fill="auto"/>
            <w:noWrap/>
            <w:vAlign w:val="center"/>
            <w:hideMark/>
          </w:tcPr>
          <w:p w14:paraId="1153DE82"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75.8</w:t>
            </w:r>
          </w:p>
        </w:tc>
        <w:tc>
          <w:tcPr>
            <w:tcW w:w="416" w:type="pct"/>
            <w:tcBorders>
              <w:top w:val="single" w:sz="4" w:space="0" w:color="auto"/>
              <w:left w:val="nil"/>
              <w:bottom w:val="single" w:sz="4" w:space="0" w:color="auto"/>
              <w:right w:val="nil"/>
            </w:tcBorders>
            <w:shd w:val="clear" w:color="auto" w:fill="auto"/>
            <w:noWrap/>
            <w:vAlign w:val="center"/>
            <w:hideMark/>
          </w:tcPr>
          <w:p w14:paraId="598BECC1"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2.0</w:t>
            </w:r>
          </w:p>
        </w:tc>
        <w:tc>
          <w:tcPr>
            <w:tcW w:w="511" w:type="pct"/>
            <w:tcBorders>
              <w:top w:val="single" w:sz="4" w:space="0" w:color="auto"/>
              <w:left w:val="nil"/>
              <w:bottom w:val="single" w:sz="4" w:space="0" w:color="auto"/>
              <w:right w:val="nil"/>
            </w:tcBorders>
            <w:shd w:val="clear" w:color="auto" w:fill="auto"/>
            <w:noWrap/>
            <w:vAlign w:val="center"/>
            <w:hideMark/>
          </w:tcPr>
          <w:p w14:paraId="6806858C"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11.2</w:t>
            </w:r>
          </w:p>
        </w:tc>
        <w:tc>
          <w:tcPr>
            <w:tcW w:w="268" w:type="pct"/>
            <w:tcBorders>
              <w:top w:val="single" w:sz="4" w:space="0" w:color="auto"/>
              <w:left w:val="nil"/>
              <w:bottom w:val="single" w:sz="4" w:space="0" w:color="auto"/>
              <w:right w:val="nil"/>
            </w:tcBorders>
            <w:shd w:val="clear" w:color="auto" w:fill="auto"/>
            <w:noWrap/>
            <w:vAlign w:val="center"/>
            <w:hideMark/>
          </w:tcPr>
          <w:p w14:paraId="5D3E391A"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hAnsi="Times New Roman" w:cs="Times New Roman"/>
                <w:b/>
                <w:bCs/>
                <w:color w:val="000000"/>
                <w:sz w:val="16"/>
                <w:szCs w:val="16"/>
              </w:rPr>
              <w:t>2.4</w:t>
            </w:r>
          </w:p>
        </w:tc>
      </w:tr>
      <w:tr w:rsidR="00AC4020" w:rsidRPr="00357722" w14:paraId="0295F49E" w14:textId="77777777" w:rsidTr="005F41CC">
        <w:trPr>
          <w:trHeight w:val="409"/>
        </w:trPr>
        <w:tc>
          <w:tcPr>
            <w:tcW w:w="5000" w:type="pct"/>
            <w:gridSpan w:val="11"/>
            <w:tcBorders>
              <w:top w:val="single" w:sz="4" w:space="0" w:color="auto"/>
              <w:left w:val="nil"/>
              <w:bottom w:val="single" w:sz="4" w:space="0" w:color="auto"/>
              <w:right w:val="nil"/>
            </w:tcBorders>
            <w:shd w:val="clear" w:color="auto" w:fill="auto"/>
            <w:noWrap/>
            <w:vAlign w:val="center"/>
            <w:hideMark/>
          </w:tcPr>
          <w:p w14:paraId="1E3F6F1A" w14:textId="77777777" w:rsidR="00AC4020" w:rsidRPr="00357722" w:rsidRDefault="00AC4020" w:rsidP="005636E8">
            <w:pPr>
              <w:spacing w:after="0" w:line="480" w:lineRule="auto"/>
              <w:jc w:val="both"/>
              <w:rPr>
                <w:rFonts w:ascii="Times New Roman" w:eastAsia="Times New Roman" w:hAnsi="Times New Roman" w:cs="Times New Roman"/>
                <w:b/>
                <w:bCs/>
                <w:color w:val="000000"/>
                <w:sz w:val="16"/>
                <w:szCs w:val="16"/>
              </w:rPr>
            </w:pPr>
            <w:r w:rsidRPr="00357722">
              <w:rPr>
                <w:rFonts w:ascii="Times New Roman" w:eastAsia="Times New Roman" w:hAnsi="Times New Roman" w:cs="Times New Roman"/>
                <w:b/>
                <w:bCs/>
                <w:color w:val="000000"/>
                <w:sz w:val="16"/>
                <w:szCs w:val="16"/>
              </w:rPr>
              <w:t>Overall summary</w:t>
            </w:r>
          </w:p>
        </w:tc>
      </w:tr>
      <w:tr w:rsidR="0044607F" w:rsidRPr="00357722" w14:paraId="6E1545AE" w14:textId="77777777" w:rsidTr="005F41CC">
        <w:trPr>
          <w:trHeight w:val="240"/>
        </w:trPr>
        <w:tc>
          <w:tcPr>
            <w:tcW w:w="918" w:type="pct"/>
            <w:tcBorders>
              <w:top w:val="nil"/>
              <w:left w:val="nil"/>
              <w:bottom w:val="nil"/>
              <w:right w:val="nil"/>
            </w:tcBorders>
            <w:shd w:val="clear" w:color="auto" w:fill="auto"/>
            <w:noWrap/>
            <w:vAlign w:val="center"/>
            <w:hideMark/>
          </w:tcPr>
          <w:p w14:paraId="4DD5FF6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Observations</w:t>
            </w:r>
          </w:p>
        </w:tc>
        <w:tc>
          <w:tcPr>
            <w:tcW w:w="442" w:type="pct"/>
            <w:tcBorders>
              <w:top w:val="nil"/>
              <w:left w:val="nil"/>
              <w:bottom w:val="nil"/>
              <w:right w:val="nil"/>
            </w:tcBorders>
            <w:shd w:val="clear" w:color="auto" w:fill="auto"/>
            <w:noWrap/>
            <w:vAlign w:val="center"/>
            <w:hideMark/>
          </w:tcPr>
          <w:p w14:paraId="25B4007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754</w:t>
            </w:r>
          </w:p>
        </w:tc>
        <w:tc>
          <w:tcPr>
            <w:tcW w:w="467" w:type="pct"/>
            <w:tcBorders>
              <w:top w:val="nil"/>
              <w:left w:val="nil"/>
              <w:bottom w:val="nil"/>
              <w:right w:val="nil"/>
            </w:tcBorders>
            <w:shd w:val="clear" w:color="auto" w:fill="auto"/>
            <w:noWrap/>
            <w:vAlign w:val="center"/>
            <w:hideMark/>
          </w:tcPr>
          <w:p w14:paraId="0583A5B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735</w:t>
            </w:r>
          </w:p>
        </w:tc>
        <w:tc>
          <w:tcPr>
            <w:tcW w:w="418" w:type="pct"/>
            <w:tcBorders>
              <w:top w:val="nil"/>
              <w:left w:val="nil"/>
              <w:bottom w:val="nil"/>
              <w:right w:val="nil"/>
            </w:tcBorders>
            <w:shd w:val="clear" w:color="auto" w:fill="auto"/>
            <w:noWrap/>
            <w:vAlign w:val="center"/>
            <w:hideMark/>
          </w:tcPr>
          <w:p w14:paraId="2679ED7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735</w:t>
            </w:r>
          </w:p>
        </w:tc>
        <w:tc>
          <w:tcPr>
            <w:tcW w:w="330" w:type="pct"/>
            <w:tcBorders>
              <w:top w:val="nil"/>
              <w:left w:val="nil"/>
              <w:bottom w:val="nil"/>
              <w:right w:val="nil"/>
            </w:tcBorders>
            <w:shd w:val="clear" w:color="auto" w:fill="auto"/>
            <w:noWrap/>
            <w:vAlign w:val="center"/>
            <w:hideMark/>
          </w:tcPr>
          <w:p w14:paraId="2E97FC1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784</w:t>
            </w:r>
          </w:p>
        </w:tc>
        <w:tc>
          <w:tcPr>
            <w:tcW w:w="341" w:type="pct"/>
            <w:tcBorders>
              <w:top w:val="nil"/>
              <w:left w:val="nil"/>
              <w:bottom w:val="nil"/>
              <w:right w:val="nil"/>
            </w:tcBorders>
            <w:shd w:val="clear" w:color="auto" w:fill="auto"/>
            <w:noWrap/>
            <w:vAlign w:val="center"/>
            <w:hideMark/>
          </w:tcPr>
          <w:p w14:paraId="17AE1276"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784</w:t>
            </w:r>
          </w:p>
        </w:tc>
        <w:tc>
          <w:tcPr>
            <w:tcW w:w="404" w:type="pct"/>
            <w:tcBorders>
              <w:top w:val="nil"/>
              <w:left w:val="nil"/>
              <w:bottom w:val="nil"/>
              <w:right w:val="nil"/>
            </w:tcBorders>
            <w:shd w:val="clear" w:color="auto" w:fill="auto"/>
            <w:noWrap/>
            <w:vAlign w:val="center"/>
            <w:hideMark/>
          </w:tcPr>
          <w:p w14:paraId="0C06FD21"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781</w:t>
            </w:r>
          </w:p>
        </w:tc>
        <w:tc>
          <w:tcPr>
            <w:tcW w:w="485" w:type="pct"/>
            <w:tcBorders>
              <w:top w:val="nil"/>
              <w:left w:val="nil"/>
              <w:bottom w:val="nil"/>
              <w:right w:val="nil"/>
            </w:tcBorders>
            <w:shd w:val="clear" w:color="auto" w:fill="auto"/>
            <w:noWrap/>
            <w:vAlign w:val="center"/>
            <w:hideMark/>
          </w:tcPr>
          <w:p w14:paraId="0329A0A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784</w:t>
            </w:r>
          </w:p>
        </w:tc>
        <w:tc>
          <w:tcPr>
            <w:tcW w:w="416" w:type="pct"/>
            <w:tcBorders>
              <w:top w:val="nil"/>
              <w:left w:val="nil"/>
              <w:bottom w:val="nil"/>
              <w:right w:val="nil"/>
            </w:tcBorders>
            <w:shd w:val="clear" w:color="auto" w:fill="auto"/>
            <w:noWrap/>
            <w:vAlign w:val="center"/>
            <w:hideMark/>
          </w:tcPr>
          <w:p w14:paraId="6F05BD7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768</w:t>
            </w:r>
          </w:p>
        </w:tc>
        <w:tc>
          <w:tcPr>
            <w:tcW w:w="511" w:type="pct"/>
            <w:tcBorders>
              <w:top w:val="nil"/>
              <w:left w:val="nil"/>
              <w:bottom w:val="nil"/>
              <w:right w:val="nil"/>
            </w:tcBorders>
            <w:shd w:val="clear" w:color="auto" w:fill="auto"/>
            <w:noWrap/>
            <w:vAlign w:val="center"/>
            <w:hideMark/>
          </w:tcPr>
          <w:p w14:paraId="4A42C6B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765</w:t>
            </w:r>
          </w:p>
        </w:tc>
        <w:tc>
          <w:tcPr>
            <w:tcW w:w="268" w:type="pct"/>
            <w:tcBorders>
              <w:top w:val="nil"/>
              <w:left w:val="nil"/>
              <w:bottom w:val="nil"/>
              <w:right w:val="nil"/>
            </w:tcBorders>
            <w:shd w:val="clear" w:color="auto" w:fill="auto"/>
            <w:noWrap/>
            <w:vAlign w:val="center"/>
            <w:hideMark/>
          </w:tcPr>
          <w:p w14:paraId="7ECF344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784</w:t>
            </w:r>
          </w:p>
        </w:tc>
      </w:tr>
      <w:tr w:rsidR="0044607F" w:rsidRPr="00357722" w14:paraId="3C9F0806" w14:textId="77777777" w:rsidTr="005F41CC">
        <w:trPr>
          <w:trHeight w:val="240"/>
        </w:trPr>
        <w:tc>
          <w:tcPr>
            <w:tcW w:w="918" w:type="pct"/>
            <w:tcBorders>
              <w:top w:val="nil"/>
              <w:left w:val="nil"/>
              <w:bottom w:val="nil"/>
              <w:right w:val="nil"/>
            </w:tcBorders>
            <w:shd w:val="clear" w:color="auto" w:fill="auto"/>
            <w:noWrap/>
            <w:vAlign w:val="center"/>
            <w:hideMark/>
          </w:tcPr>
          <w:p w14:paraId="411F25E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Mean</w:t>
            </w:r>
          </w:p>
        </w:tc>
        <w:tc>
          <w:tcPr>
            <w:tcW w:w="442" w:type="pct"/>
            <w:tcBorders>
              <w:top w:val="nil"/>
              <w:left w:val="nil"/>
              <w:bottom w:val="nil"/>
              <w:right w:val="nil"/>
            </w:tcBorders>
            <w:shd w:val="clear" w:color="auto" w:fill="auto"/>
            <w:noWrap/>
            <w:vAlign w:val="center"/>
            <w:hideMark/>
          </w:tcPr>
          <w:p w14:paraId="62FE45A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69.6</w:t>
            </w:r>
          </w:p>
        </w:tc>
        <w:tc>
          <w:tcPr>
            <w:tcW w:w="467" w:type="pct"/>
            <w:tcBorders>
              <w:top w:val="nil"/>
              <w:left w:val="nil"/>
              <w:bottom w:val="nil"/>
              <w:right w:val="nil"/>
            </w:tcBorders>
            <w:shd w:val="clear" w:color="auto" w:fill="auto"/>
            <w:noWrap/>
            <w:vAlign w:val="center"/>
            <w:hideMark/>
          </w:tcPr>
          <w:p w14:paraId="4FC38BC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w:t>
            </w:r>
          </w:p>
        </w:tc>
        <w:tc>
          <w:tcPr>
            <w:tcW w:w="418" w:type="pct"/>
            <w:tcBorders>
              <w:top w:val="nil"/>
              <w:left w:val="nil"/>
              <w:bottom w:val="nil"/>
              <w:right w:val="nil"/>
            </w:tcBorders>
            <w:shd w:val="clear" w:color="auto" w:fill="auto"/>
            <w:noWrap/>
            <w:vAlign w:val="center"/>
            <w:hideMark/>
          </w:tcPr>
          <w:p w14:paraId="1BD66F9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w:t>
            </w:r>
          </w:p>
        </w:tc>
        <w:tc>
          <w:tcPr>
            <w:tcW w:w="330" w:type="pct"/>
            <w:tcBorders>
              <w:top w:val="nil"/>
              <w:left w:val="nil"/>
              <w:bottom w:val="nil"/>
              <w:right w:val="nil"/>
            </w:tcBorders>
            <w:shd w:val="clear" w:color="auto" w:fill="auto"/>
            <w:noWrap/>
            <w:vAlign w:val="center"/>
            <w:hideMark/>
          </w:tcPr>
          <w:p w14:paraId="0C84D2D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w:t>
            </w:r>
          </w:p>
        </w:tc>
        <w:tc>
          <w:tcPr>
            <w:tcW w:w="341" w:type="pct"/>
            <w:tcBorders>
              <w:top w:val="nil"/>
              <w:left w:val="nil"/>
              <w:bottom w:val="nil"/>
              <w:right w:val="nil"/>
            </w:tcBorders>
            <w:shd w:val="clear" w:color="auto" w:fill="auto"/>
            <w:noWrap/>
            <w:vAlign w:val="center"/>
            <w:hideMark/>
          </w:tcPr>
          <w:p w14:paraId="5E9894A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w:t>
            </w:r>
          </w:p>
        </w:tc>
        <w:tc>
          <w:tcPr>
            <w:tcW w:w="404" w:type="pct"/>
            <w:tcBorders>
              <w:top w:val="nil"/>
              <w:left w:val="nil"/>
              <w:bottom w:val="nil"/>
              <w:right w:val="nil"/>
            </w:tcBorders>
            <w:shd w:val="clear" w:color="auto" w:fill="auto"/>
            <w:noWrap/>
            <w:vAlign w:val="center"/>
            <w:hideMark/>
          </w:tcPr>
          <w:p w14:paraId="1E8AFC9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w:t>
            </w:r>
          </w:p>
        </w:tc>
        <w:tc>
          <w:tcPr>
            <w:tcW w:w="485" w:type="pct"/>
            <w:tcBorders>
              <w:top w:val="nil"/>
              <w:left w:val="nil"/>
              <w:bottom w:val="nil"/>
              <w:right w:val="nil"/>
            </w:tcBorders>
            <w:shd w:val="clear" w:color="auto" w:fill="auto"/>
            <w:noWrap/>
            <w:vAlign w:val="center"/>
            <w:hideMark/>
          </w:tcPr>
          <w:p w14:paraId="550922B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88.7</w:t>
            </w:r>
          </w:p>
        </w:tc>
        <w:tc>
          <w:tcPr>
            <w:tcW w:w="416" w:type="pct"/>
            <w:tcBorders>
              <w:top w:val="nil"/>
              <w:left w:val="nil"/>
              <w:bottom w:val="nil"/>
              <w:right w:val="nil"/>
            </w:tcBorders>
            <w:shd w:val="clear" w:color="auto" w:fill="auto"/>
            <w:noWrap/>
            <w:vAlign w:val="center"/>
            <w:hideMark/>
          </w:tcPr>
          <w:p w14:paraId="5A85BBF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w:t>
            </w:r>
          </w:p>
        </w:tc>
        <w:tc>
          <w:tcPr>
            <w:tcW w:w="511" w:type="pct"/>
            <w:tcBorders>
              <w:top w:val="nil"/>
              <w:left w:val="nil"/>
              <w:bottom w:val="nil"/>
              <w:right w:val="nil"/>
            </w:tcBorders>
            <w:shd w:val="clear" w:color="auto" w:fill="auto"/>
            <w:noWrap/>
            <w:vAlign w:val="center"/>
            <w:hideMark/>
          </w:tcPr>
          <w:p w14:paraId="5788EBB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31</w:t>
            </w:r>
          </w:p>
        </w:tc>
        <w:tc>
          <w:tcPr>
            <w:tcW w:w="268" w:type="pct"/>
            <w:tcBorders>
              <w:top w:val="nil"/>
              <w:left w:val="nil"/>
              <w:bottom w:val="nil"/>
              <w:right w:val="nil"/>
            </w:tcBorders>
            <w:shd w:val="clear" w:color="auto" w:fill="auto"/>
            <w:noWrap/>
            <w:vAlign w:val="center"/>
            <w:hideMark/>
          </w:tcPr>
          <w:p w14:paraId="3AC898E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w:t>
            </w:r>
          </w:p>
        </w:tc>
      </w:tr>
      <w:tr w:rsidR="0044607F" w:rsidRPr="00357722" w14:paraId="10E2A4F5" w14:textId="77777777" w:rsidTr="005F41CC">
        <w:trPr>
          <w:trHeight w:val="240"/>
        </w:trPr>
        <w:tc>
          <w:tcPr>
            <w:tcW w:w="918" w:type="pct"/>
            <w:tcBorders>
              <w:top w:val="nil"/>
              <w:left w:val="nil"/>
              <w:bottom w:val="nil"/>
              <w:right w:val="nil"/>
            </w:tcBorders>
            <w:shd w:val="clear" w:color="auto" w:fill="auto"/>
            <w:noWrap/>
            <w:vAlign w:val="center"/>
            <w:hideMark/>
          </w:tcPr>
          <w:p w14:paraId="3C039EC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Median</w:t>
            </w:r>
          </w:p>
        </w:tc>
        <w:tc>
          <w:tcPr>
            <w:tcW w:w="442" w:type="pct"/>
            <w:tcBorders>
              <w:top w:val="nil"/>
              <w:left w:val="nil"/>
              <w:bottom w:val="nil"/>
              <w:right w:val="nil"/>
            </w:tcBorders>
            <w:shd w:val="clear" w:color="auto" w:fill="auto"/>
            <w:noWrap/>
            <w:vAlign w:val="center"/>
            <w:hideMark/>
          </w:tcPr>
          <w:p w14:paraId="71F0096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59.9</w:t>
            </w:r>
          </w:p>
        </w:tc>
        <w:tc>
          <w:tcPr>
            <w:tcW w:w="467" w:type="pct"/>
            <w:tcBorders>
              <w:top w:val="nil"/>
              <w:left w:val="nil"/>
              <w:bottom w:val="nil"/>
              <w:right w:val="nil"/>
            </w:tcBorders>
            <w:shd w:val="clear" w:color="auto" w:fill="auto"/>
            <w:noWrap/>
            <w:vAlign w:val="center"/>
            <w:hideMark/>
          </w:tcPr>
          <w:p w14:paraId="20A5494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2.4</w:t>
            </w:r>
          </w:p>
        </w:tc>
        <w:tc>
          <w:tcPr>
            <w:tcW w:w="418" w:type="pct"/>
            <w:tcBorders>
              <w:top w:val="nil"/>
              <w:left w:val="nil"/>
              <w:bottom w:val="nil"/>
              <w:right w:val="nil"/>
            </w:tcBorders>
            <w:shd w:val="clear" w:color="auto" w:fill="auto"/>
            <w:noWrap/>
            <w:vAlign w:val="center"/>
            <w:hideMark/>
          </w:tcPr>
          <w:p w14:paraId="7FF7E2E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w:t>
            </w:r>
          </w:p>
        </w:tc>
        <w:tc>
          <w:tcPr>
            <w:tcW w:w="330" w:type="pct"/>
            <w:tcBorders>
              <w:top w:val="nil"/>
              <w:left w:val="nil"/>
              <w:bottom w:val="nil"/>
              <w:right w:val="nil"/>
            </w:tcBorders>
            <w:shd w:val="clear" w:color="auto" w:fill="auto"/>
            <w:noWrap/>
            <w:vAlign w:val="center"/>
            <w:hideMark/>
          </w:tcPr>
          <w:p w14:paraId="63C8C32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w:t>
            </w:r>
          </w:p>
        </w:tc>
        <w:tc>
          <w:tcPr>
            <w:tcW w:w="341" w:type="pct"/>
            <w:tcBorders>
              <w:top w:val="nil"/>
              <w:left w:val="nil"/>
              <w:bottom w:val="nil"/>
              <w:right w:val="nil"/>
            </w:tcBorders>
            <w:shd w:val="clear" w:color="auto" w:fill="auto"/>
            <w:noWrap/>
            <w:vAlign w:val="center"/>
            <w:hideMark/>
          </w:tcPr>
          <w:p w14:paraId="27F2DC1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2.9</w:t>
            </w:r>
          </w:p>
        </w:tc>
        <w:tc>
          <w:tcPr>
            <w:tcW w:w="404" w:type="pct"/>
            <w:tcBorders>
              <w:top w:val="nil"/>
              <w:left w:val="nil"/>
              <w:bottom w:val="nil"/>
              <w:right w:val="nil"/>
            </w:tcBorders>
            <w:shd w:val="clear" w:color="auto" w:fill="auto"/>
            <w:noWrap/>
            <w:vAlign w:val="center"/>
            <w:hideMark/>
          </w:tcPr>
          <w:p w14:paraId="2AF18DE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w:t>
            </w:r>
          </w:p>
        </w:tc>
        <w:tc>
          <w:tcPr>
            <w:tcW w:w="485" w:type="pct"/>
            <w:tcBorders>
              <w:top w:val="nil"/>
              <w:left w:val="nil"/>
              <w:bottom w:val="nil"/>
              <w:right w:val="nil"/>
            </w:tcBorders>
            <w:shd w:val="clear" w:color="auto" w:fill="auto"/>
            <w:noWrap/>
            <w:vAlign w:val="center"/>
            <w:hideMark/>
          </w:tcPr>
          <w:p w14:paraId="0FDCEDC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66.8</w:t>
            </w:r>
          </w:p>
        </w:tc>
        <w:tc>
          <w:tcPr>
            <w:tcW w:w="416" w:type="pct"/>
            <w:tcBorders>
              <w:top w:val="nil"/>
              <w:left w:val="nil"/>
              <w:bottom w:val="nil"/>
              <w:right w:val="nil"/>
            </w:tcBorders>
            <w:shd w:val="clear" w:color="auto" w:fill="auto"/>
            <w:noWrap/>
            <w:vAlign w:val="center"/>
            <w:hideMark/>
          </w:tcPr>
          <w:p w14:paraId="299B64A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w:t>
            </w:r>
          </w:p>
        </w:tc>
        <w:tc>
          <w:tcPr>
            <w:tcW w:w="511" w:type="pct"/>
            <w:tcBorders>
              <w:top w:val="nil"/>
              <w:left w:val="nil"/>
              <w:bottom w:val="nil"/>
              <w:right w:val="nil"/>
            </w:tcBorders>
            <w:shd w:val="clear" w:color="auto" w:fill="auto"/>
            <w:noWrap/>
            <w:vAlign w:val="center"/>
            <w:hideMark/>
          </w:tcPr>
          <w:p w14:paraId="497147B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17.9</w:t>
            </w:r>
          </w:p>
        </w:tc>
        <w:tc>
          <w:tcPr>
            <w:tcW w:w="268" w:type="pct"/>
            <w:tcBorders>
              <w:top w:val="nil"/>
              <w:left w:val="nil"/>
              <w:bottom w:val="nil"/>
              <w:right w:val="nil"/>
            </w:tcBorders>
            <w:shd w:val="clear" w:color="auto" w:fill="auto"/>
            <w:noWrap/>
            <w:vAlign w:val="center"/>
            <w:hideMark/>
          </w:tcPr>
          <w:p w14:paraId="19D80FC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w:t>
            </w:r>
          </w:p>
        </w:tc>
      </w:tr>
      <w:tr w:rsidR="0044607F" w:rsidRPr="00357722" w14:paraId="27A87B73" w14:textId="77777777" w:rsidTr="005F41CC">
        <w:trPr>
          <w:trHeight w:val="240"/>
        </w:trPr>
        <w:tc>
          <w:tcPr>
            <w:tcW w:w="918" w:type="pct"/>
            <w:tcBorders>
              <w:top w:val="nil"/>
              <w:left w:val="nil"/>
              <w:bottom w:val="nil"/>
              <w:right w:val="nil"/>
            </w:tcBorders>
            <w:shd w:val="clear" w:color="auto" w:fill="auto"/>
            <w:noWrap/>
            <w:vAlign w:val="center"/>
            <w:hideMark/>
          </w:tcPr>
          <w:p w14:paraId="61DF060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Std. Dev.</w:t>
            </w:r>
          </w:p>
        </w:tc>
        <w:tc>
          <w:tcPr>
            <w:tcW w:w="442" w:type="pct"/>
            <w:tcBorders>
              <w:top w:val="nil"/>
              <w:left w:val="nil"/>
              <w:bottom w:val="nil"/>
              <w:right w:val="nil"/>
            </w:tcBorders>
            <w:shd w:val="clear" w:color="auto" w:fill="auto"/>
            <w:noWrap/>
            <w:vAlign w:val="center"/>
            <w:hideMark/>
          </w:tcPr>
          <w:p w14:paraId="43F7D94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47.0</w:t>
            </w:r>
          </w:p>
        </w:tc>
        <w:tc>
          <w:tcPr>
            <w:tcW w:w="467" w:type="pct"/>
            <w:tcBorders>
              <w:top w:val="nil"/>
              <w:left w:val="nil"/>
              <w:bottom w:val="nil"/>
              <w:right w:val="nil"/>
            </w:tcBorders>
            <w:shd w:val="clear" w:color="auto" w:fill="auto"/>
            <w:noWrap/>
            <w:vAlign w:val="center"/>
            <w:hideMark/>
          </w:tcPr>
          <w:p w14:paraId="1657F16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w:t>
            </w:r>
          </w:p>
        </w:tc>
        <w:tc>
          <w:tcPr>
            <w:tcW w:w="418" w:type="pct"/>
            <w:tcBorders>
              <w:top w:val="nil"/>
              <w:left w:val="nil"/>
              <w:bottom w:val="nil"/>
              <w:right w:val="nil"/>
            </w:tcBorders>
            <w:shd w:val="clear" w:color="auto" w:fill="auto"/>
            <w:noWrap/>
            <w:vAlign w:val="center"/>
            <w:hideMark/>
          </w:tcPr>
          <w:p w14:paraId="46D4F07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w:t>
            </w:r>
          </w:p>
        </w:tc>
        <w:tc>
          <w:tcPr>
            <w:tcW w:w="330" w:type="pct"/>
            <w:tcBorders>
              <w:top w:val="nil"/>
              <w:left w:val="nil"/>
              <w:bottom w:val="nil"/>
              <w:right w:val="nil"/>
            </w:tcBorders>
            <w:shd w:val="clear" w:color="auto" w:fill="auto"/>
            <w:noWrap/>
            <w:vAlign w:val="center"/>
            <w:hideMark/>
          </w:tcPr>
          <w:p w14:paraId="721A8662"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w:t>
            </w:r>
          </w:p>
        </w:tc>
        <w:tc>
          <w:tcPr>
            <w:tcW w:w="341" w:type="pct"/>
            <w:tcBorders>
              <w:top w:val="nil"/>
              <w:left w:val="nil"/>
              <w:bottom w:val="nil"/>
              <w:right w:val="nil"/>
            </w:tcBorders>
            <w:shd w:val="clear" w:color="auto" w:fill="auto"/>
            <w:noWrap/>
            <w:vAlign w:val="center"/>
            <w:hideMark/>
          </w:tcPr>
          <w:p w14:paraId="7EA2466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w:t>
            </w:r>
          </w:p>
        </w:tc>
        <w:tc>
          <w:tcPr>
            <w:tcW w:w="404" w:type="pct"/>
            <w:tcBorders>
              <w:top w:val="nil"/>
              <w:left w:val="nil"/>
              <w:bottom w:val="nil"/>
              <w:right w:val="nil"/>
            </w:tcBorders>
            <w:shd w:val="clear" w:color="auto" w:fill="auto"/>
            <w:noWrap/>
            <w:vAlign w:val="center"/>
            <w:hideMark/>
          </w:tcPr>
          <w:p w14:paraId="3274A1E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4.8</w:t>
            </w:r>
          </w:p>
        </w:tc>
        <w:tc>
          <w:tcPr>
            <w:tcW w:w="485" w:type="pct"/>
            <w:tcBorders>
              <w:top w:val="nil"/>
              <w:left w:val="nil"/>
              <w:bottom w:val="nil"/>
              <w:right w:val="nil"/>
            </w:tcBorders>
            <w:shd w:val="clear" w:color="auto" w:fill="auto"/>
            <w:noWrap/>
            <w:vAlign w:val="center"/>
            <w:hideMark/>
          </w:tcPr>
          <w:p w14:paraId="3F751BA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70.4</w:t>
            </w:r>
          </w:p>
        </w:tc>
        <w:tc>
          <w:tcPr>
            <w:tcW w:w="416" w:type="pct"/>
            <w:tcBorders>
              <w:top w:val="nil"/>
              <w:left w:val="nil"/>
              <w:bottom w:val="nil"/>
              <w:right w:val="nil"/>
            </w:tcBorders>
            <w:shd w:val="clear" w:color="auto" w:fill="auto"/>
            <w:noWrap/>
            <w:vAlign w:val="center"/>
            <w:hideMark/>
          </w:tcPr>
          <w:p w14:paraId="0AB38B2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2.1</w:t>
            </w:r>
          </w:p>
        </w:tc>
        <w:tc>
          <w:tcPr>
            <w:tcW w:w="511" w:type="pct"/>
            <w:tcBorders>
              <w:top w:val="nil"/>
              <w:left w:val="nil"/>
              <w:bottom w:val="nil"/>
              <w:right w:val="nil"/>
            </w:tcBorders>
            <w:shd w:val="clear" w:color="auto" w:fill="auto"/>
            <w:noWrap/>
            <w:vAlign w:val="center"/>
            <w:hideMark/>
          </w:tcPr>
          <w:p w14:paraId="24ED04D9"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32.3</w:t>
            </w:r>
          </w:p>
        </w:tc>
        <w:tc>
          <w:tcPr>
            <w:tcW w:w="268" w:type="pct"/>
            <w:tcBorders>
              <w:top w:val="nil"/>
              <w:left w:val="nil"/>
              <w:bottom w:val="nil"/>
              <w:right w:val="nil"/>
            </w:tcBorders>
            <w:shd w:val="clear" w:color="auto" w:fill="auto"/>
            <w:noWrap/>
            <w:vAlign w:val="center"/>
            <w:hideMark/>
          </w:tcPr>
          <w:p w14:paraId="33DFB17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w:t>
            </w:r>
          </w:p>
        </w:tc>
      </w:tr>
      <w:tr w:rsidR="0044607F" w:rsidRPr="00357722" w14:paraId="7E54EA56" w14:textId="77777777" w:rsidTr="005F41CC">
        <w:trPr>
          <w:trHeight w:val="240"/>
        </w:trPr>
        <w:tc>
          <w:tcPr>
            <w:tcW w:w="918" w:type="pct"/>
            <w:tcBorders>
              <w:top w:val="nil"/>
              <w:left w:val="nil"/>
              <w:bottom w:val="nil"/>
              <w:right w:val="nil"/>
            </w:tcBorders>
            <w:shd w:val="clear" w:color="auto" w:fill="auto"/>
            <w:noWrap/>
            <w:vAlign w:val="center"/>
            <w:hideMark/>
          </w:tcPr>
          <w:p w14:paraId="0594B45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Minimum</w:t>
            </w:r>
          </w:p>
        </w:tc>
        <w:tc>
          <w:tcPr>
            <w:tcW w:w="442" w:type="pct"/>
            <w:tcBorders>
              <w:top w:val="nil"/>
              <w:left w:val="nil"/>
              <w:bottom w:val="nil"/>
              <w:right w:val="nil"/>
            </w:tcBorders>
            <w:shd w:val="clear" w:color="auto" w:fill="auto"/>
            <w:noWrap/>
            <w:vAlign w:val="center"/>
            <w:hideMark/>
          </w:tcPr>
          <w:p w14:paraId="34D7EF2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10.5</w:t>
            </w:r>
          </w:p>
        </w:tc>
        <w:tc>
          <w:tcPr>
            <w:tcW w:w="467" w:type="pct"/>
            <w:tcBorders>
              <w:top w:val="nil"/>
              <w:left w:val="nil"/>
              <w:bottom w:val="nil"/>
              <w:right w:val="nil"/>
            </w:tcBorders>
            <w:shd w:val="clear" w:color="auto" w:fill="auto"/>
            <w:noWrap/>
            <w:vAlign w:val="center"/>
            <w:hideMark/>
          </w:tcPr>
          <w:p w14:paraId="5AFDD0A7"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w:t>
            </w:r>
          </w:p>
        </w:tc>
        <w:tc>
          <w:tcPr>
            <w:tcW w:w="418" w:type="pct"/>
            <w:tcBorders>
              <w:top w:val="nil"/>
              <w:left w:val="nil"/>
              <w:bottom w:val="nil"/>
              <w:right w:val="nil"/>
            </w:tcBorders>
            <w:shd w:val="clear" w:color="auto" w:fill="auto"/>
            <w:noWrap/>
            <w:vAlign w:val="center"/>
            <w:hideMark/>
          </w:tcPr>
          <w:p w14:paraId="563A86A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w:t>
            </w:r>
          </w:p>
        </w:tc>
        <w:tc>
          <w:tcPr>
            <w:tcW w:w="330" w:type="pct"/>
            <w:tcBorders>
              <w:top w:val="nil"/>
              <w:left w:val="nil"/>
              <w:bottom w:val="nil"/>
              <w:right w:val="nil"/>
            </w:tcBorders>
            <w:shd w:val="clear" w:color="auto" w:fill="auto"/>
            <w:noWrap/>
            <w:vAlign w:val="center"/>
            <w:hideMark/>
          </w:tcPr>
          <w:p w14:paraId="1E4DD69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w:t>
            </w:r>
          </w:p>
        </w:tc>
        <w:tc>
          <w:tcPr>
            <w:tcW w:w="341" w:type="pct"/>
            <w:tcBorders>
              <w:top w:val="nil"/>
              <w:left w:val="nil"/>
              <w:bottom w:val="nil"/>
              <w:right w:val="nil"/>
            </w:tcBorders>
            <w:shd w:val="clear" w:color="auto" w:fill="auto"/>
            <w:noWrap/>
            <w:vAlign w:val="center"/>
            <w:hideMark/>
          </w:tcPr>
          <w:p w14:paraId="2B2F4C9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-14.8</w:t>
            </w:r>
          </w:p>
        </w:tc>
        <w:tc>
          <w:tcPr>
            <w:tcW w:w="404" w:type="pct"/>
            <w:tcBorders>
              <w:top w:val="nil"/>
              <w:left w:val="nil"/>
              <w:bottom w:val="nil"/>
              <w:right w:val="nil"/>
            </w:tcBorders>
            <w:shd w:val="clear" w:color="auto" w:fill="auto"/>
            <w:noWrap/>
            <w:vAlign w:val="center"/>
            <w:hideMark/>
          </w:tcPr>
          <w:p w14:paraId="5099BA2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-4.5</w:t>
            </w:r>
          </w:p>
        </w:tc>
        <w:tc>
          <w:tcPr>
            <w:tcW w:w="485" w:type="pct"/>
            <w:tcBorders>
              <w:top w:val="nil"/>
              <w:left w:val="nil"/>
              <w:bottom w:val="nil"/>
              <w:right w:val="nil"/>
            </w:tcBorders>
            <w:shd w:val="clear" w:color="auto" w:fill="auto"/>
            <w:noWrap/>
            <w:vAlign w:val="center"/>
            <w:hideMark/>
          </w:tcPr>
          <w:p w14:paraId="34877C0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19.8</w:t>
            </w:r>
          </w:p>
        </w:tc>
        <w:tc>
          <w:tcPr>
            <w:tcW w:w="416" w:type="pct"/>
            <w:tcBorders>
              <w:top w:val="nil"/>
              <w:left w:val="nil"/>
              <w:bottom w:val="nil"/>
              <w:right w:val="nil"/>
            </w:tcBorders>
            <w:shd w:val="clear" w:color="auto" w:fill="auto"/>
            <w:noWrap/>
            <w:vAlign w:val="center"/>
            <w:hideMark/>
          </w:tcPr>
          <w:p w14:paraId="4CAEF1A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w:t>
            </w:r>
          </w:p>
        </w:tc>
        <w:tc>
          <w:tcPr>
            <w:tcW w:w="511" w:type="pct"/>
            <w:tcBorders>
              <w:top w:val="nil"/>
              <w:left w:val="nil"/>
              <w:bottom w:val="nil"/>
              <w:right w:val="nil"/>
            </w:tcBorders>
            <w:shd w:val="clear" w:color="auto" w:fill="auto"/>
            <w:noWrap/>
            <w:vAlign w:val="center"/>
            <w:hideMark/>
          </w:tcPr>
          <w:p w14:paraId="6E79D2A8"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w:t>
            </w:r>
          </w:p>
        </w:tc>
        <w:tc>
          <w:tcPr>
            <w:tcW w:w="268" w:type="pct"/>
            <w:tcBorders>
              <w:top w:val="nil"/>
              <w:left w:val="nil"/>
              <w:bottom w:val="nil"/>
              <w:right w:val="nil"/>
            </w:tcBorders>
            <w:shd w:val="clear" w:color="auto" w:fill="auto"/>
            <w:noWrap/>
            <w:vAlign w:val="center"/>
            <w:hideMark/>
          </w:tcPr>
          <w:p w14:paraId="5293774F"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w:t>
            </w:r>
          </w:p>
        </w:tc>
      </w:tr>
      <w:tr w:rsidR="0044607F" w:rsidRPr="00357722" w14:paraId="0A51647D" w14:textId="77777777" w:rsidTr="005F41CC">
        <w:trPr>
          <w:trHeight w:val="240"/>
        </w:trPr>
        <w:tc>
          <w:tcPr>
            <w:tcW w:w="918" w:type="pct"/>
            <w:tcBorders>
              <w:top w:val="nil"/>
              <w:left w:val="nil"/>
              <w:bottom w:val="single" w:sz="4" w:space="0" w:color="auto"/>
              <w:right w:val="nil"/>
            </w:tcBorders>
            <w:shd w:val="clear" w:color="auto" w:fill="auto"/>
            <w:noWrap/>
            <w:vAlign w:val="center"/>
            <w:hideMark/>
          </w:tcPr>
          <w:p w14:paraId="1AAEE0E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Maximum</w:t>
            </w:r>
          </w:p>
        </w:tc>
        <w:tc>
          <w:tcPr>
            <w:tcW w:w="442" w:type="pct"/>
            <w:tcBorders>
              <w:top w:val="nil"/>
              <w:left w:val="nil"/>
              <w:bottom w:val="single" w:sz="4" w:space="0" w:color="auto"/>
              <w:right w:val="nil"/>
            </w:tcBorders>
            <w:shd w:val="clear" w:color="auto" w:fill="auto"/>
            <w:noWrap/>
            <w:vAlign w:val="center"/>
            <w:hideMark/>
          </w:tcPr>
          <w:p w14:paraId="41F5C02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347.4</w:t>
            </w:r>
          </w:p>
        </w:tc>
        <w:tc>
          <w:tcPr>
            <w:tcW w:w="467" w:type="pct"/>
            <w:tcBorders>
              <w:top w:val="nil"/>
              <w:left w:val="nil"/>
              <w:bottom w:val="single" w:sz="4" w:space="0" w:color="auto"/>
              <w:right w:val="nil"/>
            </w:tcBorders>
            <w:shd w:val="clear" w:color="auto" w:fill="auto"/>
            <w:noWrap/>
            <w:vAlign w:val="center"/>
            <w:hideMark/>
          </w:tcPr>
          <w:p w14:paraId="0BD861CC"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2.4</w:t>
            </w:r>
          </w:p>
        </w:tc>
        <w:tc>
          <w:tcPr>
            <w:tcW w:w="418" w:type="pct"/>
            <w:tcBorders>
              <w:top w:val="nil"/>
              <w:left w:val="nil"/>
              <w:bottom w:val="single" w:sz="4" w:space="0" w:color="auto"/>
              <w:right w:val="nil"/>
            </w:tcBorders>
            <w:shd w:val="clear" w:color="auto" w:fill="auto"/>
            <w:noWrap/>
            <w:vAlign w:val="center"/>
            <w:hideMark/>
          </w:tcPr>
          <w:p w14:paraId="072C7E3E"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w:t>
            </w:r>
          </w:p>
        </w:tc>
        <w:tc>
          <w:tcPr>
            <w:tcW w:w="330" w:type="pct"/>
            <w:tcBorders>
              <w:top w:val="nil"/>
              <w:left w:val="nil"/>
              <w:bottom w:val="single" w:sz="4" w:space="0" w:color="auto"/>
              <w:right w:val="nil"/>
            </w:tcBorders>
            <w:shd w:val="clear" w:color="auto" w:fill="auto"/>
            <w:noWrap/>
            <w:vAlign w:val="center"/>
            <w:hideMark/>
          </w:tcPr>
          <w:p w14:paraId="50F3CDAA"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5.3</w:t>
            </w:r>
          </w:p>
        </w:tc>
        <w:tc>
          <w:tcPr>
            <w:tcW w:w="341" w:type="pct"/>
            <w:tcBorders>
              <w:top w:val="nil"/>
              <w:left w:val="nil"/>
              <w:bottom w:val="single" w:sz="4" w:space="0" w:color="auto"/>
              <w:right w:val="nil"/>
            </w:tcBorders>
            <w:shd w:val="clear" w:color="auto" w:fill="auto"/>
            <w:noWrap/>
            <w:vAlign w:val="center"/>
            <w:hideMark/>
          </w:tcPr>
          <w:p w14:paraId="3425D4F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25.6</w:t>
            </w:r>
          </w:p>
        </w:tc>
        <w:tc>
          <w:tcPr>
            <w:tcW w:w="404" w:type="pct"/>
            <w:tcBorders>
              <w:top w:val="nil"/>
              <w:left w:val="nil"/>
              <w:bottom w:val="single" w:sz="4" w:space="0" w:color="auto"/>
              <w:right w:val="nil"/>
            </w:tcBorders>
            <w:shd w:val="clear" w:color="auto" w:fill="auto"/>
            <w:noWrap/>
            <w:vAlign w:val="center"/>
            <w:hideMark/>
          </w:tcPr>
          <w:p w14:paraId="2A68CCC5"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54.4</w:t>
            </w:r>
          </w:p>
        </w:tc>
        <w:tc>
          <w:tcPr>
            <w:tcW w:w="485" w:type="pct"/>
            <w:tcBorders>
              <w:top w:val="nil"/>
              <w:left w:val="nil"/>
              <w:bottom w:val="single" w:sz="4" w:space="0" w:color="auto"/>
              <w:right w:val="nil"/>
            </w:tcBorders>
            <w:shd w:val="clear" w:color="auto" w:fill="auto"/>
            <w:noWrap/>
            <w:vAlign w:val="center"/>
            <w:hideMark/>
          </w:tcPr>
          <w:p w14:paraId="118479C3"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442.6</w:t>
            </w:r>
          </w:p>
        </w:tc>
        <w:tc>
          <w:tcPr>
            <w:tcW w:w="416" w:type="pct"/>
            <w:tcBorders>
              <w:top w:val="nil"/>
              <w:left w:val="nil"/>
              <w:bottom w:val="single" w:sz="4" w:space="0" w:color="auto"/>
              <w:right w:val="nil"/>
            </w:tcBorders>
            <w:shd w:val="clear" w:color="auto" w:fill="auto"/>
            <w:noWrap/>
            <w:vAlign w:val="center"/>
            <w:hideMark/>
          </w:tcPr>
          <w:p w14:paraId="223FD94D"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13.3</w:t>
            </w:r>
          </w:p>
        </w:tc>
        <w:tc>
          <w:tcPr>
            <w:tcW w:w="511" w:type="pct"/>
            <w:tcBorders>
              <w:top w:val="nil"/>
              <w:left w:val="nil"/>
              <w:bottom w:val="single" w:sz="4" w:space="0" w:color="auto"/>
              <w:right w:val="nil"/>
            </w:tcBorders>
            <w:shd w:val="clear" w:color="auto" w:fill="auto"/>
            <w:noWrap/>
            <w:vAlign w:val="center"/>
            <w:hideMark/>
          </w:tcPr>
          <w:p w14:paraId="06801FF0"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223.2</w:t>
            </w:r>
          </w:p>
        </w:tc>
        <w:tc>
          <w:tcPr>
            <w:tcW w:w="268" w:type="pct"/>
            <w:tcBorders>
              <w:top w:val="nil"/>
              <w:left w:val="nil"/>
              <w:bottom w:val="single" w:sz="4" w:space="0" w:color="auto"/>
              <w:right w:val="nil"/>
            </w:tcBorders>
            <w:shd w:val="clear" w:color="auto" w:fill="auto"/>
            <w:noWrap/>
            <w:vAlign w:val="center"/>
            <w:hideMark/>
          </w:tcPr>
          <w:p w14:paraId="7C56002B" w14:textId="77777777" w:rsidR="00AC4020" w:rsidRPr="00357722" w:rsidRDefault="00AC4020" w:rsidP="005636E8">
            <w:pPr>
              <w:spacing w:after="0" w:line="48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5.0</w:t>
            </w:r>
          </w:p>
        </w:tc>
      </w:tr>
    </w:tbl>
    <w:p w14:paraId="2B12A3A8" w14:textId="10F92B58" w:rsidR="0044607F" w:rsidRPr="00357722" w:rsidRDefault="0044607F" w:rsidP="0044607F">
      <w:pPr>
        <w:autoSpaceDE w:val="0"/>
        <w:autoSpaceDN w:val="0"/>
        <w:adjustRightInd w:val="0"/>
        <w:spacing w:after="0" w:line="480" w:lineRule="auto"/>
        <w:jc w:val="both"/>
        <w:rPr>
          <w:rFonts w:ascii="Times New Roman" w:hAnsi="Times New Roman" w:cs="Times New Roman"/>
          <w:color w:val="000000" w:themeColor="text1"/>
          <w:sz w:val="24"/>
          <w:szCs w:val="24"/>
        </w:rPr>
      </w:pPr>
      <w:r w:rsidRPr="00357722">
        <w:rPr>
          <w:rFonts w:ascii="Times New Roman" w:eastAsia="Times New Roman" w:hAnsi="Times New Roman" w:cs="Times New Roman"/>
          <w:color w:val="000000" w:themeColor="text1"/>
          <w:sz w:val="18"/>
          <w:szCs w:val="18"/>
          <w:lang w:val="en-US"/>
        </w:rPr>
        <w:t xml:space="preserve">Notes: All variables are as defined in </w:t>
      </w:r>
      <w:proofErr w:type="spellStart"/>
      <w:r w:rsidRPr="00357722">
        <w:rPr>
          <w:rFonts w:ascii="Times New Roman" w:eastAsia="Times New Roman" w:hAnsi="Times New Roman" w:cs="Times New Roman"/>
          <w:color w:val="000000" w:themeColor="text1"/>
          <w:sz w:val="18"/>
          <w:szCs w:val="18"/>
          <w:lang w:val="en-US"/>
        </w:rPr>
        <w:t>Appedix</w:t>
      </w:r>
      <w:proofErr w:type="spellEnd"/>
      <w:r w:rsidRPr="00357722">
        <w:rPr>
          <w:rFonts w:ascii="Times New Roman" w:eastAsia="Times New Roman" w:hAnsi="Times New Roman" w:cs="Times New Roman"/>
          <w:color w:val="000000" w:themeColor="text1"/>
          <w:sz w:val="18"/>
          <w:szCs w:val="18"/>
          <w:lang w:val="en-US"/>
        </w:rPr>
        <w:t xml:space="preserve"> A1. </w:t>
      </w:r>
    </w:p>
    <w:p w14:paraId="254FCF8D" w14:textId="77777777" w:rsidR="00ED7A24" w:rsidRPr="00357722" w:rsidRDefault="00ED7A24" w:rsidP="005636E8">
      <w:pPr>
        <w:widowControl w:val="0"/>
        <w:autoSpaceDE w:val="0"/>
        <w:autoSpaceDN w:val="0"/>
        <w:adjustRightInd w:val="0"/>
        <w:spacing w:after="0" w:line="480" w:lineRule="auto"/>
        <w:jc w:val="both"/>
        <w:rPr>
          <w:rFonts w:ascii="Times New Roman" w:hAnsi="Times New Roman" w:cs="Times New Roman"/>
          <w:color w:val="000000" w:themeColor="text1"/>
          <w:sz w:val="18"/>
          <w:szCs w:val="18"/>
          <w:lang w:val="en-US"/>
        </w:rPr>
      </w:pPr>
    </w:p>
    <w:p w14:paraId="3772EB19" w14:textId="77777777" w:rsidR="00136C48" w:rsidRPr="00357722" w:rsidRDefault="00136C48" w:rsidP="005636E8">
      <w:pPr>
        <w:widowControl w:val="0"/>
        <w:autoSpaceDE w:val="0"/>
        <w:autoSpaceDN w:val="0"/>
        <w:adjustRightInd w:val="0"/>
        <w:spacing w:after="0" w:line="480" w:lineRule="auto"/>
        <w:jc w:val="both"/>
        <w:rPr>
          <w:rFonts w:ascii="Times New Roman" w:hAnsi="Times New Roman" w:cs="Times New Roman"/>
          <w:color w:val="000000" w:themeColor="text1"/>
          <w:sz w:val="18"/>
          <w:szCs w:val="18"/>
          <w:lang w:val="en-US"/>
        </w:rPr>
      </w:pPr>
    </w:p>
    <w:p w14:paraId="4AAF0580" w14:textId="77777777" w:rsidR="00136C48" w:rsidRPr="00357722" w:rsidRDefault="00136C48" w:rsidP="005636E8">
      <w:pPr>
        <w:widowControl w:val="0"/>
        <w:autoSpaceDE w:val="0"/>
        <w:autoSpaceDN w:val="0"/>
        <w:adjustRightInd w:val="0"/>
        <w:spacing w:after="0" w:line="480" w:lineRule="auto"/>
        <w:jc w:val="both"/>
        <w:rPr>
          <w:rFonts w:ascii="Times New Roman" w:hAnsi="Times New Roman" w:cs="Times New Roman"/>
          <w:color w:val="000000" w:themeColor="text1"/>
          <w:sz w:val="16"/>
          <w:szCs w:val="16"/>
          <w:lang w:val="en-US"/>
        </w:rPr>
        <w:sectPr w:rsidR="00136C48" w:rsidRPr="00357722" w:rsidSect="00C34896">
          <w:pgSz w:w="16838" w:h="11906" w:orient="landscape"/>
          <w:pgMar w:top="993" w:right="1440" w:bottom="1440" w:left="1440" w:header="708" w:footer="708" w:gutter="0"/>
          <w:cols w:space="708"/>
          <w:docGrid w:linePitch="360"/>
        </w:sectPr>
      </w:pPr>
    </w:p>
    <w:p w14:paraId="5582C549" w14:textId="2969DBC7" w:rsidR="00E574BE" w:rsidRPr="00357722" w:rsidRDefault="00E574BE" w:rsidP="0012594D">
      <w:pPr>
        <w:widowControl w:val="0"/>
        <w:autoSpaceDE w:val="0"/>
        <w:autoSpaceDN w:val="0"/>
        <w:adjustRightInd w:val="0"/>
        <w:spacing w:after="0" w:line="480" w:lineRule="auto"/>
        <w:jc w:val="both"/>
        <w:rPr>
          <w:rFonts w:ascii="Times New Roman" w:hAnsi="Times New Roman" w:cs="Times New Roman"/>
          <w:b/>
          <w:bCs/>
          <w:lang w:val="en-US"/>
        </w:rPr>
      </w:pPr>
      <w:r w:rsidRPr="00357722">
        <w:rPr>
          <w:rFonts w:ascii="Times New Roman" w:hAnsi="Times New Roman" w:cs="Times New Roman"/>
          <w:b/>
          <w:bCs/>
          <w:lang w:val="en-US"/>
        </w:rPr>
        <w:lastRenderedPageBreak/>
        <w:t xml:space="preserve">Table </w:t>
      </w:r>
      <w:r w:rsidR="00032333" w:rsidRPr="00357722">
        <w:rPr>
          <w:rFonts w:ascii="Times New Roman" w:hAnsi="Times New Roman" w:cs="Times New Roman"/>
          <w:b/>
          <w:bCs/>
          <w:lang w:val="en-US"/>
        </w:rPr>
        <w:t>3</w:t>
      </w:r>
      <w:r w:rsidRPr="00357722">
        <w:rPr>
          <w:rFonts w:ascii="Times New Roman" w:hAnsi="Times New Roman" w:cs="Times New Roman"/>
          <w:b/>
          <w:bCs/>
          <w:lang w:val="en-US"/>
        </w:rPr>
        <w:t>: Pearson's pairwise correlation coefficient matrix between the key and control variables.</w:t>
      </w:r>
    </w:p>
    <w:tbl>
      <w:tblPr>
        <w:tblW w:w="4691" w:type="pct"/>
        <w:tblLook w:val="04A0" w:firstRow="1" w:lastRow="0" w:firstColumn="1" w:lastColumn="0" w:noHBand="0" w:noVBand="1"/>
      </w:tblPr>
      <w:tblGrid>
        <w:gridCol w:w="1451"/>
        <w:gridCol w:w="747"/>
        <w:gridCol w:w="637"/>
        <w:gridCol w:w="697"/>
        <w:gridCol w:w="697"/>
        <w:gridCol w:w="637"/>
        <w:gridCol w:w="655"/>
        <w:gridCol w:w="776"/>
        <w:gridCol w:w="703"/>
        <w:gridCol w:w="778"/>
        <w:gridCol w:w="766"/>
        <w:gridCol w:w="630"/>
        <w:gridCol w:w="662"/>
        <w:gridCol w:w="782"/>
        <w:gridCol w:w="779"/>
        <w:gridCol w:w="772"/>
        <w:gridCol w:w="926"/>
      </w:tblGrid>
      <w:tr w:rsidR="0048630B" w:rsidRPr="00357722" w14:paraId="60A64083" w14:textId="77777777" w:rsidTr="0048630B">
        <w:trPr>
          <w:trHeight w:val="536"/>
        </w:trPr>
        <w:tc>
          <w:tcPr>
            <w:tcW w:w="544" w:type="pct"/>
            <w:tcBorders>
              <w:top w:val="single" w:sz="4" w:space="0" w:color="auto"/>
              <w:left w:val="nil"/>
              <w:bottom w:val="single" w:sz="4" w:space="0" w:color="auto"/>
              <w:right w:val="nil"/>
            </w:tcBorders>
            <w:shd w:val="clear" w:color="auto" w:fill="auto"/>
            <w:noWrap/>
            <w:vAlign w:val="center"/>
            <w:hideMark/>
          </w:tcPr>
          <w:p w14:paraId="14D76FAB"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sz w:val="18"/>
                <w:szCs w:val="18"/>
              </w:rPr>
              <w:t>Variable</w:t>
            </w:r>
          </w:p>
        </w:tc>
        <w:tc>
          <w:tcPr>
            <w:tcW w:w="286" w:type="pct"/>
            <w:tcBorders>
              <w:top w:val="single" w:sz="4" w:space="0" w:color="auto"/>
              <w:left w:val="nil"/>
              <w:bottom w:val="single" w:sz="4" w:space="0" w:color="auto"/>
              <w:right w:val="nil"/>
            </w:tcBorders>
            <w:shd w:val="clear" w:color="auto" w:fill="auto"/>
            <w:noWrap/>
            <w:vAlign w:val="center"/>
            <w:hideMark/>
          </w:tcPr>
          <w:p w14:paraId="27E3A70C"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w:t>
            </w:r>
          </w:p>
        </w:tc>
        <w:tc>
          <w:tcPr>
            <w:tcW w:w="244" w:type="pct"/>
            <w:tcBorders>
              <w:top w:val="single" w:sz="4" w:space="0" w:color="auto"/>
              <w:left w:val="nil"/>
              <w:bottom w:val="single" w:sz="4" w:space="0" w:color="auto"/>
              <w:right w:val="nil"/>
            </w:tcBorders>
            <w:shd w:val="clear" w:color="auto" w:fill="auto"/>
            <w:noWrap/>
            <w:vAlign w:val="center"/>
            <w:hideMark/>
          </w:tcPr>
          <w:p w14:paraId="638C4C7A"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(2)</w:t>
            </w:r>
          </w:p>
        </w:tc>
        <w:tc>
          <w:tcPr>
            <w:tcW w:w="267" w:type="pct"/>
            <w:tcBorders>
              <w:top w:val="single" w:sz="4" w:space="0" w:color="auto"/>
              <w:left w:val="nil"/>
              <w:bottom w:val="single" w:sz="4" w:space="0" w:color="auto"/>
              <w:right w:val="nil"/>
            </w:tcBorders>
            <w:shd w:val="clear" w:color="auto" w:fill="auto"/>
            <w:noWrap/>
            <w:vAlign w:val="center"/>
            <w:hideMark/>
          </w:tcPr>
          <w:p w14:paraId="185ECB59"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(3)</w:t>
            </w:r>
          </w:p>
        </w:tc>
        <w:tc>
          <w:tcPr>
            <w:tcW w:w="267" w:type="pct"/>
            <w:tcBorders>
              <w:top w:val="single" w:sz="4" w:space="0" w:color="auto"/>
              <w:left w:val="nil"/>
              <w:bottom w:val="single" w:sz="4" w:space="0" w:color="auto"/>
              <w:right w:val="nil"/>
            </w:tcBorders>
            <w:shd w:val="clear" w:color="auto" w:fill="auto"/>
            <w:noWrap/>
            <w:vAlign w:val="center"/>
            <w:hideMark/>
          </w:tcPr>
          <w:p w14:paraId="07ABE5CF"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(4)</w:t>
            </w:r>
          </w:p>
        </w:tc>
        <w:tc>
          <w:tcPr>
            <w:tcW w:w="244" w:type="pct"/>
            <w:tcBorders>
              <w:top w:val="single" w:sz="4" w:space="0" w:color="auto"/>
              <w:left w:val="nil"/>
              <w:bottom w:val="single" w:sz="4" w:space="0" w:color="auto"/>
              <w:right w:val="nil"/>
            </w:tcBorders>
            <w:shd w:val="clear" w:color="auto" w:fill="auto"/>
            <w:noWrap/>
            <w:vAlign w:val="center"/>
            <w:hideMark/>
          </w:tcPr>
          <w:p w14:paraId="689BECD2"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(5)</w:t>
            </w:r>
          </w:p>
        </w:tc>
        <w:tc>
          <w:tcPr>
            <w:tcW w:w="251" w:type="pct"/>
            <w:tcBorders>
              <w:top w:val="single" w:sz="4" w:space="0" w:color="auto"/>
              <w:left w:val="nil"/>
              <w:bottom w:val="single" w:sz="4" w:space="0" w:color="auto"/>
              <w:right w:val="nil"/>
            </w:tcBorders>
            <w:shd w:val="clear" w:color="auto" w:fill="auto"/>
            <w:noWrap/>
            <w:vAlign w:val="center"/>
            <w:hideMark/>
          </w:tcPr>
          <w:p w14:paraId="40D91E17"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(6)</w:t>
            </w:r>
          </w:p>
        </w:tc>
        <w:tc>
          <w:tcPr>
            <w:tcW w:w="297" w:type="pct"/>
            <w:tcBorders>
              <w:top w:val="single" w:sz="4" w:space="0" w:color="auto"/>
              <w:left w:val="nil"/>
              <w:bottom w:val="single" w:sz="4" w:space="0" w:color="auto"/>
              <w:right w:val="nil"/>
            </w:tcBorders>
            <w:shd w:val="clear" w:color="auto" w:fill="auto"/>
            <w:noWrap/>
            <w:vAlign w:val="center"/>
            <w:hideMark/>
          </w:tcPr>
          <w:p w14:paraId="64641E1D"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(7)</w:t>
            </w:r>
          </w:p>
        </w:tc>
        <w:tc>
          <w:tcPr>
            <w:tcW w:w="269" w:type="pct"/>
            <w:tcBorders>
              <w:top w:val="single" w:sz="4" w:space="0" w:color="auto"/>
              <w:left w:val="nil"/>
              <w:bottom w:val="single" w:sz="4" w:space="0" w:color="auto"/>
              <w:right w:val="nil"/>
            </w:tcBorders>
            <w:shd w:val="clear" w:color="auto" w:fill="auto"/>
            <w:noWrap/>
            <w:vAlign w:val="center"/>
            <w:hideMark/>
          </w:tcPr>
          <w:p w14:paraId="6FE41C7E"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(8)</w:t>
            </w:r>
          </w:p>
        </w:tc>
        <w:tc>
          <w:tcPr>
            <w:tcW w:w="298" w:type="pct"/>
            <w:tcBorders>
              <w:top w:val="single" w:sz="4" w:space="0" w:color="auto"/>
              <w:left w:val="nil"/>
              <w:bottom w:val="single" w:sz="4" w:space="0" w:color="auto"/>
              <w:right w:val="nil"/>
            </w:tcBorders>
            <w:shd w:val="clear" w:color="auto" w:fill="auto"/>
            <w:noWrap/>
            <w:vAlign w:val="center"/>
            <w:hideMark/>
          </w:tcPr>
          <w:p w14:paraId="1D260570"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(9)</w:t>
            </w:r>
          </w:p>
        </w:tc>
        <w:tc>
          <w:tcPr>
            <w:tcW w:w="293" w:type="pct"/>
            <w:tcBorders>
              <w:top w:val="single" w:sz="4" w:space="0" w:color="auto"/>
              <w:left w:val="nil"/>
              <w:bottom w:val="single" w:sz="4" w:space="0" w:color="auto"/>
              <w:right w:val="nil"/>
            </w:tcBorders>
            <w:shd w:val="clear" w:color="auto" w:fill="auto"/>
            <w:noWrap/>
            <w:vAlign w:val="center"/>
            <w:hideMark/>
          </w:tcPr>
          <w:p w14:paraId="56AB504F"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(10)</w:t>
            </w:r>
          </w:p>
        </w:tc>
        <w:tc>
          <w:tcPr>
            <w:tcW w:w="241" w:type="pct"/>
            <w:tcBorders>
              <w:top w:val="single" w:sz="4" w:space="0" w:color="auto"/>
              <w:left w:val="nil"/>
              <w:bottom w:val="single" w:sz="4" w:space="0" w:color="auto"/>
              <w:right w:val="nil"/>
            </w:tcBorders>
            <w:shd w:val="clear" w:color="auto" w:fill="auto"/>
            <w:noWrap/>
            <w:vAlign w:val="center"/>
            <w:hideMark/>
          </w:tcPr>
          <w:p w14:paraId="0534D080"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(11)</w:t>
            </w:r>
          </w:p>
        </w:tc>
        <w:tc>
          <w:tcPr>
            <w:tcW w:w="253" w:type="pct"/>
            <w:tcBorders>
              <w:top w:val="single" w:sz="4" w:space="0" w:color="auto"/>
              <w:left w:val="nil"/>
              <w:bottom w:val="single" w:sz="4" w:space="0" w:color="auto"/>
              <w:right w:val="nil"/>
            </w:tcBorders>
            <w:shd w:val="clear" w:color="auto" w:fill="auto"/>
            <w:noWrap/>
            <w:vAlign w:val="center"/>
            <w:hideMark/>
          </w:tcPr>
          <w:p w14:paraId="562F8442"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(12)</w:t>
            </w:r>
          </w:p>
        </w:tc>
        <w:tc>
          <w:tcPr>
            <w:tcW w:w="299" w:type="pct"/>
            <w:tcBorders>
              <w:top w:val="single" w:sz="4" w:space="0" w:color="auto"/>
              <w:left w:val="nil"/>
              <w:bottom w:val="single" w:sz="4" w:space="0" w:color="auto"/>
              <w:right w:val="nil"/>
            </w:tcBorders>
            <w:shd w:val="clear" w:color="auto" w:fill="auto"/>
            <w:noWrap/>
            <w:vAlign w:val="center"/>
            <w:hideMark/>
          </w:tcPr>
          <w:p w14:paraId="77F1B5EF"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(13)</w:t>
            </w:r>
          </w:p>
        </w:tc>
        <w:tc>
          <w:tcPr>
            <w:tcW w:w="298" w:type="pct"/>
            <w:tcBorders>
              <w:top w:val="single" w:sz="4" w:space="0" w:color="auto"/>
              <w:left w:val="nil"/>
              <w:bottom w:val="single" w:sz="4" w:space="0" w:color="auto"/>
              <w:right w:val="nil"/>
            </w:tcBorders>
            <w:shd w:val="clear" w:color="auto" w:fill="auto"/>
            <w:noWrap/>
            <w:vAlign w:val="center"/>
            <w:hideMark/>
          </w:tcPr>
          <w:p w14:paraId="0EDD897D"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(14)</w:t>
            </w:r>
          </w:p>
        </w:tc>
        <w:tc>
          <w:tcPr>
            <w:tcW w:w="295" w:type="pct"/>
            <w:tcBorders>
              <w:top w:val="single" w:sz="4" w:space="0" w:color="auto"/>
              <w:left w:val="nil"/>
              <w:bottom w:val="single" w:sz="4" w:space="0" w:color="auto"/>
              <w:right w:val="nil"/>
            </w:tcBorders>
            <w:shd w:val="clear" w:color="auto" w:fill="auto"/>
            <w:noWrap/>
            <w:vAlign w:val="center"/>
            <w:hideMark/>
          </w:tcPr>
          <w:p w14:paraId="63F03708"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(15)</w:t>
            </w:r>
          </w:p>
        </w:tc>
        <w:tc>
          <w:tcPr>
            <w:tcW w:w="354" w:type="pct"/>
            <w:tcBorders>
              <w:top w:val="single" w:sz="4" w:space="0" w:color="auto"/>
              <w:left w:val="nil"/>
              <w:bottom w:val="single" w:sz="4" w:space="0" w:color="auto"/>
              <w:right w:val="nil"/>
            </w:tcBorders>
            <w:shd w:val="clear" w:color="auto" w:fill="auto"/>
            <w:noWrap/>
            <w:vAlign w:val="center"/>
            <w:hideMark/>
          </w:tcPr>
          <w:p w14:paraId="117C17B5" w14:textId="77777777" w:rsidR="00E574BE" w:rsidRPr="00357722" w:rsidRDefault="00E574BE" w:rsidP="005636E8">
            <w:pPr>
              <w:spacing w:after="0" w:line="480" w:lineRule="auto"/>
              <w:jc w:val="both"/>
              <w:rPr>
                <w:rFonts w:ascii="Times New Roman" w:eastAsia="Times New Roman" w:hAnsi="Times New Roman" w:cs="Times New Roman"/>
                <w:iCs/>
                <w:color w:val="000000"/>
                <w:sz w:val="18"/>
                <w:szCs w:val="18"/>
              </w:rPr>
            </w:pPr>
            <w:r w:rsidRPr="00357722">
              <w:rPr>
                <w:rFonts w:ascii="Times New Roman" w:eastAsia="Times New Roman" w:hAnsi="Times New Roman" w:cs="Times New Roman"/>
                <w:iCs/>
                <w:color w:val="000000"/>
                <w:sz w:val="18"/>
                <w:szCs w:val="18"/>
              </w:rPr>
              <w:t>(16)</w:t>
            </w:r>
          </w:p>
        </w:tc>
      </w:tr>
      <w:tr w:rsidR="0048630B" w:rsidRPr="00357722" w14:paraId="36BBA046" w14:textId="77777777" w:rsidTr="0048630B">
        <w:trPr>
          <w:trHeight w:val="283"/>
        </w:trPr>
        <w:tc>
          <w:tcPr>
            <w:tcW w:w="544" w:type="pct"/>
            <w:tcBorders>
              <w:top w:val="nil"/>
              <w:left w:val="nil"/>
              <w:bottom w:val="nil"/>
              <w:right w:val="nil"/>
            </w:tcBorders>
            <w:shd w:val="clear" w:color="auto" w:fill="auto"/>
            <w:noWrap/>
            <w:vAlign w:val="center"/>
            <w:hideMark/>
          </w:tcPr>
          <w:p w14:paraId="6505BF8C" w14:textId="53BD4B1F" w:rsidR="00E574BE" w:rsidRPr="00357722" w:rsidRDefault="00403D2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MCGDP</w:t>
            </w:r>
            <w:r w:rsidRPr="00357722">
              <w:rPr>
                <w:rFonts w:ascii="Times New Roman" w:eastAsia="Times New Roman" w:hAnsi="Times New Roman" w:cs="Times New Roman"/>
                <w:color w:val="000000"/>
                <w:sz w:val="18"/>
                <w:szCs w:val="18"/>
              </w:rPr>
              <w:t xml:space="preserve"> </w:t>
            </w:r>
            <w:r w:rsidR="009F5948" w:rsidRPr="00357722">
              <w:rPr>
                <w:rFonts w:ascii="Times New Roman" w:eastAsia="Times New Roman" w:hAnsi="Times New Roman" w:cs="Times New Roman"/>
                <w:color w:val="000000"/>
                <w:sz w:val="18"/>
                <w:szCs w:val="18"/>
              </w:rPr>
              <w:t>(</w:t>
            </w:r>
            <w:r w:rsidR="00E574BE" w:rsidRPr="00357722">
              <w:rPr>
                <w:rFonts w:ascii="Times New Roman" w:eastAsia="Times New Roman" w:hAnsi="Times New Roman" w:cs="Times New Roman"/>
                <w:color w:val="000000"/>
                <w:sz w:val="18"/>
                <w:szCs w:val="18"/>
              </w:rPr>
              <w:t>1)</w:t>
            </w:r>
          </w:p>
        </w:tc>
        <w:tc>
          <w:tcPr>
            <w:tcW w:w="286" w:type="pct"/>
            <w:tcBorders>
              <w:top w:val="nil"/>
              <w:left w:val="nil"/>
              <w:bottom w:val="nil"/>
              <w:right w:val="nil"/>
            </w:tcBorders>
            <w:shd w:val="clear" w:color="auto" w:fill="auto"/>
            <w:vAlign w:val="center"/>
            <w:hideMark/>
          </w:tcPr>
          <w:p w14:paraId="28925586"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44" w:type="pct"/>
            <w:tcBorders>
              <w:top w:val="nil"/>
              <w:left w:val="nil"/>
              <w:bottom w:val="nil"/>
              <w:right w:val="nil"/>
            </w:tcBorders>
            <w:shd w:val="clear" w:color="auto" w:fill="auto"/>
            <w:vAlign w:val="center"/>
            <w:hideMark/>
          </w:tcPr>
          <w:p w14:paraId="10E7AC3B"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67" w:type="pct"/>
            <w:tcBorders>
              <w:top w:val="nil"/>
              <w:left w:val="nil"/>
              <w:bottom w:val="nil"/>
              <w:right w:val="nil"/>
            </w:tcBorders>
            <w:shd w:val="clear" w:color="auto" w:fill="auto"/>
            <w:vAlign w:val="center"/>
            <w:hideMark/>
          </w:tcPr>
          <w:p w14:paraId="22C70FE7"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67" w:type="pct"/>
            <w:tcBorders>
              <w:top w:val="nil"/>
              <w:left w:val="nil"/>
              <w:bottom w:val="nil"/>
              <w:right w:val="nil"/>
            </w:tcBorders>
            <w:shd w:val="clear" w:color="auto" w:fill="auto"/>
            <w:vAlign w:val="center"/>
            <w:hideMark/>
          </w:tcPr>
          <w:p w14:paraId="49B9DACC"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4" w:type="pct"/>
            <w:tcBorders>
              <w:top w:val="nil"/>
              <w:left w:val="nil"/>
              <w:bottom w:val="nil"/>
              <w:right w:val="nil"/>
            </w:tcBorders>
            <w:shd w:val="clear" w:color="auto" w:fill="auto"/>
            <w:vAlign w:val="center"/>
            <w:hideMark/>
          </w:tcPr>
          <w:p w14:paraId="7A0BA1B1"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1" w:type="pct"/>
            <w:tcBorders>
              <w:top w:val="nil"/>
              <w:left w:val="nil"/>
              <w:bottom w:val="nil"/>
              <w:right w:val="nil"/>
            </w:tcBorders>
            <w:shd w:val="clear" w:color="auto" w:fill="auto"/>
            <w:vAlign w:val="center"/>
            <w:hideMark/>
          </w:tcPr>
          <w:p w14:paraId="2B46FE7C"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7" w:type="pct"/>
            <w:tcBorders>
              <w:top w:val="nil"/>
              <w:left w:val="nil"/>
              <w:bottom w:val="nil"/>
              <w:right w:val="nil"/>
            </w:tcBorders>
            <w:shd w:val="clear" w:color="auto" w:fill="auto"/>
            <w:vAlign w:val="center"/>
            <w:hideMark/>
          </w:tcPr>
          <w:p w14:paraId="5D9DA63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69" w:type="pct"/>
            <w:tcBorders>
              <w:top w:val="nil"/>
              <w:left w:val="nil"/>
              <w:bottom w:val="nil"/>
              <w:right w:val="nil"/>
            </w:tcBorders>
            <w:shd w:val="clear" w:color="auto" w:fill="auto"/>
            <w:vAlign w:val="center"/>
            <w:hideMark/>
          </w:tcPr>
          <w:p w14:paraId="03FDD37D"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3BA71789"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3" w:type="pct"/>
            <w:tcBorders>
              <w:top w:val="nil"/>
              <w:left w:val="nil"/>
              <w:bottom w:val="nil"/>
              <w:right w:val="nil"/>
            </w:tcBorders>
            <w:shd w:val="clear" w:color="auto" w:fill="auto"/>
            <w:vAlign w:val="center"/>
            <w:hideMark/>
          </w:tcPr>
          <w:p w14:paraId="143EB44B"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44976CB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0031E580"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153E042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0731AC1B"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17A42D2F"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1066118A"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19C9F3B1" w14:textId="77777777" w:rsidTr="0048630B">
        <w:trPr>
          <w:trHeight w:val="283"/>
        </w:trPr>
        <w:tc>
          <w:tcPr>
            <w:tcW w:w="544" w:type="pct"/>
            <w:tcBorders>
              <w:top w:val="nil"/>
              <w:left w:val="nil"/>
              <w:bottom w:val="nil"/>
              <w:right w:val="nil"/>
            </w:tcBorders>
            <w:shd w:val="clear" w:color="auto" w:fill="auto"/>
            <w:noWrap/>
            <w:vAlign w:val="center"/>
            <w:hideMark/>
          </w:tcPr>
          <w:p w14:paraId="570071DB" w14:textId="0652CF1B" w:rsidR="00E574BE" w:rsidRPr="00357722" w:rsidRDefault="00403D2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PSCGDP</w:t>
            </w:r>
            <w:r w:rsidRPr="00357722">
              <w:rPr>
                <w:rFonts w:ascii="Times New Roman" w:eastAsia="Times New Roman" w:hAnsi="Times New Roman" w:cs="Times New Roman"/>
                <w:color w:val="000000"/>
                <w:sz w:val="18"/>
                <w:szCs w:val="18"/>
              </w:rPr>
              <w:t xml:space="preserve"> </w:t>
            </w:r>
            <w:r w:rsidR="00E574BE" w:rsidRPr="00357722">
              <w:rPr>
                <w:rFonts w:ascii="Times New Roman" w:eastAsia="Times New Roman" w:hAnsi="Times New Roman" w:cs="Times New Roman"/>
                <w:color w:val="000000"/>
                <w:sz w:val="18"/>
                <w:szCs w:val="18"/>
              </w:rPr>
              <w:t>(2)</w:t>
            </w:r>
          </w:p>
        </w:tc>
        <w:tc>
          <w:tcPr>
            <w:tcW w:w="286" w:type="pct"/>
            <w:tcBorders>
              <w:top w:val="nil"/>
              <w:left w:val="nil"/>
              <w:bottom w:val="nil"/>
              <w:right w:val="nil"/>
            </w:tcBorders>
            <w:shd w:val="clear" w:color="auto" w:fill="auto"/>
            <w:vAlign w:val="center"/>
            <w:hideMark/>
          </w:tcPr>
          <w:p w14:paraId="471CB51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0.65</w:t>
            </w:r>
          </w:p>
        </w:tc>
        <w:tc>
          <w:tcPr>
            <w:tcW w:w="244" w:type="pct"/>
            <w:tcBorders>
              <w:top w:val="nil"/>
              <w:left w:val="nil"/>
              <w:bottom w:val="nil"/>
              <w:right w:val="nil"/>
            </w:tcBorders>
            <w:shd w:val="clear" w:color="auto" w:fill="auto"/>
            <w:vAlign w:val="center"/>
            <w:hideMark/>
          </w:tcPr>
          <w:p w14:paraId="335C786B"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67" w:type="pct"/>
            <w:tcBorders>
              <w:top w:val="nil"/>
              <w:left w:val="nil"/>
              <w:bottom w:val="nil"/>
              <w:right w:val="nil"/>
            </w:tcBorders>
            <w:shd w:val="clear" w:color="auto" w:fill="auto"/>
            <w:vAlign w:val="center"/>
            <w:hideMark/>
          </w:tcPr>
          <w:p w14:paraId="7D846FC4"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67" w:type="pct"/>
            <w:tcBorders>
              <w:top w:val="nil"/>
              <w:left w:val="nil"/>
              <w:bottom w:val="nil"/>
              <w:right w:val="nil"/>
            </w:tcBorders>
            <w:shd w:val="clear" w:color="auto" w:fill="auto"/>
            <w:vAlign w:val="center"/>
            <w:hideMark/>
          </w:tcPr>
          <w:p w14:paraId="5CC0BCAB"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4" w:type="pct"/>
            <w:tcBorders>
              <w:top w:val="nil"/>
              <w:left w:val="nil"/>
              <w:bottom w:val="nil"/>
              <w:right w:val="nil"/>
            </w:tcBorders>
            <w:shd w:val="clear" w:color="auto" w:fill="auto"/>
            <w:vAlign w:val="center"/>
            <w:hideMark/>
          </w:tcPr>
          <w:p w14:paraId="6912DFBC"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1" w:type="pct"/>
            <w:tcBorders>
              <w:top w:val="nil"/>
              <w:left w:val="nil"/>
              <w:bottom w:val="nil"/>
              <w:right w:val="nil"/>
            </w:tcBorders>
            <w:shd w:val="clear" w:color="auto" w:fill="auto"/>
            <w:vAlign w:val="center"/>
            <w:hideMark/>
          </w:tcPr>
          <w:p w14:paraId="141E138E"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7" w:type="pct"/>
            <w:tcBorders>
              <w:top w:val="nil"/>
              <w:left w:val="nil"/>
              <w:bottom w:val="nil"/>
              <w:right w:val="nil"/>
            </w:tcBorders>
            <w:shd w:val="clear" w:color="auto" w:fill="auto"/>
            <w:vAlign w:val="center"/>
            <w:hideMark/>
          </w:tcPr>
          <w:p w14:paraId="60E0E369"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69" w:type="pct"/>
            <w:tcBorders>
              <w:top w:val="nil"/>
              <w:left w:val="nil"/>
              <w:bottom w:val="nil"/>
              <w:right w:val="nil"/>
            </w:tcBorders>
            <w:shd w:val="clear" w:color="auto" w:fill="auto"/>
            <w:vAlign w:val="center"/>
            <w:hideMark/>
          </w:tcPr>
          <w:p w14:paraId="2E810F28"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282F4D78"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3" w:type="pct"/>
            <w:tcBorders>
              <w:top w:val="nil"/>
              <w:left w:val="nil"/>
              <w:bottom w:val="nil"/>
              <w:right w:val="nil"/>
            </w:tcBorders>
            <w:shd w:val="clear" w:color="auto" w:fill="auto"/>
            <w:vAlign w:val="center"/>
            <w:hideMark/>
          </w:tcPr>
          <w:p w14:paraId="39BBC990"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7430726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01A1B22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333B9E97"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113FD157"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584EA459"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5C03D331"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206FAB82" w14:textId="77777777" w:rsidTr="0048630B">
        <w:trPr>
          <w:trHeight w:val="283"/>
        </w:trPr>
        <w:tc>
          <w:tcPr>
            <w:tcW w:w="544" w:type="pct"/>
            <w:tcBorders>
              <w:top w:val="nil"/>
              <w:left w:val="nil"/>
              <w:bottom w:val="nil"/>
              <w:right w:val="nil"/>
            </w:tcBorders>
            <w:shd w:val="clear" w:color="auto" w:fill="auto"/>
            <w:noWrap/>
            <w:vAlign w:val="center"/>
            <w:hideMark/>
          </w:tcPr>
          <w:p w14:paraId="73968E8F" w14:textId="2D457CAE" w:rsidR="00E574BE" w:rsidRPr="00357722" w:rsidRDefault="00403D2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DCPGDP</w:t>
            </w:r>
            <w:r w:rsidRPr="00357722">
              <w:rPr>
                <w:rFonts w:ascii="Times New Roman" w:eastAsia="Times New Roman" w:hAnsi="Times New Roman" w:cs="Times New Roman"/>
                <w:color w:val="000000"/>
                <w:sz w:val="18"/>
                <w:szCs w:val="18"/>
              </w:rPr>
              <w:t xml:space="preserve"> </w:t>
            </w:r>
            <w:r w:rsidR="00E574BE" w:rsidRPr="00357722">
              <w:rPr>
                <w:rFonts w:ascii="Times New Roman" w:eastAsia="Times New Roman" w:hAnsi="Times New Roman" w:cs="Times New Roman"/>
                <w:color w:val="000000"/>
                <w:sz w:val="18"/>
                <w:szCs w:val="18"/>
              </w:rPr>
              <w:t>(3)</w:t>
            </w:r>
          </w:p>
        </w:tc>
        <w:tc>
          <w:tcPr>
            <w:tcW w:w="286" w:type="pct"/>
            <w:tcBorders>
              <w:top w:val="nil"/>
              <w:left w:val="nil"/>
              <w:bottom w:val="nil"/>
              <w:right w:val="nil"/>
            </w:tcBorders>
            <w:shd w:val="clear" w:color="auto" w:fill="auto"/>
            <w:vAlign w:val="center"/>
            <w:hideMark/>
          </w:tcPr>
          <w:p w14:paraId="71E80C2B"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0.64</w:t>
            </w:r>
          </w:p>
        </w:tc>
        <w:tc>
          <w:tcPr>
            <w:tcW w:w="244" w:type="pct"/>
            <w:tcBorders>
              <w:top w:val="nil"/>
              <w:left w:val="nil"/>
              <w:bottom w:val="nil"/>
              <w:right w:val="nil"/>
            </w:tcBorders>
            <w:shd w:val="clear" w:color="auto" w:fill="auto"/>
            <w:vAlign w:val="center"/>
            <w:hideMark/>
          </w:tcPr>
          <w:p w14:paraId="6E27B026"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0.96</w:t>
            </w:r>
          </w:p>
        </w:tc>
        <w:tc>
          <w:tcPr>
            <w:tcW w:w="267" w:type="pct"/>
            <w:tcBorders>
              <w:top w:val="nil"/>
              <w:left w:val="nil"/>
              <w:bottom w:val="nil"/>
              <w:right w:val="nil"/>
            </w:tcBorders>
            <w:shd w:val="clear" w:color="auto" w:fill="auto"/>
            <w:vAlign w:val="center"/>
            <w:hideMark/>
          </w:tcPr>
          <w:p w14:paraId="039D9C9E"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67" w:type="pct"/>
            <w:tcBorders>
              <w:top w:val="nil"/>
              <w:left w:val="nil"/>
              <w:bottom w:val="nil"/>
              <w:right w:val="nil"/>
            </w:tcBorders>
            <w:shd w:val="clear" w:color="auto" w:fill="auto"/>
            <w:vAlign w:val="center"/>
            <w:hideMark/>
          </w:tcPr>
          <w:p w14:paraId="508E01C9"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44" w:type="pct"/>
            <w:tcBorders>
              <w:top w:val="nil"/>
              <w:left w:val="nil"/>
              <w:bottom w:val="nil"/>
              <w:right w:val="nil"/>
            </w:tcBorders>
            <w:shd w:val="clear" w:color="auto" w:fill="auto"/>
            <w:vAlign w:val="center"/>
            <w:hideMark/>
          </w:tcPr>
          <w:p w14:paraId="72E7522F"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1" w:type="pct"/>
            <w:tcBorders>
              <w:top w:val="nil"/>
              <w:left w:val="nil"/>
              <w:bottom w:val="nil"/>
              <w:right w:val="nil"/>
            </w:tcBorders>
            <w:shd w:val="clear" w:color="auto" w:fill="auto"/>
            <w:vAlign w:val="center"/>
            <w:hideMark/>
          </w:tcPr>
          <w:p w14:paraId="2F48D0EF"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7" w:type="pct"/>
            <w:tcBorders>
              <w:top w:val="nil"/>
              <w:left w:val="nil"/>
              <w:bottom w:val="nil"/>
              <w:right w:val="nil"/>
            </w:tcBorders>
            <w:shd w:val="clear" w:color="auto" w:fill="auto"/>
            <w:vAlign w:val="center"/>
            <w:hideMark/>
          </w:tcPr>
          <w:p w14:paraId="17841E0B"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69" w:type="pct"/>
            <w:tcBorders>
              <w:top w:val="nil"/>
              <w:left w:val="nil"/>
              <w:bottom w:val="nil"/>
              <w:right w:val="nil"/>
            </w:tcBorders>
            <w:shd w:val="clear" w:color="auto" w:fill="auto"/>
            <w:vAlign w:val="center"/>
            <w:hideMark/>
          </w:tcPr>
          <w:p w14:paraId="42814ED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75BA1C1D"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3" w:type="pct"/>
            <w:tcBorders>
              <w:top w:val="nil"/>
              <w:left w:val="nil"/>
              <w:bottom w:val="nil"/>
              <w:right w:val="nil"/>
            </w:tcBorders>
            <w:shd w:val="clear" w:color="auto" w:fill="auto"/>
            <w:vAlign w:val="center"/>
            <w:hideMark/>
          </w:tcPr>
          <w:p w14:paraId="7FD5837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3D213AAE"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3ED505F2"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0D51DB80"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185E750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7ABC3181"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20C4294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29E8347E" w14:textId="77777777" w:rsidTr="0048630B">
        <w:trPr>
          <w:trHeight w:val="283"/>
        </w:trPr>
        <w:tc>
          <w:tcPr>
            <w:tcW w:w="544" w:type="pct"/>
            <w:tcBorders>
              <w:top w:val="nil"/>
              <w:left w:val="nil"/>
              <w:bottom w:val="nil"/>
              <w:right w:val="nil"/>
            </w:tcBorders>
            <w:shd w:val="clear" w:color="auto" w:fill="auto"/>
            <w:noWrap/>
            <w:vAlign w:val="center"/>
            <w:hideMark/>
          </w:tcPr>
          <w:p w14:paraId="77136E98"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CBT (4)</w:t>
            </w:r>
          </w:p>
        </w:tc>
        <w:tc>
          <w:tcPr>
            <w:tcW w:w="286" w:type="pct"/>
            <w:tcBorders>
              <w:top w:val="nil"/>
              <w:left w:val="nil"/>
              <w:bottom w:val="nil"/>
              <w:right w:val="nil"/>
            </w:tcBorders>
            <w:shd w:val="clear" w:color="auto" w:fill="auto"/>
            <w:vAlign w:val="center"/>
            <w:hideMark/>
          </w:tcPr>
          <w:p w14:paraId="3F86AB4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0.22</w:t>
            </w:r>
          </w:p>
        </w:tc>
        <w:tc>
          <w:tcPr>
            <w:tcW w:w="244" w:type="pct"/>
            <w:tcBorders>
              <w:top w:val="nil"/>
              <w:left w:val="nil"/>
              <w:bottom w:val="nil"/>
              <w:right w:val="nil"/>
            </w:tcBorders>
            <w:shd w:val="clear" w:color="auto" w:fill="auto"/>
            <w:vAlign w:val="center"/>
            <w:hideMark/>
          </w:tcPr>
          <w:p w14:paraId="2C66094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0.46</w:t>
            </w:r>
          </w:p>
        </w:tc>
        <w:tc>
          <w:tcPr>
            <w:tcW w:w="267" w:type="pct"/>
            <w:tcBorders>
              <w:top w:val="nil"/>
              <w:left w:val="nil"/>
              <w:bottom w:val="nil"/>
              <w:right w:val="nil"/>
            </w:tcBorders>
            <w:shd w:val="clear" w:color="auto" w:fill="auto"/>
            <w:vAlign w:val="center"/>
            <w:hideMark/>
          </w:tcPr>
          <w:p w14:paraId="617EC90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0.41</w:t>
            </w:r>
          </w:p>
        </w:tc>
        <w:tc>
          <w:tcPr>
            <w:tcW w:w="267" w:type="pct"/>
            <w:tcBorders>
              <w:top w:val="nil"/>
              <w:left w:val="nil"/>
              <w:bottom w:val="nil"/>
              <w:right w:val="nil"/>
            </w:tcBorders>
            <w:shd w:val="clear" w:color="auto" w:fill="auto"/>
            <w:vAlign w:val="center"/>
            <w:hideMark/>
          </w:tcPr>
          <w:p w14:paraId="57F1E788"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44" w:type="pct"/>
            <w:tcBorders>
              <w:top w:val="nil"/>
              <w:left w:val="nil"/>
              <w:bottom w:val="nil"/>
              <w:right w:val="nil"/>
            </w:tcBorders>
            <w:shd w:val="clear" w:color="auto" w:fill="auto"/>
            <w:vAlign w:val="center"/>
            <w:hideMark/>
          </w:tcPr>
          <w:p w14:paraId="764C20C6"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51" w:type="pct"/>
            <w:tcBorders>
              <w:top w:val="nil"/>
              <w:left w:val="nil"/>
              <w:bottom w:val="nil"/>
              <w:right w:val="nil"/>
            </w:tcBorders>
            <w:shd w:val="clear" w:color="auto" w:fill="auto"/>
            <w:vAlign w:val="center"/>
            <w:hideMark/>
          </w:tcPr>
          <w:p w14:paraId="619239FF"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7" w:type="pct"/>
            <w:tcBorders>
              <w:top w:val="nil"/>
              <w:left w:val="nil"/>
              <w:bottom w:val="nil"/>
              <w:right w:val="nil"/>
            </w:tcBorders>
            <w:shd w:val="clear" w:color="auto" w:fill="auto"/>
            <w:vAlign w:val="center"/>
            <w:hideMark/>
          </w:tcPr>
          <w:p w14:paraId="41C7E56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69" w:type="pct"/>
            <w:tcBorders>
              <w:top w:val="nil"/>
              <w:left w:val="nil"/>
              <w:bottom w:val="nil"/>
              <w:right w:val="nil"/>
            </w:tcBorders>
            <w:shd w:val="clear" w:color="auto" w:fill="auto"/>
            <w:vAlign w:val="center"/>
            <w:hideMark/>
          </w:tcPr>
          <w:p w14:paraId="2CB833E7"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31ABE11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3" w:type="pct"/>
            <w:tcBorders>
              <w:top w:val="nil"/>
              <w:left w:val="nil"/>
              <w:bottom w:val="nil"/>
              <w:right w:val="nil"/>
            </w:tcBorders>
            <w:shd w:val="clear" w:color="auto" w:fill="auto"/>
            <w:vAlign w:val="center"/>
            <w:hideMark/>
          </w:tcPr>
          <w:p w14:paraId="29E6DD5D"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18C7007F"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256AB518"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09B232F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1459C7A9"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534D4C0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576A73C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3F1F677E" w14:textId="77777777" w:rsidTr="0048630B">
        <w:trPr>
          <w:trHeight w:val="283"/>
        </w:trPr>
        <w:tc>
          <w:tcPr>
            <w:tcW w:w="544" w:type="pct"/>
            <w:tcBorders>
              <w:top w:val="nil"/>
              <w:left w:val="nil"/>
              <w:bottom w:val="nil"/>
              <w:right w:val="nil"/>
            </w:tcBorders>
            <w:shd w:val="clear" w:color="auto" w:fill="auto"/>
            <w:noWrap/>
            <w:vAlign w:val="center"/>
            <w:hideMark/>
          </w:tcPr>
          <w:p w14:paraId="4C329D24" w14:textId="459E82FC" w:rsidR="00DB457E" w:rsidRPr="00357722" w:rsidRDefault="00DB457E" w:rsidP="00DB457E">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EF (5)</w:t>
            </w:r>
          </w:p>
        </w:tc>
        <w:tc>
          <w:tcPr>
            <w:tcW w:w="286" w:type="pct"/>
            <w:tcBorders>
              <w:top w:val="nil"/>
              <w:left w:val="nil"/>
              <w:bottom w:val="nil"/>
              <w:right w:val="nil"/>
            </w:tcBorders>
            <w:shd w:val="clear" w:color="auto" w:fill="auto"/>
            <w:vAlign w:val="center"/>
            <w:hideMark/>
          </w:tcPr>
          <w:p w14:paraId="4CC33FF9" w14:textId="2F1E733D" w:rsidR="00DB457E" w:rsidRPr="00357722" w:rsidRDefault="00DB457E" w:rsidP="00DB457E">
            <w:pPr>
              <w:spacing w:after="0" w:line="480" w:lineRule="auto"/>
              <w:jc w:val="both"/>
              <w:rPr>
                <w:rFonts w:ascii="Times New Roman" w:eastAsia="Times New Roman" w:hAnsi="Times New Roman" w:cs="Times New Roman"/>
                <w:b/>
                <w:bCs/>
                <w:color w:val="000000"/>
                <w:sz w:val="18"/>
                <w:szCs w:val="18"/>
              </w:rPr>
            </w:pPr>
            <w:r w:rsidRPr="00357722">
              <w:rPr>
                <w:b/>
                <w:bCs/>
                <w:color w:val="000000"/>
                <w:sz w:val="18"/>
                <w:szCs w:val="18"/>
              </w:rPr>
              <w:t>0.46</w:t>
            </w:r>
          </w:p>
        </w:tc>
        <w:tc>
          <w:tcPr>
            <w:tcW w:w="244" w:type="pct"/>
            <w:tcBorders>
              <w:top w:val="nil"/>
              <w:left w:val="nil"/>
              <w:bottom w:val="nil"/>
              <w:right w:val="nil"/>
            </w:tcBorders>
            <w:shd w:val="clear" w:color="auto" w:fill="auto"/>
            <w:vAlign w:val="center"/>
            <w:hideMark/>
          </w:tcPr>
          <w:p w14:paraId="797A21C0" w14:textId="3E37BA96" w:rsidR="00DB457E" w:rsidRPr="00357722" w:rsidRDefault="00DB457E" w:rsidP="00DB457E">
            <w:pPr>
              <w:spacing w:after="0" w:line="480" w:lineRule="auto"/>
              <w:jc w:val="both"/>
              <w:rPr>
                <w:rFonts w:ascii="Times New Roman" w:eastAsia="Times New Roman" w:hAnsi="Times New Roman" w:cs="Times New Roman"/>
                <w:b/>
                <w:bCs/>
                <w:color w:val="000000"/>
                <w:sz w:val="18"/>
                <w:szCs w:val="18"/>
              </w:rPr>
            </w:pPr>
            <w:r w:rsidRPr="00357722">
              <w:rPr>
                <w:b/>
                <w:bCs/>
                <w:color w:val="000000"/>
                <w:sz w:val="18"/>
                <w:szCs w:val="18"/>
              </w:rPr>
              <w:t>0.52</w:t>
            </w:r>
          </w:p>
        </w:tc>
        <w:tc>
          <w:tcPr>
            <w:tcW w:w="267" w:type="pct"/>
            <w:tcBorders>
              <w:top w:val="nil"/>
              <w:left w:val="nil"/>
              <w:bottom w:val="nil"/>
              <w:right w:val="nil"/>
            </w:tcBorders>
            <w:shd w:val="clear" w:color="auto" w:fill="auto"/>
            <w:vAlign w:val="center"/>
            <w:hideMark/>
          </w:tcPr>
          <w:p w14:paraId="5D6DAAF9" w14:textId="7AFDD4A5" w:rsidR="00DB457E" w:rsidRPr="00357722" w:rsidRDefault="00DB457E" w:rsidP="00DB457E">
            <w:pPr>
              <w:spacing w:after="0" w:line="480" w:lineRule="auto"/>
              <w:jc w:val="both"/>
              <w:rPr>
                <w:rFonts w:ascii="Times New Roman" w:eastAsia="Times New Roman" w:hAnsi="Times New Roman" w:cs="Times New Roman"/>
                <w:b/>
                <w:bCs/>
                <w:color w:val="000000"/>
                <w:sz w:val="18"/>
                <w:szCs w:val="18"/>
              </w:rPr>
            </w:pPr>
            <w:r w:rsidRPr="00357722">
              <w:rPr>
                <w:b/>
                <w:bCs/>
                <w:color w:val="000000"/>
                <w:sz w:val="18"/>
                <w:szCs w:val="18"/>
              </w:rPr>
              <w:t>0.50</w:t>
            </w:r>
          </w:p>
        </w:tc>
        <w:tc>
          <w:tcPr>
            <w:tcW w:w="267" w:type="pct"/>
            <w:tcBorders>
              <w:top w:val="nil"/>
              <w:left w:val="nil"/>
              <w:bottom w:val="nil"/>
              <w:right w:val="nil"/>
            </w:tcBorders>
            <w:shd w:val="clear" w:color="auto" w:fill="auto"/>
            <w:vAlign w:val="center"/>
            <w:hideMark/>
          </w:tcPr>
          <w:p w14:paraId="534505C5" w14:textId="76D3BB12" w:rsidR="00DB457E" w:rsidRPr="00357722" w:rsidRDefault="00DB457E" w:rsidP="00DB457E">
            <w:pPr>
              <w:spacing w:after="0" w:line="480" w:lineRule="auto"/>
              <w:jc w:val="both"/>
              <w:rPr>
                <w:rFonts w:ascii="Times New Roman" w:eastAsia="Times New Roman" w:hAnsi="Times New Roman" w:cs="Times New Roman"/>
                <w:b/>
                <w:bCs/>
                <w:color w:val="000000"/>
                <w:sz w:val="18"/>
                <w:szCs w:val="18"/>
              </w:rPr>
            </w:pPr>
            <w:r w:rsidRPr="00357722">
              <w:rPr>
                <w:b/>
                <w:bCs/>
                <w:color w:val="000000"/>
                <w:sz w:val="18"/>
                <w:szCs w:val="18"/>
              </w:rPr>
              <w:t>0.34</w:t>
            </w:r>
          </w:p>
        </w:tc>
        <w:tc>
          <w:tcPr>
            <w:tcW w:w="244" w:type="pct"/>
            <w:tcBorders>
              <w:top w:val="nil"/>
              <w:left w:val="nil"/>
              <w:bottom w:val="nil"/>
              <w:right w:val="nil"/>
            </w:tcBorders>
            <w:shd w:val="clear" w:color="auto" w:fill="auto"/>
            <w:vAlign w:val="center"/>
            <w:hideMark/>
          </w:tcPr>
          <w:p w14:paraId="19FB4550" w14:textId="77777777" w:rsidR="00DB457E" w:rsidRPr="00357722" w:rsidRDefault="00DB457E" w:rsidP="00DB457E">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51" w:type="pct"/>
            <w:tcBorders>
              <w:top w:val="nil"/>
              <w:left w:val="nil"/>
              <w:bottom w:val="nil"/>
              <w:right w:val="nil"/>
            </w:tcBorders>
            <w:shd w:val="clear" w:color="auto" w:fill="auto"/>
            <w:vAlign w:val="center"/>
            <w:hideMark/>
          </w:tcPr>
          <w:p w14:paraId="579ED35F" w14:textId="77777777" w:rsidR="00DB457E" w:rsidRPr="00357722" w:rsidRDefault="00DB457E" w:rsidP="00DB457E">
            <w:pPr>
              <w:spacing w:after="0" w:line="480" w:lineRule="auto"/>
              <w:jc w:val="both"/>
              <w:rPr>
                <w:rFonts w:ascii="Times New Roman" w:eastAsia="Times New Roman" w:hAnsi="Times New Roman" w:cs="Times New Roman"/>
                <w:color w:val="000000"/>
                <w:sz w:val="18"/>
                <w:szCs w:val="18"/>
              </w:rPr>
            </w:pPr>
          </w:p>
        </w:tc>
        <w:tc>
          <w:tcPr>
            <w:tcW w:w="297" w:type="pct"/>
            <w:tcBorders>
              <w:top w:val="nil"/>
              <w:left w:val="nil"/>
              <w:bottom w:val="nil"/>
              <w:right w:val="nil"/>
            </w:tcBorders>
            <w:shd w:val="clear" w:color="auto" w:fill="auto"/>
            <w:vAlign w:val="center"/>
            <w:hideMark/>
          </w:tcPr>
          <w:p w14:paraId="031FBE07"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69" w:type="pct"/>
            <w:tcBorders>
              <w:top w:val="nil"/>
              <w:left w:val="nil"/>
              <w:bottom w:val="nil"/>
              <w:right w:val="nil"/>
            </w:tcBorders>
            <w:shd w:val="clear" w:color="auto" w:fill="auto"/>
            <w:vAlign w:val="center"/>
            <w:hideMark/>
          </w:tcPr>
          <w:p w14:paraId="73C9D633"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212B638F"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93" w:type="pct"/>
            <w:tcBorders>
              <w:top w:val="nil"/>
              <w:left w:val="nil"/>
              <w:bottom w:val="nil"/>
              <w:right w:val="nil"/>
            </w:tcBorders>
            <w:shd w:val="clear" w:color="auto" w:fill="auto"/>
            <w:vAlign w:val="center"/>
            <w:hideMark/>
          </w:tcPr>
          <w:p w14:paraId="18972743"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79CA05A9"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564819CE"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2712E5F4"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1B0C8D9F"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4BA1C748"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1866E9AE" w14:textId="77777777" w:rsidR="00DB457E" w:rsidRPr="00357722" w:rsidRDefault="00DB457E" w:rsidP="00DB457E">
            <w:pPr>
              <w:spacing w:after="0" w:line="480" w:lineRule="auto"/>
              <w:jc w:val="both"/>
              <w:rPr>
                <w:rFonts w:ascii="Times New Roman" w:eastAsia="Times New Roman" w:hAnsi="Times New Roman" w:cs="Times New Roman"/>
                <w:sz w:val="18"/>
                <w:szCs w:val="18"/>
              </w:rPr>
            </w:pPr>
          </w:p>
        </w:tc>
      </w:tr>
      <w:tr w:rsidR="0048630B" w:rsidRPr="00357722" w14:paraId="14C82DB8" w14:textId="77777777" w:rsidTr="0048630B">
        <w:trPr>
          <w:trHeight w:val="283"/>
        </w:trPr>
        <w:tc>
          <w:tcPr>
            <w:tcW w:w="544" w:type="pct"/>
            <w:tcBorders>
              <w:top w:val="nil"/>
              <w:left w:val="nil"/>
              <w:bottom w:val="nil"/>
              <w:right w:val="nil"/>
            </w:tcBorders>
            <w:shd w:val="clear" w:color="auto" w:fill="auto"/>
            <w:noWrap/>
            <w:vAlign w:val="center"/>
            <w:hideMark/>
          </w:tcPr>
          <w:p w14:paraId="32D217DA" w14:textId="0196A6B6" w:rsidR="00E574BE" w:rsidRPr="00357722" w:rsidRDefault="00403D2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IEPD</w:t>
            </w:r>
            <w:r w:rsidR="00E574BE" w:rsidRPr="00357722">
              <w:rPr>
                <w:rFonts w:ascii="Times New Roman" w:eastAsia="Times New Roman" w:hAnsi="Times New Roman" w:cs="Times New Roman"/>
                <w:color w:val="000000"/>
                <w:sz w:val="18"/>
                <w:szCs w:val="18"/>
              </w:rPr>
              <w:t xml:space="preserve"> (6)</w:t>
            </w:r>
          </w:p>
        </w:tc>
        <w:tc>
          <w:tcPr>
            <w:tcW w:w="286" w:type="pct"/>
            <w:tcBorders>
              <w:top w:val="nil"/>
              <w:left w:val="nil"/>
              <w:bottom w:val="nil"/>
              <w:right w:val="nil"/>
            </w:tcBorders>
            <w:shd w:val="clear" w:color="auto" w:fill="auto"/>
            <w:noWrap/>
            <w:vAlign w:val="center"/>
            <w:hideMark/>
          </w:tcPr>
          <w:p w14:paraId="40E9E02F"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0.57</w:t>
            </w:r>
          </w:p>
        </w:tc>
        <w:tc>
          <w:tcPr>
            <w:tcW w:w="244" w:type="pct"/>
            <w:tcBorders>
              <w:top w:val="nil"/>
              <w:left w:val="nil"/>
              <w:bottom w:val="nil"/>
              <w:right w:val="nil"/>
            </w:tcBorders>
            <w:shd w:val="clear" w:color="auto" w:fill="auto"/>
            <w:noWrap/>
            <w:vAlign w:val="center"/>
            <w:hideMark/>
          </w:tcPr>
          <w:p w14:paraId="674A4AA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0.73</w:t>
            </w:r>
          </w:p>
        </w:tc>
        <w:tc>
          <w:tcPr>
            <w:tcW w:w="267" w:type="pct"/>
            <w:tcBorders>
              <w:top w:val="nil"/>
              <w:left w:val="nil"/>
              <w:bottom w:val="nil"/>
              <w:right w:val="nil"/>
            </w:tcBorders>
            <w:shd w:val="clear" w:color="auto" w:fill="auto"/>
            <w:noWrap/>
            <w:vAlign w:val="center"/>
            <w:hideMark/>
          </w:tcPr>
          <w:p w14:paraId="281FECB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0.71</w:t>
            </w:r>
          </w:p>
        </w:tc>
        <w:tc>
          <w:tcPr>
            <w:tcW w:w="267" w:type="pct"/>
            <w:tcBorders>
              <w:top w:val="nil"/>
              <w:left w:val="nil"/>
              <w:bottom w:val="nil"/>
              <w:right w:val="nil"/>
            </w:tcBorders>
            <w:shd w:val="clear" w:color="auto" w:fill="auto"/>
            <w:noWrap/>
            <w:vAlign w:val="center"/>
            <w:hideMark/>
          </w:tcPr>
          <w:p w14:paraId="6BC9442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0.59</w:t>
            </w:r>
          </w:p>
        </w:tc>
        <w:tc>
          <w:tcPr>
            <w:tcW w:w="244" w:type="pct"/>
            <w:tcBorders>
              <w:top w:val="nil"/>
              <w:left w:val="nil"/>
              <w:bottom w:val="nil"/>
              <w:right w:val="nil"/>
            </w:tcBorders>
            <w:shd w:val="clear" w:color="auto" w:fill="auto"/>
            <w:vAlign w:val="center"/>
            <w:hideMark/>
          </w:tcPr>
          <w:p w14:paraId="234983C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0.74</w:t>
            </w:r>
          </w:p>
        </w:tc>
        <w:tc>
          <w:tcPr>
            <w:tcW w:w="251" w:type="pct"/>
            <w:tcBorders>
              <w:top w:val="nil"/>
              <w:left w:val="nil"/>
              <w:bottom w:val="nil"/>
              <w:right w:val="nil"/>
            </w:tcBorders>
            <w:shd w:val="clear" w:color="auto" w:fill="auto"/>
            <w:vAlign w:val="center"/>
            <w:hideMark/>
          </w:tcPr>
          <w:p w14:paraId="56517F39"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97" w:type="pct"/>
            <w:tcBorders>
              <w:top w:val="nil"/>
              <w:left w:val="nil"/>
              <w:bottom w:val="nil"/>
              <w:right w:val="nil"/>
            </w:tcBorders>
            <w:shd w:val="clear" w:color="auto" w:fill="auto"/>
            <w:vAlign w:val="center"/>
            <w:hideMark/>
          </w:tcPr>
          <w:p w14:paraId="0F8A994F"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69" w:type="pct"/>
            <w:tcBorders>
              <w:top w:val="nil"/>
              <w:left w:val="nil"/>
              <w:bottom w:val="nil"/>
              <w:right w:val="nil"/>
            </w:tcBorders>
            <w:shd w:val="clear" w:color="auto" w:fill="auto"/>
            <w:vAlign w:val="center"/>
            <w:hideMark/>
          </w:tcPr>
          <w:p w14:paraId="532818E1"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444F5DE2"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3" w:type="pct"/>
            <w:tcBorders>
              <w:top w:val="nil"/>
              <w:left w:val="nil"/>
              <w:bottom w:val="nil"/>
              <w:right w:val="nil"/>
            </w:tcBorders>
            <w:shd w:val="clear" w:color="auto" w:fill="auto"/>
            <w:vAlign w:val="center"/>
            <w:hideMark/>
          </w:tcPr>
          <w:p w14:paraId="33D18164"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075DAE7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2FFA3271"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2C6DE98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0FA496AB"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3834E18F"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5FBDF0B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3E6CB659" w14:textId="77777777" w:rsidTr="0048630B">
        <w:trPr>
          <w:trHeight w:val="283"/>
        </w:trPr>
        <w:tc>
          <w:tcPr>
            <w:tcW w:w="544" w:type="pct"/>
            <w:tcBorders>
              <w:top w:val="nil"/>
              <w:left w:val="nil"/>
              <w:bottom w:val="nil"/>
              <w:right w:val="nil"/>
            </w:tcBorders>
            <w:shd w:val="clear" w:color="auto" w:fill="auto"/>
            <w:noWrap/>
            <w:vAlign w:val="center"/>
            <w:hideMark/>
          </w:tcPr>
          <w:p w14:paraId="5E8E96C7" w14:textId="33BC8891" w:rsidR="00E574BE" w:rsidRPr="00357722" w:rsidRDefault="008857A2"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FSDGDP</w:t>
            </w:r>
            <w:r w:rsidR="00E574BE" w:rsidRPr="00357722">
              <w:rPr>
                <w:rFonts w:ascii="Times New Roman" w:eastAsia="Times New Roman" w:hAnsi="Times New Roman" w:cs="Times New Roman"/>
                <w:color w:val="000000"/>
                <w:sz w:val="18"/>
                <w:szCs w:val="18"/>
              </w:rPr>
              <w:t xml:space="preserve"> (7)</w:t>
            </w:r>
          </w:p>
        </w:tc>
        <w:tc>
          <w:tcPr>
            <w:tcW w:w="286" w:type="pct"/>
            <w:tcBorders>
              <w:top w:val="nil"/>
              <w:left w:val="nil"/>
              <w:bottom w:val="nil"/>
              <w:right w:val="nil"/>
            </w:tcBorders>
            <w:shd w:val="clear" w:color="auto" w:fill="auto"/>
            <w:noWrap/>
            <w:vAlign w:val="center"/>
            <w:hideMark/>
          </w:tcPr>
          <w:p w14:paraId="1F3B2D35"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0.55</w:t>
            </w:r>
          </w:p>
        </w:tc>
        <w:tc>
          <w:tcPr>
            <w:tcW w:w="244" w:type="pct"/>
            <w:tcBorders>
              <w:top w:val="nil"/>
              <w:left w:val="nil"/>
              <w:bottom w:val="nil"/>
              <w:right w:val="nil"/>
            </w:tcBorders>
            <w:shd w:val="clear" w:color="auto" w:fill="auto"/>
            <w:noWrap/>
            <w:vAlign w:val="center"/>
            <w:hideMark/>
          </w:tcPr>
          <w:p w14:paraId="3C4206B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0.62</w:t>
            </w:r>
          </w:p>
        </w:tc>
        <w:tc>
          <w:tcPr>
            <w:tcW w:w="267" w:type="pct"/>
            <w:tcBorders>
              <w:top w:val="nil"/>
              <w:left w:val="nil"/>
              <w:bottom w:val="nil"/>
              <w:right w:val="nil"/>
            </w:tcBorders>
            <w:shd w:val="clear" w:color="auto" w:fill="auto"/>
            <w:noWrap/>
            <w:vAlign w:val="center"/>
            <w:hideMark/>
          </w:tcPr>
          <w:p w14:paraId="4C08B116"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0.59</w:t>
            </w:r>
          </w:p>
        </w:tc>
        <w:tc>
          <w:tcPr>
            <w:tcW w:w="267" w:type="pct"/>
            <w:tcBorders>
              <w:top w:val="nil"/>
              <w:left w:val="nil"/>
              <w:bottom w:val="nil"/>
              <w:right w:val="nil"/>
            </w:tcBorders>
            <w:shd w:val="clear" w:color="auto" w:fill="auto"/>
            <w:noWrap/>
            <w:vAlign w:val="center"/>
            <w:hideMark/>
          </w:tcPr>
          <w:p w14:paraId="047E7695"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0.24</w:t>
            </w:r>
          </w:p>
        </w:tc>
        <w:tc>
          <w:tcPr>
            <w:tcW w:w="244" w:type="pct"/>
            <w:tcBorders>
              <w:top w:val="nil"/>
              <w:left w:val="nil"/>
              <w:bottom w:val="nil"/>
              <w:right w:val="nil"/>
            </w:tcBorders>
            <w:shd w:val="clear" w:color="auto" w:fill="auto"/>
            <w:vAlign w:val="center"/>
            <w:hideMark/>
          </w:tcPr>
          <w:p w14:paraId="0297E097"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0.47</w:t>
            </w:r>
          </w:p>
        </w:tc>
        <w:tc>
          <w:tcPr>
            <w:tcW w:w="251" w:type="pct"/>
            <w:tcBorders>
              <w:top w:val="nil"/>
              <w:left w:val="nil"/>
              <w:bottom w:val="nil"/>
              <w:right w:val="nil"/>
            </w:tcBorders>
            <w:shd w:val="clear" w:color="auto" w:fill="auto"/>
            <w:vAlign w:val="center"/>
            <w:hideMark/>
          </w:tcPr>
          <w:p w14:paraId="178FA5A6"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w:t>
            </w:r>
          </w:p>
        </w:tc>
        <w:tc>
          <w:tcPr>
            <w:tcW w:w="297" w:type="pct"/>
            <w:tcBorders>
              <w:top w:val="nil"/>
              <w:left w:val="nil"/>
              <w:bottom w:val="nil"/>
              <w:right w:val="nil"/>
            </w:tcBorders>
            <w:shd w:val="clear" w:color="auto" w:fill="auto"/>
            <w:vAlign w:val="center"/>
            <w:hideMark/>
          </w:tcPr>
          <w:p w14:paraId="7CD28BE6"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69" w:type="pct"/>
            <w:tcBorders>
              <w:top w:val="nil"/>
              <w:left w:val="nil"/>
              <w:bottom w:val="nil"/>
              <w:right w:val="nil"/>
            </w:tcBorders>
            <w:shd w:val="clear" w:color="auto" w:fill="auto"/>
            <w:vAlign w:val="center"/>
            <w:hideMark/>
          </w:tcPr>
          <w:p w14:paraId="344DE90C"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98" w:type="pct"/>
            <w:tcBorders>
              <w:top w:val="nil"/>
              <w:left w:val="nil"/>
              <w:bottom w:val="nil"/>
              <w:right w:val="nil"/>
            </w:tcBorders>
            <w:shd w:val="clear" w:color="auto" w:fill="auto"/>
            <w:vAlign w:val="center"/>
            <w:hideMark/>
          </w:tcPr>
          <w:p w14:paraId="2BF239D1"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3" w:type="pct"/>
            <w:tcBorders>
              <w:top w:val="nil"/>
              <w:left w:val="nil"/>
              <w:bottom w:val="nil"/>
              <w:right w:val="nil"/>
            </w:tcBorders>
            <w:shd w:val="clear" w:color="auto" w:fill="auto"/>
            <w:vAlign w:val="center"/>
            <w:hideMark/>
          </w:tcPr>
          <w:p w14:paraId="06A0D33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62D34848"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5E88DC8E"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43820ABA"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6EE264EC"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7E46AC6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78505F80"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1E800964" w14:textId="77777777" w:rsidTr="0048630B">
        <w:trPr>
          <w:trHeight w:val="283"/>
        </w:trPr>
        <w:tc>
          <w:tcPr>
            <w:tcW w:w="544" w:type="pct"/>
            <w:tcBorders>
              <w:top w:val="nil"/>
              <w:left w:val="nil"/>
              <w:bottom w:val="nil"/>
              <w:right w:val="nil"/>
            </w:tcBorders>
            <w:shd w:val="clear" w:color="auto" w:fill="auto"/>
            <w:noWrap/>
            <w:vAlign w:val="center"/>
            <w:hideMark/>
          </w:tcPr>
          <w:p w14:paraId="6B9C501E"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FINOPEN (8)</w:t>
            </w:r>
          </w:p>
        </w:tc>
        <w:tc>
          <w:tcPr>
            <w:tcW w:w="286" w:type="pct"/>
            <w:tcBorders>
              <w:top w:val="nil"/>
              <w:left w:val="nil"/>
              <w:bottom w:val="nil"/>
              <w:right w:val="nil"/>
            </w:tcBorders>
            <w:shd w:val="clear" w:color="auto" w:fill="auto"/>
            <w:noWrap/>
            <w:vAlign w:val="center"/>
            <w:hideMark/>
          </w:tcPr>
          <w:p w14:paraId="66BA7C4B"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0.25</w:t>
            </w:r>
          </w:p>
        </w:tc>
        <w:tc>
          <w:tcPr>
            <w:tcW w:w="244" w:type="pct"/>
            <w:tcBorders>
              <w:top w:val="nil"/>
              <w:left w:val="nil"/>
              <w:bottom w:val="nil"/>
              <w:right w:val="nil"/>
            </w:tcBorders>
            <w:shd w:val="clear" w:color="auto" w:fill="auto"/>
            <w:noWrap/>
            <w:vAlign w:val="center"/>
            <w:hideMark/>
          </w:tcPr>
          <w:p w14:paraId="1B3F2A95"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0.47</w:t>
            </w:r>
          </w:p>
        </w:tc>
        <w:tc>
          <w:tcPr>
            <w:tcW w:w="267" w:type="pct"/>
            <w:tcBorders>
              <w:top w:val="nil"/>
              <w:left w:val="nil"/>
              <w:bottom w:val="nil"/>
              <w:right w:val="nil"/>
            </w:tcBorders>
            <w:shd w:val="clear" w:color="auto" w:fill="auto"/>
            <w:noWrap/>
            <w:vAlign w:val="center"/>
            <w:hideMark/>
          </w:tcPr>
          <w:p w14:paraId="615147BB"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0.42</w:t>
            </w:r>
          </w:p>
        </w:tc>
        <w:tc>
          <w:tcPr>
            <w:tcW w:w="267" w:type="pct"/>
            <w:tcBorders>
              <w:top w:val="nil"/>
              <w:left w:val="nil"/>
              <w:bottom w:val="nil"/>
              <w:right w:val="nil"/>
            </w:tcBorders>
            <w:shd w:val="clear" w:color="auto" w:fill="auto"/>
            <w:noWrap/>
            <w:vAlign w:val="center"/>
            <w:hideMark/>
          </w:tcPr>
          <w:p w14:paraId="0639B43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0.60</w:t>
            </w:r>
          </w:p>
        </w:tc>
        <w:tc>
          <w:tcPr>
            <w:tcW w:w="244" w:type="pct"/>
            <w:tcBorders>
              <w:top w:val="nil"/>
              <w:left w:val="nil"/>
              <w:bottom w:val="nil"/>
              <w:right w:val="nil"/>
            </w:tcBorders>
            <w:shd w:val="clear" w:color="auto" w:fill="auto"/>
            <w:vAlign w:val="center"/>
            <w:hideMark/>
          </w:tcPr>
          <w:p w14:paraId="6EC36F4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0.69</w:t>
            </w:r>
          </w:p>
        </w:tc>
        <w:tc>
          <w:tcPr>
            <w:tcW w:w="251" w:type="pct"/>
            <w:tcBorders>
              <w:top w:val="nil"/>
              <w:left w:val="nil"/>
              <w:bottom w:val="nil"/>
              <w:right w:val="nil"/>
            </w:tcBorders>
            <w:shd w:val="clear" w:color="auto" w:fill="auto"/>
            <w:vAlign w:val="center"/>
            <w:hideMark/>
          </w:tcPr>
          <w:p w14:paraId="5A91EE8F"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0.68</w:t>
            </w:r>
          </w:p>
        </w:tc>
        <w:tc>
          <w:tcPr>
            <w:tcW w:w="297" w:type="pct"/>
            <w:tcBorders>
              <w:top w:val="nil"/>
              <w:left w:val="nil"/>
              <w:bottom w:val="nil"/>
              <w:right w:val="nil"/>
            </w:tcBorders>
            <w:shd w:val="clear" w:color="auto" w:fill="auto"/>
            <w:vAlign w:val="center"/>
            <w:hideMark/>
          </w:tcPr>
          <w:p w14:paraId="2B79BB1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0.37</w:t>
            </w:r>
          </w:p>
        </w:tc>
        <w:tc>
          <w:tcPr>
            <w:tcW w:w="269" w:type="pct"/>
            <w:tcBorders>
              <w:top w:val="nil"/>
              <w:left w:val="nil"/>
              <w:bottom w:val="nil"/>
              <w:right w:val="nil"/>
            </w:tcBorders>
            <w:shd w:val="clear" w:color="auto" w:fill="auto"/>
            <w:vAlign w:val="center"/>
            <w:hideMark/>
          </w:tcPr>
          <w:p w14:paraId="780B44B5"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98" w:type="pct"/>
            <w:tcBorders>
              <w:top w:val="nil"/>
              <w:left w:val="nil"/>
              <w:bottom w:val="nil"/>
              <w:right w:val="nil"/>
            </w:tcBorders>
            <w:shd w:val="clear" w:color="auto" w:fill="auto"/>
            <w:vAlign w:val="center"/>
            <w:hideMark/>
          </w:tcPr>
          <w:p w14:paraId="6357CE69"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93" w:type="pct"/>
            <w:tcBorders>
              <w:top w:val="nil"/>
              <w:left w:val="nil"/>
              <w:bottom w:val="nil"/>
              <w:right w:val="nil"/>
            </w:tcBorders>
            <w:shd w:val="clear" w:color="auto" w:fill="auto"/>
            <w:vAlign w:val="center"/>
            <w:hideMark/>
          </w:tcPr>
          <w:p w14:paraId="3A967952"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41" w:type="pct"/>
            <w:tcBorders>
              <w:top w:val="nil"/>
              <w:left w:val="nil"/>
              <w:bottom w:val="nil"/>
              <w:right w:val="nil"/>
            </w:tcBorders>
            <w:shd w:val="clear" w:color="auto" w:fill="auto"/>
            <w:vAlign w:val="center"/>
            <w:hideMark/>
          </w:tcPr>
          <w:p w14:paraId="39B91D3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0DA2024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1B3DFB9E"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33EA9B1D"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4A4D82A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1A99EF5A"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6F9CF173" w14:textId="77777777" w:rsidTr="0048630B">
        <w:trPr>
          <w:trHeight w:val="283"/>
        </w:trPr>
        <w:tc>
          <w:tcPr>
            <w:tcW w:w="544" w:type="pct"/>
            <w:tcBorders>
              <w:top w:val="nil"/>
              <w:left w:val="nil"/>
              <w:bottom w:val="nil"/>
              <w:right w:val="nil"/>
            </w:tcBorders>
            <w:shd w:val="clear" w:color="auto" w:fill="auto"/>
            <w:noWrap/>
            <w:vAlign w:val="center"/>
            <w:hideMark/>
          </w:tcPr>
          <w:p w14:paraId="30F515EC"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LAWNO (9)</w:t>
            </w:r>
          </w:p>
        </w:tc>
        <w:tc>
          <w:tcPr>
            <w:tcW w:w="286" w:type="pct"/>
            <w:tcBorders>
              <w:top w:val="nil"/>
              <w:left w:val="nil"/>
              <w:bottom w:val="nil"/>
              <w:right w:val="nil"/>
            </w:tcBorders>
            <w:shd w:val="clear" w:color="auto" w:fill="auto"/>
            <w:noWrap/>
            <w:vAlign w:val="center"/>
            <w:hideMark/>
          </w:tcPr>
          <w:p w14:paraId="4556DB5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0.31</w:t>
            </w:r>
          </w:p>
        </w:tc>
        <w:tc>
          <w:tcPr>
            <w:tcW w:w="244" w:type="pct"/>
            <w:tcBorders>
              <w:top w:val="nil"/>
              <w:left w:val="nil"/>
              <w:bottom w:val="nil"/>
              <w:right w:val="nil"/>
            </w:tcBorders>
            <w:shd w:val="clear" w:color="auto" w:fill="auto"/>
            <w:noWrap/>
            <w:vAlign w:val="center"/>
            <w:hideMark/>
          </w:tcPr>
          <w:p w14:paraId="3029AC4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0.42</w:t>
            </w:r>
          </w:p>
        </w:tc>
        <w:tc>
          <w:tcPr>
            <w:tcW w:w="267" w:type="pct"/>
            <w:tcBorders>
              <w:top w:val="nil"/>
              <w:left w:val="nil"/>
              <w:bottom w:val="nil"/>
              <w:right w:val="nil"/>
            </w:tcBorders>
            <w:shd w:val="clear" w:color="auto" w:fill="auto"/>
            <w:noWrap/>
            <w:vAlign w:val="center"/>
            <w:hideMark/>
          </w:tcPr>
          <w:p w14:paraId="49C36D3F"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0.40</w:t>
            </w:r>
          </w:p>
        </w:tc>
        <w:tc>
          <w:tcPr>
            <w:tcW w:w="267" w:type="pct"/>
            <w:tcBorders>
              <w:top w:val="nil"/>
              <w:left w:val="nil"/>
              <w:bottom w:val="nil"/>
              <w:right w:val="nil"/>
            </w:tcBorders>
            <w:shd w:val="clear" w:color="auto" w:fill="auto"/>
            <w:noWrap/>
            <w:vAlign w:val="center"/>
            <w:hideMark/>
          </w:tcPr>
          <w:p w14:paraId="6942E5F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0.40</w:t>
            </w:r>
          </w:p>
        </w:tc>
        <w:tc>
          <w:tcPr>
            <w:tcW w:w="244" w:type="pct"/>
            <w:tcBorders>
              <w:top w:val="nil"/>
              <w:left w:val="nil"/>
              <w:bottom w:val="nil"/>
              <w:right w:val="nil"/>
            </w:tcBorders>
            <w:shd w:val="clear" w:color="auto" w:fill="auto"/>
            <w:vAlign w:val="center"/>
            <w:hideMark/>
          </w:tcPr>
          <w:p w14:paraId="467D645D" w14:textId="66EE98FF"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0.6</w:t>
            </w:r>
            <w:r w:rsidR="00CC22F8" w:rsidRPr="00357722">
              <w:rPr>
                <w:rFonts w:ascii="Times New Roman" w:eastAsia="Times New Roman" w:hAnsi="Times New Roman" w:cs="Times New Roman"/>
                <w:b/>
                <w:bCs/>
                <w:color w:val="000000"/>
                <w:sz w:val="18"/>
                <w:szCs w:val="18"/>
                <w:lang w:val="en-US"/>
              </w:rPr>
              <w:t>0</w:t>
            </w:r>
          </w:p>
        </w:tc>
        <w:tc>
          <w:tcPr>
            <w:tcW w:w="251" w:type="pct"/>
            <w:tcBorders>
              <w:top w:val="nil"/>
              <w:left w:val="nil"/>
              <w:bottom w:val="nil"/>
              <w:right w:val="nil"/>
            </w:tcBorders>
            <w:shd w:val="clear" w:color="auto" w:fill="auto"/>
            <w:vAlign w:val="center"/>
            <w:hideMark/>
          </w:tcPr>
          <w:p w14:paraId="538014A2"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w:t>
            </w:r>
          </w:p>
        </w:tc>
        <w:tc>
          <w:tcPr>
            <w:tcW w:w="297" w:type="pct"/>
            <w:tcBorders>
              <w:top w:val="nil"/>
              <w:left w:val="nil"/>
              <w:bottom w:val="nil"/>
              <w:right w:val="nil"/>
            </w:tcBorders>
            <w:shd w:val="clear" w:color="auto" w:fill="auto"/>
            <w:vAlign w:val="center"/>
            <w:hideMark/>
          </w:tcPr>
          <w:p w14:paraId="73A4645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0.25</w:t>
            </w:r>
          </w:p>
        </w:tc>
        <w:tc>
          <w:tcPr>
            <w:tcW w:w="269" w:type="pct"/>
            <w:tcBorders>
              <w:top w:val="nil"/>
              <w:left w:val="nil"/>
              <w:bottom w:val="nil"/>
              <w:right w:val="nil"/>
            </w:tcBorders>
            <w:shd w:val="clear" w:color="auto" w:fill="auto"/>
            <w:vAlign w:val="center"/>
            <w:hideMark/>
          </w:tcPr>
          <w:p w14:paraId="04A94CA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0.44</w:t>
            </w:r>
          </w:p>
        </w:tc>
        <w:tc>
          <w:tcPr>
            <w:tcW w:w="298" w:type="pct"/>
            <w:tcBorders>
              <w:top w:val="nil"/>
              <w:left w:val="nil"/>
              <w:bottom w:val="nil"/>
              <w:right w:val="nil"/>
            </w:tcBorders>
            <w:shd w:val="clear" w:color="auto" w:fill="auto"/>
            <w:vAlign w:val="center"/>
            <w:hideMark/>
          </w:tcPr>
          <w:p w14:paraId="6DED3777"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93" w:type="pct"/>
            <w:tcBorders>
              <w:top w:val="nil"/>
              <w:left w:val="nil"/>
              <w:bottom w:val="nil"/>
              <w:right w:val="nil"/>
            </w:tcBorders>
            <w:shd w:val="clear" w:color="auto" w:fill="auto"/>
            <w:vAlign w:val="center"/>
            <w:hideMark/>
          </w:tcPr>
          <w:p w14:paraId="4075C9EA"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41" w:type="pct"/>
            <w:tcBorders>
              <w:top w:val="nil"/>
              <w:left w:val="nil"/>
              <w:bottom w:val="nil"/>
              <w:right w:val="nil"/>
            </w:tcBorders>
            <w:shd w:val="clear" w:color="auto" w:fill="auto"/>
            <w:vAlign w:val="center"/>
            <w:hideMark/>
          </w:tcPr>
          <w:p w14:paraId="01CFEF40"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53" w:type="pct"/>
            <w:tcBorders>
              <w:top w:val="nil"/>
              <w:left w:val="nil"/>
              <w:bottom w:val="nil"/>
              <w:right w:val="nil"/>
            </w:tcBorders>
            <w:shd w:val="clear" w:color="auto" w:fill="auto"/>
            <w:vAlign w:val="center"/>
            <w:hideMark/>
          </w:tcPr>
          <w:p w14:paraId="211A2A8A"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03DEC422"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14170839"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52A32B34"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58BD4214"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469C04E4" w14:textId="77777777" w:rsidTr="0048630B">
        <w:trPr>
          <w:trHeight w:val="283"/>
        </w:trPr>
        <w:tc>
          <w:tcPr>
            <w:tcW w:w="544" w:type="pct"/>
            <w:tcBorders>
              <w:top w:val="nil"/>
              <w:left w:val="nil"/>
              <w:bottom w:val="nil"/>
              <w:right w:val="nil"/>
            </w:tcBorders>
            <w:shd w:val="clear" w:color="auto" w:fill="auto"/>
            <w:noWrap/>
            <w:vAlign w:val="center"/>
            <w:hideMark/>
          </w:tcPr>
          <w:p w14:paraId="72E7B01A"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POPG (10)</w:t>
            </w:r>
          </w:p>
        </w:tc>
        <w:tc>
          <w:tcPr>
            <w:tcW w:w="286" w:type="pct"/>
            <w:tcBorders>
              <w:top w:val="nil"/>
              <w:left w:val="nil"/>
              <w:bottom w:val="nil"/>
              <w:right w:val="nil"/>
            </w:tcBorders>
            <w:shd w:val="clear" w:color="auto" w:fill="auto"/>
            <w:noWrap/>
            <w:vAlign w:val="center"/>
            <w:hideMark/>
          </w:tcPr>
          <w:p w14:paraId="3D5BC1D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0.32</w:t>
            </w:r>
          </w:p>
        </w:tc>
        <w:tc>
          <w:tcPr>
            <w:tcW w:w="244" w:type="pct"/>
            <w:tcBorders>
              <w:top w:val="nil"/>
              <w:left w:val="nil"/>
              <w:bottom w:val="nil"/>
              <w:right w:val="nil"/>
            </w:tcBorders>
            <w:shd w:val="clear" w:color="auto" w:fill="auto"/>
            <w:noWrap/>
            <w:vAlign w:val="center"/>
            <w:hideMark/>
          </w:tcPr>
          <w:p w14:paraId="04293533"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-0.05</w:t>
            </w:r>
          </w:p>
        </w:tc>
        <w:tc>
          <w:tcPr>
            <w:tcW w:w="267" w:type="pct"/>
            <w:tcBorders>
              <w:top w:val="nil"/>
              <w:left w:val="nil"/>
              <w:bottom w:val="nil"/>
              <w:right w:val="nil"/>
            </w:tcBorders>
            <w:shd w:val="clear" w:color="auto" w:fill="auto"/>
            <w:noWrap/>
            <w:vAlign w:val="center"/>
            <w:hideMark/>
          </w:tcPr>
          <w:p w14:paraId="3BEA86F2"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-0.03</w:t>
            </w:r>
          </w:p>
        </w:tc>
        <w:tc>
          <w:tcPr>
            <w:tcW w:w="267" w:type="pct"/>
            <w:tcBorders>
              <w:top w:val="nil"/>
              <w:left w:val="nil"/>
              <w:bottom w:val="nil"/>
              <w:right w:val="nil"/>
            </w:tcBorders>
            <w:shd w:val="clear" w:color="auto" w:fill="auto"/>
            <w:noWrap/>
            <w:vAlign w:val="center"/>
            <w:hideMark/>
          </w:tcPr>
          <w:p w14:paraId="2F47CC34"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-0.11</w:t>
            </w:r>
          </w:p>
        </w:tc>
        <w:tc>
          <w:tcPr>
            <w:tcW w:w="244" w:type="pct"/>
            <w:tcBorders>
              <w:top w:val="nil"/>
              <w:left w:val="nil"/>
              <w:bottom w:val="nil"/>
              <w:right w:val="nil"/>
            </w:tcBorders>
            <w:shd w:val="clear" w:color="auto" w:fill="auto"/>
            <w:vAlign w:val="center"/>
            <w:hideMark/>
          </w:tcPr>
          <w:p w14:paraId="7071BC02"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0.02</w:t>
            </w:r>
          </w:p>
        </w:tc>
        <w:tc>
          <w:tcPr>
            <w:tcW w:w="251" w:type="pct"/>
            <w:tcBorders>
              <w:top w:val="nil"/>
              <w:left w:val="nil"/>
              <w:bottom w:val="nil"/>
              <w:right w:val="nil"/>
            </w:tcBorders>
            <w:shd w:val="clear" w:color="auto" w:fill="auto"/>
            <w:vAlign w:val="center"/>
            <w:hideMark/>
          </w:tcPr>
          <w:p w14:paraId="56467FC0"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0.01</w:t>
            </w:r>
          </w:p>
        </w:tc>
        <w:tc>
          <w:tcPr>
            <w:tcW w:w="297" w:type="pct"/>
            <w:tcBorders>
              <w:top w:val="nil"/>
              <w:left w:val="nil"/>
              <w:bottom w:val="nil"/>
              <w:right w:val="nil"/>
            </w:tcBorders>
            <w:shd w:val="clear" w:color="auto" w:fill="auto"/>
            <w:vAlign w:val="center"/>
            <w:hideMark/>
          </w:tcPr>
          <w:p w14:paraId="699FDFA9"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0.02</w:t>
            </w:r>
          </w:p>
        </w:tc>
        <w:tc>
          <w:tcPr>
            <w:tcW w:w="269" w:type="pct"/>
            <w:tcBorders>
              <w:top w:val="nil"/>
              <w:left w:val="nil"/>
              <w:bottom w:val="nil"/>
              <w:right w:val="nil"/>
            </w:tcBorders>
            <w:shd w:val="clear" w:color="auto" w:fill="auto"/>
            <w:vAlign w:val="center"/>
            <w:hideMark/>
          </w:tcPr>
          <w:p w14:paraId="35543A5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-0.14</w:t>
            </w:r>
          </w:p>
        </w:tc>
        <w:tc>
          <w:tcPr>
            <w:tcW w:w="298" w:type="pct"/>
            <w:tcBorders>
              <w:top w:val="nil"/>
              <w:left w:val="nil"/>
              <w:bottom w:val="nil"/>
              <w:right w:val="nil"/>
            </w:tcBorders>
            <w:shd w:val="clear" w:color="auto" w:fill="auto"/>
            <w:vAlign w:val="center"/>
            <w:hideMark/>
          </w:tcPr>
          <w:p w14:paraId="7B4F4E02"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-0.07</w:t>
            </w:r>
          </w:p>
        </w:tc>
        <w:tc>
          <w:tcPr>
            <w:tcW w:w="293" w:type="pct"/>
            <w:tcBorders>
              <w:top w:val="nil"/>
              <w:left w:val="nil"/>
              <w:bottom w:val="nil"/>
              <w:right w:val="nil"/>
            </w:tcBorders>
            <w:shd w:val="clear" w:color="auto" w:fill="auto"/>
            <w:vAlign w:val="center"/>
            <w:hideMark/>
          </w:tcPr>
          <w:p w14:paraId="2C708F39"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41" w:type="pct"/>
            <w:tcBorders>
              <w:top w:val="nil"/>
              <w:left w:val="nil"/>
              <w:bottom w:val="nil"/>
              <w:right w:val="nil"/>
            </w:tcBorders>
            <w:shd w:val="clear" w:color="auto" w:fill="auto"/>
            <w:vAlign w:val="center"/>
            <w:hideMark/>
          </w:tcPr>
          <w:p w14:paraId="75335824"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53" w:type="pct"/>
            <w:tcBorders>
              <w:top w:val="nil"/>
              <w:left w:val="nil"/>
              <w:bottom w:val="nil"/>
              <w:right w:val="nil"/>
            </w:tcBorders>
            <w:shd w:val="clear" w:color="auto" w:fill="auto"/>
            <w:vAlign w:val="center"/>
            <w:hideMark/>
          </w:tcPr>
          <w:p w14:paraId="4DC9667F"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9" w:type="pct"/>
            <w:tcBorders>
              <w:top w:val="nil"/>
              <w:left w:val="nil"/>
              <w:bottom w:val="nil"/>
              <w:right w:val="nil"/>
            </w:tcBorders>
            <w:shd w:val="clear" w:color="auto" w:fill="auto"/>
            <w:vAlign w:val="center"/>
            <w:hideMark/>
          </w:tcPr>
          <w:p w14:paraId="426DF512"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0F5F92B4"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608BAABA"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6921894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36109D45" w14:textId="77777777" w:rsidTr="0048630B">
        <w:trPr>
          <w:trHeight w:val="283"/>
        </w:trPr>
        <w:tc>
          <w:tcPr>
            <w:tcW w:w="544" w:type="pct"/>
            <w:tcBorders>
              <w:top w:val="nil"/>
              <w:left w:val="nil"/>
              <w:bottom w:val="nil"/>
              <w:right w:val="nil"/>
            </w:tcBorders>
            <w:shd w:val="clear" w:color="auto" w:fill="auto"/>
            <w:noWrap/>
            <w:vAlign w:val="center"/>
            <w:hideMark/>
          </w:tcPr>
          <w:p w14:paraId="6A747D16"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GDPG (11)</w:t>
            </w:r>
          </w:p>
        </w:tc>
        <w:tc>
          <w:tcPr>
            <w:tcW w:w="286" w:type="pct"/>
            <w:tcBorders>
              <w:top w:val="nil"/>
              <w:left w:val="nil"/>
              <w:bottom w:val="nil"/>
              <w:right w:val="nil"/>
            </w:tcBorders>
            <w:shd w:val="clear" w:color="auto" w:fill="auto"/>
            <w:noWrap/>
            <w:vAlign w:val="center"/>
            <w:hideMark/>
          </w:tcPr>
          <w:p w14:paraId="11EFA22A"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0.05</w:t>
            </w:r>
          </w:p>
        </w:tc>
        <w:tc>
          <w:tcPr>
            <w:tcW w:w="244" w:type="pct"/>
            <w:tcBorders>
              <w:top w:val="nil"/>
              <w:left w:val="nil"/>
              <w:bottom w:val="nil"/>
              <w:right w:val="nil"/>
            </w:tcBorders>
            <w:shd w:val="clear" w:color="auto" w:fill="auto"/>
            <w:noWrap/>
            <w:vAlign w:val="center"/>
            <w:hideMark/>
          </w:tcPr>
          <w:p w14:paraId="312CF1B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-0.28</w:t>
            </w:r>
          </w:p>
        </w:tc>
        <w:tc>
          <w:tcPr>
            <w:tcW w:w="267" w:type="pct"/>
            <w:tcBorders>
              <w:top w:val="nil"/>
              <w:left w:val="nil"/>
              <w:bottom w:val="nil"/>
              <w:right w:val="nil"/>
            </w:tcBorders>
            <w:shd w:val="clear" w:color="auto" w:fill="auto"/>
            <w:noWrap/>
            <w:vAlign w:val="center"/>
            <w:hideMark/>
          </w:tcPr>
          <w:p w14:paraId="2440AAE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-0.24</w:t>
            </w:r>
          </w:p>
        </w:tc>
        <w:tc>
          <w:tcPr>
            <w:tcW w:w="267" w:type="pct"/>
            <w:tcBorders>
              <w:top w:val="nil"/>
              <w:left w:val="nil"/>
              <w:bottom w:val="nil"/>
              <w:right w:val="nil"/>
            </w:tcBorders>
            <w:shd w:val="clear" w:color="auto" w:fill="auto"/>
            <w:noWrap/>
            <w:vAlign w:val="center"/>
            <w:hideMark/>
          </w:tcPr>
          <w:p w14:paraId="5FE94213"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-0.35</w:t>
            </w:r>
          </w:p>
        </w:tc>
        <w:tc>
          <w:tcPr>
            <w:tcW w:w="244" w:type="pct"/>
            <w:tcBorders>
              <w:top w:val="nil"/>
              <w:left w:val="nil"/>
              <w:bottom w:val="nil"/>
              <w:right w:val="nil"/>
            </w:tcBorders>
            <w:shd w:val="clear" w:color="auto" w:fill="auto"/>
            <w:vAlign w:val="center"/>
            <w:hideMark/>
          </w:tcPr>
          <w:p w14:paraId="1298AACC"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-0.25</w:t>
            </w:r>
          </w:p>
        </w:tc>
        <w:tc>
          <w:tcPr>
            <w:tcW w:w="251" w:type="pct"/>
            <w:tcBorders>
              <w:top w:val="nil"/>
              <w:left w:val="nil"/>
              <w:bottom w:val="nil"/>
              <w:right w:val="nil"/>
            </w:tcBorders>
            <w:shd w:val="clear" w:color="auto" w:fill="auto"/>
            <w:vAlign w:val="center"/>
            <w:hideMark/>
          </w:tcPr>
          <w:p w14:paraId="05DD0A1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-0.29</w:t>
            </w:r>
          </w:p>
        </w:tc>
        <w:tc>
          <w:tcPr>
            <w:tcW w:w="297" w:type="pct"/>
            <w:tcBorders>
              <w:top w:val="nil"/>
              <w:left w:val="nil"/>
              <w:bottom w:val="nil"/>
              <w:right w:val="nil"/>
            </w:tcBorders>
            <w:shd w:val="clear" w:color="auto" w:fill="auto"/>
            <w:vAlign w:val="center"/>
            <w:hideMark/>
          </w:tcPr>
          <w:p w14:paraId="0BD7B2E6"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-0.14</w:t>
            </w:r>
          </w:p>
        </w:tc>
        <w:tc>
          <w:tcPr>
            <w:tcW w:w="269" w:type="pct"/>
            <w:tcBorders>
              <w:top w:val="nil"/>
              <w:left w:val="nil"/>
              <w:bottom w:val="nil"/>
              <w:right w:val="nil"/>
            </w:tcBorders>
            <w:shd w:val="clear" w:color="auto" w:fill="auto"/>
            <w:vAlign w:val="center"/>
            <w:hideMark/>
          </w:tcPr>
          <w:p w14:paraId="6CF6E60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w:t>
            </w:r>
          </w:p>
        </w:tc>
        <w:tc>
          <w:tcPr>
            <w:tcW w:w="298" w:type="pct"/>
            <w:tcBorders>
              <w:top w:val="nil"/>
              <w:left w:val="nil"/>
              <w:bottom w:val="nil"/>
              <w:right w:val="nil"/>
            </w:tcBorders>
            <w:shd w:val="clear" w:color="auto" w:fill="auto"/>
            <w:vAlign w:val="center"/>
            <w:hideMark/>
          </w:tcPr>
          <w:p w14:paraId="56E3E83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-0.17</w:t>
            </w:r>
          </w:p>
        </w:tc>
        <w:tc>
          <w:tcPr>
            <w:tcW w:w="293" w:type="pct"/>
            <w:tcBorders>
              <w:top w:val="nil"/>
              <w:left w:val="nil"/>
              <w:bottom w:val="nil"/>
              <w:right w:val="nil"/>
            </w:tcBorders>
            <w:shd w:val="clear" w:color="auto" w:fill="auto"/>
            <w:vAlign w:val="center"/>
            <w:hideMark/>
          </w:tcPr>
          <w:p w14:paraId="00509D6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0.18</w:t>
            </w:r>
          </w:p>
        </w:tc>
        <w:tc>
          <w:tcPr>
            <w:tcW w:w="241" w:type="pct"/>
            <w:tcBorders>
              <w:top w:val="nil"/>
              <w:left w:val="nil"/>
              <w:bottom w:val="nil"/>
              <w:right w:val="nil"/>
            </w:tcBorders>
            <w:shd w:val="clear" w:color="auto" w:fill="auto"/>
            <w:vAlign w:val="center"/>
            <w:hideMark/>
          </w:tcPr>
          <w:p w14:paraId="2FB3A2A8"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53" w:type="pct"/>
            <w:tcBorders>
              <w:top w:val="nil"/>
              <w:left w:val="nil"/>
              <w:bottom w:val="nil"/>
              <w:right w:val="nil"/>
            </w:tcBorders>
            <w:shd w:val="clear" w:color="auto" w:fill="auto"/>
            <w:vAlign w:val="center"/>
            <w:hideMark/>
          </w:tcPr>
          <w:p w14:paraId="1973D4E3"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99" w:type="pct"/>
            <w:tcBorders>
              <w:top w:val="nil"/>
              <w:left w:val="nil"/>
              <w:bottom w:val="nil"/>
              <w:right w:val="nil"/>
            </w:tcBorders>
            <w:shd w:val="clear" w:color="auto" w:fill="auto"/>
            <w:vAlign w:val="center"/>
            <w:hideMark/>
          </w:tcPr>
          <w:p w14:paraId="0BBABFC4"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8" w:type="pct"/>
            <w:tcBorders>
              <w:top w:val="nil"/>
              <w:left w:val="nil"/>
              <w:bottom w:val="nil"/>
              <w:right w:val="nil"/>
            </w:tcBorders>
            <w:shd w:val="clear" w:color="auto" w:fill="auto"/>
            <w:vAlign w:val="center"/>
            <w:hideMark/>
          </w:tcPr>
          <w:p w14:paraId="165B77A1"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4E092285"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4F7E29A6"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31D71BBA" w14:textId="77777777" w:rsidTr="0048630B">
        <w:trPr>
          <w:trHeight w:val="283"/>
        </w:trPr>
        <w:tc>
          <w:tcPr>
            <w:tcW w:w="544" w:type="pct"/>
            <w:tcBorders>
              <w:top w:val="nil"/>
              <w:left w:val="nil"/>
              <w:bottom w:val="nil"/>
              <w:right w:val="nil"/>
            </w:tcBorders>
            <w:shd w:val="clear" w:color="auto" w:fill="auto"/>
            <w:noWrap/>
            <w:vAlign w:val="center"/>
            <w:hideMark/>
          </w:tcPr>
          <w:p w14:paraId="366E4359"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INFL (12)</w:t>
            </w:r>
          </w:p>
        </w:tc>
        <w:tc>
          <w:tcPr>
            <w:tcW w:w="286" w:type="pct"/>
            <w:tcBorders>
              <w:top w:val="nil"/>
              <w:left w:val="nil"/>
              <w:bottom w:val="nil"/>
              <w:right w:val="nil"/>
            </w:tcBorders>
            <w:shd w:val="clear" w:color="auto" w:fill="auto"/>
            <w:noWrap/>
            <w:vAlign w:val="center"/>
            <w:hideMark/>
          </w:tcPr>
          <w:p w14:paraId="3F1A7AA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-0.35</w:t>
            </w:r>
          </w:p>
        </w:tc>
        <w:tc>
          <w:tcPr>
            <w:tcW w:w="244" w:type="pct"/>
            <w:tcBorders>
              <w:top w:val="nil"/>
              <w:left w:val="nil"/>
              <w:bottom w:val="nil"/>
              <w:right w:val="nil"/>
            </w:tcBorders>
            <w:shd w:val="clear" w:color="auto" w:fill="auto"/>
            <w:noWrap/>
            <w:vAlign w:val="center"/>
            <w:hideMark/>
          </w:tcPr>
          <w:p w14:paraId="75E06A4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-0.50</w:t>
            </w:r>
          </w:p>
        </w:tc>
        <w:tc>
          <w:tcPr>
            <w:tcW w:w="267" w:type="pct"/>
            <w:tcBorders>
              <w:top w:val="nil"/>
              <w:left w:val="nil"/>
              <w:bottom w:val="nil"/>
              <w:right w:val="nil"/>
            </w:tcBorders>
            <w:shd w:val="clear" w:color="auto" w:fill="auto"/>
            <w:noWrap/>
            <w:vAlign w:val="center"/>
            <w:hideMark/>
          </w:tcPr>
          <w:p w14:paraId="3D5916A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-0.46</w:t>
            </w:r>
          </w:p>
        </w:tc>
        <w:tc>
          <w:tcPr>
            <w:tcW w:w="267" w:type="pct"/>
            <w:tcBorders>
              <w:top w:val="nil"/>
              <w:left w:val="nil"/>
              <w:bottom w:val="nil"/>
              <w:right w:val="nil"/>
            </w:tcBorders>
            <w:shd w:val="clear" w:color="auto" w:fill="auto"/>
            <w:noWrap/>
            <w:vAlign w:val="center"/>
            <w:hideMark/>
          </w:tcPr>
          <w:p w14:paraId="1DC7EDC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-0.39</w:t>
            </w:r>
          </w:p>
        </w:tc>
        <w:tc>
          <w:tcPr>
            <w:tcW w:w="244" w:type="pct"/>
            <w:tcBorders>
              <w:top w:val="nil"/>
              <w:left w:val="nil"/>
              <w:bottom w:val="nil"/>
              <w:right w:val="nil"/>
            </w:tcBorders>
            <w:shd w:val="clear" w:color="auto" w:fill="auto"/>
            <w:vAlign w:val="center"/>
            <w:hideMark/>
          </w:tcPr>
          <w:p w14:paraId="19F89EB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-0.45</w:t>
            </w:r>
          </w:p>
        </w:tc>
        <w:tc>
          <w:tcPr>
            <w:tcW w:w="251" w:type="pct"/>
            <w:tcBorders>
              <w:top w:val="nil"/>
              <w:left w:val="nil"/>
              <w:bottom w:val="nil"/>
              <w:right w:val="nil"/>
            </w:tcBorders>
            <w:shd w:val="clear" w:color="auto" w:fill="auto"/>
            <w:vAlign w:val="center"/>
            <w:hideMark/>
          </w:tcPr>
          <w:p w14:paraId="71EE9724"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-0.54</w:t>
            </w:r>
          </w:p>
        </w:tc>
        <w:tc>
          <w:tcPr>
            <w:tcW w:w="297" w:type="pct"/>
            <w:tcBorders>
              <w:top w:val="nil"/>
              <w:left w:val="nil"/>
              <w:bottom w:val="nil"/>
              <w:right w:val="nil"/>
            </w:tcBorders>
            <w:shd w:val="clear" w:color="auto" w:fill="auto"/>
            <w:vAlign w:val="center"/>
            <w:hideMark/>
          </w:tcPr>
          <w:p w14:paraId="69294227"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-0.32</w:t>
            </w:r>
          </w:p>
        </w:tc>
        <w:tc>
          <w:tcPr>
            <w:tcW w:w="269" w:type="pct"/>
            <w:tcBorders>
              <w:top w:val="nil"/>
              <w:left w:val="nil"/>
              <w:bottom w:val="nil"/>
              <w:right w:val="nil"/>
            </w:tcBorders>
            <w:shd w:val="clear" w:color="auto" w:fill="auto"/>
            <w:vAlign w:val="center"/>
            <w:hideMark/>
          </w:tcPr>
          <w:p w14:paraId="6EDBB89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-0.46</w:t>
            </w:r>
          </w:p>
        </w:tc>
        <w:tc>
          <w:tcPr>
            <w:tcW w:w="298" w:type="pct"/>
            <w:tcBorders>
              <w:top w:val="nil"/>
              <w:left w:val="nil"/>
              <w:bottom w:val="nil"/>
              <w:right w:val="nil"/>
            </w:tcBorders>
            <w:shd w:val="clear" w:color="auto" w:fill="auto"/>
            <w:vAlign w:val="center"/>
            <w:hideMark/>
          </w:tcPr>
          <w:p w14:paraId="7E4584AB"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-0.25</w:t>
            </w:r>
          </w:p>
        </w:tc>
        <w:tc>
          <w:tcPr>
            <w:tcW w:w="293" w:type="pct"/>
            <w:tcBorders>
              <w:top w:val="nil"/>
              <w:left w:val="nil"/>
              <w:bottom w:val="nil"/>
              <w:right w:val="nil"/>
            </w:tcBorders>
            <w:shd w:val="clear" w:color="auto" w:fill="auto"/>
            <w:vAlign w:val="center"/>
            <w:hideMark/>
          </w:tcPr>
          <w:p w14:paraId="4BFF923A"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0.04</w:t>
            </w:r>
          </w:p>
        </w:tc>
        <w:tc>
          <w:tcPr>
            <w:tcW w:w="241" w:type="pct"/>
            <w:tcBorders>
              <w:top w:val="nil"/>
              <w:left w:val="nil"/>
              <w:bottom w:val="nil"/>
              <w:right w:val="nil"/>
            </w:tcBorders>
            <w:shd w:val="clear" w:color="auto" w:fill="auto"/>
            <w:vAlign w:val="center"/>
            <w:hideMark/>
          </w:tcPr>
          <w:p w14:paraId="26998986"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0.06</w:t>
            </w:r>
          </w:p>
        </w:tc>
        <w:tc>
          <w:tcPr>
            <w:tcW w:w="253" w:type="pct"/>
            <w:tcBorders>
              <w:top w:val="nil"/>
              <w:left w:val="nil"/>
              <w:bottom w:val="nil"/>
              <w:right w:val="nil"/>
            </w:tcBorders>
            <w:shd w:val="clear" w:color="auto" w:fill="auto"/>
            <w:vAlign w:val="center"/>
            <w:hideMark/>
          </w:tcPr>
          <w:p w14:paraId="6B3D93F9"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99" w:type="pct"/>
            <w:tcBorders>
              <w:top w:val="nil"/>
              <w:left w:val="nil"/>
              <w:bottom w:val="nil"/>
              <w:right w:val="nil"/>
            </w:tcBorders>
            <w:shd w:val="clear" w:color="auto" w:fill="auto"/>
            <w:vAlign w:val="center"/>
            <w:hideMark/>
          </w:tcPr>
          <w:p w14:paraId="34629D6F"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98" w:type="pct"/>
            <w:tcBorders>
              <w:top w:val="nil"/>
              <w:left w:val="nil"/>
              <w:bottom w:val="nil"/>
              <w:right w:val="nil"/>
            </w:tcBorders>
            <w:shd w:val="clear" w:color="auto" w:fill="auto"/>
            <w:vAlign w:val="center"/>
            <w:hideMark/>
          </w:tcPr>
          <w:p w14:paraId="463E8D68"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295" w:type="pct"/>
            <w:tcBorders>
              <w:top w:val="nil"/>
              <w:left w:val="nil"/>
              <w:bottom w:val="nil"/>
              <w:right w:val="nil"/>
            </w:tcBorders>
            <w:shd w:val="clear" w:color="auto" w:fill="auto"/>
            <w:vAlign w:val="center"/>
            <w:hideMark/>
          </w:tcPr>
          <w:p w14:paraId="68C39FB4"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33D29CD3"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54452504" w14:textId="77777777" w:rsidTr="0048630B">
        <w:trPr>
          <w:trHeight w:val="283"/>
        </w:trPr>
        <w:tc>
          <w:tcPr>
            <w:tcW w:w="544" w:type="pct"/>
            <w:tcBorders>
              <w:top w:val="nil"/>
              <w:left w:val="nil"/>
              <w:bottom w:val="nil"/>
              <w:right w:val="nil"/>
            </w:tcBorders>
            <w:shd w:val="clear" w:color="auto" w:fill="auto"/>
            <w:noWrap/>
            <w:vAlign w:val="center"/>
            <w:hideMark/>
          </w:tcPr>
          <w:p w14:paraId="244F7694"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TRDOPEN (13)</w:t>
            </w:r>
          </w:p>
        </w:tc>
        <w:tc>
          <w:tcPr>
            <w:tcW w:w="286" w:type="pct"/>
            <w:tcBorders>
              <w:top w:val="nil"/>
              <w:left w:val="nil"/>
              <w:bottom w:val="nil"/>
              <w:right w:val="nil"/>
            </w:tcBorders>
            <w:shd w:val="clear" w:color="auto" w:fill="auto"/>
            <w:noWrap/>
            <w:vAlign w:val="center"/>
            <w:hideMark/>
          </w:tcPr>
          <w:p w14:paraId="1784D49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0.25</w:t>
            </w:r>
          </w:p>
        </w:tc>
        <w:tc>
          <w:tcPr>
            <w:tcW w:w="244" w:type="pct"/>
            <w:tcBorders>
              <w:top w:val="nil"/>
              <w:left w:val="nil"/>
              <w:bottom w:val="nil"/>
              <w:right w:val="nil"/>
            </w:tcBorders>
            <w:shd w:val="clear" w:color="auto" w:fill="auto"/>
            <w:noWrap/>
            <w:vAlign w:val="center"/>
            <w:hideMark/>
          </w:tcPr>
          <w:p w14:paraId="5DDCBA56"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0.25</w:t>
            </w:r>
          </w:p>
        </w:tc>
        <w:tc>
          <w:tcPr>
            <w:tcW w:w="267" w:type="pct"/>
            <w:tcBorders>
              <w:top w:val="nil"/>
              <w:left w:val="nil"/>
              <w:bottom w:val="nil"/>
              <w:right w:val="nil"/>
            </w:tcBorders>
            <w:shd w:val="clear" w:color="auto" w:fill="auto"/>
            <w:noWrap/>
            <w:vAlign w:val="center"/>
            <w:hideMark/>
          </w:tcPr>
          <w:p w14:paraId="77E55D64"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0.23</w:t>
            </w:r>
          </w:p>
        </w:tc>
        <w:tc>
          <w:tcPr>
            <w:tcW w:w="267" w:type="pct"/>
            <w:tcBorders>
              <w:top w:val="nil"/>
              <w:left w:val="nil"/>
              <w:bottom w:val="nil"/>
              <w:right w:val="nil"/>
            </w:tcBorders>
            <w:shd w:val="clear" w:color="auto" w:fill="auto"/>
            <w:noWrap/>
            <w:vAlign w:val="center"/>
            <w:hideMark/>
          </w:tcPr>
          <w:p w14:paraId="353CB19A"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-0.03</w:t>
            </w:r>
          </w:p>
        </w:tc>
        <w:tc>
          <w:tcPr>
            <w:tcW w:w="244" w:type="pct"/>
            <w:tcBorders>
              <w:top w:val="nil"/>
              <w:left w:val="nil"/>
              <w:bottom w:val="nil"/>
              <w:right w:val="nil"/>
            </w:tcBorders>
            <w:shd w:val="clear" w:color="auto" w:fill="auto"/>
            <w:vAlign w:val="center"/>
            <w:hideMark/>
          </w:tcPr>
          <w:p w14:paraId="7476268D"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0.31</w:t>
            </w:r>
          </w:p>
        </w:tc>
        <w:tc>
          <w:tcPr>
            <w:tcW w:w="251" w:type="pct"/>
            <w:tcBorders>
              <w:top w:val="nil"/>
              <w:left w:val="nil"/>
              <w:bottom w:val="nil"/>
              <w:right w:val="nil"/>
            </w:tcBorders>
            <w:shd w:val="clear" w:color="auto" w:fill="auto"/>
            <w:vAlign w:val="center"/>
            <w:hideMark/>
          </w:tcPr>
          <w:p w14:paraId="73B1E59B"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0.15</w:t>
            </w:r>
          </w:p>
        </w:tc>
        <w:tc>
          <w:tcPr>
            <w:tcW w:w="297" w:type="pct"/>
            <w:tcBorders>
              <w:top w:val="nil"/>
              <w:left w:val="nil"/>
              <w:bottom w:val="nil"/>
              <w:right w:val="nil"/>
            </w:tcBorders>
            <w:shd w:val="clear" w:color="auto" w:fill="auto"/>
            <w:vAlign w:val="center"/>
            <w:hideMark/>
          </w:tcPr>
          <w:p w14:paraId="0AC26B37"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0.56</w:t>
            </w:r>
          </w:p>
        </w:tc>
        <w:tc>
          <w:tcPr>
            <w:tcW w:w="269" w:type="pct"/>
            <w:tcBorders>
              <w:top w:val="nil"/>
              <w:left w:val="nil"/>
              <w:bottom w:val="nil"/>
              <w:right w:val="nil"/>
            </w:tcBorders>
            <w:shd w:val="clear" w:color="auto" w:fill="auto"/>
            <w:vAlign w:val="center"/>
            <w:hideMark/>
          </w:tcPr>
          <w:p w14:paraId="5F97D2D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0.23</w:t>
            </w:r>
          </w:p>
        </w:tc>
        <w:tc>
          <w:tcPr>
            <w:tcW w:w="298" w:type="pct"/>
            <w:tcBorders>
              <w:top w:val="nil"/>
              <w:left w:val="nil"/>
              <w:bottom w:val="nil"/>
              <w:right w:val="nil"/>
            </w:tcBorders>
            <w:shd w:val="clear" w:color="auto" w:fill="auto"/>
            <w:vAlign w:val="center"/>
            <w:hideMark/>
          </w:tcPr>
          <w:p w14:paraId="5E80E60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w:t>
            </w:r>
          </w:p>
        </w:tc>
        <w:tc>
          <w:tcPr>
            <w:tcW w:w="293" w:type="pct"/>
            <w:tcBorders>
              <w:top w:val="nil"/>
              <w:left w:val="nil"/>
              <w:bottom w:val="nil"/>
              <w:right w:val="nil"/>
            </w:tcBorders>
            <w:shd w:val="clear" w:color="auto" w:fill="auto"/>
            <w:vAlign w:val="center"/>
            <w:hideMark/>
          </w:tcPr>
          <w:p w14:paraId="1205D63E"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0.03</w:t>
            </w:r>
          </w:p>
        </w:tc>
        <w:tc>
          <w:tcPr>
            <w:tcW w:w="241" w:type="pct"/>
            <w:tcBorders>
              <w:top w:val="nil"/>
              <w:left w:val="nil"/>
              <w:bottom w:val="nil"/>
              <w:right w:val="nil"/>
            </w:tcBorders>
            <w:shd w:val="clear" w:color="auto" w:fill="auto"/>
            <w:vAlign w:val="center"/>
            <w:hideMark/>
          </w:tcPr>
          <w:p w14:paraId="04F8BC61"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0.07</w:t>
            </w:r>
          </w:p>
        </w:tc>
        <w:tc>
          <w:tcPr>
            <w:tcW w:w="253" w:type="pct"/>
            <w:tcBorders>
              <w:top w:val="nil"/>
              <w:left w:val="nil"/>
              <w:bottom w:val="nil"/>
              <w:right w:val="nil"/>
            </w:tcBorders>
            <w:shd w:val="clear" w:color="auto" w:fill="auto"/>
            <w:vAlign w:val="center"/>
            <w:hideMark/>
          </w:tcPr>
          <w:p w14:paraId="555F7D06"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-0.16</w:t>
            </w:r>
          </w:p>
        </w:tc>
        <w:tc>
          <w:tcPr>
            <w:tcW w:w="299" w:type="pct"/>
            <w:tcBorders>
              <w:top w:val="nil"/>
              <w:left w:val="nil"/>
              <w:bottom w:val="nil"/>
              <w:right w:val="nil"/>
            </w:tcBorders>
            <w:shd w:val="clear" w:color="auto" w:fill="auto"/>
            <w:vAlign w:val="center"/>
            <w:hideMark/>
          </w:tcPr>
          <w:p w14:paraId="4B4C3A54"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98" w:type="pct"/>
            <w:tcBorders>
              <w:top w:val="nil"/>
              <w:left w:val="nil"/>
              <w:bottom w:val="nil"/>
              <w:right w:val="nil"/>
            </w:tcBorders>
            <w:shd w:val="clear" w:color="auto" w:fill="auto"/>
            <w:vAlign w:val="center"/>
            <w:hideMark/>
          </w:tcPr>
          <w:p w14:paraId="4666789D"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295" w:type="pct"/>
            <w:tcBorders>
              <w:top w:val="nil"/>
              <w:left w:val="nil"/>
              <w:bottom w:val="nil"/>
              <w:right w:val="nil"/>
            </w:tcBorders>
            <w:shd w:val="clear" w:color="auto" w:fill="auto"/>
            <w:vAlign w:val="center"/>
            <w:hideMark/>
          </w:tcPr>
          <w:p w14:paraId="642DFF8A"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c>
          <w:tcPr>
            <w:tcW w:w="354" w:type="pct"/>
            <w:tcBorders>
              <w:top w:val="nil"/>
              <w:left w:val="nil"/>
              <w:bottom w:val="nil"/>
              <w:right w:val="nil"/>
            </w:tcBorders>
            <w:shd w:val="clear" w:color="auto" w:fill="auto"/>
            <w:vAlign w:val="center"/>
            <w:hideMark/>
          </w:tcPr>
          <w:p w14:paraId="53B14F89"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71A3D76F" w14:textId="77777777" w:rsidTr="0048630B">
        <w:trPr>
          <w:trHeight w:val="283"/>
        </w:trPr>
        <w:tc>
          <w:tcPr>
            <w:tcW w:w="544" w:type="pct"/>
            <w:tcBorders>
              <w:top w:val="nil"/>
              <w:left w:val="nil"/>
              <w:bottom w:val="nil"/>
              <w:right w:val="nil"/>
            </w:tcBorders>
            <w:shd w:val="clear" w:color="auto" w:fill="auto"/>
            <w:noWrap/>
            <w:vAlign w:val="center"/>
            <w:hideMark/>
          </w:tcPr>
          <w:p w14:paraId="7BA9FA05"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REMITT (14)</w:t>
            </w:r>
          </w:p>
        </w:tc>
        <w:tc>
          <w:tcPr>
            <w:tcW w:w="286" w:type="pct"/>
            <w:tcBorders>
              <w:top w:val="nil"/>
              <w:left w:val="nil"/>
              <w:bottom w:val="nil"/>
              <w:right w:val="nil"/>
            </w:tcBorders>
            <w:shd w:val="clear" w:color="auto" w:fill="auto"/>
            <w:noWrap/>
            <w:vAlign w:val="center"/>
            <w:hideMark/>
          </w:tcPr>
          <w:p w14:paraId="42E97D6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-0.25</w:t>
            </w:r>
          </w:p>
        </w:tc>
        <w:tc>
          <w:tcPr>
            <w:tcW w:w="244" w:type="pct"/>
            <w:tcBorders>
              <w:top w:val="nil"/>
              <w:left w:val="nil"/>
              <w:bottom w:val="nil"/>
              <w:right w:val="nil"/>
            </w:tcBorders>
            <w:shd w:val="clear" w:color="auto" w:fill="auto"/>
            <w:noWrap/>
            <w:vAlign w:val="center"/>
            <w:hideMark/>
          </w:tcPr>
          <w:p w14:paraId="127D1F0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-0.43</w:t>
            </w:r>
          </w:p>
        </w:tc>
        <w:tc>
          <w:tcPr>
            <w:tcW w:w="267" w:type="pct"/>
            <w:tcBorders>
              <w:top w:val="nil"/>
              <w:left w:val="nil"/>
              <w:bottom w:val="nil"/>
              <w:right w:val="nil"/>
            </w:tcBorders>
            <w:shd w:val="clear" w:color="auto" w:fill="auto"/>
            <w:noWrap/>
            <w:vAlign w:val="center"/>
            <w:hideMark/>
          </w:tcPr>
          <w:p w14:paraId="651D23D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-0.41</w:t>
            </w:r>
          </w:p>
        </w:tc>
        <w:tc>
          <w:tcPr>
            <w:tcW w:w="267" w:type="pct"/>
            <w:tcBorders>
              <w:top w:val="nil"/>
              <w:left w:val="nil"/>
              <w:bottom w:val="nil"/>
              <w:right w:val="nil"/>
            </w:tcBorders>
            <w:shd w:val="clear" w:color="auto" w:fill="auto"/>
            <w:noWrap/>
            <w:vAlign w:val="center"/>
            <w:hideMark/>
          </w:tcPr>
          <w:p w14:paraId="29F5D5F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-0.29</w:t>
            </w:r>
          </w:p>
        </w:tc>
        <w:tc>
          <w:tcPr>
            <w:tcW w:w="244" w:type="pct"/>
            <w:tcBorders>
              <w:top w:val="nil"/>
              <w:left w:val="nil"/>
              <w:bottom w:val="nil"/>
              <w:right w:val="nil"/>
            </w:tcBorders>
            <w:shd w:val="clear" w:color="auto" w:fill="auto"/>
            <w:vAlign w:val="center"/>
            <w:hideMark/>
          </w:tcPr>
          <w:p w14:paraId="571D2D4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-0.46</w:t>
            </w:r>
          </w:p>
        </w:tc>
        <w:tc>
          <w:tcPr>
            <w:tcW w:w="251" w:type="pct"/>
            <w:tcBorders>
              <w:top w:val="nil"/>
              <w:left w:val="nil"/>
              <w:bottom w:val="nil"/>
              <w:right w:val="nil"/>
            </w:tcBorders>
            <w:shd w:val="clear" w:color="auto" w:fill="auto"/>
            <w:vAlign w:val="center"/>
            <w:hideMark/>
          </w:tcPr>
          <w:p w14:paraId="155FF05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w:t>
            </w:r>
          </w:p>
        </w:tc>
        <w:tc>
          <w:tcPr>
            <w:tcW w:w="297" w:type="pct"/>
            <w:tcBorders>
              <w:top w:val="nil"/>
              <w:left w:val="nil"/>
              <w:bottom w:val="nil"/>
              <w:right w:val="nil"/>
            </w:tcBorders>
            <w:shd w:val="clear" w:color="auto" w:fill="auto"/>
            <w:vAlign w:val="center"/>
            <w:hideMark/>
          </w:tcPr>
          <w:p w14:paraId="1C94F043"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-0.22</w:t>
            </w:r>
          </w:p>
        </w:tc>
        <w:tc>
          <w:tcPr>
            <w:tcW w:w="269" w:type="pct"/>
            <w:tcBorders>
              <w:top w:val="nil"/>
              <w:left w:val="nil"/>
              <w:bottom w:val="nil"/>
              <w:right w:val="nil"/>
            </w:tcBorders>
            <w:shd w:val="clear" w:color="auto" w:fill="auto"/>
            <w:vAlign w:val="center"/>
            <w:hideMark/>
          </w:tcPr>
          <w:p w14:paraId="18D1F0F7"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-0.36</w:t>
            </w:r>
          </w:p>
        </w:tc>
        <w:tc>
          <w:tcPr>
            <w:tcW w:w="298" w:type="pct"/>
            <w:tcBorders>
              <w:top w:val="nil"/>
              <w:left w:val="nil"/>
              <w:bottom w:val="nil"/>
              <w:right w:val="nil"/>
            </w:tcBorders>
            <w:shd w:val="clear" w:color="auto" w:fill="auto"/>
            <w:vAlign w:val="center"/>
            <w:hideMark/>
          </w:tcPr>
          <w:p w14:paraId="4915F72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-0.19</w:t>
            </w:r>
          </w:p>
        </w:tc>
        <w:tc>
          <w:tcPr>
            <w:tcW w:w="293" w:type="pct"/>
            <w:tcBorders>
              <w:top w:val="nil"/>
              <w:left w:val="nil"/>
              <w:bottom w:val="nil"/>
              <w:right w:val="nil"/>
            </w:tcBorders>
            <w:shd w:val="clear" w:color="auto" w:fill="auto"/>
            <w:vAlign w:val="center"/>
            <w:hideMark/>
          </w:tcPr>
          <w:p w14:paraId="6AB7F261"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0.16</w:t>
            </w:r>
          </w:p>
        </w:tc>
        <w:tc>
          <w:tcPr>
            <w:tcW w:w="241" w:type="pct"/>
            <w:tcBorders>
              <w:top w:val="nil"/>
              <w:left w:val="nil"/>
              <w:bottom w:val="nil"/>
              <w:right w:val="nil"/>
            </w:tcBorders>
            <w:shd w:val="clear" w:color="auto" w:fill="auto"/>
            <w:vAlign w:val="center"/>
            <w:hideMark/>
          </w:tcPr>
          <w:p w14:paraId="2DDA5133"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0.14</w:t>
            </w:r>
          </w:p>
        </w:tc>
        <w:tc>
          <w:tcPr>
            <w:tcW w:w="253" w:type="pct"/>
            <w:tcBorders>
              <w:top w:val="nil"/>
              <w:left w:val="nil"/>
              <w:bottom w:val="nil"/>
              <w:right w:val="nil"/>
            </w:tcBorders>
            <w:shd w:val="clear" w:color="auto" w:fill="auto"/>
            <w:vAlign w:val="center"/>
            <w:hideMark/>
          </w:tcPr>
          <w:p w14:paraId="2B69E2D3"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0.23</w:t>
            </w:r>
          </w:p>
        </w:tc>
        <w:tc>
          <w:tcPr>
            <w:tcW w:w="299" w:type="pct"/>
            <w:tcBorders>
              <w:top w:val="nil"/>
              <w:left w:val="nil"/>
              <w:bottom w:val="nil"/>
              <w:right w:val="nil"/>
            </w:tcBorders>
            <w:shd w:val="clear" w:color="auto" w:fill="auto"/>
            <w:vAlign w:val="center"/>
            <w:hideMark/>
          </w:tcPr>
          <w:p w14:paraId="182F9591"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-0.04</w:t>
            </w:r>
          </w:p>
        </w:tc>
        <w:tc>
          <w:tcPr>
            <w:tcW w:w="298" w:type="pct"/>
            <w:tcBorders>
              <w:top w:val="nil"/>
              <w:left w:val="nil"/>
              <w:bottom w:val="nil"/>
              <w:right w:val="nil"/>
            </w:tcBorders>
            <w:shd w:val="clear" w:color="auto" w:fill="auto"/>
            <w:vAlign w:val="center"/>
            <w:hideMark/>
          </w:tcPr>
          <w:p w14:paraId="74899824"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c>
          <w:tcPr>
            <w:tcW w:w="295" w:type="pct"/>
            <w:tcBorders>
              <w:top w:val="nil"/>
              <w:left w:val="nil"/>
              <w:bottom w:val="nil"/>
              <w:right w:val="nil"/>
            </w:tcBorders>
            <w:shd w:val="clear" w:color="auto" w:fill="auto"/>
            <w:vAlign w:val="center"/>
            <w:hideMark/>
          </w:tcPr>
          <w:p w14:paraId="5D9E8D52"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p>
        </w:tc>
        <w:tc>
          <w:tcPr>
            <w:tcW w:w="354" w:type="pct"/>
            <w:tcBorders>
              <w:top w:val="nil"/>
              <w:left w:val="nil"/>
              <w:bottom w:val="nil"/>
              <w:right w:val="nil"/>
            </w:tcBorders>
            <w:shd w:val="clear" w:color="auto" w:fill="auto"/>
            <w:vAlign w:val="center"/>
            <w:hideMark/>
          </w:tcPr>
          <w:p w14:paraId="26A06087" w14:textId="77777777" w:rsidR="00E574BE" w:rsidRPr="00357722" w:rsidRDefault="00E574BE" w:rsidP="005636E8">
            <w:pPr>
              <w:spacing w:after="0" w:line="480" w:lineRule="auto"/>
              <w:jc w:val="both"/>
              <w:rPr>
                <w:rFonts w:ascii="Times New Roman" w:eastAsia="Times New Roman" w:hAnsi="Times New Roman" w:cs="Times New Roman"/>
                <w:sz w:val="18"/>
                <w:szCs w:val="18"/>
              </w:rPr>
            </w:pPr>
          </w:p>
        </w:tc>
      </w:tr>
      <w:tr w:rsidR="0048630B" w:rsidRPr="00357722" w14:paraId="1DF11639" w14:textId="77777777" w:rsidTr="0048630B">
        <w:trPr>
          <w:gridAfter w:val="1"/>
          <w:wAfter w:w="354" w:type="pct"/>
          <w:trHeight w:val="283"/>
        </w:trPr>
        <w:tc>
          <w:tcPr>
            <w:tcW w:w="544" w:type="pct"/>
            <w:tcBorders>
              <w:top w:val="nil"/>
              <w:left w:val="nil"/>
              <w:bottom w:val="nil"/>
              <w:right w:val="nil"/>
            </w:tcBorders>
            <w:shd w:val="clear" w:color="auto" w:fill="auto"/>
            <w:noWrap/>
            <w:vAlign w:val="center"/>
            <w:hideMark/>
          </w:tcPr>
          <w:p w14:paraId="358CA699" w14:textId="62CFF339" w:rsidR="00E574BE" w:rsidRPr="00357722" w:rsidRDefault="008857A2"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OTIDSGDP</w:t>
            </w:r>
            <w:r w:rsidR="00E574BE" w:rsidRPr="00357722">
              <w:rPr>
                <w:rFonts w:ascii="Times New Roman" w:eastAsia="Times New Roman" w:hAnsi="Times New Roman" w:cs="Times New Roman"/>
                <w:color w:val="000000"/>
                <w:sz w:val="18"/>
                <w:szCs w:val="18"/>
              </w:rPr>
              <w:t xml:space="preserve"> (15)</w:t>
            </w:r>
          </w:p>
        </w:tc>
        <w:tc>
          <w:tcPr>
            <w:tcW w:w="286" w:type="pct"/>
            <w:tcBorders>
              <w:top w:val="nil"/>
              <w:left w:val="nil"/>
              <w:bottom w:val="nil"/>
              <w:right w:val="nil"/>
            </w:tcBorders>
            <w:shd w:val="clear" w:color="auto" w:fill="auto"/>
            <w:noWrap/>
            <w:vAlign w:val="center"/>
            <w:hideMark/>
          </w:tcPr>
          <w:p w14:paraId="6FE01D5C"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0.18</w:t>
            </w:r>
          </w:p>
        </w:tc>
        <w:tc>
          <w:tcPr>
            <w:tcW w:w="244" w:type="pct"/>
            <w:tcBorders>
              <w:top w:val="nil"/>
              <w:left w:val="nil"/>
              <w:bottom w:val="nil"/>
              <w:right w:val="nil"/>
            </w:tcBorders>
            <w:shd w:val="clear" w:color="auto" w:fill="auto"/>
            <w:noWrap/>
            <w:vAlign w:val="center"/>
            <w:hideMark/>
          </w:tcPr>
          <w:p w14:paraId="03D35434"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0.42</w:t>
            </w:r>
          </w:p>
        </w:tc>
        <w:tc>
          <w:tcPr>
            <w:tcW w:w="267" w:type="pct"/>
            <w:tcBorders>
              <w:top w:val="nil"/>
              <w:left w:val="nil"/>
              <w:bottom w:val="nil"/>
              <w:right w:val="nil"/>
            </w:tcBorders>
            <w:shd w:val="clear" w:color="auto" w:fill="auto"/>
            <w:noWrap/>
            <w:vAlign w:val="center"/>
            <w:hideMark/>
          </w:tcPr>
          <w:p w14:paraId="5D51F314"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0.39</w:t>
            </w:r>
          </w:p>
        </w:tc>
        <w:tc>
          <w:tcPr>
            <w:tcW w:w="267" w:type="pct"/>
            <w:tcBorders>
              <w:top w:val="nil"/>
              <w:left w:val="nil"/>
              <w:bottom w:val="nil"/>
              <w:right w:val="nil"/>
            </w:tcBorders>
            <w:shd w:val="clear" w:color="auto" w:fill="auto"/>
            <w:noWrap/>
            <w:vAlign w:val="center"/>
            <w:hideMark/>
          </w:tcPr>
          <w:p w14:paraId="2BE73C34"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0.44</w:t>
            </w:r>
          </w:p>
        </w:tc>
        <w:tc>
          <w:tcPr>
            <w:tcW w:w="244" w:type="pct"/>
            <w:tcBorders>
              <w:top w:val="nil"/>
              <w:left w:val="nil"/>
              <w:bottom w:val="nil"/>
              <w:right w:val="nil"/>
            </w:tcBorders>
            <w:shd w:val="clear" w:color="auto" w:fill="auto"/>
            <w:vAlign w:val="center"/>
            <w:hideMark/>
          </w:tcPr>
          <w:p w14:paraId="60FD6CFB"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0.51</w:t>
            </w:r>
          </w:p>
        </w:tc>
        <w:tc>
          <w:tcPr>
            <w:tcW w:w="251" w:type="pct"/>
            <w:tcBorders>
              <w:top w:val="nil"/>
              <w:left w:val="nil"/>
              <w:bottom w:val="nil"/>
              <w:right w:val="nil"/>
            </w:tcBorders>
            <w:shd w:val="clear" w:color="auto" w:fill="auto"/>
            <w:vAlign w:val="center"/>
            <w:hideMark/>
          </w:tcPr>
          <w:p w14:paraId="754ACE12"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0.58</w:t>
            </w:r>
          </w:p>
        </w:tc>
        <w:tc>
          <w:tcPr>
            <w:tcW w:w="297" w:type="pct"/>
            <w:tcBorders>
              <w:top w:val="nil"/>
              <w:left w:val="nil"/>
              <w:bottom w:val="nil"/>
              <w:right w:val="nil"/>
            </w:tcBorders>
            <w:shd w:val="clear" w:color="auto" w:fill="auto"/>
            <w:vAlign w:val="center"/>
            <w:hideMark/>
          </w:tcPr>
          <w:p w14:paraId="51D0702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0.24</w:t>
            </w:r>
          </w:p>
        </w:tc>
        <w:tc>
          <w:tcPr>
            <w:tcW w:w="269" w:type="pct"/>
            <w:tcBorders>
              <w:top w:val="nil"/>
              <w:left w:val="nil"/>
              <w:bottom w:val="nil"/>
              <w:right w:val="nil"/>
            </w:tcBorders>
            <w:shd w:val="clear" w:color="auto" w:fill="auto"/>
            <w:vAlign w:val="center"/>
            <w:hideMark/>
          </w:tcPr>
          <w:p w14:paraId="446BDD3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0.45</w:t>
            </w:r>
          </w:p>
        </w:tc>
        <w:tc>
          <w:tcPr>
            <w:tcW w:w="298" w:type="pct"/>
            <w:tcBorders>
              <w:top w:val="nil"/>
              <w:left w:val="nil"/>
              <w:bottom w:val="nil"/>
              <w:right w:val="nil"/>
            </w:tcBorders>
            <w:shd w:val="clear" w:color="auto" w:fill="auto"/>
            <w:vAlign w:val="center"/>
            <w:hideMark/>
          </w:tcPr>
          <w:p w14:paraId="791163C9"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0.41</w:t>
            </w:r>
          </w:p>
        </w:tc>
        <w:tc>
          <w:tcPr>
            <w:tcW w:w="293" w:type="pct"/>
            <w:tcBorders>
              <w:top w:val="nil"/>
              <w:left w:val="nil"/>
              <w:bottom w:val="nil"/>
              <w:right w:val="nil"/>
            </w:tcBorders>
            <w:shd w:val="clear" w:color="auto" w:fill="auto"/>
            <w:vAlign w:val="center"/>
            <w:hideMark/>
          </w:tcPr>
          <w:p w14:paraId="2B2DFEB2"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-0.09</w:t>
            </w:r>
          </w:p>
        </w:tc>
        <w:tc>
          <w:tcPr>
            <w:tcW w:w="241" w:type="pct"/>
            <w:tcBorders>
              <w:top w:val="nil"/>
              <w:left w:val="nil"/>
              <w:bottom w:val="nil"/>
              <w:right w:val="nil"/>
            </w:tcBorders>
            <w:shd w:val="clear" w:color="auto" w:fill="auto"/>
            <w:vAlign w:val="center"/>
            <w:hideMark/>
          </w:tcPr>
          <w:p w14:paraId="1E90C311"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w:t>
            </w:r>
          </w:p>
        </w:tc>
        <w:tc>
          <w:tcPr>
            <w:tcW w:w="253" w:type="pct"/>
            <w:tcBorders>
              <w:top w:val="nil"/>
              <w:left w:val="nil"/>
              <w:bottom w:val="nil"/>
              <w:right w:val="nil"/>
            </w:tcBorders>
            <w:shd w:val="clear" w:color="auto" w:fill="auto"/>
            <w:vAlign w:val="center"/>
            <w:hideMark/>
          </w:tcPr>
          <w:p w14:paraId="329812D5"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-0.28</w:t>
            </w:r>
          </w:p>
        </w:tc>
        <w:tc>
          <w:tcPr>
            <w:tcW w:w="299" w:type="pct"/>
            <w:tcBorders>
              <w:top w:val="nil"/>
              <w:left w:val="nil"/>
              <w:bottom w:val="nil"/>
              <w:right w:val="nil"/>
            </w:tcBorders>
            <w:shd w:val="clear" w:color="auto" w:fill="auto"/>
            <w:vAlign w:val="center"/>
            <w:hideMark/>
          </w:tcPr>
          <w:p w14:paraId="0F173CF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0.19</w:t>
            </w:r>
          </w:p>
        </w:tc>
        <w:tc>
          <w:tcPr>
            <w:tcW w:w="298" w:type="pct"/>
            <w:tcBorders>
              <w:top w:val="nil"/>
              <w:left w:val="nil"/>
              <w:bottom w:val="nil"/>
              <w:right w:val="nil"/>
            </w:tcBorders>
            <w:shd w:val="clear" w:color="auto" w:fill="auto"/>
            <w:vAlign w:val="center"/>
            <w:hideMark/>
          </w:tcPr>
          <w:p w14:paraId="09898893"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-0.21</w:t>
            </w:r>
          </w:p>
        </w:tc>
        <w:tc>
          <w:tcPr>
            <w:tcW w:w="295" w:type="pct"/>
            <w:tcBorders>
              <w:top w:val="nil"/>
              <w:left w:val="nil"/>
              <w:bottom w:val="nil"/>
              <w:right w:val="nil"/>
            </w:tcBorders>
            <w:shd w:val="clear" w:color="auto" w:fill="auto"/>
            <w:vAlign w:val="center"/>
            <w:hideMark/>
          </w:tcPr>
          <w:p w14:paraId="7C492A84"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r>
      <w:tr w:rsidR="0048630B" w:rsidRPr="00357722" w14:paraId="01EF5DEA" w14:textId="77777777" w:rsidTr="0048630B">
        <w:trPr>
          <w:trHeight w:val="283"/>
        </w:trPr>
        <w:tc>
          <w:tcPr>
            <w:tcW w:w="544" w:type="pct"/>
            <w:tcBorders>
              <w:top w:val="nil"/>
              <w:left w:val="nil"/>
              <w:bottom w:val="single" w:sz="4" w:space="0" w:color="auto"/>
              <w:right w:val="nil"/>
            </w:tcBorders>
            <w:shd w:val="clear" w:color="auto" w:fill="auto"/>
            <w:noWrap/>
            <w:vAlign w:val="center"/>
            <w:hideMark/>
          </w:tcPr>
          <w:p w14:paraId="44EE3D62" w14:textId="51E8B4C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L</w:t>
            </w:r>
            <w:r w:rsidR="00EE4B2A" w:rsidRPr="00357722">
              <w:rPr>
                <w:rFonts w:ascii="Times New Roman" w:eastAsia="Times New Roman" w:hAnsi="Times New Roman" w:cs="Times New Roman"/>
                <w:color w:val="000000"/>
                <w:sz w:val="18"/>
                <w:szCs w:val="18"/>
              </w:rPr>
              <w:t>EGORI</w:t>
            </w:r>
            <w:r w:rsidRPr="00357722">
              <w:rPr>
                <w:rFonts w:ascii="Times New Roman" w:eastAsia="Times New Roman" w:hAnsi="Times New Roman" w:cs="Times New Roman"/>
                <w:color w:val="000000"/>
                <w:sz w:val="18"/>
                <w:szCs w:val="18"/>
              </w:rPr>
              <w:t xml:space="preserve"> (16)</w:t>
            </w:r>
          </w:p>
        </w:tc>
        <w:tc>
          <w:tcPr>
            <w:tcW w:w="286" w:type="pct"/>
            <w:tcBorders>
              <w:top w:val="nil"/>
              <w:left w:val="nil"/>
              <w:bottom w:val="single" w:sz="4" w:space="0" w:color="auto"/>
              <w:right w:val="nil"/>
            </w:tcBorders>
            <w:shd w:val="clear" w:color="auto" w:fill="auto"/>
            <w:noWrap/>
            <w:vAlign w:val="center"/>
            <w:hideMark/>
          </w:tcPr>
          <w:p w14:paraId="02B5A6A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-0.29</w:t>
            </w:r>
          </w:p>
        </w:tc>
        <w:tc>
          <w:tcPr>
            <w:tcW w:w="244" w:type="pct"/>
            <w:tcBorders>
              <w:top w:val="nil"/>
              <w:left w:val="nil"/>
              <w:bottom w:val="single" w:sz="4" w:space="0" w:color="auto"/>
              <w:right w:val="nil"/>
            </w:tcBorders>
            <w:shd w:val="clear" w:color="auto" w:fill="auto"/>
            <w:noWrap/>
            <w:vAlign w:val="center"/>
            <w:hideMark/>
          </w:tcPr>
          <w:p w14:paraId="0DC81F0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-0.15</w:t>
            </w:r>
          </w:p>
        </w:tc>
        <w:tc>
          <w:tcPr>
            <w:tcW w:w="267" w:type="pct"/>
            <w:tcBorders>
              <w:top w:val="nil"/>
              <w:left w:val="nil"/>
              <w:bottom w:val="single" w:sz="4" w:space="0" w:color="auto"/>
              <w:right w:val="nil"/>
            </w:tcBorders>
            <w:shd w:val="clear" w:color="auto" w:fill="auto"/>
            <w:noWrap/>
            <w:vAlign w:val="center"/>
            <w:hideMark/>
          </w:tcPr>
          <w:p w14:paraId="515B23C4"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-0.14</w:t>
            </w:r>
          </w:p>
        </w:tc>
        <w:tc>
          <w:tcPr>
            <w:tcW w:w="267" w:type="pct"/>
            <w:tcBorders>
              <w:top w:val="nil"/>
              <w:left w:val="nil"/>
              <w:bottom w:val="single" w:sz="4" w:space="0" w:color="auto"/>
              <w:right w:val="nil"/>
            </w:tcBorders>
            <w:shd w:val="clear" w:color="auto" w:fill="auto"/>
            <w:noWrap/>
            <w:vAlign w:val="center"/>
            <w:hideMark/>
          </w:tcPr>
          <w:p w14:paraId="3077E6FA"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-0.13</w:t>
            </w:r>
          </w:p>
        </w:tc>
        <w:tc>
          <w:tcPr>
            <w:tcW w:w="244" w:type="pct"/>
            <w:tcBorders>
              <w:top w:val="nil"/>
              <w:left w:val="nil"/>
              <w:bottom w:val="single" w:sz="4" w:space="0" w:color="auto"/>
              <w:right w:val="nil"/>
            </w:tcBorders>
            <w:shd w:val="clear" w:color="auto" w:fill="auto"/>
            <w:vAlign w:val="center"/>
            <w:hideMark/>
          </w:tcPr>
          <w:p w14:paraId="02E4D752"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-0.08</w:t>
            </w:r>
          </w:p>
        </w:tc>
        <w:tc>
          <w:tcPr>
            <w:tcW w:w="251" w:type="pct"/>
            <w:tcBorders>
              <w:top w:val="nil"/>
              <w:left w:val="nil"/>
              <w:bottom w:val="single" w:sz="4" w:space="0" w:color="auto"/>
              <w:right w:val="nil"/>
            </w:tcBorders>
            <w:shd w:val="clear" w:color="auto" w:fill="auto"/>
            <w:vAlign w:val="center"/>
            <w:hideMark/>
          </w:tcPr>
          <w:p w14:paraId="202517BE"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-0.17</w:t>
            </w:r>
          </w:p>
        </w:tc>
        <w:tc>
          <w:tcPr>
            <w:tcW w:w="297" w:type="pct"/>
            <w:tcBorders>
              <w:top w:val="nil"/>
              <w:left w:val="nil"/>
              <w:bottom w:val="single" w:sz="4" w:space="0" w:color="auto"/>
              <w:right w:val="nil"/>
            </w:tcBorders>
            <w:shd w:val="clear" w:color="auto" w:fill="auto"/>
            <w:vAlign w:val="center"/>
            <w:hideMark/>
          </w:tcPr>
          <w:p w14:paraId="4A0C9B48"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-0.3</w:t>
            </w:r>
          </w:p>
        </w:tc>
        <w:tc>
          <w:tcPr>
            <w:tcW w:w="269" w:type="pct"/>
            <w:tcBorders>
              <w:top w:val="nil"/>
              <w:left w:val="nil"/>
              <w:bottom w:val="single" w:sz="4" w:space="0" w:color="auto"/>
              <w:right w:val="nil"/>
            </w:tcBorders>
            <w:shd w:val="clear" w:color="auto" w:fill="auto"/>
            <w:vAlign w:val="center"/>
            <w:hideMark/>
          </w:tcPr>
          <w:p w14:paraId="60AE0008"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-0.03</w:t>
            </w:r>
          </w:p>
        </w:tc>
        <w:tc>
          <w:tcPr>
            <w:tcW w:w="298" w:type="pct"/>
            <w:tcBorders>
              <w:top w:val="nil"/>
              <w:left w:val="nil"/>
              <w:bottom w:val="single" w:sz="4" w:space="0" w:color="auto"/>
              <w:right w:val="nil"/>
            </w:tcBorders>
            <w:shd w:val="clear" w:color="auto" w:fill="auto"/>
            <w:vAlign w:val="center"/>
            <w:hideMark/>
          </w:tcPr>
          <w:p w14:paraId="0E441BCF"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0.05</w:t>
            </w:r>
          </w:p>
        </w:tc>
        <w:tc>
          <w:tcPr>
            <w:tcW w:w="293" w:type="pct"/>
            <w:tcBorders>
              <w:top w:val="nil"/>
              <w:left w:val="nil"/>
              <w:bottom w:val="single" w:sz="4" w:space="0" w:color="auto"/>
              <w:right w:val="nil"/>
            </w:tcBorders>
            <w:shd w:val="clear" w:color="auto" w:fill="auto"/>
            <w:vAlign w:val="center"/>
            <w:hideMark/>
          </w:tcPr>
          <w:p w14:paraId="65EB9310"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-0.47</w:t>
            </w:r>
          </w:p>
        </w:tc>
        <w:tc>
          <w:tcPr>
            <w:tcW w:w="241" w:type="pct"/>
            <w:tcBorders>
              <w:top w:val="nil"/>
              <w:left w:val="nil"/>
              <w:bottom w:val="single" w:sz="4" w:space="0" w:color="auto"/>
              <w:right w:val="nil"/>
            </w:tcBorders>
            <w:shd w:val="clear" w:color="auto" w:fill="auto"/>
            <w:vAlign w:val="center"/>
            <w:hideMark/>
          </w:tcPr>
          <w:p w14:paraId="1975B5DD"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w:t>
            </w:r>
          </w:p>
        </w:tc>
        <w:tc>
          <w:tcPr>
            <w:tcW w:w="253" w:type="pct"/>
            <w:tcBorders>
              <w:top w:val="nil"/>
              <w:left w:val="nil"/>
              <w:bottom w:val="single" w:sz="4" w:space="0" w:color="auto"/>
              <w:right w:val="nil"/>
            </w:tcBorders>
            <w:shd w:val="clear" w:color="auto" w:fill="auto"/>
            <w:vAlign w:val="center"/>
            <w:hideMark/>
          </w:tcPr>
          <w:p w14:paraId="53CEAC16"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0.11</w:t>
            </w:r>
          </w:p>
        </w:tc>
        <w:tc>
          <w:tcPr>
            <w:tcW w:w="299" w:type="pct"/>
            <w:tcBorders>
              <w:top w:val="nil"/>
              <w:left w:val="nil"/>
              <w:bottom w:val="single" w:sz="4" w:space="0" w:color="auto"/>
              <w:right w:val="nil"/>
            </w:tcBorders>
            <w:shd w:val="clear" w:color="auto" w:fill="auto"/>
            <w:vAlign w:val="center"/>
            <w:hideMark/>
          </w:tcPr>
          <w:p w14:paraId="3AACA8CD"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-0.15</w:t>
            </w:r>
          </w:p>
        </w:tc>
        <w:tc>
          <w:tcPr>
            <w:tcW w:w="298" w:type="pct"/>
            <w:tcBorders>
              <w:top w:val="nil"/>
              <w:left w:val="nil"/>
              <w:bottom w:val="single" w:sz="4" w:space="0" w:color="auto"/>
              <w:right w:val="nil"/>
            </w:tcBorders>
            <w:shd w:val="clear" w:color="auto" w:fill="auto"/>
            <w:vAlign w:val="center"/>
            <w:hideMark/>
          </w:tcPr>
          <w:p w14:paraId="0CD48E07"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0.16</w:t>
            </w:r>
          </w:p>
        </w:tc>
        <w:tc>
          <w:tcPr>
            <w:tcW w:w="295" w:type="pct"/>
            <w:tcBorders>
              <w:top w:val="nil"/>
              <w:left w:val="nil"/>
              <w:bottom w:val="single" w:sz="4" w:space="0" w:color="auto"/>
              <w:right w:val="nil"/>
            </w:tcBorders>
            <w:shd w:val="clear" w:color="auto" w:fill="auto"/>
            <w:vAlign w:val="center"/>
            <w:hideMark/>
          </w:tcPr>
          <w:p w14:paraId="515955F1" w14:textId="77777777" w:rsidR="00E574BE" w:rsidRPr="00357722" w:rsidRDefault="00E574BE" w:rsidP="005636E8">
            <w:pPr>
              <w:spacing w:after="0" w:line="480" w:lineRule="auto"/>
              <w:jc w:val="both"/>
              <w:rPr>
                <w:rFonts w:ascii="Times New Roman" w:eastAsia="Times New Roman" w:hAnsi="Times New Roman" w:cs="Times New Roman"/>
                <w:b/>
                <w:bCs/>
                <w:color w:val="000000"/>
                <w:sz w:val="18"/>
                <w:szCs w:val="18"/>
              </w:rPr>
            </w:pPr>
            <w:r w:rsidRPr="00357722">
              <w:rPr>
                <w:rFonts w:ascii="Times New Roman" w:eastAsia="Times New Roman" w:hAnsi="Times New Roman" w:cs="Times New Roman"/>
                <w:b/>
                <w:bCs/>
                <w:color w:val="000000"/>
                <w:sz w:val="18"/>
                <w:szCs w:val="18"/>
                <w:lang w:val="en-US"/>
              </w:rPr>
              <w:t>-0.08</w:t>
            </w:r>
          </w:p>
        </w:tc>
        <w:tc>
          <w:tcPr>
            <w:tcW w:w="354" w:type="pct"/>
            <w:tcBorders>
              <w:top w:val="nil"/>
              <w:left w:val="nil"/>
              <w:bottom w:val="single" w:sz="4" w:space="0" w:color="auto"/>
              <w:right w:val="nil"/>
            </w:tcBorders>
            <w:shd w:val="clear" w:color="auto" w:fill="auto"/>
            <w:vAlign w:val="center"/>
            <w:hideMark/>
          </w:tcPr>
          <w:p w14:paraId="6B42EF9E" w14:textId="77777777" w:rsidR="00E574BE" w:rsidRPr="00357722" w:rsidRDefault="00E574BE" w:rsidP="005636E8">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lang w:val="en-US"/>
              </w:rPr>
              <w:t>1</w:t>
            </w:r>
          </w:p>
        </w:tc>
      </w:tr>
      <w:tr w:rsidR="0048630B" w:rsidRPr="00357722" w14:paraId="305EB46A" w14:textId="77777777" w:rsidTr="0048630B">
        <w:trPr>
          <w:trHeight w:val="240"/>
        </w:trPr>
        <w:tc>
          <w:tcPr>
            <w:tcW w:w="5000" w:type="pct"/>
            <w:gridSpan w:val="17"/>
            <w:tcBorders>
              <w:top w:val="single" w:sz="4" w:space="0" w:color="auto"/>
              <w:left w:val="nil"/>
              <w:bottom w:val="nil"/>
              <w:right w:val="nil"/>
            </w:tcBorders>
            <w:shd w:val="clear" w:color="auto" w:fill="auto"/>
            <w:noWrap/>
            <w:vAlign w:val="bottom"/>
            <w:hideMark/>
          </w:tcPr>
          <w:p w14:paraId="56F2817E" w14:textId="442534BE" w:rsidR="00E574BE" w:rsidRPr="00357722" w:rsidRDefault="002E3D3A" w:rsidP="0048630B">
            <w:pPr>
              <w:spacing w:after="0" w:line="48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themeColor="text1"/>
                <w:sz w:val="18"/>
                <w:szCs w:val="18"/>
                <w:lang w:val="en-US"/>
              </w:rPr>
              <w:t xml:space="preserve">Notes: All variables are as defined in </w:t>
            </w:r>
            <w:r w:rsidR="0048630B" w:rsidRPr="00357722">
              <w:rPr>
                <w:rFonts w:ascii="Times New Roman" w:eastAsia="Times New Roman" w:hAnsi="Times New Roman" w:cs="Times New Roman"/>
                <w:color w:val="000000" w:themeColor="text1"/>
                <w:sz w:val="18"/>
                <w:szCs w:val="18"/>
                <w:lang w:val="en-US"/>
              </w:rPr>
              <w:t>Appendix</w:t>
            </w:r>
            <w:r w:rsidRPr="00357722">
              <w:rPr>
                <w:rFonts w:ascii="Times New Roman" w:eastAsia="Times New Roman" w:hAnsi="Times New Roman" w:cs="Times New Roman"/>
                <w:color w:val="000000" w:themeColor="text1"/>
                <w:sz w:val="18"/>
                <w:szCs w:val="18"/>
                <w:lang w:val="en-US"/>
              </w:rPr>
              <w:t xml:space="preserve"> </w:t>
            </w:r>
            <w:r w:rsidR="0048630B" w:rsidRPr="00357722">
              <w:rPr>
                <w:rFonts w:ascii="Times New Roman" w:eastAsia="Times New Roman" w:hAnsi="Times New Roman" w:cs="Times New Roman"/>
                <w:color w:val="000000" w:themeColor="text1"/>
                <w:sz w:val="18"/>
                <w:szCs w:val="18"/>
                <w:lang w:val="en-US"/>
              </w:rPr>
              <w:t>A</w:t>
            </w:r>
            <w:r w:rsidRPr="00357722">
              <w:rPr>
                <w:rFonts w:ascii="Times New Roman" w:eastAsia="Times New Roman" w:hAnsi="Times New Roman" w:cs="Times New Roman"/>
                <w:color w:val="000000" w:themeColor="text1"/>
                <w:sz w:val="18"/>
                <w:szCs w:val="18"/>
                <w:lang w:val="en-US"/>
              </w:rPr>
              <w:t>1. For brevity and space, statistical significance of at least the 5% level is reported in bold</w:t>
            </w:r>
            <w:r w:rsidR="0048630B" w:rsidRPr="00357722">
              <w:rPr>
                <w:rFonts w:ascii="Times New Roman" w:eastAsia="Times New Roman" w:hAnsi="Times New Roman" w:cs="Times New Roman"/>
                <w:color w:val="000000" w:themeColor="text1"/>
                <w:sz w:val="18"/>
                <w:szCs w:val="18"/>
                <w:lang w:val="en-US"/>
              </w:rPr>
              <w:t xml:space="preserve"> </w:t>
            </w:r>
          </w:p>
        </w:tc>
      </w:tr>
    </w:tbl>
    <w:p w14:paraId="45EDCBA2" w14:textId="77777777" w:rsidR="006B12C5" w:rsidRPr="00357722" w:rsidRDefault="006B12C5" w:rsidP="005636E8">
      <w:pPr>
        <w:spacing w:line="480" w:lineRule="auto"/>
        <w:jc w:val="both"/>
        <w:rPr>
          <w:rFonts w:ascii="Times New Roman" w:eastAsia="SimSun" w:hAnsi="Times New Roman" w:cs="Times New Roman"/>
          <w:color w:val="000000" w:themeColor="text1"/>
          <w:sz w:val="24"/>
          <w:szCs w:val="24"/>
          <w:lang w:eastAsia="zh-CN"/>
        </w:rPr>
      </w:pPr>
    </w:p>
    <w:p w14:paraId="27CFA179" w14:textId="77777777" w:rsidR="00E70D96" w:rsidRPr="00357722" w:rsidRDefault="00E70D96" w:rsidP="005636E8">
      <w:pPr>
        <w:spacing w:line="480" w:lineRule="auto"/>
        <w:jc w:val="both"/>
        <w:rPr>
          <w:rFonts w:ascii="Times New Roman" w:eastAsia="SimSun" w:hAnsi="Times New Roman" w:cs="Times New Roman"/>
          <w:color w:val="000000" w:themeColor="text1"/>
          <w:sz w:val="24"/>
          <w:szCs w:val="24"/>
          <w:lang w:eastAsia="zh-CN"/>
        </w:rPr>
        <w:sectPr w:rsidR="00E70D96" w:rsidRPr="00357722" w:rsidSect="00C34896">
          <w:pgSz w:w="16838" w:h="11906" w:orient="landscape"/>
          <w:pgMar w:top="993" w:right="1440" w:bottom="1440" w:left="1440" w:header="708" w:footer="708" w:gutter="0"/>
          <w:cols w:space="708"/>
          <w:docGrid w:linePitch="360"/>
        </w:sectPr>
      </w:pPr>
    </w:p>
    <w:p w14:paraId="7E6BEDAF" w14:textId="57BBF3BD" w:rsidR="00952B30" w:rsidRPr="00357722" w:rsidRDefault="00E05A97" w:rsidP="00136C48">
      <w:pPr>
        <w:spacing w:line="240" w:lineRule="auto"/>
        <w:jc w:val="both"/>
        <w:rPr>
          <w:rFonts w:ascii="Times New Roman" w:hAnsi="Times New Roman" w:cs="Times New Roman"/>
          <w:b/>
          <w:color w:val="000000" w:themeColor="text1"/>
          <w:sz w:val="20"/>
          <w:szCs w:val="20"/>
        </w:rPr>
      </w:pPr>
      <w:r w:rsidRPr="00357722">
        <w:rPr>
          <w:rFonts w:ascii="Times New Roman" w:eastAsia="SimSun" w:hAnsi="Times New Roman" w:cs="Times New Roman"/>
          <w:b/>
          <w:color w:val="000000" w:themeColor="text1"/>
          <w:sz w:val="20"/>
          <w:szCs w:val="20"/>
          <w:lang w:eastAsia="zh-CN"/>
        </w:rPr>
        <w:lastRenderedPageBreak/>
        <w:t xml:space="preserve">Table </w:t>
      </w:r>
      <w:r w:rsidR="00FF7B8F" w:rsidRPr="00357722">
        <w:rPr>
          <w:rFonts w:ascii="Times New Roman" w:eastAsia="SimSun" w:hAnsi="Times New Roman" w:cs="Times New Roman"/>
          <w:b/>
          <w:color w:val="000000" w:themeColor="text1"/>
          <w:sz w:val="20"/>
          <w:szCs w:val="20"/>
          <w:lang w:eastAsia="zh-CN"/>
        </w:rPr>
        <w:t>4</w:t>
      </w:r>
      <w:r w:rsidRPr="00357722">
        <w:rPr>
          <w:rFonts w:ascii="Times New Roman" w:eastAsia="SimSun" w:hAnsi="Times New Roman" w:cs="Times New Roman"/>
          <w:b/>
          <w:color w:val="000000" w:themeColor="text1"/>
          <w:sz w:val="20"/>
          <w:szCs w:val="20"/>
          <w:lang w:eastAsia="zh-CN"/>
        </w:rPr>
        <w:t>:</w:t>
      </w:r>
      <w:r w:rsidRPr="00357722">
        <w:rPr>
          <w:rFonts w:ascii="Times New Roman" w:eastAsia="SimSun" w:hAnsi="Times New Roman" w:cs="Times New Roman"/>
          <w:color w:val="000000" w:themeColor="text1"/>
          <w:sz w:val="20"/>
          <w:szCs w:val="20"/>
          <w:lang w:eastAsia="zh-CN"/>
        </w:rPr>
        <w:t xml:space="preserve"> </w:t>
      </w:r>
      <w:r w:rsidR="00A4758E" w:rsidRPr="00357722">
        <w:rPr>
          <w:rFonts w:ascii="Times New Roman" w:eastAsia="SimSun" w:hAnsi="Times New Roman" w:cs="Times New Roman"/>
          <w:color w:val="000000" w:themeColor="text1"/>
          <w:sz w:val="20"/>
          <w:szCs w:val="20"/>
          <w:lang w:eastAsia="zh-CN"/>
        </w:rPr>
        <w:t>T</w:t>
      </w:r>
      <w:r w:rsidRPr="00357722">
        <w:rPr>
          <w:rFonts w:ascii="Times New Roman" w:hAnsi="Times New Roman" w:cs="Times New Roman"/>
          <w:b/>
          <w:color w:val="000000" w:themeColor="text1"/>
          <w:sz w:val="20"/>
          <w:szCs w:val="20"/>
        </w:rPr>
        <w:t>he effects of international portfolio flow</w:t>
      </w:r>
      <w:r w:rsidR="0012594D" w:rsidRPr="00357722">
        <w:rPr>
          <w:rFonts w:ascii="Times New Roman" w:hAnsi="Times New Roman" w:cs="Times New Roman"/>
          <w:b/>
          <w:color w:val="000000" w:themeColor="text1"/>
          <w:sz w:val="20"/>
          <w:szCs w:val="20"/>
        </w:rPr>
        <w:t xml:space="preserve"> </w:t>
      </w:r>
      <w:r w:rsidRPr="00357722">
        <w:rPr>
          <w:rFonts w:ascii="Times New Roman" w:hAnsi="Times New Roman" w:cs="Times New Roman"/>
          <w:b/>
          <w:color w:val="000000" w:themeColor="text1"/>
          <w:sz w:val="20"/>
          <w:szCs w:val="20"/>
        </w:rPr>
        <w:t>on financial development</w:t>
      </w:r>
      <w:r w:rsidR="002413DA" w:rsidRPr="00357722">
        <w:rPr>
          <w:rFonts w:ascii="Times New Roman" w:hAnsi="Times New Roman" w:cs="Times New Roman"/>
          <w:b/>
          <w:color w:val="000000" w:themeColor="text1"/>
          <w:sz w:val="20"/>
          <w:szCs w:val="20"/>
        </w:rPr>
        <w:t xml:space="preserve"> </w:t>
      </w:r>
    </w:p>
    <w:tbl>
      <w:tblPr>
        <w:tblW w:w="4991" w:type="pct"/>
        <w:tblLayout w:type="fixed"/>
        <w:tblLook w:val="04A0" w:firstRow="1" w:lastRow="0" w:firstColumn="1" w:lastColumn="0" w:noHBand="0" w:noVBand="1"/>
      </w:tblPr>
      <w:tblGrid>
        <w:gridCol w:w="2692"/>
        <w:gridCol w:w="2553"/>
        <w:gridCol w:w="2553"/>
        <w:gridCol w:w="1422"/>
        <w:gridCol w:w="236"/>
      </w:tblGrid>
      <w:tr w:rsidR="0012594D" w:rsidRPr="00357722" w14:paraId="60D3C2C9" w14:textId="77777777" w:rsidTr="006E29B3">
        <w:trPr>
          <w:trHeight w:val="170"/>
        </w:trPr>
        <w:tc>
          <w:tcPr>
            <w:tcW w:w="1423" w:type="pct"/>
            <w:tcBorders>
              <w:top w:val="single" w:sz="4" w:space="0" w:color="auto"/>
              <w:left w:val="nil"/>
              <w:bottom w:val="single" w:sz="4" w:space="0" w:color="auto"/>
              <w:right w:val="nil"/>
            </w:tcBorders>
            <w:shd w:val="clear" w:color="auto" w:fill="auto"/>
            <w:noWrap/>
            <w:vAlign w:val="bottom"/>
            <w:hideMark/>
          </w:tcPr>
          <w:p w14:paraId="4973009A"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Variable</w:t>
            </w:r>
          </w:p>
        </w:tc>
        <w:tc>
          <w:tcPr>
            <w:tcW w:w="1350" w:type="pct"/>
            <w:tcBorders>
              <w:top w:val="single" w:sz="4" w:space="0" w:color="auto"/>
              <w:left w:val="nil"/>
              <w:bottom w:val="single" w:sz="4" w:space="0" w:color="auto"/>
              <w:right w:val="nil"/>
            </w:tcBorders>
            <w:shd w:val="clear" w:color="auto" w:fill="auto"/>
            <w:noWrap/>
            <w:vAlign w:val="center"/>
            <w:hideMark/>
          </w:tcPr>
          <w:p w14:paraId="008A9BDF"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(1)</w:t>
            </w:r>
          </w:p>
          <w:p w14:paraId="5BEAF44D" w14:textId="060ECAE6"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MCGDP</w:t>
            </w:r>
          </w:p>
        </w:tc>
        <w:tc>
          <w:tcPr>
            <w:tcW w:w="1350" w:type="pct"/>
            <w:tcBorders>
              <w:top w:val="single" w:sz="4" w:space="0" w:color="auto"/>
              <w:left w:val="nil"/>
              <w:bottom w:val="single" w:sz="4" w:space="0" w:color="auto"/>
              <w:right w:val="nil"/>
            </w:tcBorders>
            <w:shd w:val="clear" w:color="auto" w:fill="auto"/>
            <w:noWrap/>
            <w:vAlign w:val="center"/>
            <w:hideMark/>
          </w:tcPr>
          <w:p w14:paraId="5A2F1E48"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(2)</w:t>
            </w:r>
          </w:p>
          <w:p w14:paraId="5FAB1E70" w14:textId="5CA988CC" w:rsidR="00146E43" w:rsidRPr="00357722" w:rsidRDefault="00146E43"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PSCGDP</w:t>
            </w:r>
          </w:p>
        </w:tc>
        <w:tc>
          <w:tcPr>
            <w:tcW w:w="752" w:type="pct"/>
            <w:tcBorders>
              <w:top w:val="single" w:sz="4" w:space="0" w:color="auto"/>
              <w:left w:val="nil"/>
              <w:bottom w:val="single" w:sz="4" w:space="0" w:color="auto"/>
              <w:right w:val="nil"/>
            </w:tcBorders>
            <w:shd w:val="clear" w:color="auto" w:fill="auto"/>
            <w:noWrap/>
            <w:vAlign w:val="center"/>
            <w:hideMark/>
          </w:tcPr>
          <w:p w14:paraId="3A98FAD9" w14:textId="77777777" w:rsidR="0012594D" w:rsidRPr="00357722" w:rsidRDefault="00146E43" w:rsidP="00136C48">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(3)</w:t>
            </w:r>
          </w:p>
          <w:p w14:paraId="42BBA12E" w14:textId="2FFBFFE1" w:rsidR="00146E43" w:rsidRPr="00357722" w:rsidRDefault="00146E43"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DCPGDP</w:t>
            </w:r>
          </w:p>
        </w:tc>
        <w:tc>
          <w:tcPr>
            <w:tcW w:w="125" w:type="pct"/>
            <w:tcBorders>
              <w:top w:val="single" w:sz="4" w:space="0" w:color="auto"/>
              <w:left w:val="nil"/>
              <w:bottom w:val="single" w:sz="4" w:space="0" w:color="auto"/>
              <w:right w:val="nil"/>
            </w:tcBorders>
            <w:shd w:val="clear" w:color="auto" w:fill="auto"/>
            <w:noWrap/>
            <w:vAlign w:val="center"/>
            <w:hideMark/>
          </w:tcPr>
          <w:p w14:paraId="33232A2B"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w:t>
            </w:r>
          </w:p>
        </w:tc>
      </w:tr>
      <w:tr w:rsidR="0012594D" w:rsidRPr="00357722" w14:paraId="4E50EE39" w14:textId="77777777" w:rsidTr="006E29B3">
        <w:trPr>
          <w:trHeight w:val="70"/>
        </w:trPr>
        <w:tc>
          <w:tcPr>
            <w:tcW w:w="1423" w:type="pct"/>
            <w:tcBorders>
              <w:top w:val="nil"/>
              <w:left w:val="nil"/>
              <w:bottom w:val="nil"/>
              <w:right w:val="nil"/>
            </w:tcBorders>
            <w:shd w:val="clear" w:color="auto" w:fill="auto"/>
            <w:noWrap/>
            <w:vAlign w:val="center"/>
            <w:hideMark/>
          </w:tcPr>
          <w:p w14:paraId="36E472A2" w14:textId="17B28F2A" w:rsidR="0012594D" w:rsidRPr="00357722" w:rsidRDefault="00945EBE"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IEPD</w:t>
            </w:r>
          </w:p>
        </w:tc>
        <w:tc>
          <w:tcPr>
            <w:tcW w:w="1350" w:type="pct"/>
            <w:tcBorders>
              <w:top w:val="nil"/>
              <w:left w:val="nil"/>
              <w:bottom w:val="nil"/>
              <w:right w:val="nil"/>
            </w:tcBorders>
            <w:shd w:val="clear" w:color="auto" w:fill="auto"/>
            <w:noWrap/>
            <w:vAlign w:val="center"/>
          </w:tcPr>
          <w:p w14:paraId="750E93FB" w14:textId="28601505"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0.477***</w:t>
            </w:r>
          </w:p>
        </w:tc>
        <w:tc>
          <w:tcPr>
            <w:tcW w:w="1350" w:type="pct"/>
            <w:tcBorders>
              <w:top w:val="nil"/>
              <w:left w:val="nil"/>
              <w:bottom w:val="nil"/>
              <w:right w:val="nil"/>
            </w:tcBorders>
            <w:shd w:val="clear" w:color="auto" w:fill="auto"/>
            <w:noWrap/>
            <w:vAlign w:val="center"/>
          </w:tcPr>
          <w:p w14:paraId="4B4FE9F0" w14:textId="09133364"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0.313***</w:t>
            </w:r>
          </w:p>
        </w:tc>
        <w:tc>
          <w:tcPr>
            <w:tcW w:w="752" w:type="pct"/>
            <w:tcBorders>
              <w:top w:val="nil"/>
              <w:left w:val="nil"/>
              <w:bottom w:val="nil"/>
              <w:right w:val="nil"/>
            </w:tcBorders>
            <w:shd w:val="clear" w:color="auto" w:fill="auto"/>
            <w:noWrap/>
            <w:vAlign w:val="center"/>
          </w:tcPr>
          <w:p w14:paraId="53CE6970" w14:textId="40A73D3F"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0.047***</w:t>
            </w:r>
          </w:p>
        </w:tc>
        <w:tc>
          <w:tcPr>
            <w:tcW w:w="125" w:type="pct"/>
            <w:tcBorders>
              <w:top w:val="nil"/>
              <w:left w:val="nil"/>
              <w:bottom w:val="nil"/>
              <w:right w:val="nil"/>
            </w:tcBorders>
            <w:shd w:val="clear" w:color="auto" w:fill="auto"/>
            <w:noWrap/>
            <w:vAlign w:val="center"/>
          </w:tcPr>
          <w:p w14:paraId="30AFD1F1"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51A09438" w14:textId="77777777" w:rsidTr="006E29B3">
        <w:trPr>
          <w:trHeight w:val="155"/>
        </w:trPr>
        <w:tc>
          <w:tcPr>
            <w:tcW w:w="1423" w:type="pct"/>
            <w:tcBorders>
              <w:top w:val="nil"/>
              <w:left w:val="nil"/>
              <w:bottom w:val="nil"/>
              <w:right w:val="nil"/>
            </w:tcBorders>
            <w:shd w:val="clear" w:color="auto" w:fill="auto"/>
            <w:noWrap/>
            <w:vAlign w:val="bottom"/>
            <w:hideMark/>
          </w:tcPr>
          <w:p w14:paraId="11CFEFAE"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712A9A0F" w14:textId="22E7297F"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(9.44)</w:t>
            </w:r>
          </w:p>
        </w:tc>
        <w:tc>
          <w:tcPr>
            <w:tcW w:w="1350" w:type="pct"/>
            <w:tcBorders>
              <w:top w:val="nil"/>
              <w:left w:val="nil"/>
              <w:bottom w:val="nil"/>
              <w:right w:val="nil"/>
            </w:tcBorders>
            <w:shd w:val="clear" w:color="auto" w:fill="auto"/>
            <w:noWrap/>
            <w:vAlign w:val="center"/>
          </w:tcPr>
          <w:p w14:paraId="0A6525F7" w14:textId="192FAFC0"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(11.25)</w:t>
            </w:r>
          </w:p>
        </w:tc>
        <w:tc>
          <w:tcPr>
            <w:tcW w:w="752" w:type="pct"/>
            <w:tcBorders>
              <w:top w:val="nil"/>
              <w:left w:val="nil"/>
              <w:bottom w:val="nil"/>
              <w:right w:val="nil"/>
            </w:tcBorders>
            <w:shd w:val="clear" w:color="auto" w:fill="auto"/>
            <w:noWrap/>
            <w:vAlign w:val="center"/>
          </w:tcPr>
          <w:p w14:paraId="656E3996" w14:textId="55761E95"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(5.76)</w:t>
            </w:r>
          </w:p>
        </w:tc>
        <w:tc>
          <w:tcPr>
            <w:tcW w:w="125" w:type="pct"/>
            <w:tcBorders>
              <w:top w:val="nil"/>
              <w:left w:val="nil"/>
              <w:bottom w:val="nil"/>
              <w:right w:val="nil"/>
            </w:tcBorders>
            <w:shd w:val="clear" w:color="auto" w:fill="auto"/>
            <w:noWrap/>
            <w:vAlign w:val="center"/>
          </w:tcPr>
          <w:p w14:paraId="50A42CEC"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17C747D3" w14:textId="77777777" w:rsidTr="006E29B3">
        <w:trPr>
          <w:trHeight w:val="170"/>
        </w:trPr>
        <w:tc>
          <w:tcPr>
            <w:tcW w:w="1423" w:type="pct"/>
            <w:tcBorders>
              <w:top w:val="nil"/>
              <w:left w:val="nil"/>
              <w:bottom w:val="nil"/>
              <w:right w:val="nil"/>
            </w:tcBorders>
            <w:shd w:val="clear" w:color="auto" w:fill="auto"/>
            <w:noWrap/>
            <w:vAlign w:val="center"/>
            <w:hideMark/>
          </w:tcPr>
          <w:p w14:paraId="22410422" w14:textId="25F9DC70" w:rsidR="0012594D" w:rsidRPr="00357722" w:rsidRDefault="008857A2"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FSDGDP</w:t>
            </w:r>
          </w:p>
        </w:tc>
        <w:tc>
          <w:tcPr>
            <w:tcW w:w="1350" w:type="pct"/>
            <w:tcBorders>
              <w:top w:val="nil"/>
              <w:left w:val="nil"/>
              <w:bottom w:val="nil"/>
              <w:right w:val="nil"/>
            </w:tcBorders>
            <w:shd w:val="clear" w:color="auto" w:fill="auto"/>
            <w:noWrap/>
            <w:vAlign w:val="center"/>
          </w:tcPr>
          <w:p w14:paraId="3348593B" w14:textId="6FD9C84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0.000</w:t>
            </w:r>
          </w:p>
        </w:tc>
        <w:tc>
          <w:tcPr>
            <w:tcW w:w="1350" w:type="pct"/>
            <w:tcBorders>
              <w:top w:val="nil"/>
              <w:left w:val="nil"/>
              <w:bottom w:val="nil"/>
              <w:right w:val="nil"/>
            </w:tcBorders>
            <w:shd w:val="clear" w:color="auto" w:fill="auto"/>
            <w:noWrap/>
            <w:vAlign w:val="center"/>
          </w:tcPr>
          <w:p w14:paraId="7993EDD8" w14:textId="10E5B739"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0.005***</w:t>
            </w:r>
          </w:p>
        </w:tc>
        <w:tc>
          <w:tcPr>
            <w:tcW w:w="752" w:type="pct"/>
            <w:tcBorders>
              <w:top w:val="nil"/>
              <w:left w:val="nil"/>
              <w:bottom w:val="nil"/>
              <w:right w:val="nil"/>
            </w:tcBorders>
            <w:shd w:val="clear" w:color="auto" w:fill="auto"/>
            <w:noWrap/>
            <w:vAlign w:val="center"/>
          </w:tcPr>
          <w:p w14:paraId="3B186743" w14:textId="57B2AE64"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-0.000</w:t>
            </w:r>
          </w:p>
        </w:tc>
        <w:tc>
          <w:tcPr>
            <w:tcW w:w="125" w:type="pct"/>
            <w:tcBorders>
              <w:top w:val="nil"/>
              <w:left w:val="nil"/>
              <w:bottom w:val="nil"/>
              <w:right w:val="nil"/>
            </w:tcBorders>
            <w:shd w:val="clear" w:color="auto" w:fill="auto"/>
            <w:noWrap/>
            <w:vAlign w:val="center"/>
          </w:tcPr>
          <w:p w14:paraId="323E4F7B"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2C6E61F5" w14:textId="77777777" w:rsidTr="006E29B3">
        <w:trPr>
          <w:trHeight w:val="170"/>
        </w:trPr>
        <w:tc>
          <w:tcPr>
            <w:tcW w:w="1423" w:type="pct"/>
            <w:tcBorders>
              <w:top w:val="nil"/>
              <w:left w:val="nil"/>
              <w:bottom w:val="nil"/>
              <w:right w:val="nil"/>
            </w:tcBorders>
            <w:shd w:val="clear" w:color="auto" w:fill="auto"/>
            <w:noWrap/>
            <w:vAlign w:val="bottom"/>
            <w:hideMark/>
          </w:tcPr>
          <w:p w14:paraId="531B3747"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56247F86" w14:textId="1F0E71B5"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(0.01)</w:t>
            </w:r>
          </w:p>
        </w:tc>
        <w:tc>
          <w:tcPr>
            <w:tcW w:w="1350" w:type="pct"/>
            <w:tcBorders>
              <w:top w:val="nil"/>
              <w:left w:val="nil"/>
              <w:bottom w:val="nil"/>
              <w:right w:val="nil"/>
            </w:tcBorders>
            <w:shd w:val="clear" w:color="auto" w:fill="auto"/>
            <w:noWrap/>
            <w:vAlign w:val="center"/>
          </w:tcPr>
          <w:p w14:paraId="513D24A0" w14:textId="082CE301"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(5.28)</w:t>
            </w:r>
          </w:p>
        </w:tc>
        <w:tc>
          <w:tcPr>
            <w:tcW w:w="752" w:type="pct"/>
            <w:tcBorders>
              <w:top w:val="nil"/>
              <w:left w:val="nil"/>
              <w:bottom w:val="nil"/>
              <w:right w:val="nil"/>
            </w:tcBorders>
            <w:shd w:val="clear" w:color="auto" w:fill="auto"/>
            <w:noWrap/>
            <w:vAlign w:val="center"/>
          </w:tcPr>
          <w:p w14:paraId="31B2EC03" w14:textId="3D0D6452"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(-1.16)</w:t>
            </w:r>
          </w:p>
        </w:tc>
        <w:tc>
          <w:tcPr>
            <w:tcW w:w="125" w:type="pct"/>
            <w:tcBorders>
              <w:top w:val="nil"/>
              <w:left w:val="nil"/>
              <w:bottom w:val="nil"/>
              <w:right w:val="nil"/>
            </w:tcBorders>
            <w:shd w:val="clear" w:color="auto" w:fill="auto"/>
            <w:noWrap/>
            <w:vAlign w:val="center"/>
          </w:tcPr>
          <w:p w14:paraId="3814F96B"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5BD1B5E5" w14:textId="77777777" w:rsidTr="006E29B3">
        <w:trPr>
          <w:trHeight w:val="170"/>
        </w:trPr>
        <w:tc>
          <w:tcPr>
            <w:tcW w:w="1423" w:type="pct"/>
            <w:tcBorders>
              <w:top w:val="nil"/>
              <w:left w:val="nil"/>
              <w:bottom w:val="nil"/>
              <w:right w:val="nil"/>
            </w:tcBorders>
            <w:shd w:val="clear" w:color="auto" w:fill="auto"/>
            <w:noWrap/>
            <w:vAlign w:val="center"/>
            <w:hideMark/>
          </w:tcPr>
          <w:p w14:paraId="21B0C17B"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FINOPEN</w:t>
            </w:r>
          </w:p>
        </w:tc>
        <w:tc>
          <w:tcPr>
            <w:tcW w:w="1350" w:type="pct"/>
            <w:tcBorders>
              <w:top w:val="nil"/>
              <w:left w:val="nil"/>
              <w:bottom w:val="nil"/>
              <w:right w:val="nil"/>
            </w:tcBorders>
            <w:shd w:val="clear" w:color="auto" w:fill="auto"/>
            <w:noWrap/>
            <w:vAlign w:val="center"/>
          </w:tcPr>
          <w:p w14:paraId="14FB5E7B" w14:textId="7CAC31F0"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0.159***</w:t>
            </w:r>
          </w:p>
        </w:tc>
        <w:tc>
          <w:tcPr>
            <w:tcW w:w="1350" w:type="pct"/>
            <w:tcBorders>
              <w:top w:val="nil"/>
              <w:left w:val="nil"/>
              <w:bottom w:val="nil"/>
              <w:right w:val="nil"/>
            </w:tcBorders>
            <w:shd w:val="clear" w:color="auto" w:fill="auto"/>
            <w:noWrap/>
            <w:vAlign w:val="center"/>
          </w:tcPr>
          <w:p w14:paraId="0A646383" w14:textId="7504B746"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0.097***</w:t>
            </w:r>
          </w:p>
        </w:tc>
        <w:tc>
          <w:tcPr>
            <w:tcW w:w="752" w:type="pct"/>
            <w:tcBorders>
              <w:top w:val="nil"/>
              <w:left w:val="nil"/>
              <w:bottom w:val="nil"/>
              <w:right w:val="nil"/>
            </w:tcBorders>
            <w:shd w:val="clear" w:color="auto" w:fill="auto"/>
            <w:noWrap/>
            <w:vAlign w:val="center"/>
          </w:tcPr>
          <w:p w14:paraId="484A4F5D" w14:textId="50F7F8A2"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0.010*</w:t>
            </w:r>
          </w:p>
        </w:tc>
        <w:tc>
          <w:tcPr>
            <w:tcW w:w="125" w:type="pct"/>
            <w:tcBorders>
              <w:top w:val="nil"/>
              <w:left w:val="nil"/>
              <w:bottom w:val="nil"/>
              <w:right w:val="nil"/>
            </w:tcBorders>
            <w:shd w:val="clear" w:color="auto" w:fill="auto"/>
            <w:noWrap/>
            <w:vAlign w:val="center"/>
          </w:tcPr>
          <w:p w14:paraId="65D37428"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68A4DD58" w14:textId="77777777" w:rsidTr="006E29B3">
        <w:trPr>
          <w:trHeight w:val="170"/>
        </w:trPr>
        <w:tc>
          <w:tcPr>
            <w:tcW w:w="1423" w:type="pct"/>
            <w:tcBorders>
              <w:top w:val="nil"/>
              <w:left w:val="nil"/>
              <w:bottom w:val="nil"/>
              <w:right w:val="nil"/>
            </w:tcBorders>
            <w:shd w:val="clear" w:color="auto" w:fill="auto"/>
            <w:noWrap/>
            <w:vAlign w:val="bottom"/>
            <w:hideMark/>
          </w:tcPr>
          <w:p w14:paraId="173BED15"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7102FEC4" w14:textId="421650D9"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(3.93)</w:t>
            </w:r>
          </w:p>
        </w:tc>
        <w:tc>
          <w:tcPr>
            <w:tcW w:w="1350" w:type="pct"/>
            <w:tcBorders>
              <w:top w:val="nil"/>
              <w:left w:val="nil"/>
              <w:bottom w:val="nil"/>
              <w:right w:val="nil"/>
            </w:tcBorders>
            <w:shd w:val="clear" w:color="auto" w:fill="auto"/>
            <w:noWrap/>
            <w:vAlign w:val="center"/>
          </w:tcPr>
          <w:p w14:paraId="1AF491A1" w14:textId="6D287F3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(5.04)</w:t>
            </w:r>
          </w:p>
        </w:tc>
        <w:tc>
          <w:tcPr>
            <w:tcW w:w="752" w:type="pct"/>
            <w:tcBorders>
              <w:top w:val="nil"/>
              <w:left w:val="nil"/>
              <w:bottom w:val="nil"/>
              <w:right w:val="nil"/>
            </w:tcBorders>
            <w:shd w:val="clear" w:color="auto" w:fill="auto"/>
            <w:noWrap/>
            <w:vAlign w:val="center"/>
          </w:tcPr>
          <w:p w14:paraId="33837AAC" w14:textId="45A5D193"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(1.76)</w:t>
            </w:r>
          </w:p>
        </w:tc>
        <w:tc>
          <w:tcPr>
            <w:tcW w:w="125" w:type="pct"/>
            <w:tcBorders>
              <w:top w:val="nil"/>
              <w:left w:val="nil"/>
              <w:bottom w:val="nil"/>
              <w:right w:val="nil"/>
            </w:tcBorders>
            <w:shd w:val="clear" w:color="auto" w:fill="auto"/>
            <w:noWrap/>
            <w:vAlign w:val="center"/>
          </w:tcPr>
          <w:p w14:paraId="5605E044"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1AA622EC" w14:textId="77777777" w:rsidTr="006E29B3">
        <w:trPr>
          <w:trHeight w:val="170"/>
        </w:trPr>
        <w:tc>
          <w:tcPr>
            <w:tcW w:w="1423" w:type="pct"/>
            <w:tcBorders>
              <w:top w:val="nil"/>
              <w:left w:val="nil"/>
              <w:bottom w:val="nil"/>
              <w:right w:val="nil"/>
            </w:tcBorders>
            <w:shd w:val="clear" w:color="auto" w:fill="auto"/>
            <w:noWrap/>
            <w:vAlign w:val="center"/>
            <w:hideMark/>
          </w:tcPr>
          <w:p w14:paraId="17CC70A2"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LAWNO</w:t>
            </w:r>
          </w:p>
        </w:tc>
        <w:tc>
          <w:tcPr>
            <w:tcW w:w="1350" w:type="pct"/>
            <w:tcBorders>
              <w:top w:val="nil"/>
              <w:left w:val="nil"/>
              <w:bottom w:val="nil"/>
              <w:right w:val="nil"/>
            </w:tcBorders>
            <w:shd w:val="clear" w:color="auto" w:fill="auto"/>
            <w:noWrap/>
            <w:vAlign w:val="center"/>
          </w:tcPr>
          <w:p w14:paraId="1909AD67" w14:textId="02ECA013"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0.101*</w:t>
            </w:r>
          </w:p>
        </w:tc>
        <w:tc>
          <w:tcPr>
            <w:tcW w:w="1350" w:type="pct"/>
            <w:tcBorders>
              <w:top w:val="nil"/>
              <w:left w:val="nil"/>
              <w:bottom w:val="nil"/>
              <w:right w:val="nil"/>
            </w:tcBorders>
            <w:shd w:val="clear" w:color="auto" w:fill="auto"/>
            <w:noWrap/>
            <w:vAlign w:val="center"/>
          </w:tcPr>
          <w:p w14:paraId="234E04E3" w14:textId="4AC5B0A6"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-0.002</w:t>
            </w:r>
          </w:p>
        </w:tc>
        <w:tc>
          <w:tcPr>
            <w:tcW w:w="752" w:type="pct"/>
            <w:tcBorders>
              <w:top w:val="nil"/>
              <w:left w:val="nil"/>
              <w:bottom w:val="nil"/>
              <w:right w:val="nil"/>
            </w:tcBorders>
            <w:shd w:val="clear" w:color="auto" w:fill="auto"/>
            <w:noWrap/>
            <w:vAlign w:val="center"/>
          </w:tcPr>
          <w:p w14:paraId="031E4259" w14:textId="1D16AF8B"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-0.006</w:t>
            </w:r>
          </w:p>
        </w:tc>
        <w:tc>
          <w:tcPr>
            <w:tcW w:w="125" w:type="pct"/>
            <w:tcBorders>
              <w:top w:val="nil"/>
              <w:left w:val="nil"/>
              <w:bottom w:val="nil"/>
              <w:right w:val="nil"/>
            </w:tcBorders>
            <w:shd w:val="clear" w:color="auto" w:fill="auto"/>
            <w:noWrap/>
            <w:vAlign w:val="center"/>
          </w:tcPr>
          <w:p w14:paraId="3AE4078E"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5C002E16" w14:textId="77777777" w:rsidTr="006E29B3">
        <w:trPr>
          <w:trHeight w:val="170"/>
        </w:trPr>
        <w:tc>
          <w:tcPr>
            <w:tcW w:w="1423" w:type="pct"/>
            <w:tcBorders>
              <w:top w:val="nil"/>
              <w:left w:val="nil"/>
              <w:bottom w:val="nil"/>
              <w:right w:val="nil"/>
            </w:tcBorders>
            <w:shd w:val="clear" w:color="auto" w:fill="auto"/>
            <w:noWrap/>
            <w:vAlign w:val="bottom"/>
            <w:hideMark/>
          </w:tcPr>
          <w:p w14:paraId="729667E9"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0F1D4DFC" w14:textId="71189F52"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(1.89)</w:t>
            </w:r>
          </w:p>
        </w:tc>
        <w:tc>
          <w:tcPr>
            <w:tcW w:w="1350" w:type="pct"/>
            <w:tcBorders>
              <w:top w:val="nil"/>
              <w:left w:val="nil"/>
              <w:bottom w:val="nil"/>
              <w:right w:val="nil"/>
            </w:tcBorders>
            <w:shd w:val="clear" w:color="auto" w:fill="auto"/>
            <w:noWrap/>
            <w:vAlign w:val="center"/>
          </w:tcPr>
          <w:p w14:paraId="7245653B" w14:textId="58A4FE8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(-0.06)</w:t>
            </w:r>
          </w:p>
        </w:tc>
        <w:tc>
          <w:tcPr>
            <w:tcW w:w="752" w:type="pct"/>
            <w:tcBorders>
              <w:top w:val="nil"/>
              <w:left w:val="nil"/>
              <w:bottom w:val="nil"/>
              <w:right w:val="nil"/>
            </w:tcBorders>
            <w:shd w:val="clear" w:color="auto" w:fill="auto"/>
            <w:noWrap/>
            <w:vAlign w:val="center"/>
          </w:tcPr>
          <w:p w14:paraId="6B497A79" w14:textId="4CC5770E"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(-0.78)</w:t>
            </w:r>
          </w:p>
        </w:tc>
        <w:tc>
          <w:tcPr>
            <w:tcW w:w="125" w:type="pct"/>
            <w:tcBorders>
              <w:top w:val="nil"/>
              <w:left w:val="nil"/>
              <w:bottom w:val="nil"/>
              <w:right w:val="nil"/>
            </w:tcBorders>
            <w:shd w:val="clear" w:color="auto" w:fill="auto"/>
            <w:noWrap/>
            <w:vAlign w:val="center"/>
          </w:tcPr>
          <w:p w14:paraId="7CEC5F7A"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29D07D46" w14:textId="77777777" w:rsidTr="006E29B3">
        <w:trPr>
          <w:trHeight w:val="170"/>
        </w:trPr>
        <w:tc>
          <w:tcPr>
            <w:tcW w:w="1423" w:type="pct"/>
            <w:tcBorders>
              <w:top w:val="nil"/>
              <w:left w:val="nil"/>
              <w:bottom w:val="nil"/>
              <w:right w:val="nil"/>
            </w:tcBorders>
            <w:shd w:val="clear" w:color="auto" w:fill="auto"/>
            <w:noWrap/>
            <w:vAlign w:val="center"/>
            <w:hideMark/>
          </w:tcPr>
          <w:p w14:paraId="0DF4FC81"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POPG</w:t>
            </w:r>
          </w:p>
        </w:tc>
        <w:tc>
          <w:tcPr>
            <w:tcW w:w="1350" w:type="pct"/>
            <w:tcBorders>
              <w:top w:val="nil"/>
              <w:left w:val="nil"/>
              <w:bottom w:val="nil"/>
              <w:right w:val="nil"/>
            </w:tcBorders>
            <w:shd w:val="clear" w:color="auto" w:fill="auto"/>
            <w:noWrap/>
            <w:vAlign w:val="center"/>
          </w:tcPr>
          <w:p w14:paraId="0A8793AB" w14:textId="574A842C"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0.094*</w:t>
            </w:r>
          </w:p>
        </w:tc>
        <w:tc>
          <w:tcPr>
            <w:tcW w:w="1350" w:type="pct"/>
            <w:tcBorders>
              <w:top w:val="nil"/>
              <w:left w:val="nil"/>
              <w:bottom w:val="nil"/>
              <w:right w:val="nil"/>
            </w:tcBorders>
            <w:shd w:val="clear" w:color="auto" w:fill="auto"/>
            <w:noWrap/>
            <w:vAlign w:val="center"/>
          </w:tcPr>
          <w:p w14:paraId="0E38C072" w14:textId="60BD7974"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0.081***</w:t>
            </w:r>
          </w:p>
        </w:tc>
        <w:tc>
          <w:tcPr>
            <w:tcW w:w="752" w:type="pct"/>
            <w:tcBorders>
              <w:top w:val="nil"/>
              <w:left w:val="nil"/>
              <w:bottom w:val="nil"/>
              <w:right w:val="nil"/>
            </w:tcBorders>
            <w:shd w:val="clear" w:color="auto" w:fill="auto"/>
            <w:noWrap/>
            <w:vAlign w:val="center"/>
          </w:tcPr>
          <w:p w14:paraId="323B872B" w14:textId="5FE93F70"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0.025***</w:t>
            </w:r>
          </w:p>
        </w:tc>
        <w:tc>
          <w:tcPr>
            <w:tcW w:w="125" w:type="pct"/>
            <w:tcBorders>
              <w:top w:val="nil"/>
              <w:left w:val="nil"/>
              <w:bottom w:val="nil"/>
              <w:right w:val="nil"/>
            </w:tcBorders>
            <w:shd w:val="clear" w:color="auto" w:fill="auto"/>
            <w:noWrap/>
            <w:vAlign w:val="center"/>
          </w:tcPr>
          <w:p w14:paraId="30BD477A"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37AB1E85" w14:textId="77777777" w:rsidTr="006E29B3">
        <w:trPr>
          <w:trHeight w:val="170"/>
        </w:trPr>
        <w:tc>
          <w:tcPr>
            <w:tcW w:w="1423" w:type="pct"/>
            <w:tcBorders>
              <w:top w:val="nil"/>
              <w:left w:val="nil"/>
              <w:bottom w:val="nil"/>
              <w:right w:val="nil"/>
            </w:tcBorders>
            <w:shd w:val="clear" w:color="auto" w:fill="auto"/>
            <w:noWrap/>
            <w:vAlign w:val="bottom"/>
            <w:hideMark/>
          </w:tcPr>
          <w:p w14:paraId="3E62B495"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6BB67CE9" w14:textId="7580052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(1.94)</w:t>
            </w:r>
          </w:p>
        </w:tc>
        <w:tc>
          <w:tcPr>
            <w:tcW w:w="1350" w:type="pct"/>
            <w:tcBorders>
              <w:top w:val="nil"/>
              <w:left w:val="nil"/>
              <w:bottom w:val="nil"/>
              <w:right w:val="nil"/>
            </w:tcBorders>
            <w:shd w:val="clear" w:color="auto" w:fill="auto"/>
            <w:noWrap/>
            <w:vAlign w:val="center"/>
          </w:tcPr>
          <w:p w14:paraId="52E2ED1B" w14:textId="4B52B043"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(3.29)</w:t>
            </w:r>
          </w:p>
        </w:tc>
        <w:tc>
          <w:tcPr>
            <w:tcW w:w="752" w:type="pct"/>
            <w:tcBorders>
              <w:top w:val="nil"/>
              <w:left w:val="nil"/>
              <w:bottom w:val="nil"/>
              <w:right w:val="nil"/>
            </w:tcBorders>
            <w:shd w:val="clear" w:color="auto" w:fill="auto"/>
            <w:noWrap/>
            <w:vAlign w:val="center"/>
          </w:tcPr>
          <w:p w14:paraId="66AF0564" w14:textId="3E40E75C"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(3.56)</w:t>
            </w:r>
          </w:p>
        </w:tc>
        <w:tc>
          <w:tcPr>
            <w:tcW w:w="125" w:type="pct"/>
            <w:tcBorders>
              <w:top w:val="nil"/>
              <w:left w:val="nil"/>
              <w:bottom w:val="nil"/>
              <w:right w:val="nil"/>
            </w:tcBorders>
            <w:shd w:val="clear" w:color="auto" w:fill="auto"/>
            <w:noWrap/>
            <w:vAlign w:val="center"/>
          </w:tcPr>
          <w:p w14:paraId="636EAC56"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06A82DFF" w14:textId="77777777" w:rsidTr="006E29B3">
        <w:trPr>
          <w:trHeight w:val="170"/>
        </w:trPr>
        <w:tc>
          <w:tcPr>
            <w:tcW w:w="1423" w:type="pct"/>
            <w:tcBorders>
              <w:top w:val="nil"/>
              <w:left w:val="nil"/>
              <w:bottom w:val="nil"/>
              <w:right w:val="nil"/>
            </w:tcBorders>
            <w:shd w:val="clear" w:color="auto" w:fill="auto"/>
            <w:noWrap/>
            <w:vAlign w:val="center"/>
            <w:hideMark/>
          </w:tcPr>
          <w:p w14:paraId="3ABE997A"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GDPG</w:t>
            </w:r>
          </w:p>
        </w:tc>
        <w:tc>
          <w:tcPr>
            <w:tcW w:w="1350" w:type="pct"/>
            <w:tcBorders>
              <w:top w:val="nil"/>
              <w:left w:val="nil"/>
              <w:bottom w:val="nil"/>
              <w:right w:val="nil"/>
            </w:tcBorders>
            <w:shd w:val="clear" w:color="auto" w:fill="auto"/>
            <w:noWrap/>
            <w:vAlign w:val="center"/>
          </w:tcPr>
          <w:p w14:paraId="3D12A9E6" w14:textId="7B68B37E"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0.033***</w:t>
            </w:r>
          </w:p>
        </w:tc>
        <w:tc>
          <w:tcPr>
            <w:tcW w:w="1350" w:type="pct"/>
            <w:tcBorders>
              <w:top w:val="nil"/>
              <w:left w:val="nil"/>
              <w:bottom w:val="nil"/>
              <w:right w:val="nil"/>
            </w:tcBorders>
            <w:shd w:val="clear" w:color="auto" w:fill="auto"/>
            <w:noWrap/>
            <w:vAlign w:val="center"/>
          </w:tcPr>
          <w:p w14:paraId="100CA876" w14:textId="7ABAD198"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-0.027***</w:t>
            </w:r>
          </w:p>
        </w:tc>
        <w:tc>
          <w:tcPr>
            <w:tcW w:w="752" w:type="pct"/>
            <w:tcBorders>
              <w:top w:val="nil"/>
              <w:left w:val="nil"/>
              <w:bottom w:val="nil"/>
              <w:right w:val="nil"/>
            </w:tcBorders>
            <w:shd w:val="clear" w:color="auto" w:fill="auto"/>
            <w:noWrap/>
            <w:vAlign w:val="center"/>
          </w:tcPr>
          <w:p w14:paraId="50A76A6B" w14:textId="6C07B8E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-0.003***</w:t>
            </w:r>
          </w:p>
        </w:tc>
        <w:tc>
          <w:tcPr>
            <w:tcW w:w="125" w:type="pct"/>
            <w:tcBorders>
              <w:top w:val="nil"/>
              <w:left w:val="nil"/>
              <w:bottom w:val="nil"/>
              <w:right w:val="nil"/>
            </w:tcBorders>
            <w:shd w:val="clear" w:color="auto" w:fill="auto"/>
            <w:noWrap/>
            <w:vAlign w:val="center"/>
          </w:tcPr>
          <w:p w14:paraId="41AA6383"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235A9496" w14:textId="77777777" w:rsidTr="006E29B3">
        <w:trPr>
          <w:trHeight w:val="170"/>
        </w:trPr>
        <w:tc>
          <w:tcPr>
            <w:tcW w:w="1423" w:type="pct"/>
            <w:tcBorders>
              <w:top w:val="nil"/>
              <w:left w:val="nil"/>
              <w:bottom w:val="nil"/>
              <w:right w:val="nil"/>
            </w:tcBorders>
            <w:shd w:val="clear" w:color="auto" w:fill="auto"/>
            <w:noWrap/>
            <w:vAlign w:val="bottom"/>
            <w:hideMark/>
          </w:tcPr>
          <w:p w14:paraId="7CF933D3"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7F461B96" w14:textId="579483DD"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(4.87)</w:t>
            </w:r>
          </w:p>
        </w:tc>
        <w:tc>
          <w:tcPr>
            <w:tcW w:w="1350" w:type="pct"/>
            <w:tcBorders>
              <w:top w:val="nil"/>
              <w:left w:val="nil"/>
              <w:bottom w:val="nil"/>
              <w:right w:val="nil"/>
            </w:tcBorders>
            <w:shd w:val="clear" w:color="auto" w:fill="auto"/>
            <w:noWrap/>
            <w:vAlign w:val="center"/>
          </w:tcPr>
          <w:p w14:paraId="3F9D4619" w14:textId="779388AD"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(-8.24)</w:t>
            </w:r>
          </w:p>
        </w:tc>
        <w:tc>
          <w:tcPr>
            <w:tcW w:w="752" w:type="pct"/>
            <w:tcBorders>
              <w:top w:val="nil"/>
              <w:left w:val="nil"/>
              <w:bottom w:val="nil"/>
              <w:right w:val="nil"/>
            </w:tcBorders>
            <w:shd w:val="clear" w:color="auto" w:fill="auto"/>
            <w:noWrap/>
            <w:vAlign w:val="center"/>
          </w:tcPr>
          <w:p w14:paraId="0F97099F" w14:textId="71EF5B6B"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(-3.20)</w:t>
            </w:r>
          </w:p>
        </w:tc>
        <w:tc>
          <w:tcPr>
            <w:tcW w:w="125" w:type="pct"/>
            <w:tcBorders>
              <w:top w:val="nil"/>
              <w:left w:val="nil"/>
              <w:bottom w:val="nil"/>
              <w:right w:val="nil"/>
            </w:tcBorders>
            <w:shd w:val="clear" w:color="auto" w:fill="auto"/>
            <w:noWrap/>
            <w:vAlign w:val="center"/>
          </w:tcPr>
          <w:p w14:paraId="3058D8C0"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6D90176D" w14:textId="77777777" w:rsidTr="006E29B3">
        <w:trPr>
          <w:trHeight w:val="170"/>
        </w:trPr>
        <w:tc>
          <w:tcPr>
            <w:tcW w:w="1423" w:type="pct"/>
            <w:tcBorders>
              <w:top w:val="nil"/>
              <w:left w:val="nil"/>
              <w:bottom w:val="nil"/>
              <w:right w:val="nil"/>
            </w:tcBorders>
            <w:shd w:val="clear" w:color="auto" w:fill="auto"/>
            <w:noWrap/>
            <w:vAlign w:val="center"/>
            <w:hideMark/>
          </w:tcPr>
          <w:p w14:paraId="6502FD0E"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INFL</w:t>
            </w:r>
          </w:p>
        </w:tc>
        <w:tc>
          <w:tcPr>
            <w:tcW w:w="1350" w:type="pct"/>
            <w:tcBorders>
              <w:top w:val="nil"/>
              <w:left w:val="nil"/>
              <w:bottom w:val="nil"/>
              <w:right w:val="nil"/>
            </w:tcBorders>
            <w:shd w:val="clear" w:color="auto" w:fill="auto"/>
            <w:noWrap/>
            <w:vAlign w:val="center"/>
          </w:tcPr>
          <w:p w14:paraId="3EB2F5A0" w14:textId="5DEBD7D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0.013**</w:t>
            </w:r>
          </w:p>
        </w:tc>
        <w:tc>
          <w:tcPr>
            <w:tcW w:w="1350" w:type="pct"/>
            <w:tcBorders>
              <w:top w:val="nil"/>
              <w:left w:val="nil"/>
              <w:bottom w:val="nil"/>
              <w:right w:val="nil"/>
            </w:tcBorders>
            <w:shd w:val="clear" w:color="auto" w:fill="auto"/>
            <w:noWrap/>
            <w:vAlign w:val="center"/>
          </w:tcPr>
          <w:p w14:paraId="7285D868" w14:textId="3BC44692"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-0.010**</w:t>
            </w:r>
          </w:p>
        </w:tc>
        <w:tc>
          <w:tcPr>
            <w:tcW w:w="752" w:type="pct"/>
            <w:tcBorders>
              <w:top w:val="nil"/>
              <w:left w:val="nil"/>
              <w:bottom w:val="nil"/>
              <w:right w:val="nil"/>
            </w:tcBorders>
            <w:shd w:val="clear" w:color="auto" w:fill="auto"/>
            <w:noWrap/>
            <w:vAlign w:val="center"/>
          </w:tcPr>
          <w:p w14:paraId="13CC1375" w14:textId="73D4255B"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-0.002**</w:t>
            </w:r>
          </w:p>
        </w:tc>
        <w:tc>
          <w:tcPr>
            <w:tcW w:w="125" w:type="pct"/>
            <w:tcBorders>
              <w:top w:val="nil"/>
              <w:left w:val="nil"/>
              <w:bottom w:val="nil"/>
              <w:right w:val="nil"/>
            </w:tcBorders>
            <w:shd w:val="clear" w:color="auto" w:fill="auto"/>
            <w:noWrap/>
            <w:vAlign w:val="center"/>
          </w:tcPr>
          <w:p w14:paraId="171324C8"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74F7F3E8" w14:textId="77777777" w:rsidTr="006E29B3">
        <w:trPr>
          <w:trHeight w:val="170"/>
        </w:trPr>
        <w:tc>
          <w:tcPr>
            <w:tcW w:w="1423" w:type="pct"/>
            <w:tcBorders>
              <w:top w:val="nil"/>
              <w:left w:val="nil"/>
              <w:bottom w:val="nil"/>
              <w:right w:val="nil"/>
            </w:tcBorders>
            <w:shd w:val="clear" w:color="auto" w:fill="auto"/>
            <w:noWrap/>
            <w:vAlign w:val="bottom"/>
            <w:hideMark/>
          </w:tcPr>
          <w:p w14:paraId="4BDF9CA5"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5C893D15" w14:textId="3B40E446"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(2.26)</w:t>
            </w:r>
          </w:p>
        </w:tc>
        <w:tc>
          <w:tcPr>
            <w:tcW w:w="1350" w:type="pct"/>
            <w:tcBorders>
              <w:top w:val="nil"/>
              <w:left w:val="nil"/>
              <w:bottom w:val="nil"/>
              <w:right w:val="nil"/>
            </w:tcBorders>
            <w:shd w:val="clear" w:color="auto" w:fill="auto"/>
            <w:noWrap/>
            <w:vAlign w:val="center"/>
          </w:tcPr>
          <w:p w14:paraId="17F931FD" w14:textId="438231C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(-2.38)</w:t>
            </w:r>
          </w:p>
        </w:tc>
        <w:tc>
          <w:tcPr>
            <w:tcW w:w="752" w:type="pct"/>
            <w:tcBorders>
              <w:top w:val="nil"/>
              <w:left w:val="nil"/>
              <w:bottom w:val="nil"/>
              <w:right w:val="nil"/>
            </w:tcBorders>
            <w:shd w:val="clear" w:color="auto" w:fill="auto"/>
            <w:noWrap/>
            <w:vAlign w:val="center"/>
          </w:tcPr>
          <w:p w14:paraId="4DFF64D7" w14:textId="74BCDC7C"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(-2.39)</w:t>
            </w:r>
          </w:p>
        </w:tc>
        <w:tc>
          <w:tcPr>
            <w:tcW w:w="125" w:type="pct"/>
            <w:tcBorders>
              <w:top w:val="nil"/>
              <w:left w:val="nil"/>
              <w:bottom w:val="nil"/>
              <w:right w:val="nil"/>
            </w:tcBorders>
            <w:shd w:val="clear" w:color="auto" w:fill="auto"/>
            <w:noWrap/>
            <w:vAlign w:val="center"/>
          </w:tcPr>
          <w:p w14:paraId="59CC7335"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4B8E2553" w14:textId="77777777" w:rsidTr="006E29B3">
        <w:trPr>
          <w:trHeight w:val="170"/>
        </w:trPr>
        <w:tc>
          <w:tcPr>
            <w:tcW w:w="1423" w:type="pct"/>
            <w:tcBorders>
              <w:top w:val="nil"/>
              <w:left w:val="nil"/>
              <w:bottom w:val="nil"/>
              <w:right w:val="nil"/>
            </w:tcBorders>
            <w:shd w:val="clear" w:color="auto" w:fill="auto"/>
            <w:noWrap/>
            <w:vAlign w:val="center"/>
            <w:hideMark/>
          </w:tcPr>
          <w:p w14:paraId="67550BEE"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TRDOPEN</w:t>
            </w:r>
          </w:p>
        </w:tc>
        <w:tc>
          <w:tcPr>
            <w:tcW w:w="1350" w:type="pct"/>
            <w:tcBorders>
              <w:top w:val="nil"/>
              <w:left w:val="nil"/>
              <w:bottom w:val="nil"/>
              <w:right w:val="nil"/>
            </w:tcBorders>
            <w:shd w:val="clear" w:color="auto" w:fill="auto"/>
            <w:noWrap/>
            <w:vAlign w:val="center"/>
          </w:tcPr>
          <w:p w14:paraId="44B7A505" w14:textId="64F94B3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0.001</w:t>
            </w:r>
          </w:p>
        </w:tc>
        <w:tc>
          <w:tcPr>
            <w:tcW w:w="1350" w:type="pct"/>
            <w:tcBorders>
              <w:top w:val="nil"/>
              <w:left w:val="nil"/>
              <w:bottom w:val="nil"/>
              <w:right w:val="nil"/>
            </w:tcBorders>
            <w:shd w:val="clear" w:color="auto" w:fill="auto"/>
            <w:noWrap/>
            <w:vAlign w:val="center"/>
          </w:tcPr>
          <w:p w14:paraId="54427872" w14:textId="4AC7EAB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-0.001</w:t>
            </w:r>
          </w:p>
        </w:tc>
        <w:tc>
          <w:tcPr>
            <w:tcW w:w="752" w:type="pct"/>
            <w:tcBorders>
              <w:top w:val="nil"/>
              <w:left w:val="nil"/>
              <w:bottom w:val="nil"/>
              <w:right w:val="nil"/>
            </w:tcBorders>
            <w:shd w:val="clear" w:color="auto" w:fill="auto"/>
            <w:noWrap/>
            <w:vAlign w:val="center"/>
          </w:tcPr>
          <w:p w14:paraId="1513A022" w14:textId="7284C8AB"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-0.000</w:t>
            </w:r>
          </w:p>
        </w:tc>
        <w:tc>
          <w:tcPr>
            <w:tcW w:w="125" w:type="pct"/>
            <w:tcBorders>
              <w:top w:val="nil"/>
              <w:left w:val="nil"/>
              <w:bottom w:val="nil"/>
              <w:right w:val="nil"/>
            </w:tcBorders>
            <w:shd w:val="clear" w:color="auto" w:fill="auto"/>
            <w:noWrap/>
            <w:vAlign w:val="center"/>
          </w:tcPr>
          <w:p w14:paraId="2CF2EF5A"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69A3160B" w14:textId="77777777" w:rsidTr="006E29B3">
        <w:trPr>
          <w:trHeight w:val="170"/>
        </w:trPr>
        <w:tc>
          <w:tcPr>
            <w:tcW w:w="1423" w:type="pct"/>
            <w:tcBorders>
              <w:top w:val="nil"/>
              <w:left w:val="nil"/>
              <w:bottom w:val="nil"/>
              <w:right w:val="nil"/>
            </w:tcBorders>
            <w:shd w:val="clear" w:color="auto" w:fill="auto"/>
            <w:noWrap/>
            <w:vAlign w:val="bottom"/>
            <w:hideMark/>
          </w:tcPr>
          <w:p w14:paraId="273AC569"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14B401F9" w14:textId="4B938878"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(0.73)</w:t>
            </w:r>
          </w:p>
        </w:tc>
        <w:tc>
          <w:tcPr>
            <w:tcW w:w="1350" w:type="pct"/>
            <w:tcBorders>
              <w:top w:val="nil"/>
              <w:left w:val="nil"/>
              <w:bottom w:val="nil"/>
              <w:right w:val="nil"/>
            </w:tcBorders>
            <w:shd w:val="clear" w:color="auto" w:fill="auto"/>
            <w:noWrap/>
            <w:vAlign w:val="center"/>
          </w:tcPr>
          <w:p w14:paraId="58BC631B" w14:textId="75E7376F"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(-1.55)</w:t>
            </w:r>
          </w:p>
        </w:tc>
        <w:tc>
          <w:tcPr>
            <w:tcW w:w="752" w:type="pct"/>
            <w:tcBorders>
              <w:top w:val="nil"/>
              <w:left w:val="nil"/>
              <w:bottom w:val="nil"/>
              <w:right w:val="nil"/>
            </w:tcBorders>
            <w:shd w:val="clear" w:color="auto" w:fill="auto"/>
            <w:noWrap/>
            <w:vAlign w:val="center"/>
          </w:tcPr>
          <w:p w14:paraId="4E32DEBF" w14:textId="4246A758"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(-0.49)</w:t>
            </w:r>
          </w:p>
        </w:tc>
        <w:tc>
          <w:tcPr>
            <w:tcW w:w="125" w:type="pct"/>
            <w:tcBorders>
              <w:top w:val="nil"/>
              <w:left w:val="nil"/>
              <w:bottom w:val="nil"/>
              <w:right w:val="nil"/>
            </w:tcBorders>
            <w:shd w:val="clear" w:color="auto" w:fill="auto"/>
            <w:noWrap/>
            <w:vAlign w:val="center"/>
          </w:tcPr>
          <w:p w14:paraId="10981A5C"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02BE8E41" w14:textId="77777777" w:rsidTr="006E29B3">
        <w:trPr>
          <w:trHeight w:val="170"/>
        </w:trPr>
        <w:tc>
          <w:tcPr>
            <w:tcW w:w="1423" w:type="pct"/>
            <w:tcBorders>
              <w:top w:val="nil"/>
              <w:left w:val="nil"/>
              <w:bottom w:val="nil"/>
              <w:right w:val="nil"/>
            </w:tcBorders>
            <w:shd w:val="clear" w:color="auto" w:fill="auto"/>
            <w:noWrap/>
            <w:vAlign w:val="center"/>
            <w:hideMark/>
          </w:tcPr>
          <w:p w14:paraId="30919165"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REMITT</w:t>
            </w:r>
          </w:p>
        </w:tc>
        <w:tc>
          <w:tcPr>
            <w:tcW w:w="1350" w:type="pct"/>
            <w:tcBorders>
              <w:top w:val="nil"/>
              <w:left w:val="nil"/>
              <w:bottom w:val="nil"/>
              <w:right w:val="nil"/>
            </w:tcBorders>
            <w:shd w:val="clear" w:color="auto" w:fill="auto"/>
            <w:noWrap/>
            <w:vAlign w:val="center"/>
          </w:tcPr>
          <w:p w14:paraId="5B83984C" w14:textId="5606BFB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-0.108***</w:t>
            </w:r>
          </w:p>
        </w:tc>
        <w:tc>
          <w:tcPr>
            <w:tcW w:w="1350" w:type="pct"/>
            <w:tcBorders>
              <w:top w:val="nil"/>
              <w:left w:val="nil"/>
              <w:bottom w:val="nil"/>
              <w:right w:val="nil"/>
            </w:tcBorders>
            <w:shd w:val="clear" w:color="auto" w:fill="auto"/>
            <w:noWrap/>
            <w:vAlign w:val="center"/>
          </w:tcPr>
          <w:p w14:paraId="627675D2" w14:textId="5BF5AFC3"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-0.040*</w:t>
            </w:r>
          </w:p>
        </w:tc>
        <w:tc>
          <w:tcPr>
            <w:tcW w:w="752" w:type="pct"/>
            <w:tcBorders>
              <w:top w:val="nil"/>
              <w:left w:val="nil"/>
              <w:bottom w:val="nil"/>
              <w:right w:val="nil"/>
            </w:tcBorders>
            <w:shd w:val="clear" w:color="auto" w:fill="auto"/>
            <w:noWrap/>
            <w:vAlign w:val="center"/>
          </w:tcPr>
          <w:p w14:paraId="7592EDCD" w14:textId="7B64B556"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-0.004</w:t>
            </w:r>
          </w:p>
        </w:tc>
        <w:tc>
          <w:tcPr>
            <w:tcW w:w="125" w:type="pct"/>
            <w:tcBorders>
              <w:top w:val="nil"/>
              <w:left w:val="nil"/>
              <w:bottom w:val="nil"/>
              <w:right w:val="nil"/>
            </w:tcBorders>
            <w:shd w:val="clear" w:color="auto" w:fill="auto"/>
            <w:noWrap/>
            <w:vAlign w:val="center"/>
          </w:tcPr>
          <w:p w14:paraId="20B9BC9F"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32E51D47" w14:textId="77777777" w:rsidTr="006E29B3">
        <w:trPr>
          <w:trHeight w:val="170"/>
        </w:trPr>
        <w:tc>
          <w:tcPr>
            <w:tcW w:w="1423" w:type="pct"/>
            <w:tcBorders>
              <w:top w:val="nil"/>
              <w:left w:val="nil"/>
              <w:bottom w:val="nil"/>
              <w:right w:val="nil"/>
            </w:tcBorders>
            <w:shd w:val="clear" w:color="auto" w:fill="auto"/>
            <w:noWrap/>
            <w:vAlign w:val="bottom"/>
            <w:hideMark/>
          </w:tcPr>
          <w:p w14:paraId="63640B0F"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100933AD" w14:textId="4D84E69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(-2.93)</w:t>
            </w:r>
          </w:p>
        </w:tc>
        <w:tc>
          <w:tcPr>
            <w:tcW w:w="1350" w:type="pct"/>
            <w:tcBorders>
              <w:top w:val="nil"/>
              <w:left w:val="nil"/>
              <w:bottom w:val="nil"/>
              <w:right w:val="nil"/>
            </w:tcBorders>
            <w:shd w:val="clear" w:color="auto" w:fill="auto"/>
            <w:noWrap/>
            <w:vAlign w:val="center"/>
          </w:tcPr>
          <w:p w14:paraId="4C102A52" w14:textId="7E8F029F"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(-1.67)</w:t>
            </w:r>
          </w:p>
        </w:tc>
        <w:tc>
          <w:tcPr>
            <w:tcW w:w="752" w:type="pct"/>
            <w:tcBorders>
              <w:top w:val="nil"/>
              <w:left w:val="nil"/>
              <w:bottom w:val="nil"/>
              <w:right w:val="nil"/>
            </w:tcBorders>
            <w:shd w:val="clear" w:color="auto" w:fill="auto"/>
            <w:noWrap/>
            <w:vAlign w:val="center"/>
          </w:tcPr>
          <w:p w14:paraId="233467A7" w14:textId="4F6490D0"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(-0.61)</w:t>
            </w:r>
          </w:p>
        </w:tc>
        <w:tc>
          <w:tcPr>
            <w:tcW w:w="125" w:type="pct"/>
            <w:tcBorders>
              <w:top w:val="nil"/>
              <w:left w:val="nil"/>
              <w:bottom w:val="nil"/>
              <w:right w:val="nil"/>
            </w:tcBorders>
            <w:shd w:val="clear" w:color="auto" w:fill="auto"/>
            <w:noWrap/>
            <w:vAlign w:val="center"/>
          </w:tcPr>
          <w:p w14:paraId="2C793FAB"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319FB40C" w14:textId="77777777" w:rsidTr="006E29B3">
        <w:trPr>
          <w:trHeight w:val="170"/>
        </w:trPr>
        <w:tc>
          <w:tcPr>
            <w:tcW w:w="1423" w:type="pct"/>
            <w:tcBorders>
              <w:top w:val="nil"/>
              <w:left w:val="nil"/>
              <w:bottom w:val="nil"/>
              <w:right w:val="nil"/>
            </w:tcBorders>
            <w:shd w:val="clear" w:color="auto" w:fill="auto"/>
            <w:noWrap/>
            <w:vAlign w:val="center"/>
            <w:hideMark/>
          </w:tcPr>
          <w:p w14:paraId="1AA0EFC8" w14:textId="5EB2B5A9" w:rsidR="0012594D" w:rsidRPr="00357722" w:rsidRDefault="008857A2"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OTIDSGDP</w:t>
            </w:r>
          </w:p>
        </w:tc>
        <w:tc>
          <w:tcPr>
            <w:tcW w:w="1350" w:type="pct"/>
            <w:tcBorders>
              <w:top w:val="nil"/>
              <w:left w:val="nil"/>
              <w:bottom w:val="nil"/>
              <w:right w:val="nil"/>
            </w:tcBorders>
            <w:shd w:val="clear" w:color="auto" w:fill="auto"/>
            <w:noWrap/>
            <w:vAlign w:val="center"/>
          </w:tcPr>
          <w:p w14:paraId="2B1B8DF8" w14:textId="6B744AAE"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-0.004***</w:t>
            </w:r>
          </w:p>
        </w:tc>
        <w:tc>
          <w:tcPr>
            <w:tcW w:w="1350" w:type="pct"/>
            <w:tcBorders>
              <w:top w:val="nil"/>
              <w:left w:val="nil"/>
              <w:bottom w:val="nil"/>
              <w:right w:val="nil"/>
            </w:tcBorders>
            <w:shd w:val="clear" w:color="auto" w:fill="auto"/>
            <w:noWrap/>
            <w:vAlign w:val="center"/>
          </w:tcPr>
          <w:p w14:paraId="5B22336A" w14:textId="6761DE68"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0.001</w:t>
            </w:r>
          </w:p>
        </w:tc>
        <w:tc>
          <w:tcPr>
            <w:tcW w:w="752" w:type="pct"/>
            <w:tcBorders>
              <w:top w:val="nil"/>
              <w:left w:val="nil"/>
              <w:bottom w:val="nil"/>
              <w:right w:val="nil"/>
            </w:tcBorders>
            <w:shd w:val="clear" w:color="auto" w:fill="auto"/>
            <w:noWrap/>
            <w:vAlign w:val="center"/>
          </w:tcPr>
          <w:p w14:paraId="4A1B5EEC" w14:textId="309E3CE2"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-0.000</w:t>
            </w:r>
          </w:p>
        </w:tc>
        <w:tc>
          <w:tcPr>
            <w:tcW w:w="125" w:type="pct"/>
            <w:tcBorders>
              <w:top w:val="nil"/>
              <w:left w:val="nil"/>
              <w:bottom w:val="nil"/>
              <w:right w:val="nil"/>
            </w:tcBorders>
            <w:shd w:val="clear" w:color="auto" w:fill="auto"/>
            <w:noWrap/>
            <w:vAlign w:val="center"/>
          </w:tcPr>
          <w:p w14:paraId="17154F6A"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778420BB" w14:textId="77777777" w:rsidTr="006E29B3">
        <w:trPr>
          <w:trHeight w:val="170"/>
        </w:trPr>
        <w:tc>
          <w:tcPr>
            <w:tcW w:w="1423" w:type="pct"/>
            <w:tcBorders>
              <w:top w:val="nil"/>
              <w:left w:val="nil"/>
              <w:bottom w:val="nil"/>
              <w:right w:val="nil"/>
            </w:tcBorders>
            <w:shd w:val="clear" w:color="auto" w:fill="auto"/>
            <w:noWrap/>
            <w:vAlign w:val="bottom"/>
            <w:hideMark/>
          </w:tcPr>
          <w:p w14:paraId="56CAF30B"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42DAE029" w14:textId="0A29F829"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(-3.83)</w:t>
            </w:r>
          </w:p>
        </w:tc>
        <w:tc>
          <w:tcPr>
            <w:tcW w:w="1350" w:type="pct"/>
            <w:tcBorders>
              <w:top w:val="nil"/>
              <w:left w:val="nil"/>
              <w:bottom w:val="nil"/>
              <w:right w:val="nil"/>
            </w:tcBorders>
            <w:shd w:val="clear" w:color="auto" w:fill="auto"/>
            <w:noWrap/>
            <w:vAlign w:val="center"/>
          </w:tcPr>
          <w:p w14:paraId="61D665B3" w14:textId="0721E37D"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(1.59)</w:t>
            </w:r>
          </w:p>
        </w:tc>
        <w:tc>
          <w:tcPr>
            <w:tcW w:w="752" w:type="pct"/>
            <w:tcBorders>
              <w:top w:val="nil"/>
              <w:left w:val="nil"/>
              <w:bottom w:val="nil"/>
              <w:right w:val="nil"/>
            </w:tcBorders>
            <w:shd w:val="clear" w:color="auto" w:fill="auto"/>
            <w:noWrap/>
            <w:vAlign w:val="center"/>
          </w:tcPr>
          <w:p w14:paraId="790877F0" w14:textId="3A20D46E"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(-1.14)</w:t>
            </w:r>
          </w:p>
        </w:tc>
        <w:tc>
          <w:tcPr>
            <w:tcW w:w="125" w:type="pct"/>
            <w:tcBorders>
              <w:top w:val="nil"/>
              <w:left w:val="nil"/>
              <w:bottom w:val="nil"/>
              <w:right w:val="nil"/>
            </w:tcBorders>
            <w:shd w:val="clear" w:color="auto" w:fill="auto"/>
            <w:noWrap/>
            <w:vAlign w:val="center"/>
          </w:tcPr>
          <w:p w14:paraId="54EE3250"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7BF0EB19" w14:textId="77777777" w:rsidTr="006E29B3">
        <w:trPr>
          <w:trHeight w:val="170"/>
        </w:trPr>
        <w:tc>
          <w:tcPr>
            <w:tcW w:w="1423" w:type="pct"/>
            <w:tcBorders>
              <w:top w:val="nil"/>
              <w:left w:val="nil"/>
              <w:bottom w:val="nil"/>
              <w:right w:val="nil"/>
            </w:tcBorders>
            <w:shd w:val="clear" w:color="auto" w:fill="auto"/>
            <w:noWrap/>
            <w:vAlign w:val="center"/>
            <w:hideMark/>
          </w:tcPr>
          <w:p w14:paraId="22E89188"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LEGORI</w:t>
            </w:r>
          </w:p>
        </w:tc>
        <w:tc>
          <w:tcPr>
            <w:tcW w:w="1350" w:type="pct"/>
            <w:tcBorders>
              <w:top w:val="nil"/>
              <w:left w:val="nil"/>
              <w:bottom w:val="nil"/>
              <w:right w:val="nil"/>
            </w:tcBorders>
            <w:shd w:val="clear" w:color="auto" w:fill="auto"/>
            <w:noWrap/>
            <w:vAlign w:val="center"/>
          </w:tcPr>
          <w:p w14:paraId="4F23E1F3" w14:textId="40CFB2F2"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-0.315</w:t>
            </w:r>
          </w:p>
        </w:tc>
        <w:tc>
          <w:tcPr>
            <w:tcW w:w="1350" w:type="pct"/>
            <w:tcBorders>
              <w:top w:val="nil"/>
              <w:left w:val="nil"/>
              <w:bottom w:val="nil"/>
              <w:right w:val="nil"/>
            </w:tcBorders>
            <w:shd w:val="clear" w:color="auto" w:fill="auto"/>
            <w:noWrap/>
            <w:vAlign w:val="center"/>
          </w:tcPr>
          <w:p w14:paraId="2EA0156C" w14:textId="7B10B94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-1.188***</w:t>
            </w:r>
          </w:p>
        </w:tc>
        <w:tc>
          <w:tcPr>
            <w:tcW w:w="752" w:type="pct"/>
            <w:tcBorders>
              <w:top w:val="nil"/>
              <w:left w:val="nil"/>
              <w:bottom w:val="nil"/>
              <w:right w:val="nil"/>
            </w:tcBorders>
            <w:shd w:val="clear" w:color="auto" w:fill="auto"/>
            <w:noWrap/>
            <w:vAlign w:val="center"/>
          </w:tcPr>
          <w:p w14:paraId="4E62AA86" w14:textId="4BA141BF"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-0.027</w:t>
            </w:r>
          </w:p>
        </w:tc>
        <w:tc>
          <w:tcPr>
            <w:tcW w:w="125" w:type="pct"/>
            <w:tcBorders>
              <w:top w:val="nil"/>
              <w:left w:val="nil"/>
              <w:bottom w:val="nil"/>
              <w:right w:val="nil"/>
            </w:tcBorders>
            <w:shd w:val="clear" w:color="auto" w:fill="auto"/>
            <w:noWrap/>
            <w:vAlign w:val="center"/>
          </w:tcPr>
          <w:p w14:paraId="3A34ABCD"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07AD852C" w14:textId="77777777" w:rsidTr="006E29B3">
        <w:trPr>
          <w:trHeight w:val="170"/>
        </w:trPr>
        <w:tc>
          <w:tcPr>
            <w:tcW w:w="1423" w:type="pct"/>
            <w:tcBorders>
              <w:top w:val="nil"/>
              <w:left w:val="nil"/>
              <w:bottom w:val="nil"/>
              <w:right w:val="nil"/>
            </w:tcBorders>
            <w:shd w:val="clear" w:color="auto" w:fill="auto"/>
            <w:noWrap/>
            <w:vAlign w:val="bottom"/>
            <w:hideMark/>
          </w:tcPr>
          <w:p w14:paraId="6478282C"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70AA1731" w14:textId="6A47BDF9"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(-1.33)</w:t>
            </w:r>
          </w:p>
        </w:tc>
        <w:tc>
          <w:tcPr>
            <w:tcW w:w="1350" w:type="pct"/>
            <w:tcBorders>
              <w:top w:val="nil"/>
              <w:left w:val="nil"/>
              <w:bottom w:val="nil"/>
              <w:right w:val="nil"/>
            </w:tcBorders>
            <w:shd w:val="clear" w:color="auto" w:fill="auto"/>
            <w:noWrap/>
            <w:vAlign w:val="center"/>
          </w:tcPr>
          <w:p w14:paraId="4848B2A1" w14:textId="5D4FFB15"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(-9.75)</w:t>
            </w:r>
          </w:p>
        </w:tc>
        <w:tc>
          <w:tcPr>
            <w:tcW w:w="752" w:type="pct"/>
            <w:tcBorders>
              <w:top w:val="nil"/>
              <w:left w:val="nil"/>
              <w:bottom w:val="nil"/>
              <w:right w:val="nil"/>
            </w:tcBorders>
            <w:shd w:val="clear" w:color="auto" w:fill="auto"/>
            <w:noWrap/>
            <w:vAlign w:val="center"/>
          </w:tcPr>
          <w:p w14:paraId="27F99FD5" w14:textId="6060379C"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(-0.59)</w:t>
            </w:r>
          </w:p>
        </w:tc>
        <w:tc>
          <w:tcPr>
            <w:tcW w:w="125" w:type="pct"/>
            <w:tcBorders>
              <w:top w:val="nil"/>
              <w:left w:val="nil"/>
              <w:bottom w:val="nil"/>
              <w:right w:val="nil"/>
            </w:tcBorders>
            <w:shd w:val="clear" w:color="auto" w:fill="auto"/>
            <w:noWrap/>
            <w:vAlign w:val="center"/>
          </w:tcPr>
          <w:p w14:paraId="2E7583F3"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39396E0F" w14:textId="77777777" w:rsidTr="006E29B3">
        <w:trPr>
          <w:trHeight w:val="170"/>
        </w:trPr>
        <w:tc>
          <w:tcPr>
            <w:tcW w:w="1423" w:type="pct"/>
            <w:tcBorders>
              <w:top w:val="nil"/>
              <w:left w:val="nil"/>
              <w:bottom w:val="nil"/>
              <w:right w:val="nil"/>
            </w:tcBorders>
            <w:shd w:val="clear" w:color="auto" w:fill="auto"/>
            <w:noWrap/>
            <w:vAlign w:val="center"/>
            <w:hideMark/>
          </w:tcPr>
          <w:p w14:paraId="26DA90EC" w14:textId="77777777" w:rsidR="0012594D" w:rsidRPr="00357722" w:rsidRDefault="0012594D" w:rsidP="00136C48">
            <w:pPr>
              <w:spacing w:after="0" w:line="360" w:lineRule="auto"/>
              <w:jc w:val="both"/>
              <w:rPr>
                <w:rFonts w:ascii="Times New Roman" w:eastAsia="Times New Roman" w:hAnsi="Times New Roman" w:cs="Times New Roman"/>
                <w:i/>
                <w:iCs/>
                <w:color w:val="000000"/>
                <w:sz w:val="16"/>
                <w:szCs w:val="16"/>
              </w:rPr>
            </w:pPr>
            <w:r w:rsidRPr="00357722">
              <w:rPr>
                <w:rFonts w:ascii="Times New Roman" w:eastAsia="Times New Roman" w:hAnsi="Times New Roman" w:cs="Times New Roman"/>
                <w:i/>
                <w:iCs/>
                <w:color w:val="000000"/>
                <w:sz w:val="16"/>
                <w:szCs w:val="16"/>
              </w:rPr>
              <w:t>Constant</w:t>
            </w:r>
          </w:p>
        </w:tc>
        <w:tc>
          <w:tcPr>
            <w:tcW w:w="1350" w:type="pct"/>
            <w:tcBorders>
              <w:top w:val="nil"/>
              <w:left w:val="nil"/>
              <w:bottom w:val="nil"/>
              <w:right w:val="nil"/>
            </w:tcBorders>
            <w:shd w:val="clear" w:color="auto" w:fill="auto"/>
            <w:noWrap/>
            <w:vAlign w:val="center"/>
          </w:tcPr>
          <w:p w14:paraId="29F68075" w14:textId="29A36DDF"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5.017***</w:t>
            </w:r>
          </w:p>
        </w:tc>
        <w:tc>
          <w:tcPr>
            <w:tcW w:w="1350" w:type="pct"/>
            <w:tcBorders>
              <w:top w:val="nil"/>
              <w:left w:val="nil"/>
              <w:bottom w:val="nil"/>
              <w:right w:val="nil"/>
            </w:tcBorders>
            <w:shd w:val="clear" w:color="auto" w:fill="auto"/>
            <w:noWrap/>
            <w:vAlign w:val="center"/>
          </w:tcPr>
          <w:p w14:paraId="70AAD05C" w14:textId="7DBAC13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6.365***</w:t>
            </w:r>
          </w:p>
        </w:tc>
        <w:tc>
          <w:tcPr>
            <w:tcW w:w="752" w:type="pct"/>
            <w:tcBorders>
              <w:top w:val="nil"/>
              <w:left w:val="nil"/>
              <w:bottom w:val="nil"/>
              <w:right w:val="nil"/>
            </w:tcBorders>
            <w:shd w:val="clear" w:color="auto" w:fill="auto"/>
            <w:noWrap/>
            <w:vAlign w:val="center"/>
          </w:tcPr>
          <w:p w14:paraId="64083AAD" w14:textId="0093B746"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4.587***</w:t>
            </w:r>
          </w:p>
        </w:tc>
        <w:tc>
          <w:tcPr>
            <w:tcW w:w="125" w:type="pct"/>
            <w:tcBorders>
              <w:top w:val="nil"/>
              <w:left w:val="nil"/>
              <w:bottom w:val="nil"/>
              <w:right w:val="nil"/>
            </w:tcBorders>
            <w:shd w:val="clear" w:color="auto" w:fill="auto"/>
            <w:noWrap/>
            <w:vAlign w:val="center"/>
          </w:tcPr>
          <w:p w14:paraId="2ABFF65C"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786FB199" w14:textId="77777777" w:rsidTr="006E29B3">
        <w:trPr>
          <w:trHeight w:val="170"/>
        </w:trPr>
        <w:tc>
          <w:tcPr>
            <w:tcW w:w="1423" w:type="pct"/>
            <w:tcBorders>
              <w:top w:val="nil"/>
              <w:left w:val="nil"/>
              <w:bottom w:val="nil"/>
              <w:right w:val="nil"/>
            </w:tcBorders>
            <w:shd w:val="clear" w:color="auto" w:fill="auto"/>
            <w:noWrap/>
            <w:vAlign w:val="bottom"/>
            <w:hideMark/>
          </w:tcPr>
          <w:p w14:paraId="6B4015CE"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c>
          <w:tcPr>
            <w:tcW w:w="1350" w:type="pct"/>
            <w:tcBorders>
              <w:top w:val="nil"/>
              <w:left w:val="nil"/>
              <w:bottom w:val="nil"/>
              <w:right w:val="nil"/>
            </w:tcBorders>
            <w:shd w:val="clear" w:color="auto" w:fill="auto"/>
            <w:noWrap/>
            <w:vAlign w:val="center"/>
          </w:tcPr>
          <w:p w14:paraId="1491704E" w14:textId="54A4AB9E"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(9.86)</w:t>
            </w:r>
          </w:p>
        </w:tc>
        <w:tc>
          <w:tcPr>
            <w:tcW w:w="1350" w:type="pct"/>
            <w:tcBorders>
              <w:top w:val="nil"/>
              <w:left w:val="nil"/>
              <w:bottom w:val="nil"/>
              <w:right w:val="nil"/>
            </w:tcBorders>
            <w:shd w:val="clear" w:color="auto" w:fill="auto"/>
            <w:noWrap/>
            <w:vAlign w:val="center"/>
          </w:tcPr>
          <w:p w14:paraId="2A8E2C8A" w14:textId="4C58B17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(26.99)</w:t>
            </w:r>
          </w:p>
        </w:tc>
        <w:tc>
          <w:tcPr>
            <w:tcW w:w="752" w:type="pct"/>
            <w:tcBorders>
              <w:top w:val="nil"/>
              <w:left w:val="nil"/>
              <w:bottom w:val="nil"/>
              <w:right w:val="nil"/>
            </w:tcBorders>
            <w:shd w:val="clear" w:color="auto" w:fill="auto"/>
            <w:noWrap/>
            <w:vAlign w:val="center"/>
          </w:tcPr>
          <w:p w14:paraId="2B4F798F" w14:textId="019D7070"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(49.53)</w:t>
            </w:r>
          </w:p>
        </w:tc>
        <w:tc>
          <w:tcPr>
            <w:tcW w:w="125" w:type="pct"/>
            <w:tcBorders>
              <w:top w:val="nil"/>
              <w:left w:val="nil"/>
              <w:bottom w:val="nil"/>
              <w:right w:val="nil"/>
            </w:tcBorders>
            <w:shd w:val="clear" w:color="auto" w:fill="auto"/>
            <w:noWrap/>
            <w:vAlign w:val="center"/>
          </w:tcPr>
          <w:p w14:paraId="22F72B1B"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0EFDDC7F" w14:textId="77777777" w:rsidTr="006E29B3">
        <w:trPr>
          <w:trHeight w:val="170"/>
        </w:trPr>
        <w:tc>
          <w:tcPr>
            <w:tcW w:w="1423" w:type="pct"/>
            <w:tcBorders>
              <w:top w:val="single" w:sz="4" w:space="0" w:color="auto"/>
              <w:left w:val="nil"/>
              <w:bottom w:val="nil"/>
              <w:right w:val="nil"/>
            </w:tcBorders>
            <w:shd w:val="clear" w:color="auto" w:fill="auto"/>
            <w:noWrap/>
            <w:vAlign w:val="bottom"/>
            <w:hideMark/>
          </w:tcPr>
          <w:p w14:paraId="6FFD35E9"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No of Observations</w:t>
            </w:r>
          </w:p>
        </w:tc>
        <w:tc>
          <w:tcPr>
            <w:tcW w:w="1350" w:type="pct"/>
            <w:tcBorders>
              <w:top w:val="single" w:sz="4" w:space="0" w:color="auto"/>
              <w:left w:val="nil"/>
              <w:bottom w:val="nil"/>
              <w:right w:val="nil"/>
            </w:tcBorders>
            <w:shd w:val="clear" w:color="auto" w:fill="auto"/>
            <w:noWrap/>
            <w:vAlign w:val="center"/>
          </w:tcPr>
          <w:p w14:paraId="600A2B3F" w14:textId="6DC9B9B4"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603</w:t>
            </w:r>
          </w:p>
        </w:tc>
        <w:tc>
          <w:tcPr>
            <w:tcW w:w="1350" w:type="pct"/>
            <w:tcBorders>
              <w:top w:val="single" w:sz="4" w:space="0" w:color="auto"/>
              <w:left w:val="nil"/>
              <w:bottom w:val="nil"/>
              <w:right w:val="nil"/>
            </w:tcBorders>
            <w:shd w:val="clear" w:color="auto" w:fill="auto"/>
            <w:noWrap/>
            <w:vAlign w:val="center"/>
          </w:tcPr>
          <w:p w14:paraId="0129F69E" w14:textId="6EE61198"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637</w:t>
            </w:r>
          </w:p>
        </w:tc>
        <w:tc>
          <w:tcPr>
            <w:tcW w:w="752" w:type="pct"/>
            <w:tcBorders>
              <w:top w:val="single" w:sz="4" w:space="0" w:color="auto"/>
              <w:left w:val="nil"/>
              <w:bottom w:val="nil"/>
              <w:right w:val="nil"/>
            </w:tcBorders>
            <w:shd w:val="clear" w:color="auto" w:fill="auto"/>
            <w:noWrap/>
            <w:vAlign w:val="center"/>
          </w:tcPr>
          <w:p w14:paraId="41E6C000" w14:textId="0B3DE0F1"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599</w:t>
            </w:r>
          </w:p>
        </w:tc>
        <w:tc>
          <w:tcPr>
            <w:tcW w:w="125" w:type="pct"/>
            <w:tcBorders>
              <w:top w:val="single" w:sz="4" w:space="0" w:color="auto"/>
              <w:left w:val="nil"/>
              <w:bottom w:val="nil"/>
              <w:right w:val="nil"/>
            </w:tcBorders>
            <w:shd w:val="clear" w:color="auto" w:fill="auto"/>
            <w:noWrap/>
            <w:vAlign w:val="center"/>
          </w:tcPr>
          <w:p w14:paraId="4C60871C"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5376600D" w14:textId="77777777" w:rsidTr="006E29B3">
        <w:trPr>
          <w:trHeight w:val="170"/>
        </w:trPr>
        <w:tc>
          <w:tcPr>
            <w:tcW w:w="1423" w:type="pct"/>
            <w:tcBorders>
              <w:top w:val="nil"/>
              <w:left w:val="nil"/>
              <w:bottom w:val="nil"/>
              <w:right w:val="nil"/>
            </w:tcBorders>
            <w:shd w:val="clear" w:color="auto" w:fill="auto"/>
            <w:noWrap/>
            <w:vAlign w:val="bottom"/>
            <w:hideMark/>
          </w:tcPr>
          <w:p w14:paraId="3C00A2BE" w14:textId="165ACAF4" w:rsidR="0012594D" w:rsidRPr="00357722" w:rsidRDefault="003D0147"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Adj. R-Square</w:t>
            </w:r>
            <w:r w:rsidRPr="00357722" w:rsidDel="002334B6">
              <w:rPr>
                <w:rFonts w:ascii="Times New Roman" w:eastAsia="Times New Roman" w:hAnsi="Times New Roman" w:cs="Times New Roman"/>
                <w:color w:val="000000"/>
                <w:sz w:val="16"/>
                <w:szCs w:val="16"/>
              </w:rPr>
              <w:t xml:space="preserve"> </w:t>
            </w:r>
          </w:p>
        </w:tc>
        <w:tc>
          <w:tcPr>
            <w:tcW w:w="1350" w:type="pct"/>
            <w:tcBorders>
              <w:top w:val="nil"/>
              <w:left w:val="nil"/>
              <w:bottom w:val="nil"/>
              <w:right w:val="nil"/>
            </w:tcBorders>
            <w:shd w:val="clear" w:color="auto" w:fill="auto"/>
            <w:noWrap/>
            <w:vAlign w:val="center"/>
          </w:tcPr>
          <w:p w14:paraId="7F702C1C" w14:textId="259BAE6A"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0.87</w:t>
            </w:r>
          </w:p>
        </w:tc>
        <w:tc>
          <w:tcPr>
            <w:tcW w:w="1350" w:type="pct"/>
            <w:tcBorders>
              <w:top w:val="nil"/>
              <w:left w:val="nil"/>
              <w:bottom w:val="nil"/>
              <w:right w:val="nil"/>
            </w:tcBorders>
            <w:shd w:val="clear" w:color="auto" w:fill="auto"/>
            <w:noWrap/>
            <w:vAlign w:val="center"/>
          </w:tcPr>
          <w:p w14:paraId="0D592D41" w14:textId="607EE5E8"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0.94</w:t>
            </w:r>
          </w:p>
        </w:tc>
        <w:tc>
          <w:tcPr>
            <w:tcW w:w="752" w:type="pct"/>
            <w:tcBorders>
              <w:top w:val="nil"/>
              <w:left w:val="nil"/>
              <w:bottom w:val="nil"/>
              <w:right w:val="nil"/>
            </w:tcBorders>
            <w:shd w:val="clear" w:color="auto" w:fill="auto"/>
            <w:noWrap/>
            <w:vAlign w:val="center"/>
          </w:tcPr>
          <w:p w14:paraId="3129CC7D" w14:textId="7F46E778"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0.77</w:t>
            </w:r>
          </w:p>
        </w:tc>
        <w:tc>
          <w:tcPr>
            <w:tcW w:w="125" w:type="pct"/>
            <w:tcBorders>
              <w:top w:val="nil"/>
              <w:left w:val="nil"/>
              <w:bottom w:val="nil"/>
              <w:right w:val="nil"/>
            </w:tcBorders>
            <w:shd w:val="clear" w:color="auto" w:fill="auto"/>
            <w:noWrap/>
            <w:vAlign w:val="center"/>
          </w:tcPr>
          <w:p w14:paraId="2B96A1E4"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1FFA25D5" w14:textId="77777777" w:rsidTr="006E29B3">
        <w:trPr>
          <w:trHeight w:val="170"/>
        </w:trPr>
        <w:tc>
          <w:tcPr>
            <w:tcW w:w="1423" w:type="pct"/>
            <w:tcBorders>
              <w:top w:val="nil"/>
              <w:left w:val="nil"/>
              <w:bottom w:val="nil"/>
              <w:right w:val="nil"/>
            </w:tcBorders>
            <w:shd w:val="clear" w:color="auto" w:fill="auto"/>
            <w:noWrap/>
            <w:vAlign w:val="bottom"/>
            <w:hideMark/>
          </w:tcPr>
          <w:p w14:paraId="7F4FAA4F" w14:textId="51E2C694"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xml:space="preserve">Country </w:t>
            </w:r>
            <w:r w:rsidR="00B31D4D">
              <w:rPr>
                <w:rFonts w:ascii="Times New Roman" w:eastAsia="Times New Roman" w:hAnsi="Times New Roman" w:cs="Times New Roman"/>
                <w:color w:val="000000"/>
                <w:sz w:val="16"/>
                <w:szCs w:val="16"/>
              </w:rPr>
              <w:t xml:space="preserve">fixed </w:t>
            </w:r>
            <w:r w:rsidRPr="00357722">
              <w:rPr>
                <w:rFonts w:ascii="Times New Roman" w:eastAsia="Times New Roman" w:hAnsi="Times New Roman" w:cs="Times New Roman"/>
                <w:color w:val="000000"/>
                <w:sz w:val="16"/>
                <w:szCs w:val="16"/>
              </w:rPr>
              <w:t>effects</w:t>
            </w:r>
          </w:p>
        </w:tc>
        <w:tc>
          <w:tcPr>
            <w:tcW w:w="1350" w:type="pct"/>
            <w:tcBorders>
              <w:top w:val="nil"/>
              <w:left w:val="nil"/>
              <w:bottom w:val="nil"/>
              <w:right w:val="nil"/>
            </w:tcBorders>
            <w:shd w:val="clear" w:color="auto" w:fill="auto"/>
            <w:noWrap/>
            <w:vAlign w:val="center"/>
            <w:hideMark/>
          </w:tcPr>
          <w:p w14:paraId="2E45A5DE" w14:textId="676CFB92"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1350" w:type="pct"/>
            <w:tcBorders>
              <w:top w:val="nil"/>
              <w:left w:val="nil"/>
              <w:bottom w:val="nil"/>
              <w:right w:val="nil"/>
            </w:tcBorders>
            <w:shd w:val="clear" w:color="auto" w:fill="auto"/>
            <w:noWrap/>
            <w:vAlign w:val="center"/>
            <w:hideMark/>
          </w:tcPr>
          <w:p w14:paraId="40F8F137" w14:textId="0FA3D341"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752" w:type="pct"/>
            <w:tcBorders>
              <w:top w:val="nil"/>
              <w:left w:val="nil"/>
              <w:bottom w:val="nil"/>
              <w:right w:val="nil"/>
            </w:tcBorders>
            <w:shd w:val="clear" w:color="auto" w:fill="auto"/>
            <w:noWrap/>
            <w:vAlign w:val="center"/>
            <w:hideMark/>
          </w:tcPr>
          <w:p w14:paraId="294AB455" w14:textId="70DD5F93"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125" w:type="pct"/>
            <w:tcBorders>
              <w:top w:val="nil"/>
              <w:left w:val="nil"/>
              <w:bottom w:val="nil"/>
              <w:right w:val="nil"/>
            </w:tcBorders>
            <w:shd w:val="clear" w:color="auto" w:fill="auto"/>
            <w:noWrap/>
            <w:vAlign w:val="center"/>
          </w:tcPr>
          <w:p w14:paraId="31F4E331"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r w:rsidR="0012594D" w:rsidRPr="00357722" w14:paraId="050DB781" w14:textId="77777777" w:rsidTr="006E29B3">
        <w:trPr>
          <w:trHeight w:val="170"/>
        </w:trPr>
        <w:tc>
          <w:tcPr>
            <w:tcW w:w="1423" w:type="pct"/>
            <w:tcBorders>
              <w:top w:val="nil"/>
              <w:left w:val="nil"/>
              <w:bottom w:val="single" w:sz="4" w:space="0" w:color="auto"/>
              <w:right w:val="nil"/>
            </w:tcBorders>
            <w:shd w:val="clear" w:color="auto" w:fill="auto"/>
            <w:noWrap/>
            <w:vAlign w:val="bottom"/>
            <w:hideMark/>
          </w:tcPr>
          <w:p w14:paraId="5A8A219D"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Year fixed effects</w:t>
            </w:r>
          </w:p>
        </w:tc>
        <w:tc>
          <w:tcPr>
            <w:tcW w:w="1350" w:type="pct"/>
            <w:tcBorders>
              <w:top w:val="nil"/>
              <w:left w:val="nil"/>
              <w:bottom w:val="single" w:sz="4" w:space="0" w:color="auto"/>
              <w:right w:val="nil"/>
            </w:tcBorders>
            <w:shd w:val="clear" w:color="auto" w:fill="auto"/>
            <w:noWrap/>
            <w:vAlign w:val="center"/>
            <w:hideMark/>
          </w:tcPr>
          <w:p w14:paraId="00385796" w14:textId="66852AEC"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1350" w:type="pct"/>
            <w:tcBorders>
              <w:top w:val="nil"/>
              <w:left w:val="nil"/>
              <w:bottom w:val="single" w:sz="4" w:space="0" w:color="auto"/>
              <w:right w:val="nil"/>
            </w:tcBorders>
            <w:shd w:val="clear" w:color="auto" w:fill="auto"/>
            <w:noWrap/>
            <w:vAlign w:val="center"/>
            <w:hideMark/>
          </w:tcPr>
          <w:p w14:paraId="0C84B6EA" w14:textId="4E2EEB36"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752" w:type="pct"/>
            <w:tcBorders>
              <w:top w:val="nil"/>
              <w:left w:val="nil"/>
              <w:bottom w:val="single" w:sz="4" w:space="0" w:color="auto"/>
              <w:right w:val="nil"/>
            </w:tcBorders>
            <w:shd w:val="clear" w:color="auto" w:fill="auto"/>
            <w:noWrap/>
            <w:vAlign w:val="center"/>
            <w:hideMark/>
          </w:tcPr>
          <w:p w14:paraId="5A69E2EF" w14:textId="6B6D6C4D"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125" w:type="pct"/>
            <w:tcBorders>
              <w:top w:val="nil"/>
              <w:left w:val="nil"/>
              <w:bottom w:val="single" w:sz="4" w:space="0" w:color="auto"/>
              <w:right w:val="nil"/>
            </w:tcBorders>
            <w:shd w:val="clear" w:color="auto" w:fill="auto"/>
            <w:noWrap/>
            <w:vAlign w:val="center"/>
            <w:hideMark/>
          </w:tcPr>
          <w:p w14:paraId="2B33CE52" w14:textId="77777777" w:rsidR="0012594D" w:rsidRPr="00357722" w:rsidRDefault="0012594D" w:rsidP="00136C48">
            <w:pPr>
              <w:spacing w:after="0" w:line="360" w:lineRule="auto"/>
              <w:jc w:val="both"/>
              <w:rPr>
                <w:rFonts w:ascii="Times New Roman" w:eastAsia="Times New Roman" w:hAnsi="Times New Roman" w:cs="Times New Roman"/>
                <w:color w:val="000000"/>
                <w:sz w:val="16"/>
                <w:szCs w:val="16"/>
              </w:rPr>
            </w:pPr>
          </w:p>
        </w:tc>
      </w:tr>
    </w:tbl>
    <w:p w14:paraId="3D66F149" w14:textId="2A55C967" w:rsidR="002E3D3A" w:rsidRPr="00357722" w:rsidRDefault="002E3D3A" w:rsidP="002E3D3A">
      <w:pPr>
        <w:suppressAutoHyphens/>
        <w:spacing w:after="0"/>
        <w:jc w:val="both"/>
        <w:rPr>
          <w:rFonts w:ascii="Times New Roman" w:eastAsia="Calibri" w:hAnsi="Times New Roman" w:cs="Times New Roman"/>
          <w:sz w:val="18"/>
          <w:szCs w:val="18"/>
          <w:lang w:eastAsia="en-US"/>
        </w:rPr>
      </w:pPr>
      <w:r w:rsidRPr="00357722">
        <w:rPr>
          <w:rFonts w:ascii="Times New Roman" w:eastAsia="Calibri" w:hAnsi="Times New Roman" w:cs="Times New Roman"/>
          <w:sz w:val="18"/>
          <w:szCs w:val="18"/>
          <w:lang w:eastAsia="en-US"/>
        </w:rPr>
        <w:t xml:space="preserve">Notes: All variables are as defined in </w:t>
      </w:r>
      <w:r w:rsidR="0048630B" w:rsidRPr="00357722">
        <w:rPr>
          <w:rFonts w:ascii="Times New Roman" w:eastAsia="Calibri" w:hAnsi="Times New Roman" w:cs="Times New Roman"/>
          <w:sz w:val="18"/>
          <w:szCs w:val="18"/>
          <w:lang w:eastAsia="en-US"/>
        </w:rPr>
        <w:t>Appendix</w:t>
      </w:r>
      <w:r w:rsidRPr="00357722">
        <w:rPr>
          <w:rFonts w:ascii="Times New Roman" w:eastAsia="Calibri" w:hAnsi="Times New Roman" w:cs="Times New Roman"/>
          <w:sz w:val="18"/>
          <w:szCs w:val="18"/>
          <w:lang w:eastAsia="en-US"/>
        </w:rPr>
        <w:t xml:space="preserve"> </w:t>
      </w:r>
      <w:r w:rsidR="0048630B" w:rsidRPr="00357722">
        <w:rPr>
          <w:rFonts w:ascii="Times New Roman" w:eastAsia="Calibri" w:hAnsi="Times New Roman" w:cs="Times New Roman"/>
          <w:sz w:val="18"/>
          <w:szCs w:val="18"/>
          <w:lang w:eastAsia="en-US"/>
        </w:rPr>
        <w:t>A</w:t>
      </w:r>
      <w:r w:rsidRPr="00357722">
        <w:rPr>
          <w:rFonts w:ascii="Times New Roman" w:eastAsia="Calibri" w:hAnsi="Times New Roman" w:cs="Times New Roman"/>
          <w:sz w:val="18"/>
          <w:szCs w:val="18"/>
          <w:lang w:eastAsia="en-US"/>
        </w:rPr>
        <w:t xml:space="preserve">1. </w:t>
      </w:r>
      <w:r w:rsidRPr="00357722">
        <w:rPr>
          <w:rFonts w:ascii="Times New Roman" w:eastAsia="DFKai-SB" w:hAnsi="Times New Roman" w:cs="Times New Roman"/>
          <w:sz w:val="18"/>
          <w:szCs w:val="18"/>
          <w:lang w:eastAsia="en-US"/>
        </w:rPr>
        <w:t xml:space="preserve">The </w:t>
      </w:r>
      <w:r w:rsidRPr="00357722">
        <w:rPr>
          <w:rFonts w:ascii="Times New Roman" w:eastAsia="DFKai-SB" w:hAnsi="Times New Roman" w:cs="Times New Roman"/>
          <w:i/>
          <w:sz w:val="18"/>
          <w:szCs w:val="18"/>
          <w:lang w:eastAsia="en-US"/>
        </w:rPr>
        <w:t>t</w:t>
      </w:r>
      <w:r w:rsidRPr="00357722">
        <w:rPr>
          <w:rFonts w:ascii="Times New Roman" w:eastAsia="DFKai-SB" w:hAnsi="Times New Roman" w:cs="Times New Roman"/>
          <w:sz w:val="18"/>
          <w:szCs w:val="18"/>
          <w:lang w:eastAsia="en-US"/>
        </w:rPr>
        <w:t xml:space="preserve">-statistics are robust to heteroscedasticity reported in parentheses, are based on double clustered standard errors (clustering done at the country and year levels). </w:t>
      </w:r>
      <w:r w:rsidRPr="00357722">
        <w:rPr>
          <w:rFonts w:ascii="Times New Roman" w:eastAsia="Calibri" w:hAnsi="Times New Roman" w:cs="Times New Roman"/>
          <w:sz w:val="18"/>
          <w:szCs w:val="18"/>
          <w:lang w:eastAsia="en-US"/>
        </w:rPr>
        <w:t xml:space="preserve">For tractable interpretation, all the coefficients are reported as elasticity and the statistical significance is reported against 10% (*), 5% (**) and 1% (***) significance levels respectively. </w:t>
      </w:r>
    </w:p>
    <w:p w14:paraId="50E6674A" w14:textId="77777777" w:rsidR="00DF7A53" w:rsidRPr="00357722" w:rsidRDefault="00DF7A53" w:rsidP="005636E8">
      <w:pPr>
        <w:spacing w:line="480" w:lineRule="auto"/>
        <w:jc w:val="both"/>
        <w:rPr>
          <w:rFonts w:ascii="Times New Roman" w:eastAsia="SimSun" w:hAnsi="Times New Roman" w:cs="Times New Roman"/>
          <w:b/>
          <w:color w:val="000000" w:themeColor="text1"/>
          <w:sz w:val="20"/>
          <w:szCs w:val="20"/>
          <w:lang w:eastAsia="zh-CN"/>
        </w:rPr>
      </w:pPr>
    </w:p>
    <w:p w14:paraId="64173EED" w14:textId="77777777" w:rsidR="009414ED" w:rsidRPr="00357722" w:rsidRDefault="009414ED" w:rsidP="005636E8">
      <w:pPr>
        <w:spacing w:line="480" w:lineRule="auto"/>
        <w:jc w:val="both"/>
        <w:rPr>
          <w:rFonts w:ascii="Times New Roman" w:eastAsia="SimSun" w:hAnsi="Times New Roman" w:cs="Times New Roman"/>
          <w:b/>
          <w:color w:val="000000" w:themeColor="text1"/>
          <w:sz w:val="20"/>
          <w:szCs w:val="20"/>
          <w:lang w:eastAsia="zh-CN"/>
        </w:rPr>
        <w:sectPr w:rsidR="009414ED" w:rsidRPr="00357722" w:rsidSect="00C34896">
          <w:pgSz w:w="11906" w:h="16838"/>
          <w:pgMar w:top="1440" w:right="1440" w:bottom="1440" w:left="993" w:header="708" w:footer="708" w:gutter="0"/>
          <w:cols w:space="708"/>
          <w:docGrid w:linePitch="360"/>
        </w:sectPr>
      </w:pPr>
    </w:p>
    <w:p w14:paraId="13FC9355" w14:textId="3A75345F" w:rsidR="00403D2E" w:rsidRPr="00357722" w:rsidRDefault="00403D2E" w:rsidP="00EE0693">
      <w:pPr>
        <w:spacing w:line="240" w:lineRule="auto"/>
        <w:jc w:val="both"/>
        <w:rPr>
          <w:rFonts w:ascii="Times New Roman" w:hAnsi="Times New Roman" w:cs="Times New Roman"/>
          <w:b/>
          <w:color w:val="000000" w:themeColor="text1"/>
          <w:sz w:val="20"/>
          <w:szCs w:val="20"/>
        </w:rPr>
      </w:pPr>
      <w:r w:rsidRPr="00357722">
        <w:rPr>
          <w:rFonts w:ascii="Times New Roman" w:eastAsia="SimSun" w:hAnsi="Times New Roman" w:cs="Times New Roman"/>
          <w:b/>
          <w:color w:val="000000" w:themeColor="text1"/>
          <w:sz w:val="20"/>
          <w:szCs w:val="20"/>
          <w:lang w:eastAsia="zh-CN"/>
        </w:rPr>
        <w:lastRenderedPageBreak/>
        <w:t>Table 5:</w:t>
      </w:r>
      <w:r w:rsidRPr="00357722">
        <w:rPr>
          <w:rFonts w:ascii="Times New Roman" w:eastAsia="SimSun" w:hAnsi="Times New Roman" w:cs="Times New Roman"/>
          <w:color w:val="000000" w:themeColor="text1"/>
          <w:sz w:val="20"/>
          <w:szCs w:val="20"/>
          <w:lang w:eastAsia="zh-CN"/>
        </w:rPr>
        <w:t xml:space="preserve"> T</w:t>
      </w:r>
      <w:r w:rsidRPr="00357722">
        <w:rPr>
          <w:rFonts w:ascii="Times New Roman" w:hAnsi="Times New Roman" w:cs="Times New Roman"/>
          <w:b/>
          <w:color w:val="000000" w:themeColor="text1"/>
          <w:sz w:val="20"/>
          <w:szCs w:val="20"/>
        </w:rPr>
        <w:t>he effects of central bank transparency on financial market development</w:t>
      </w:r>
    </w:p>
    <w:tbl>
      <w:tblPr>
        <w:tblW w:w="5013" w:type="pct"/>
        <w:tblLayout w:type="fixed"/>
        <w:tblLook w:val="04A0" w:firstRow="1" w:lastRow="0" w:firstColumn="1" w:lastColumn="0" w:noHBand="0" w:noVBand="1"/>
      </w:tblPr>
      <w:tblGrid>
        <w:gridCol w:w="1560"/>
        <w:gridCol w:w="1584"/>
        <w:gridCol w:w="2412"/>
        <w:gridCol w:w="2692"/>
        <w:gridCol w:w="1250"/>
      </w:tblGrid>
      <w:tr w:rsidR="00403D2E" w:rsidRPr="00357722" w14:paraId="071FB22D" w14:textId="77777777" w:rsidTr="00B31D4D">
        <w:trPr>
          <w:trHeight w:val="170"/>
        </w:trPr>
        <w:tc>
          <w:tcPr>
            <w:tcW w:w="821" w:type="pct"/>
            <w:tcBorders>
              <w:top w:val="single" w:sz="4" w:space="0" w:color="auto"/>
              <w:left w:val="nil"/>
              <w:bottom w:val="single" w:sz="4" w:space="0" w:color="auto"/>
              <w:right w:val="nil"/>
            </w:tcBorders>
            <w:shd w:val="clear" w:color="auto" w:fill="auto"/>
            <w:noWrap/>
            <w:vAlign w:val="bottom"/>
            <w:hideMark/>
          </w:tcPr>
          <w:p w14:paraId="5BACEE2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Variable</w:t>
            </w:r>
          </w:p>
        </w:tc>
        <w:tc>
          <w:tcPr>
            <w:tcW w:w="834" w:type="pct"/>
            <w:tcBorders>
              <w:top w:val="single" w:sz="4" w:space="0" w:color="auto"/>
              <w:left w:val="nil"/>
              <w:bottom w:val="single" w:sz="4" w:space="0" w:color="auto"/>
              <w:right w:val="nil"/>
            </w:tcBorders>
            <w:shd w:val="clear" w:color="auto" w:fill="auto"/>
            <w:noWrap/>
            <w:vAlign w:val="center"/>
            <w:hideMark/>
          </w:tcPr>
          <w:p w14:paraId="1439D85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w:t>
            </w:r>
          </w:p>
        </w:tc>
        <w:tc>
          <w:tcPr>
            <w:tcW w:w="1270" w:type="pct"/>
            <w:tcBorders>
              <w:top w:val="single" w:sz="4" w:space="0" w:color="auto"/>
              <w:left w:val="nil"/>
              <w:bottom w:val="single" w:sz="4" w:space="0" w:color="auto"/>
              <w:right w:val="nil"/>
            </w:tcBorders>
            <w:shd w:val="clear" w:color="auto" w:fill="auto"/>
            <w:noWrap/>
            <w:vAlign w:val="center"/>
            <w:hideMark/>
          </w:tcPr>
          <w:p w14:paraId="0A2DC61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(1)</w:t>
            </w:r>
          </w:p>
          <w:p w14:paraId="19145E0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MCGDP</w:t>
            </w:r>
          </w:p>
        </w:tc>
        <w:tc>
          <w:tcPr>
            <w:tcW w:w="1417" w:type="pct"/>
            <w:tcBorders>
              <w:top w:val="single" w:sz="4" w:space="0" w:color="auto"/>
              <w:left w:val="nil"/>
              <w:bottom w:val="single" w:sz="4" w:space="0" w:color="auto"/>
              <w:right w:val="nil"/>
            </w:tcBorders>
            <w:shd w:val="clear" w:color="auto" w:fill="auto"/>
            <w:noWrap/>
            <w:vAlign w:val="center"/>
            <w:hideMark/>
          </w:tcPr>
          <w:p w14:paraId="3D691DC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 xml:space="preserve">Model(2) </w:t>
            </w:r>
          </w:p>
          <w:p w14:paraId="04A8E55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PSCGDP</w:t>
            </w:r>
          </w:p>
        </w:tc>
        <w:tc>
          <w:tcPr>
            <w:tcW w:w="658" w:type="pct"/>
            <w:tcBorders>
              <w:top w:val="single" w:sz="4" w:space="0" w:color="auto"/>
              <w:left w:val="nil"/>
              <w:bottom w:val="single" w:sz="4" w:space="0" w:color="auto"/>
              <w:right w:val="nil"/>
            </w:tcBorders>
            <w:shd w:val="clear" w:color="auto" w:fill="auto"/>
            <w:noWrap/>
            <w:vAlign w:val="center"/>
            <w:hideMark/>
          </w:tcPr>
          <w:p w14:paraId="5E73FAD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(3)</w:t>
            </w:r>
          </w:p>
          <w:p w14:paraId="226B3D6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DCPGDP</w:t>
            </w:r>
          </w:p>
        </w:tc>
      </w:tr>
      <w:tr w:rsidR="00403D2E" w:rsidRPr="00357722" w14:paraId="7B291471" w14:textId="77777777" w:rsidTr="00B31D4D">
        <w:trPr>
          <w:trHeight w:val="170"/>
        </w:trPr>
        <w:tc>
          <w:tcPr>
            <w:tcW w:w="821" w:type="pct"/>
            <w:tcBorders>
              <w:top w:val="nil"/>
              <w:left w:val="nil"/>
              <w:bottom w:val="nil"/>
              <w:right w:val="nil"/>
            </w:tcBorders>
            <w:shd w:val="clear" w:color="auto" w:fill="auto"/>
            <w:noWrap/>
            <w:vAlign w:val="center"/>
            <w:hideMark/>
          </w:tcPr>
          <w:p w14:paraId="66031155"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IEPD</w:t>
            </w:r>
          </w:p>
        </w:tc>
        <w:tc>
          <w:tcPr>
            <w:tcW w:w="834" w:type="pct"/>
            <w:tcBorders>
              <w:top w:val="nil"/>
              <w:left w:val="nil"/>
              <w:bottom w:val="nil"/>
              <w:right w:val="nil"/>
            </w:tcBorders>
            <w:shd w:val="clear" w:color="auto" w:fill="auto"/>
            <w:noWrap/>
            <w:vAlign w:val="center"/>
          </w:tcPr>
          <w:p w14:paraId="1EBCD16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4CBB43D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0.993***</w:t>
            </w:r>
          </w:p>
        </w:tc>
        <w:tc>
          <w:tcPr>
            <w:tcW w:w="1417" w:type="pct"/>
            <w:tcBorders>
              <w:top w:val="nil"/>
              <w:left w:val="nil"/>
              <w:bottom w:val="nil"/>
              <w:right w:val="nil"/>
            </w:tcBorders>
            <w:shd w:val="clear" w:color="auto" w:fill="auto"/>
            <w:noWrap/>
            <w:vAlign w:val="center"/>
          </w:tcPr>
          <w:p w14:paraId="4726C255"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0.548***</w:t>
            </w:r>
          </w:p>
        </w:tc>
        <w:tc>
          <w:tcPr>
            <w:tcW w:w="658" w:type="pct"/>
            <w:tcBorders>
              <w:top w:val="nil"/>
              <w:left w:val="nil"/>
              <w:bottom w:val="nil"/>
              <w:right w:val="nil"/>
            </w:tcBorders>
            <w:shd w:val="clear" w:color="auto" w:fill="auto"/>
            <w:noWrap/>
            <w:vAlign w:val="center"/>
          </w:tcPr>
          <w:p w14:paraId="34FA234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0.518***</w:t>
            </w:r>
          </w:p>
        </w:tc>
      </w:tr>
      <w:tr w:rsidR="00403D2E" w:rsidRPr="00357722" w14:paraId="72B90100" w14:textId="77777777" w:rsidTr="00B31D4D">
        <w:trPr>
          <w:trHeight w:val="170"/>
        </w:trPr>
        <w:tc>
          <w:tcPr>
            <w:tcW w:w="821" w:type="pct"/>
            <w:tcBorders>
              <w:top w:val="nil"/>
              <w:left w:val="nil"/>
              <w:bottom w:val="nil"/>
              <w:right w:val="nil"/>
            </w:tcBorders>
            <w:shd w:val="clear" w:color="auto" w:fill="auto"/>
            <w:noWrap/>
            <w:vAlign w:val="bottom"/>
            <w:hideMark/>
          </w:tcPr>
          <w:p w14:paraId="72021A3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55B5018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1C098060"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(8.49)</w:t>
            </w:r>
          </w:p>
        </w:tc>
        <w:tc>
          <w:tcPr>
            <w:tcW w:w="1417" w:type="pct"/>
            <w:tcBorders>
              <w:top w:val="nil"/>
              <w:left w:val="nil"/>
              <w:bottom w:val="nil"/>
              <w:right w:val="nil"/>
            </w:tcBorders>
            <w:shd w:val="clear" w:color="auto" w:fill="auto"/>
            <w:noWrap/>
            <w:vAlign w:val="center"/>
          </w:tcPr>
          <w:p w14:paraId="338EA9E8"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(8.34)</w:t>
            </w:r>
          </w:p>
        </w:tc>
        <w:tc>
          <w:tcPr>
            <w:tcW w:w="658" w:type="pct"/>
            <w:tcBorders>
              <w:top w:val="nil"/>
              <w:left w:val="nil"/>
              <w:bottom w:val="nil"/>
              <w:right w:val="nil"/>
            </w:tcBorders>
            <w:shd w:val="clear" w:color="auto" w:fill="auto"/>
            <w:noWrap/>
            <w:vAlign w:val="center"/>
          </w:tcPr>
          <w:p w14:paraId="03190A9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(7.27)</w:t>
            </w:r>
          </w:p>
        </w:tc>
      </w:tr>
      <w:tr w:rsidR="00403D2E" w:rsidRPr="00357722" w14:paraId="1E75D28B" w14:textId="77777777" w:rsidTr="00B31D4D">
        <w:trPr>
          <w:trHeight w:val="170"/>
        </w:trPr>
        <w:tc>
          <w:tcPr>
            <w:tcW w:w="821" w:type="pct"/>
            <w:tcBorders>
              <w:top w:val="nil"/>
              <w:left w:val="nil"/>
              <w:bottom w:val="nil"/>
              <w:right w:val="nil"/>
            </w:tcBorders>
            <w:shd w:val="clear" w:color="auto" w:fill="auto"/>
            <w:noWrap/>
            <w:vAlign w:val="center"/>
            <w:hideMark/>
          </w:tcPr>
          <w:p w14:paraId="3E684048"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lang w:val="en-US"/>
              </w:rPr>
              <w:t>CBT</w:t>
            </w:r>
          </w:p>
        </w:tc>
        <w:tc>
          <w:tcPr>
            <w:tcW w:w="834" w:type="pct"/>
            <w:tcBorders>
              <w:top w:val="nil"/>
              <w:left w:val="nil"/>
              <w:bottom w:val="nil"/>
              <w:right w:val="nil"/>
            </w:tcBorders>
            <w:shd w:val="clear" w:color="auto" w:fill="auto"/>
            <w:noWrap/>
            <w:vAlign w:val="center"/>
          </w:tcPr>
          <w:p w14:paraId="4076EE7C" w14:textId="77777777" w:rsidR="00403D2E" w:rsidRPr="00357722" w:rsidRDefault="00403D2E" w:rsidP="00136C48">
            <w:pPr>
              <w:spacing w:after="0" w:line="360" w:lineRule="auto"/>
              <w:jc w:val="both"/>
              <w:rPr>
                <w:rFonts w:ascii="Times New Roman" w:eastAsia="Times New Roman" w:hAnsi="Times New Roman" w:cs="Times New Roman"/>
                <w:sz w:val="16"/>
                <w:szCs w:val="16"/>
              </w:rPr>
            </w:pPr>
          </w:p>
        </w:tc>
        <w:tc>
          <w:tcPr>
            <w:tcW w:w="1270" w:type="pct"/>
            <w:tcBorders>
              <w:top w:val="nil"/>
              <w:left w:val="nil"/>
              <w:bottom w:val="nil"/>
              <w:right w:val="nil"/>
            </w:tcBorders>
            <w:shd w:val="clear" w:color="auto" w:fill="auto"/>
            <w:noWrap/>
            <w:vAlign w:val="center"/>
          </w:tcPr>
          <w:p w14:paraId="2DA7ED3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0.333***</w:t>
            </w:r>
          </w:p>
        </w:tc>
        <w:tc>
          <w:tcPr>
            <w:tcW w:w="1417" w:type="pct"/>
            <w:tcBorders>
              <w:top w:val="nil"/>
              <w:left w:val="nil"/>
              <w:bottom w:val="nil"/>
              <w:right w:val="nil"/>
            </w:tcBorders>
            <w:shd w:val="clear" w:color="auto" w:fill="auto"/>
            <w:noWrap/>
            <w:vAlign w:val="center"/>
          </w:tcPr>
          <w:p w14:paraId="1E43BBC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0.159***</w:t>
            </w:r>
          </w:p>
        </w:tc>
        <w:tc>
          <w:tcPr>
            <w:tcW w:w="658" w:type="pct"/>
            <w:tcBorders>
              <w:top w:val="nil"/>
              <w:left w:val="nil"/>
              <w:bottom w:val="nil"/>
              <w:right w:val="nil"/>
            </w:tcBorders>
            <w:shd w:val="clear" w:color="auto" w:fill="auto"/>
            <w:noWrap/>
            <w:vAlign w:val="center"/>
          </w:tcPr>
          <w:p w14:paraId="2787C3F8"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0.150***</w:t>
            </w:r>
          </w:p>
        </w:tc>
      </w:tr>
      <w:tr w:rsidR="00403D2E" w:rsidRPr="00357722" w14:paraId="404E8849" w14:textId="77777777" w:rsidTr="00B31D4D">
        <w:trPr>
          <w:trHeight w:val="170"/>
        </w:trPr>
        <w:tc>
          <w:tcPr>
            <w:tcW w:w="821" w:type="pct"/>
            <w:tcBorders>
              <w:top w:val="nil"/>
              <w:left w:val="nil"/>
              <w:bottom w:val="nil"/>
              <w:right w:val="nil"/>
            </w:tcBorders>
            <w:shd w:val="clear" w:color="auto" w:fill="auto"/>
            <w:noWrap/>
            <w:hideMark/>
          </w:tcPr>
          <w:p w14:paraId="291AE2F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078291C7" w14:textId="77777777" w:rsidR="00403D2E" w:rsidRPr="00357722" w:rsidRDefault="00403D2E" w:rsidP="00136C48">
            <w:pPr>
              <w:spacing w:after="0" w:line="360" w:lineRule="auto"/>
              <w:jc w:val="both"/>
              <w:rPr>
                <w:rFonts w:ascii="Times New Roman" w:eastAsia="Times New Roman" w:hAnsi="Times New Roman" w:cs="Times New Roman"/>
                <w:sz w:val="16"/>
                <w:szCs w:val="16"/>
              </w:rPr>
            </w:pPr>
          </w:p>
        </w:tc>
        <w:tc>
          <w:tcPr>
            <w:tcW w:w="1270" w:type="pct"/>
            <w:tcBorders>
              <w:top w:val="nil"/>
              <w:left w:val="nil"/>
              <w:bottom w:val="nil"/>
              <w:right w:val="nil"/>
            </w:tcBorders>
            <w:shd w:val="clear" w:color="auto" w:fill="auto"/>
            <w:noWrap/>
            <w:vAlign w:val="center"/>
          </w:tcPr>
          <w:p w14:paraId="371F238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(5.45)</w:t>
            </w:r>
          </w:p>
        </w:tc>
        <w:tc>
          <w:tcPr>
            <w:tcW w:w="1417" w:type="pct"/>
            <w:tcBorders>
              <w:top w:val="nil"/>
              <w:left w:val="nil"/>
              <w:bottom w:val="nil"/>
              <w:right w:val="nil"/>
            </w:tcBorders>
            <w:shd w:val="clear" w:color="auto" w:fill="auto"/>
            <w:noWrap/>
            <w:vAlign w:val="center"/>
          </w:tcPr>
          <w:p w14:paraId="40A3FB7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(4.91)</w:t>
            </w:r>
          </w:p>
        </w:tc>
        <w:tc>
          <w:tcPr>
            <w:tcW w:w="658" w:type="pct"/>
            <w:tcBorders>
              <w:top w:val="nil"/>
              <w:left w:val="nil"/>
              <w:bottom w:val="nil"/>
              <w:right w:val="nil"/>
            </w:tcBorders>
            <w:shd w:val="clear" w:color="auto" w:fill="auto"/>
            <w:noWrap/>
            <w:vAlign w:val="center"/>
          </w:tcPr>
          <w:p w14:paraId="6DF3E2B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(4.44)</w:t>
            </w:r>
          </w:p>
        </w:tc>
      </w:tr>
      <w:tr w:rsidR="00403D2E" w:rsidRPr="00357722" w14:paraId="05179F4F" w14:textId="77777777" w:rsidTr="00B31D4D">
        <w:trPr>
          <w:trHeight w:val="170"/>
        </w:trPr>
        <w:tc>
          <w:tcPr>
            <w:tcW w:w="821" w:type="pct"/>
            <w:tcBorders>
              <w:top w:val="nil"/>
              <w:left w:val="nil"/>
              <w:bottom w:val="nil"/>
              <w:right w:val="nil"/>
            </w:tcBorders>
            <w:shd w:val="clear" w:color="auto" w:fill="auto"/>
            <w:noWrap/>
            <w:vAlign w:val="center"/>
            <w:hideMark/>
          </w:tcPr>
          <w:p w14:paraId="1FCF3CB3"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lang w:val="en-US"/>
              </w:rPr>
              <w:t xml:space="preserve">IEPD </w:t>
            </w:r>
            <w:r w:rsidRPr="00357722">
              <w:rPr>
                <w:rFonts w:ascii="Times New Roman" w:eastAsia="Times New Roman" w:hAnsi="Times New Roman" w:cs="Times New Roman"/>
                <w:color w:val="000000"/>
                <w:sz w:val="16"/>
                <w:szCs w:val="16"/>
                <w:lang w:val="en-US"/>
              </w:rPr>
              <w:t>x</w:t>
            </w:r>
            <w:r w:rsidRPr="00357722">
              <w:rPr>
                <w:rFonts w:ascii="Times New Roman" w:eastAsia="Times New Roman" w:hAnsi="Times New Roman" w:cs="Times New Roman"/>
                <w:iCs/>
                <w:color w:val="000000"/>
                <w:sz w:val="16"/>
                <w:szCs w:val="16"/>
                <w:lang w:val="en-US"/>
              </w:rPr>
              <w:t xml:space="preserve"> CBT</w:t>
            </w:r>
          </w:p>
        </w:tc>
        <w:tc>
          <w:tcPr>
            <w:tcW w:w="834" w:type="pct"/>
            <w:tcBorders>
              <w:top w:val="nil"/>
              <w:left w:val="nil"/>
              <w:bottom w:val="nil"/>
              <w:right w:val="nil"/>
            </w:tcBorders>
            <w:shd w:val="clear" w:color="auto" w:fill="auto"/>
            <w:noWrap/>
            <w:vAlign w:val="center"/>
          </w:tcPr>
          <w:p w14:paraId="6C58733F" w14:textId="77777777" w:rsidR="00403D2E" w:rsidRPr="00357722" w:rsidRDefault="00403D2E" w:rsidP="00136C48">
            <w:pPr>
              <w:spacing w:after="0" w:line="360" w:lineRule="auto"/>
              <w:jc w:val="both"/>
              <w:rPr>
                <w:rFonts w:ascii="Times New Roman" w:eastAsia="Times New Roman" w:hAnsi="Times New Roman" w:cs="Times New Roman"/>
                <w:sz w:val="16"/>
                <w:szCs w:val="16"/>
              </w:rPr>
            </w:pPr>
          </w:p>
        </w:tc>
        <w:tc>
          <w:tcPr>
            <w:tcW w:w="1270" w:type="pct"/>
            <w:tcBorders>
              <w:top w:val="nil"/>
              <w:left w:val="nil"/>
              <w:bottom w:val="nil"/>
              <w:right w:val="nil"/>
            </w:tcBorders>
            <w:shd w:val="clear" w:color="auto" w:fill="auto"/>
            <w:noWrap/>
            <w:vAlign w:val="center"/>
          </w:tcPr>
          <w:p w14:paraId="184A1806"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0.074***</w:t>
            </w:r>
          </w:p>
        </w:tc>
        <w:tc>
          <w:tcPr>
            <w:tcW w:w="1417" w:type="pct"/>
            <w:tcBorders>
              <w:top w:val="nil"/>
              <w:left w:val="nil"/>
              <w:bottom w:val="nil"/>
              <w:right w:val="nil"/>
            </w:tcBorders>
            <w:shd w:val="clear" w:color="auto" w:fill="auto"/>
            <w:noWrap/>
            <w:vAlign w:val="center"/>
          </w:tcPr>
          <w:p w14:paraId="6D88537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0.040***</w:t>
            </w:r>
          </w:p>
        </w:tc>
        <w:tc>
          <w:tcPr>
            <w:tcW w:w="658" w:type="pct"/>
            <w:tcBorders>
              <w:top w:val="nil"/>
              <w:left w:val="nil"/>
              <w:bottom w:val="nil"/>
              <w:right w:val="nil"/>
            </w:tcBorders>
            <w:shd w:val="clear" w:color="auto" w:fill="auto"/>
            <w:noWrap/>
            <w:vAlign w:val="center"/>
          </w:tcPr>
          <w:p w14:paraId="21F6689A"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0.038***</w:t>
            </w:r>
          </w:p>
        </w:tc>
      </w:tr>
      <w:tr w:rsidR="00403D2E" w:rsidRPr="00357722" w14:paraId="533F3ABD" w14:textId="77777777" w:rsidTr="00B31D4D">
        <w:trPr>
          <w:trHeight w:val="170"/>
        </w:trPr>
        <w:tc>
          <w:tcPr>
            <w:tcW w:w="821" w:type="pct"/>
            <w:tcBorders>
              <w:top w:val="nil"/>
              <w:left w:val="nil"/>
              <w:bottom w:val="nil"/>
              <w:right w:val="nil"/>
            </w:tcBorders>
            <w:shd w:val="clear" w:color="auto" w:fill="auto"/>
            <w:noWrap/>
            <w:vAlign w:val="bottom"/>
            <w:hideMark/>
          </w:tcPr>
          <w:p w14:paraId="7647587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2A1A957E" w14:textId="77777777" w:rsidR="00403D2E" w:rsidRPr="00357722" w:rsidRDefault="00403D2E" w:rsidP="00136C48">
            <w:pPr>
              <w:spacing w:after="0" w:line="360" w:lineRule="auto"/>
              <w:jc w:val="both"/>
              <w:rPr>
                <w:rFonts w:ascii="Times New Roman" w:eastAsia="Times New Roman" w:hAnsi="Times New Roman" w:cs="Times New Roman"/>
                <w:sz w:val="16"/>
                <w:szCs w:val="16"/>
              </w:rPr>
            </w:pPr>
          </w:p>
        </w:tc>
        <w:tc>
          <w:tcPr>
            <w:tcW w:w="1270" w:type="pct"/>
            <w:tcBorders>
              <w:top w:val="nil"/>
              <w:left w:val="nil"/>
              <w:bottom w:val="nil"/>
              <w:right w:val="nil"/>
            </w:tcBorders>
            <w:shd w:val="clear" w:color="auto" w:fill="auto"/>
            <w:noWrap/>
            <w:vAlign w:val="center"/>
          </w:tcPr>
          <w:p w14:paraId="58E5D3C5"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(5.12)</w:t>
            </w:r>
          </w:p>
        </w:tc>
        <w:tc>
          <w:tcPr>
            <w:tcW w:w="1417" w:type="pct"/>
            <w:tcBorders>
              <w:top w:val="nil"/>
              <w:left w:val="nil"/>
              <w:bottom w:val="nil"/>
              <w:right w:val="nil"/>
            </w:tcBorders>
            <w:shd w:val="clear" w:color="auto" w:fill="auto"/>
            <w:noWrap/>
            <w:vAlign w:val="center"/>
          </w:tcPr>
          <w:p w14:paraId="03FA13F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(5.00)</w:t>
            </w:r>
          </w:p>
        </w:tc>
        <w:tc>
          <w:tcPr>
            <w:tcW w:w="658" w:type="pct"/>
            <w:tcBorders>
              <w:top w:val="nil"/>
              <w:left w:val="nil"/>
              <w:bottom w:val="nil"/>
              <w:right w:val="nil"/>
            </w:tcBorders>
            <w:shd w:val="clear" w:color="auto" w:fill="auto"/>
            <w:noWrap/>
            <w:vAlign w:val="center"/>
          </w:tcPr>
          <w:p w14:paraId="2BDCDE0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(4.54)</w:t>
            </w:r>
          </w:p>
        </w:tc>
      </w:tr>
      <w:tr w:rsidR="00403D2E" w:rsidRPr="00357722" w14:paraId="6F87054F" w14:textId="77777777" w:rsidTr="00B31D4D">
        <w:trPr>
          <w:trHeight w:val="170"/>
        </w:trPr>
        <w:tc>
          <w:tcPr>
            <w:tcW w:w="821" w:type="pct"/>
            <w:tcBorders>
              <w:top w:val="nil"/>
              <w:left w:val="nil"/>
              <w:bottom w:val="nil"/>
              <w:right w:val="nil"/>
            </w:tcBorders>
            <w:shd w:val="clear" w:color="auto" w:fill="auto"/>
            <w:noWrap/>
            <w:vAlign w:val="center"/>
            <w:hideMark/>
          </w:tcPr>
          <w:p w14:paraId="3BBD5055" w14:textId="08EFFA13" w:rsidR="00403D2E" w:rsidRPr="00357722" w:rsidRDefault="008857A2"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FSDGDP</w:t>
            </w:r>
          </w:p>
        </w:tc>
        <w:tc>
          <w:tcPr>
            <w:tcW w:w="834" w:type="pct"/>
            <w:tcBorders>
              <w:top w:val="nil"/>
              <w:left w:val="nil"/>
              <w:bottom w:val="nil"/>
              <w:right w:val="nil"/>
            </w:tcBorders>
            <w:shd w:val="clear" w:color="auto" w:fill="auto"/>
            <w:noWrap/>
            <w:vAlign w:val="center"/>
          </w:tcPr>
          <w:p w14:paraId="68BFA76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1B85915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0.004</w:t>
            </w:r>
          </w:p>
        </w:tc>
        <w:tc>
          <w:tcPr>
            <w:tcW w:w="1417" w:type="pct"/>
            <w:tcBorders>
              <w:top w:val="nil"/>
              <w:left w:val="nil"/>
              <w:bottom w:val="nil"/>
              <w:right w:val="nil"/>
            </w:tcBorders>
            <w:shd w:val="clear" w:color="auto" w:fill="auto"/>
            <w:noWrap/>
            <w:vAlign w:val="center"/>
          </w:tcPr>
          <w:p w14:paraId="6E26045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0.007***</w:t>
            </w:r>
          </w:p>
        </w:tc>
        <w:tc>
          <w:tcPr>
            <w:tcW w:w="658" w:type="pct"/>
            <w:tcBorders>
              <w:top w:val="nil"/>
              <w:left w:val="nil"/>
              <w:bottom w:val="nil"/>
              <w:right w:val="nil"/>
            </w:tcBorders>
            <w:shd w:val="clear" w:color="auto" w:fill="auto"/>
            <w:noWrap/>
            <w:vAlign w:val="center"/>
          </w:tcPr>
          <w:p w14:paraId="43820F05"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0.006***</w:t>
            </w:r>
          </w:p>
        </w:tc>
      </w:tr>
      <w:tr w:rsidR="00403D2E" w:rsidRPr="00357722" w14:paraId="1FA23584" w14:textId="77777777" w:rsidTr="00B31D4D">
        <w:trPr>
          <w:trHeight w:val="170"/>
        </w:trPr>
        <w:tc>
          <w:tcPr>
            <w:tcW w:w="821" w:type="pct"/>
            <w:tcBorders>
              <w:top w:val="nil"/>
              <w:left w:val="nil"/>
              <w:bottom w:val="nil"/>
              <w:right w:val="nil"/>
            </w:tcBorders>
            <w:shd w:val="clear" w:color="auto" w:fill="auto"/>
            <w:noWrap/>
            <w:vAlign w:val="bottom"/>
            <w:hideMark/>
          </w:tcPr>
          <w:p w14:paraId="29E3A76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1D98FB7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10F50703"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(1.65)</w:t>
            </w:r>
          </w:p>
        </w:tc>
        <w:tc>
          <w:tcPr>
            <w:tcW w:w="1417" w:type="pct"/>
            <w:tcBorders>
              <w:top w:val="nil"/>
              <w:left w:val="nil"/>
              <w:bottom w:val="nil"/>
              <w:right w:val="nil"/>
            </w:tcBorders>
            <w:shd w:val="clear" w:color="auto" w:fill="auto"/>
            <w:noWrap/>
            <w:vAlign w:val="center"/>
          </w:tcPr>
          <w:p w14:paraId="231AC9B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(5.99)</w:t>
            </w:r>
          </w:p>
        </w:tc>
        <w:tc>
          <w:tcPr>
            <w:tcW w:w="658" w:type="pct"/>
            <w:tcBorders>
              <w:top w:val="nil"/>
              <w:left w:val="nil"/>
              <w:bottom w:val="nil"/>
              <w:right w:val="nil"/>
            </w:tcBorders>
            <w:shd w:val="clear" w:color="auto" w:fill="auto"/>
            <w:noWrap/>
            <w:vAlign w:val="center"/>
          </w:tcPr>
          <w:p w14:paraId="55B86FB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(4.43)</w:t>
            </w:r>
          </w:p>
        </w:tc>
      </w:tr>
      <w:tr w:rsidR="00403D2E" w:rsidRPr="00357722" w14:paraId="76E8D383" w14:textId="77777777" w:rsidTr="00B31D4D">
        <w:trPr>
          <w:trHeight w:val="170"/>
        </w:trPr>
        <w:tc>
          <w:tcPr>
            <w:tcW w:w="821" w:type="pct"/>
            <w:tcBorders>
              <w:top w:val="nil"/>
              <w:left w:val="nil"/>
              <w:bottom w:val="nil"/>
              <w:right w:val="nil"/>
            </w:tcBorders>
            <w:shd w:val="clear" w:color="auto" w:fill="auto"/>
            <w:noWrap/>
            <w:vAlign w:val="center"/>
            <w:hideMark/>
          </w:tcPr>
          <w:p w14:paraId="2CEBDCB9"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FINOPEN</w:t>
            </w:r>
          </w:p>
        </w:tc>
        <w:tc>
          <w:tcPr>
            <w:tcW w:w="834" w:type="pct"/>
            <w:tcBorders>
              <w:top w:val="nil"/>
              <w:left w:val="nil"/>
              <w:bottom w:val="nil"/>
              <w:right w:val="nil"/>
            </w:tcBorders>
            <w:shd w:val="clear" w:color="auto" w:fill="auto"/>
            <w:noWrap/>
            <w:vAlign w:val="center"/>
          </w:tcPr>
          <w:p w14:paraId="6F7F81E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09A6FC1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0.087**</w:t>
            </w:r>
          </w:p>
        </w:tc>
        <w:tc>
          <w:tcPr>
            <w:tcW w:w="1417" w:type="pct"/>
            <w:tcBorders>
              <w:top w:val="nil"/>
              <w:left w:val="nil"/>
              <w:bottom w:val="nil"/>
              <w:right w:val="nil"/>
            </w:tcBorders>
            <w:shd w:val="clear" w:color="auto" w:fill="auto"/>
            <w:noWrap/>
            <w:vAlign w:val="center"/>
          </w:tcPr>
          <w:p w14:paraId="6622E12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0.085***</w:t>
            </w:r>
          </w:p>
        </w:tc>
        <w:tc>
          <w:tcPr>
            <w:tcW w:w="658" w:type="pct"/>
            <w:tcBorders>
              <w:top w:val="nil"/>
              <w:left w:val="nil"/>
              <w:bottom w:val="nil"/>
              <w:right w:val="nil"/>
            </w:tcBorders>
            <w:shd w:val="clear" w:color="auto" w:fill="auto"/>
            <w:noWrap/>
            <w:vAlign w:val="center"/>
          </w:tcPr>
          <w:p w14:paraId="6323FE8A"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0.067***</w:t>
            </w:r>
          </w:p>
        </w:tc>
      </w:tr>
      <w:tr w:rsidR="00403D2E" w:rsidRPr="00357722" w14:paraId="4ED5B4A5" w14:textId="77777777" w:rsidTr="00B31D4D">
        <w:trPr>
          <w:trHeight w:val="170"/>
        </w:trPr>
        <w:tc>
          <w:tcPr>
            <w:tcW w:w="821" w:type="pct"/>
            <w:tcBorders>
              <w:top w:val="nil"/>
              <w:left w:val="nil"/>
              <w:bottom w:val="nil"/>
              <w:right w:val="nil"/>
            </w:tcBorders>
            <w:shd w:val="clear" w:color="auto" w:fill="auto"/>
            <w:noWrap/>
            <w:vAlign w:val="bottom"/>
            <w:hideMark/>
          </w:tcPr>
          <w:p w14:paraId="5D07518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7CD0B64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6DEDF877"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(1.98)</w:t>
            </w:r>
          </w:p>
        </w:tc>
        <w:tc>
          <w:tcPr>
            <w:tcW w:w="1417" w:type="pct"/>
            <w:tcBorders>
              <w:top w:val="nil"/>
              <w:left w:val="nil"/>
              <w:bottom w:val="nil"/>
              <w:right w:val="nil"/>
            </w:tcBorders>
            <w:shd w:val="clear" w:color="auto" w:fill="auto"/>
            <w:noWrap/>
            <w:vAlign w:val="center"/>
          </w:tcPr>
          <w:p w14:paraId="5D61E770"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(3.98)</w:t>
            </w:r>
          </w:p>
        </w:tc>
        <w:tc>
          <w:tcPr>
            <w:tcW w:w="658" w:type="pct"/>
            <w:tcBorders>
              <w:top w:val="nil"/>
              <w:left w:val="nil"/>
              <w:bottom w:val="nil"/>
              <w:right w:val="nil"/>
            </w:tcBorders>
            <w:shd w:val="clear" w:color="auto" w:fill="auto"/>
            <w:noWrap/>
            <w:vAlign w:val="center"/>
          </w:tcPr>
          <w:p w14:paraId="0FF8976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(2.93)</w:t>
            </w:r>
          </w:p>
        </w:tc>
      </w:tr>
      <w:tr w:rsidR="00403D2E" w:rsidRPr="00357722" w14:paraId="770814A0" w14:textId="77777777" w:rsidTr="00B31D4D">
        <w:trPr>
          <w:trHeight w:val="170"/>
        </w:trPr>
        <w:tc>
          <w:tcPr>
            <w:tcW w:w="821" w:type="pct"/>
            <w:tcBorders>
              <w:top w:val="nil"/>
              <w:left w:val="nil"/>
              <w:bottom w:val="nil"/>
              <w:right w:val="nil"/>
            </w:tcBorders>
            <w:shd w:val="clear" w:color="auto" w:fill="auto"/>
            <w:noWrap/>
            <w:vAlign w:val="center"/>
            <w:hideMark/>
          </w:tcPr>
          <w:p w14:paraId="777FF06F"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LAWNO</w:t>
            </w:r>
          </w:p>
        </w:tc>
        <w:tc>
          <w:tcPr>
            <w:tcW w:w="834" w:type="pct"/>
            <w:tcBorders>
              <w:top w:val="nil"/>
              <w:left w:val="nil"/>
              <w:bottom w:val="nil"/>
              <w:right w:val="nil"/>
            </w:tcBorders>
            <w:shd w:val="clear" w:color="auto" w:fill="auto"/>
            <w:noWrap/>
            <w:vAlign w:val="center"/>
          </w:tcPr>
          <w:p w14:paraId="0237D20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3280379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0.109**</w:t>
            </w:r>
          </w:p>
        </w:tc>
        <w:tc>
          <w:tcPr>
            <w:tcW w:w="1417" w:type="pct"/>
            <w:tcBorders>
              <w:top w:val="nil"/>
              <w:left w:val="nil"/>
              <w:bottom w:val="nil"/>
              <w:right w:val="nil"/>
            </w:tcBorders>
            <w:shd w:val="clear" w:color="auto" w:fill="auto"/>
            <w:noWrap/>
            <w:vAlign w:val="center"/>
          </w:tcPr>
          <w:p w14:paraId="7BE29EA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0.010</w:t>
            </w:r>
          </w:p>
        </w:tc>
        <w:tc>
          <w:tcPr>
            <w:tcW w:w="658" w:type="pct"/>
            <w:tcBorders>
              <w:top w:val="nil"/>
              <w:left w:val="nil"/>
              <w:bottom w:val="nil"/>
              <w:right w:val="nil"/>
            </w:tcBorders>
            <w:shd w:val="clear" w:color="auto" w:fill="auto"/>
            <w:noWrap/>
            <w:vAlign w:val="center"/>
          </w:tcPr>
          <w:p w14:paraId="3FECB5D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0.025</w:t>
            </w:r>
          </w:p>
        </w:tc>
      </w:tr>
      <w:tr w:rsidR="00403D2E" w:rsidRPr="00357722" w14:paraId="422D684C" w14:textId="77777777" w:rsidTr="00B31D4D">
        <w:trPr>
          <w:trHeight w:val="170"/>
        </w:trPr>
        <w:tc>
          <w:tcPr>
            <w:tcW w:w="821" w:type="pct"/>
            <w:tcBorders>
              <w:top w:val="nil"/>
              <w:left w:val="nil"/>
              <w:bottom w:val="nil"/>
              <w:right w:val="nil"/>
            </w:tcBorders>
            <w:shd w:val="clear" w:color="auto" w:fill="auto"/>
            <w:noWrap/>
            <w:vAlign w:val="bottom"/>
            <w:hideMark/>
          </w:tcPr>
          <w:p w14:paraId="0C0C281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496A34B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0A76670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(2.00)</w:t>
            </w:r>
          </w:p>
        </w:tc>
        <w:tc>
          <w:tcPr>
            <w:tcW w:w="1417" w:type="pct"/>
            <w:tcBorders>
              <w:top w:val="nil"/>
              <w:left w:val="nil"/>
              <w:bottom w:val="nil"/>
              <w:right w:val="nil"/>
            </w:tcBorders>
            <w:shd w:val="clear" w:color="auto" w:fill="auto"/>
            <w:noWrap/>
            <w:vAlign w:val="center"/>
          </w:tcPr>
          <w:p w14:paraId="7B5BDAC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(0.42)</w:t>
            </w:r>
          </w:p>
        </w:tc>
        <w:tc>
          <w:tcPr>
            <w:tcW w:w="658" w:type="pct"/>
            <w:tcBorders>
              <w:top w:val="nil"/>
              <w:left w:val="nil"/>
              <w:bottom w:val="nil"/>
              <w:right w:val="nil"/>
            </w:tcBorders>
            <w:shd w:val="clear" w:color="auto" w:fill="auto"/>
            <w:noWrap/>
            <w:vAlign w:val="center"/>
          </w:tcPr>
          <w:p w14:paraId="0DE5C118"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(1.00)</w:t>
            </w:r>
          </w:p>
        </w:tc>
      </w:tr>
      <w:tr w:rsidR="00403D2E" w:rsidRPr="00357722" w14:paraId="41BECC25" w14:textId="77777777" w:rsidTr="00B31D4D">
        <w:trPr>
          <w:trHeight w:val="170"/>
        </w:trPr>
        <w:tc>
          <w:tcPr>
            <w:tcW w:w="821" w:type="pct"/>
            <w:tcBorders>
              <w:top w:val="nil"/>
              <w:left w:val="nil"/>
              <w:bottom w:val="nil"/>
              <w:right w:val="nil"/>
            </w:tcBorders>
            <w:shd w:val="clear" w:color="auto" w:fill="auto"/>
            <w:noWrap/>
            <w:vAlign w:val="center"/>
            <w:hideMark/>
          </w:tcPr>
          <w:p w14:paraId="6306F663"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POPG</w:t>
            </w:r>
          </w:p>
        </w:tc>
        <w:tc>
          <w:tcPr>
            <w:tcW w:w="834" w:type="pct"/>
            <w:tcBorders>
              <w:top w:val="nil"/>
              <w:left w:val="nil"/>
              <w:bottom w:val="nil"/>
              <w:right w:val="nil"/>
            </w:tcBorders>
            <w:shd w:val="clear" w:color="auto" w:fill="auto"/>
            <w:noWrap/>
            <w:vAlign w:val="center"/>
          </w:tcPr>
          <w:p w14:paraId="1D27187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7FE1972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0.109**</w:t>
            </w:r>
          </w:p>
        </w:tc>
        <w:tc>
          <w:tcPr>
            <w:tcW w:w="1417" w:type="pct"/>
            <w:tcBorders>
              <w:top w:val="nil"/>
              <w:left w:val="nil"/>
              <w:bottom w:val="nil"/>
              <w:right w:val="nil"/>
            </w:tcBorders>
            <w:shd w:val="clear" w:color="auto" w:fill="auto"/>
            <w:noWrap/>
            <w:vAlign w:val="center"/>
          </w:tcPr>
          <w:p w14:paraId="0C703618"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0.103***</w:t>
            </w:r>
          </w:p>
        </w:tc>
        <w:tc>
          <w:tcPr>
            <w:tcW w:w="658" w:type="pct"/>
            <w:tcBorders>
              <w:top w:val="nil"/>
              <w:left w:val="nil"/>
              <w:bottom w:val="nil"/>
              <w:right w:val="nil"/>
            </w:tcBorders>
            <w:shd w:val="clear" w:color="auto" w:fill="auto"/>
            <w:noWrap/>
            <w:vAlign w:val="center"/>
          </w:tcPr>
          <w:p w14:paraId="47D7ED7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0.097***</w:t>
            </w:r>
          </w:p>
        </w:tc>
      </w:tr>
      <w:tr w:rsidR="00403D2E" w:rsidRPr="00357722" w14:paraId="619D8A1F" w14:textId="77777777" w:rsidTr="00B31D4D">
        <w:trPr>
          <w:trHeight w:val="170"/>
        </w:trPr>
        <w:tc>
          <w:tcPr>
            <w:tcW w:w="821" w:type="pct"/>
            <w:tcBorders>
              <w:top w:val="nil"/>
              <w:left w:val="nil"/>
              <w:bottom w:val="nil"/>
              <w:right w:val="nil"/>
            </w:tcBorders>
            <w:shd w:val="clear" w:color="auto" w:fill="auto"/>
            <w:noWrap/>
            <w:vAlign w:val="bottom"/>
            <w:hideMark/>
          </w:tcPr>
          <w:p w14:paraId="4FAA8B5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5CAFA77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59B9A3C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(2.14)</w:t>
            </w:r>
          </w:p>
        </w:tc>
        <w:tc>
          <w:tcPr>
            <w:tcW w:w="1417" w:type="pct"/>
            <w:tcBorders>
              <w:top w:val="nil"/>
              <w:left w:val="nil"/>
              <w:bottom w:val="nil"/>
              <w:right w:val="nil"/>
            </w:tcBorders>
            <w:shd w:val="clear" w:color="auto" w:fill="auto"/>
            <w:noWrap/>
            <w:vAlign w:val="center"/>
          </w:tcPr>
          <w:p w14:paraId="41CBFD2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(4.06)</w:t>
            </w:r>
          </w:p>
        </w:tc>
        <w:tc>
          <w:tcPr>
            <w:tcW w:w="658" w:type="pct"/>
            <w:tcBorders>
              <w:top w:val="nil"/>
              <w:left w:val="nil"/>
              <w:bottom w:val="nil"/>
              <w:right w:val="nil"/>
            </w:tcBorders>
            <w:shd w:val="clear" w:color="auto" w:fill="auto"/>
            <w:noWrap/>
            <w:vAlign w:val="center"/>
          </w:tcPr>
          <w:p w14:paraId="49BC8DE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(3.71)</w:t>
            </w:r>
          </w:p>
        </w:tc>
      </w:tr>
      <w:tr w:rsidR="00403D2E" w:rsidRPr="00357722" w14:paraId="278C7592" w14:textId="77777777" w:rsidTr="00B31D4D">
        <w:trPr>
          <w:trHeight w:val="170"/>
        </w:trPr>
        <w:tc>
          <w:tcPr>
            <w:tcW w:w="821" w:type="pct"/>
            <w:tcBorders>
              <w:top w:val="nil"/>
              <w:left w:val="nil"/>
              <w:bottom w:val="nil"/>
              <w:right w:val="nil"/>
            </w:tcBorders>
            <w:shd w:val="clear" w:color="auto" w:fill="auto"/>
            <w:noWrap/>
            <w:vAlign w:val="center"/>
            <w:hideMark/>
          </w:tcPr>
          <w:p w14:paraId="73C8BCF9"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GDPG</w:t>
            </w:r>
          </w:p>
        </w:tc>
        <w:tc>
          <w:tcPr>
            <w:tcW w:w="834" w:type="pct"/>
            <w:tcBorders>
              <w:top w:val="nil"/>
              <w:left w:val="nil"/>
              <w:bottom w:val="nil"/>
              <w:right w:val="nil"/>
            </w:tcBorders>
            <w:shd w:val="clear" w:color="auto" w:fill="auto"/>
            <w:noWrap/>
            <w:vAlign w:val="center"/>
          </w:tcPr>
          <w:p w14:paraId="7706840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50031BC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0.039***</w:t>
            </w:r>
          </w:p>
        </w:tc>
        <w:tc>
          <w:tcPr>
            <w:tcW w:w="1417" w:type="pct"/>
            <w:tcBorders>
              <w:top w:val="nil"/>
              <w:left w:val="nil"/>
              <w:bottom w:val="nil"/>
              <w:right w:val="nil"/>
            </w:tcBorders>
            <w:shd w:val="clear" w:color="auto" w:fill="auto"/>
            <w:noWrap/>
            <w:vAlign w:val="center"/>
          </w:tcPr>
          <w:p w14:paraId="224CFC5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-0.022***</w:t>
            </w:r>
          </w:p>
        </w:tc>
        <w:tc>
          <w:tcPr>
            <w:tcW w:w="658" w:type="pct"/>
            <w:tcBorders>
              <w:top w:val="nil"/>
              <w:left w:val="nil"/>
              <w:bottom w:val="nil"/>
              <w:right w:val="nil"/>
            </w:tcBorders>
            <w:shd w:val="clear" w:color="auto" w:fill="auto"/>
            <w:noWrap/>
            <w:vAlign w:val="center"/>
          </w:tcPr>
          <w:p w14:paraId="7E79F3D7"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-0.016***</w:t>
            </w:r>
          </w:p>
        </w:tc>
      </w:tr>
      <w:tr w:rsidR="00403D2E" w:rsidRPr="00357722" w14:paraId="0FE355CA" w14:textId="77777777" w:rsidTr="00B31D4D">
        <w:trPr>
          <w:trHeight w:val="170"/>
        </w:trPr>
        <w:tc>
          <w:tcPr>
            <w:tcW w:w="821" w:type="pct"/>
            <w:tcBorders>
              <w:top w:val="nil"/>
              <w:left w:val="nil"/>
              <w:bottom w:val="nil"/>
              <w:right w:val="nil"/>
            </w:tcBorders>
            <w:shd w:val="clear" w:color="auto" w:fill="auto"/>
            <w:noWrap/>
            <w:vAlign w:val="bottom"/>
            <w:hideMark/>
          </w:tcPr>
          <w:p w14:paraId="52871C4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2453EEF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43041FA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(6.46)</w:t>
            </w:r>
          </w:p>
        </w:tc>
        <w:tc>
          <w:tcPr>
            <w:tcW w:w="1417" w:type="pct"/>
            <w:tcBorders>
              <w:top w:val="nil"/>
              <w:left w:val="nil"/>
              <w:bottom w:val="nil"/>
              <w:right w:val="nil"/>
            </w:tcBorders>
            <w:shd w:val="clear" w:color="auto" w:fill="auto"/>
            <w:noWrap/>
            <w:vAlign w:val="center"/>
          </w:tcPr>
          <w:p w14:paraId="103FF96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(-6.19)</w:t>
            </w:r>
          </w:p>
        </w:tc>
        <w:tc>
          <w:tcPr>
            <w:tcW w:w="658" w:type="pct"/>
            <w:tcBorders>
              <w:top w:val="nil"/>
              <w:left w:val="nil"/>
              <w:bottom w:val="nil"/>
              <w:right w:val="nil"/>
            </w:tcBorders>
            <w:shd w:val="clear" w:color="auto" w:fill="auto"/>
            <w:noWrap/>
            <w:vAlign w:val="center"/>
          </w:tcPr>
          <w:p w14:paraId="0150B2A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(-4.71)</w:t>
            </w:r>
          </w:p>
        </w:tc>
      </w:tr>
      <w:tr w:rsidR="00403D2E" w:rsidRPr="00357722" w14:paraId="2F5E4531" w14:textId="77777777" w:rsidTr="00B31D4D">
        <w:trPr>
          <w:trHeight w:val="170"/>
        </w:trPr>
        <w:tc>
          <w:tcPr>
            <w:tcW w:w="821" w:type="pct"/>
            <w:tcBorders>
              <w:top w:val="nil"/>
              <w:left w:val="nil"/>
              <w:bottom w:val="nil"/>
              <w:right w:val="nil"/>
            </w:tcBorders>
            <w:shd w:val="clear" w:color="auto" w:fill="auto"/>
            <w:noWrap/>
            <w:vAlign w:val="center"/>
            <w:hideMark/>
          </w:tcPr>
          <w:p w14:paraId="1F5EF00A"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INFL</w:t>
            </w:r>
          </w:p>
        </w:tc>
        <w:tc>
          <w:tcPr>
            <w:tcW w:w="834" w:type="pct"/>
            <w:tcBorders>
              <w:top w:val="nil"/>
              <w:left w:val="nil"/>
              <w:bottom w:val="nil"/>
              <w:right w:val="nil"/>
            </w:tcBorders>
            <w:shd w:val="clear" w:color="auto" w:fill="auto"/>
            <w:noWrap/>
            <w:vAlign w:val="center"/>
          </w:tcPr>
          <w:p w14:paraId="182B83D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586CB26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0.020***</w:t>
            </w:r>
          </w:p>
        </w:tc>
        <w:tc>
          <w:tcPr>
            <w:tcW w:w="1417" w:type="pct"/>
            <w:tcBorders>
              <w:top w:val="nil"/>
              <w:left w:val="nil"/>
              <w:bottom w:val="nil"/>
              <w:right w:val="nil"/>
            </w:tcBorders>
            <w:shd w:val="clear" w:color="auto" w:fill="auto"/>
            <w:noWrap/>
            <w:vAlign w:val="center"/>
          </w:tcPr>
          <w:p w14:paraId="5D04972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-0.010**</w:t>
            </w:r>
          </w:p>
        </w:tc>
        <w:tc>
          <w:tcPr>
            <w:tcW w:w="658" w:type="pct"/>
            <w:tcBorders>
              <w:top w:val="nil"/>
              <w:left w:val="nil"/>
              <w:bottom w:val="nil"/>
              <w:right w:val="nil"/>
            </w:tcBorders>
            <w:shd w:val="clear" w:color="auto" w:fill="auto"/>
            <w:noWrap/>
            <w:vAlign w:val="center"/>
          </w:tcPr>
          <w:p w14:paraId="1426CB9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-0.008*</w:t>
            </w:r>
          </w:p>
        </w:tc>
      </w:tr>
      <w:tr w:rsidR="00403D2E" w:rsidRPr="00357722" w14:paraId="43AAD1FC" w14:textId="77777777" w:rsidTr="00B31D4D">
        <w:trPr>
          <w:trHeight w:val="170"/>
        </w:trPr>
        <w:tc>
          <w:tcPr>
            <w:tcW w:w="821" w:type="pct"/>
            <w:tcBorders>
              <w:top w:val="nil"/>
              <w:left w:val="nil"/>
              <w:bottom w:val="nil"/>
              <w:right w:val="nil"/>
            </w:tcBorders>
            <w:shd w:val="clear" w:color="auto" w:fill="auto"/>
            <w:noWrap/>
            <w:vAlign w:val="bottom"/>
            <w:hideMark/>
          </w:tcPr>
          <w:p w14:paraId="4E9125A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315DF14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7BFEDFF3"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(2.84)</w:t>
            </w:r>
          </w:p>
        </w:tc>
        <w:tc>
          <w:tcPr>
            <w:tcW w:w="1417" w:type="pct"/>
            <w:tcBorders>
              <w:top w:val="nil"/>
              <w:left w:val="nil"/>
              <w:bottom w:val="nil"/>
              <w:right w:val="nil"/>
            </w:tcBorders>
            <w:shd w:val="clear" w:color="auto" w:fill="auto"/>
            <w:noWrap/>
            <w:vAlign w:val="center"/>
          </w:tcPr>
          <w:p w14:paraId="7BE26A5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(-2.46)</w:t>
            </w:r>
          </w:p>
        </w:tc>
        <w:tc>
          <w:tcPr>
            <w:tcW w:w="658" w:type="pct"/>
            <w:tcBorders>
              <w:top w:val="nil"/>
              <w:left w:val="nil"/>
              <w:bottom w:val="nil"/>
              <w:right w:val="nil"/>
            </w:tcBorders>
            <w:shd w:val="clear" w:color="auto" w:fill="auto"/>
            <w:noWrap/>
            <w:vAlign w:val="center"/>
          </w:tcPr>
          <w:p w14:paraId="38161ED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(-1.78)</w:t>
            </w:r>
          </w:p>
        </w:tc>
      </w:tr>
      <w:tr w:rsidR="00403D2E" w:rsidRPr="00357722" w14:paraId="1F7B205A" w14:textId="77777777" w:rsidTr="00B31D4D">
        <w:trPr>
          <w:trHeight w:val="170"/>
        </w:trPr>
        <w:tc>
          <w:tcPr>
            <w:tcW w:w="821" w:type="pct"/>
            <w:tcBorders>
              <w:top w:val="nil"/>
              <w:left w:val="nil"/>
              <w:bottom w:val="nil"/>
              <w:right w:val="nil"/>
            </w:tcBorders>
            <w:shd w:val="clear" w:color="auto" w:fill="auto"/>
            <w:noWrap/>
            <w:vAlign w:val="center"/>
            <w:hideMark/>
          </w:tcPr>
          <w:p w14:paraId="0B469840"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TRDOPEN</w:t>
            </w:r>
          </w:p>
        </w:tc>
        <w:tc>
          <w:tcPr>
            <w:tcW w:w="834" w:type="pct"/>
            <w:tcBorders>
              <w:top w:val="nil"/>
              <w:left w:val="nil"/>
              <w:bottom w:val="nil"/>
              <w:right w:val="nil"/>
            </w:tcBorders>
            <w:shd w:val="clear" w:color="auto" w:fill="auto"/>
            <w:noWrap/>
            <w:vAlign w:val="center"/>
          </w:tcPr>
          <w:p w14:paraId="2E4B91B6"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2421D16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0.004***</w:t>
            </w:r>
          </w:p>
        </w:tc>
        <w:tc>
          <w:tcPr>
            <w:tcW w:w="1417" w:type="pct"/>
            <w:tcBorders>
              <w:top w:val="nil"/>
              <w:left w:val="nil"/>
              <w:bottom w:val="nil"/>
              <w:right w:val="nil"/>
            </w:tcBorders>
            <w:shd w:val="clear" w:color="auto" w:fill="auto"/>
            <w:noWrap/>
            <w:vAlign w:val="center"/>
          </w:tcPr>
          <w:p w14:paraId="406A3D0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-0.001*</w:t>
            </w:r>
          </w:p>
        </w:tc>
        <w:tc>
          <w:tcPr>
            <w:tcW w:w="658" w:type="pct"/>
            <w:tcBorders>
              <w:top w:val="nil"/>
              <w:left w:val="nil"/>
              <w:bottom w:val="nil"/>
              <w:right w:val="nil"/>
            </w:tcBorders>
            <w:shd w:val="clear" w:color="auto" w:fill="auto"/>
            <w:noWrap/>
            <w:vAlign w:val="center"/>
          </w:tcPr>
          <w:p w14:paraId="46B4C1C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-0.000</w:t>
            </w:r>
          </w:p>
        </w:tc>
      </w:tr>
      <w:tr w:rsidR="00403D2E" w:rsidRPr="00357722" w14:paraId="3B40005B" w14:textId="77777777" w:rsidTr="00B31D4D">
        <w:trPr>
          <w:trHeight w:val="170"/>
        </w:trPr>
        <w:tc>
          <w:tcPr>
            <w:tcW w:w="821" w:type="pct"/>
            <w:tcBorders>
              <w:top w:val="nil"/>
              <w:left w:val="nil"/>
              <w:bottom w:val="nil"/>
              <w:right w:val="nil"/>
            </w:tcBorders>
            <w:shd w:val="clear" w:color="auto" w:fill="auto"/>
            <w:noWrap/>
            <w:vAlign w:val="bottom"/>
            <w:hideMark/>
          </w:tcPr>
          <w:p w14:paraId="5194D87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56420B4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3EB8654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(2.84)</w:t>
            </w:r>
          </w:p>
        </w:tc>
        <w:tc>
          <w:tcPr>
            <w:tcW w:w="1417" w:type="pct"/>
            <w:tcBorders>
              <w:top w:val="nil"/>
              <w:left w:val="nil"/>
              <w:bottom w:val="nil"/>
              <w:right w:val="nil"/>
            </w:tcBorders>
            <w:shd w:val="clear" w:color="auto" w:fill="auto"/>
            <w:noWrap/>
            <w:vAlign w:val="center"/>
          </w:tcPr>
          <w:p w14:paraId="431272F7"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(-1.80)</w:t>
            </w:r>
          </w:p>
        </w:tc>
        <w:tc>
          <w:tcPr>
            <w:tcW w:w="658" w:type="pct"/>
            <w:tcBorders>
              <w:top w:val="nil"/>
              <w:left w:val="nil"/>
              <w:bottom w:val="nil"/>
              <w:right w:val="nil"/>
            </w:tcBorders>
            <w:shd w:val="clear" w:color="auto" w:fill="auto"/>
            <w:noWrap/>
            <w:vAlign w:val="center"/>
          </w:tcPr>
          <w:p w14:paraId="35D1589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(-0.22)</w:t>
            </w:r>
          </w:p>
        </w:tc>
      </w:tr>
      <w:tr w:rsidR="00403D2E" w:rsidRPr="00357722" w14:paraId="13176FEE" w14:textId="77777777" w:rsidTr="00B31D4D">
        <w:trPr>
          <w:trHeight w:val="170"/>
        </w:trPr>
        <w:tc>
          <w:tcPr>
            <w:tcW w:w="821" w:type="pct"/>
            <w:tcBorders>
              <w:top w:val="nil"/>
              <w:left w:val="nil"/>
              <w:bottom w:val="nil"/>
              <w:right w:val="nil"/>
            </w:tcBorders>
            <w:shd w:val="clear" w:color="auto" w:fill="auto"/>
            <w:noWrap/>
            <w:vAlign w:val="center"/>
            <w:hideMark/>
          </w:tcPr>
          <w:p w14:paraId="215A6DB0"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REMITT</w:t>
            </w:r>
          </w:p>
        </w:tc>
        <w:tc>
          <w:tcPr>
            <w:tcW w:w="834" w:type="pct"/>
            <w:tcBorders>
              <w:top w:val="nil"/>
              <w:left w:val="nil"/>
              <w:bottom w:val="nil"/>
              <w:right w:val="nil"/>
            </w:tcBorders>
            <w:shd w:val="clear" w:color="auto" w:fill="auto"/>
            <w:noWrap/>
            <w:vAlign w:val="center"/>
          </w:tcPr>
          <w:p w14:paraId="252ECF7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0FDA73A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-0.127***</w:t>
            </w:r>
          </w:p>
        </w:tc>
        <w:tc>
          <w:tcPr>
            <w:tcW w:w="1417" w:type="pct"/>
            <w:tcBorders>
              <w:top w:val="nil"/>
              <w:left w:val="nil"/>
              <w:bottom w:val="nil"/>
              <w:right w:val="nil"/>
            </w:tcBorders>
            <w:shd w:val="clear" w:color="auto" w:fill="auto"/>
            <w:noWrap/>
            <w:vAlign w:val="center"/>
          </w:tcPr>
          <w:p w14:paraId="4A93C2E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-0.047**</w:t>
            </w:r>
          </w:p>
        </w:tc>
        <w:tc>
          <w:tcPr>
            <w:tcW w:w="658" w:type="pct"/>
            <w:tcBorders>
              <w:top w:val="nil"/>
              <w:left w:val="nil"/>
              <w:bottom w:val="nil"/>
              <w:right w:val="nil"/>
            </w:tcBorders>
            <w:shd w:val="clear" w:color="auto" w:fill="auto"/>
            <w:noWrap/>
            <w:vAlign w:val="center"/>
          </w:tcPr>
          <w:p w14:paraId="21AA089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-0.052***</w:t>
            </w:r>
          </w:p>
        </w:tc>
      </w:tr>
      <w:tr w:rsidR="00403D2E" w:rsidRPr="00357722" w14:paraId="393F5731" w14:textId="77777777" w:rsidTr="00B31D4D">
        <w:trPr>
          <w:trHeight w:val="170"/>
        </w:trPr>
        <w:tc>
          <w:tcPr>
            <w:tcW w:w="821" w:type="pct"/>
            <w:tcBorders>
              <w:top w:val="nil"/>
              <w:left w:val="nil"/>
              <w:bottom w:val="nil"/>
              <w:right w:val="nil"/>
            </w:tcBorders>
            <w:shd w:val="clear" w:color="auto" w:fill="auto"/>
            <w:noWrap/>
            <w:vAlign w:val="bottom"/>
            <w:hideMark/>
          </w:tcPr>
          <w:p w14:paraId="052DBB5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467946E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35A1281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(-3.27)</w:t>
            </w:r>
          </w:p>
        </w:tc>
        <w:tc>
          <w:tcPr>
            <w:tcW w:w="1417" w:type="pct"/>
            <w:tcBorders>
              <w:top w:val="nil"/>
              <w:left w:val="nil"/>
              <w:bottom w:val="nil"/>
              <w:right w:val="nil"/>
            </w:tcBorders>
            <w:shd w:val="clear" w:color="auto" w:fill="auto"/>
            <w:noWrap/>
            <w:vAlign w:val="center"/>
          </w:tcPr>
          <w:p w14:paraId="028CBC7A"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(-2.48)</w:t>
            </w:r>
          </w:p>
        </w:tc>
        <w:tc>
          <w:tcPr>
            <w:tcW w:w="658" w:type="pct"/>
            <w:tcBorders>
              <w:top w:val="nil"/>
              <w:left w:val="nil"/>
              <w:bottom w:val="nil"/>
              <w:right w:val="nil"/>
            </w:tcBorders>
            <w:shd w:val="clear" w:color="auto" w:fill="auto"/>
            <w:noWrap/>
            <w:vAlign w:val="center"/>
          </w:tcPr>
          <w:p w14:paraId="6C2742E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(-2.67)</w:t>
            </w:r>
          </w:p>
        </w:tc>
      </w:tr>
      <w:tr w:rsidR="00403D2E" w:rsidRPr="00357722" w14:paraId="2DF8596B" w14:textId="77777777" w:rsidTr="00B31D4D">
        <w:trPr>
          <w:trHeight w:val="170"/>
        </w:trPr>
        <w:tc>
          <w:tcPr>
            <w:tcW w:w="821" w:type="pct"/>
            <w:tcBorders>
              <w:top w:val="nil"/>
              <w:left w:val="nil"/>
              <w:bottom w:val="nil"/>
              <w:right w:val="nil"/>
            </w:tcBorders>
            <w:shd w:val="clear" w:color="auto" w:fill="auto"/>
            <w:noWrap/>
            <w:vAlign w:val="center"/>
            <w:hideMark/>
          </w:tcPr>
          <w:p w14:paraId="4E00BC28" w14:textId="7D8A7D37" w:rsidR="00403D2E" w:rsidRPr="00357722" w:rsidRDefault="008857A2"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OTIDSGDP</w:t>
            </w:r>
          </w:p>
        </w:tc>
        <w:tc>
          <w:tcPr>
            <w:tcW w:w="834" w:type="pct"/>
            <w:tcBorders>
              <w:top w:val="nil"/>
              <w:left w:val="nil"/>
              <w:bottom w:val="nil"/>
              <w:right w:val="nil"/>
            </w:tcBorders>
            <w:shd w:val="clear" w:color="auto" w:fill="auto"/>
            <w:noWrap/>
            <w:vAlign w:val="center"/>
          </w:tcPr>
          <w:p w14:paraId="0D3F1DB5"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49634DB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-0.003**</w:t>
            </w:r>
          </w:p>
        </w:tc>
        <w:tc>
          <w:tcPr>
            <w:tcW w:w="1417" w:type="pct"/>
            <w:tcBorders>
              <w:top w:val="nil"/>
              <w:left w:val="nil"/>
              <w:bottom w:val="nil"/>
              <w:right w:val="nil"/>
            </w:tcBorders>
            <w:shd w:val="clear" w:color="auto" w:fill="auto"/>
            <w:noWrap/>
            <w:vAlign w:val="center"/>
          </w:tcPr>
          <w:p w14:paraId="01A86E33"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0.002***</w:t>
            </w:r>
          </w:p>
        </w:tc>
        <w:tc>
          <w:tcPr>
            <w:tcW w:w="658" w:type="pct"/>
            <w:tcBorders>
              <w:top w:val="nil"/>
              <w:left w:val="nil"/>
              <w:bottom w:val="nil"/>
              <w:right w:val="nil"/>
            </w:tcBorders>
            <w:shd w:val="clear" w:color="auto" w:fill="auto"/>
            <w:noWrap/>
            <w:vAlign w:val="center"/>
          </w:tcPr>
          <w:p w14:paraId="3598476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0.002***</w:t>
            </w:r>
          </w:p>
        </w:tc>
      </w:tr>
      <w:tr w:rsidR="00403D2E" w:rsidRPr="00357722" w14:paraId="60BB6DF0" w14:textId="77777777" w:rsidTr="00B31D4D">
        <w:trPr>
          <w:trHeight w:val="170"/>
        </w:trPr>
        <w:tc>
          <w:tcPr>
            <w:tcW w:w="821" w:type="pct"/>
            <w:tcBorders>
              <w:top w:val="nil"/>
              <w:left w:val="nil"/>
              <w:bottom w:val="nil"/>
              <w:right w:val="nil"/>
            </w:tcBorders>
            <w:shd w:val="clear" w:color="auto" w:fill="auto"/>
            <w:noWrap/>
            <w:vAlign w:val="bottom"/>
            <w:hideMark/>
          </w:tcPr>
          <w:p w14:paraId="2B8B2DB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1566C3F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2279A55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(-2.52)</w:t>
            </w:r>
          </w:p>
        </w:tc>
        <w:tc>
          <w:tcPr>
            <w:tcW w:w="1417" w:type="pct"/>
            <w:tcBorders>
              <w:top w:val="nil"/>
              <w:left w:val="nil"/>
              <w:bottom w:val="nil"/>
              <w:right w:val="nil"/>
            </w:tcBorders>
            <w:shd w:val="clear" w:color="auto" w:fill="auto"/>
            <w:noWrap/>
            <w:vAlign w:val="center"/>
          </w:tcPr>
          <w:p w14:paraId="2FC7D730"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(3.87)</w:t>
            </w:r>
          </w:p>
        </w:tc>
        <w:tc>
          <w:tcPr>
            <w:tcW w:w="658" w:type="pct"/>
            <w:tcBorders>
              <w:top w:val="nil"/>
              <w:left w:val="nil"/>
              <w:bottom w:val="nil"/>
              <w:right w:val="nil"/>
            </w:tcBorders>
            <w:shd w:val="clear" w:color="auto" w:fill="auto"/>
            <w:noWrap/>
            <w:vAlign w:val="center"/>
          </w:tcPr>
          <w:p w14:paraId="20972036"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(2.84)</w:t>
            </w:r>
          </w:p>
        </w:tc>
      </w:tr>
      <w:tr w:rsidR="00403D2E" w:rsidRPr="00357722" w14:paraId="6DB08375" w14:textId="77777777" w:rsidTr="00B31D4D">
        <w:trPr>
          <w:trHeight w:val="170"/>
        </w:trPr>
        <w:tc>
          <w:tcPr>
            <w:tcW w:w="821" w:type="pct"/>
            <w:tcBorders>
              <w:top w:val="nil"/>
              <w:left w:val="nil"/>
              <w:bottom w:val="nil"/>
              <w:right w:val="nil"/>
            </w:tcBorders>
            <w:shd w:val="clear" w:color="auto" w:fill="auto"/>
            <w:noWrap/>
            <w:vAlign w:val="center"/>
            <w:hideMark/>
          </w:tcPr>
          <w:p w14:paraId="1175847B"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LEGORI</w:t>
            </w:r>
          </w:p>
        </w:tc>
        <w:tc>
          <w:tcPr>
            <w:tcW w:w="834" w:type="pct"/>
            <w:tcBorders>
              <w:top w:val="nil"/>
              <w:left w:val="nil"/>
              <w:bottom w:val="nil"/>
              <w:right w:val="nil"/>
            </w:tcBorders>
            <w:shd w:val="clear" w:color="auto" w:fill="auto"/>
            <w:noWrap/>
            <w:vAlign w:val="center"/>
          </w:tcPr>
          <w:p w14:paraId="64681290"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079CFAC7"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-1.152***</w:t>
            </w:r>
          </w:p>
        </w:tc>
        <w:tc>
          <w:tcPr>
            <w:tcW w:w="1417" w:type="pct"/>
            <w:tcBorders>
              <w:top w:val="nil"/>
              <w:left w:val="nil"/>
              <w:bottom w:val="nil"/>
              <w:right w:val="nil"/>
            </w:tcBorders>
            <w:shd w:val="clear" w:color="auto" w:fill="auto"/>
            <w:noWrap/>
            <w:vAlign w:val="center"/>
          </w:tcPr>
          <w:p w14:paraId="2C4D5D5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-1.500***</w:t>
            </w:r>
          </w:p>
        </w:tc>
        <w:tc>
          <w:tcPr>
            <w:tcW w:w="658" w:type="pct"/>
            <w:tcBorders>
              <w:top w:val="nil"/>
              <w:left w:val="nil"/>
              <w:bottom w:val="nil"/>
              <w:right w:val="nil"/>
            </w:tcBorders>
            <w:shd w:val="clear" w:color="auto" w:fill="auto"/>
            <w:noWrap/>
            <w:vAlign w:val="center"/>
          </w:tcPr>
          <w:p w14:paraId="2F01A8A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-1.594***</w:t>
            </w:r>
          </w:p>
        </w:tc>
      </w:tr>
      <w:tr w:rsidR="00403D2E" w:rsidRPr="00357722" w14:paraId="03564B1A" w14:textId="77777777" w:rsidTr="00B31D4D">
        <w:trPr>
          <w:trHeight w:val="170"/>
        </w:trPr>
        <w:tc>
          <w:tcPr>
            <w:tcW w:w="821" w:type="pct"/>
            <w:tcBorders>
              <w:top w:val="nil"/>
              <w:left w:val="nil"/>
              <w:bottom w:val="nil"/>
              <w:right w:val="nil"/>
            </w:tcBorders>
            <w:shd w:val="clear" w:color="auto" w:fill="auto"/>
            <w:noWrap/>
            <w:vAlign w:val="bottom"/>
            <w:hideMark/>
          </w:tcPr>
          <w:p w14:paraId="27B0097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27677AF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47E5F93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(-4.56)</w:t>
            </w:r>
          </w:p>
        </w:tc>
        <w:tc>
          <w:tcPr>
            <w:tcW w:w="1417" w:type="pct"/>
            <w:tcBorders>
              <w:top w:val="nil"/>
              <w:left w:val="nil"/>
              <w:bottom w:val="nil"/>
              <w:right w:val="nil"/>
            </w:tcBorders>
            <w:shd w:val="clear" w:color="auto" w:fill="auto"/>
            <w:noWrap/>
            <w:vAlign w:val="center"/>
          </w:tcPr>
          <w:p w14:paraId="5C9609B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(-11.08)</w:t>
            </w:r>
          </w:p>
        </w:tc>
        <w:tc>
          <w:tcPr>
            <w:tcW w:w="658" w:type="pct"/>
            <w:tcBorders>
              <w:top w:val="nil"/>
              <w:left w:val="nil"/>
              <w:bottom w:val="nil"/>
              <w:right w:val="nil"/>
            </w:tcBorders>
            <w:shd w:val="clear" w:color="auto" w:fill="auto"/>
            <w:noWrap/>
            <w:vAlign w:val="center"/>
          </w:tcPr>
          <w:p w14:paraId="02FEC84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(-10.92)</w:t>
            </w:r>
          </w:p>
        </w:tc>
      </w:tr>
      <w:tr w:rsidR="00403D2E" w:rsidRPr="00357722" w14:paraId="69FAC79D" w14:textId="77777777" w:rsidTr="00B31D4D">
        <w:trPr>
          <w:trHeight w:val="170"/>
        </w:trPr>
        <w:tc>
          <w:tcPr>
            <w:tcW w:w="821" w:type="pct"/>
            <w:tcBorders>
              <w:top w:val="nil"/>
              <w:left w:val="nil"/>
              <w:bottom w:val="nil"/>
              <w:right w:val="nil"/>
            </w:tcBorders>
            <w:shd w:val="clear" w:color="auto" w:fill="auto"/>
            <w:noWrap/>
            <w:vAlign w:val="center"/>
            <w:hideMark/>
          </w:tcPr>
          <w:p w14:paraId="208BC8DD" w14:textId="77777777" w:rsidR="00403D2E" w:rsidRPr="00357722" w:rsidRDefault="00403D2E" w:rsidP="00136C48">
            <w:pPr>
              <w:spacing w:after="0" w:line="360" w:lineRule="auto"/>
              <w:jc w:val="both"/>
              <w:rPr>
                <w:rFonts w:ascii="Times New Roman" w:eastAsia="Times New Roman" w:hAnsi="Times New Roman" w:cs="Times New Roman"/>
                <w:iCs/>
                <w:color w:val="000000"/>
                <w:sz w:val="16"/>
                <w:szCs w:val="16"/>
              </w:rPr>
            </w:pPr>
            <w:r w:rsidRPr="00357722">
              <w:rPr>
                <w:rFonts w:ascii="Times New Roman" w:eastAsia="Times New Roman" w:hAnsi="Times New Roman" w:cs="Times New Roman"/>
                <w:iCs/>
                <w:color w:val="000000"/>
                <w:sz w:val="16"/>
                <w:szCs w:val="16"/>
              </w:rPr>
              <w:t>Constant</w:t>
            </w:r>
          </w:p>
        </w:tc>
        <w:tc>
          <w:tcPr>
            <w:tcW w:w="834" w:type="pct"/>
            <w:tcBorders>
              <w:top w:val="nil"/>
              <w:left w:val="nil"/>
              <w:bottom w:val="nil"/>
              <w:right w:val="nil"/>
            </w:tcBorders>
            <w:shd w:val="clear" w:color="auto" w:fill="auto"/>
            <w:noWrap/>
            <w:vAlign w:val="center"/>
          </w:tcPr>
          <w:p w14:paraId="2DA59B65"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45474978"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8.594***</w:t>
            </w:r>
          </w:p>
        </w:tc>
        <w:tc>
          <w:tcPr>
            <w:tcW w:w="1417" w:type="pct"/>
            <w:tcBorders>
              <w:top w:val="nil"/>
              <w:left w:val="nil"/>
              <w:bottom w:val="nil"/>
              <w:right w:val="nil"/>
            </w:tcBorders>
            <w:shd w:val="clear" w:color="auto" w:fill="auto"/>
            <w:noWrap/>
            <w:vAlign w:val="center"/>
          </w:tcPr>
          <w:p w14:paraId="5ADA65A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7.816***</w:t>
            </w:r>
          </w:p>
        </w:tc>
        <w:tc>
          <w:tcPr>
            <w:tcW w:w="658" w:type="pct"/>
            <w:tcBorders>
              <w:top w:val="nil"/>
              <w:left w:val="nil"/>
              <w:bottom w:val="nil"/>
              <w:right w:val="nil"/>
            </w:tcBorders>
            <w:shd w:val="clear" w:color="auto" w:fill="auto"/>
            <w:noWrap/>
            <w:vAlign w:val="center"/>
          </w:tcPr>
          <w:p w14:paraId="0779E2B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7.866***</w:t>
            </w:r>
          </w:p>
        </w:tc>
      </w:tr>
      <w:tr w:rsidR="00403D2E" w:rsidRPr="00357722" w14:paraId="4F0A5578" w14:textId="77777777" w:rsidTr="00B31D4D">
        <w:trPr>
          <w:trHeight w:val="170"/>
        </w:trPr>
        <w:tc>
          <w:tcPr>
            <w:tcW w:w="821" w:type="pct"/>
            <w:tcBorders>
              <w:top w:val="nil"/>
              <w:left w:val="nil"/>
              <w:bottom w:val="nil"/>
              <w:right w:val="nil"/>
            </w:tcBorders>
            <w:shd w:val="clear" w:color="auto" w:fill="auto"/>
            <w:noWrap/>
            <w:vAlign w:val="bottom"/>
            <w:hideMark/>
          </w:tcPr>
          <w:p w14:paraId="54C8C307"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834" w:type="pct"/>
            <w:tcBorders>
              <w:top w:val="nil"/>
              <w:left w:val="nil"/>
              <w:bottom w:val="nil"/>
              <w:right w:val="nil"/>
            </w:tcBorders>
            <w:shd w:val="clear" w:color="auto" w:fill="auto"/>
            <w:noWrap/>
            <w:vAlign w:val="center"/>
          </w:tcPr>
          <w:p w14:paraId="34EEBA16"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4565AFF7"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(11.73)</w:t>
            </w:r>
          </w:p>
        </w:tc>
        <w:tc>
          <w:tcPr>
            <w:tcW w:w="1417" w:type="pct"/>
            <w:tcBorders>
              <w:top w:val="nil"/>
              <w:left w:val="nil"/>
              <w:bottom w:val="nil"/>
              <w:right w:val="nil"/>
            </w:tcBorders>
            <w:shd w:val="clear" w:color="auto" w:fill="auto"/>
            <w:noWrap/>
            <w:vAlign w:val="center"/>
          </w:tcPr>
          <w:p w14:paraId="691C65A1"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(21.63)</w:t>
            </w:r>
          </w:p>
        </w:tc>
        <w:tc>
          <w:tcPr>
            <w:tcW w:w="658" w:type="pct"/>
            <w:tcBorders>
              <w:top w:val="nil"/>
              <w:left w:val="nil"/>
              <w:bottom w:val="nil"/>
              <w:right w:val="nil"/>
            </w:tcBorders>
            <w:shd w:val="clear" w:color="auto" w:fill="auto"/>
            <w:noWrap/>
            <w:vAlign w:val="center"/>
          </w:tcPr>
          <w:p w14:paraId="0173B59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(20.04)</w:t>
            </w:r>
          </w:p>
        </w:tc>
      </w:tr>
      <w:tr w:rsidR="00403D2E" w:rsidRPr="00357722" w14:paraId="69D06937" w14:textId="77777777" w:rsidTr="00B31D4D">
        <w:trPr>
          <w:trHeight w:val="170"/>
        </w:trPr>
        <w:tc>
          <w:tcPr>
            <w:tcW w:w="821" w:type="pct"/>
            <w:tcBorders>
              <w:top w:val="single" w:sz="4" w:space="0" w:color="auto"/>
              <w:left w:val="nil"/>
              <w:bottom w:val="nil"/>
              <w:right w:val="nil"/>
            </w:tcBorders>
            <w:shd w:val="clear" w:color="auto" w:fill="auto"/>
            <w:noWrap/>
            <w:vAlign w:val="bottom"/>
            <w:hideMark/>
          </w:tcPr>
          <w:p w14:paraId="5A7DC0D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No of Observations</w:t>
            </w:r>
          </w:p>
        </w:tc>
        <w:tc>
          <w:tcPr>
            <w:tcW w:w="834" w:type="pct"/>
            <w:tcBorders>
              <w:top w:val="single" w:sz="4" w:space="0" w:color="auto"/>
              <w:left w:val="nil"/>
              <w:bottom w:val="nil"/>
              <w:right w:val="nil"/>
            </w:tcBorders>
            <w:shd w:val="clear" w:color="auto" w:fill="auto"/>
            <w:noWrap/>
            <w:vAlign w:val="center"/>
          </w:tcPr>
          <w:p w14:paraId="255C2B7C"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single" w:sz="4" w:space="0" w:color="auto"/>
              <w:left w:val="nil"/>
              <w:bottom w:val="nil"/>
              <w:right w:val="nil"/>
            </w:tcBorders>
            <w:shd w:val="clear" w:color="auto" w:fill="auto"/>
            <w:noWrap/>
            <w:vAlign w:val="center"/>
          </w:tcPr>
          <w:p w14:paraId="5BFD080A"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531</w:t>
            </w:r>
          </w:p>
        </w:tc>
        <w:tc>
          <w:tcPr>
            <w:tcW w:w="1417" w:type="pct"/>
            <w:tcBorders>
              <w:top w:val="single" w:sz="4" w:space="0" w:color="auto"/>
              <w:left w:val="nil"/>
              <w:bottom w:val="nil"/>
              <w:right w:val="nil"/>
            </w:tcBorders>
            <w:shd w:val="clear" w:color="auto" w:fill="auto"/>
            <w:noWrap/>
            <w:vAlign w:val="center"/>
          </w:tcPr>
          <w:p w14:paraId="152A593A"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556</w:t>
            </w:r>
          </w:p>
        </w:tc>
        <w:tc>
          <w:tcPr>
            <w:tcW w:w="658" w:type="pct"/>
            <w:tcBorders>
              <w:top w:val="single" w:sz="4" w:space="0" w:color="auto"/>
              <w:left w:val="nil"/>
              <w:bottom w:val="nil"/>
              <w:right w:val="nil"/>
            </w:tcBorders>
            <w:shd w:val="clear" w:color="auto" w:fill="auto"/>
            <w:noWrap/>
            <w:vAlign w:val="center"/>
          </w:tcPr>
          <w:p w14:paraId="14ADC7A3"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556</w:t>
            </w:r>
          </w:p>
        </w:tc>
      </w:tr>
      <w:tr w:rsidR="00403D2E" w:rsidRPr="00357722" w14:paraId="79F5976E" w14:textId="77777777" w:rsidTr="00B31D4D">
        <w:trPr>
          <w:trHeight w:val="170"/>
        </w:trPr>
        <w:tc>
          <w:tcPr>
            <w:tcW w:w="821" w:type="pct"/>
            <w:tcBorders>
              <w:top w:val="nil"/>
              <w:left w:val="nil"/>
              <w:bottom w:val="nil"/>
              <w:right w:val="nil"/>
            </w:tcBorders>
            <w:shd w:val="clear" w:color="auto" w:fill="auto"/>
            <w:noWrap/>
            <w:vAlign w:val="bottom"/>
            <w:hideMark/>
          </w:tcPr>
          <w:p w14:paraId="7B615B3D" w14:textId="3428A704" w:rsidR="00403D2E" w:rsidRPr="00357722" w:rsidRDefault="003D0147"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Adj. R-Square</w:t>
            </w:r>
          </w:p>
        </w:tc>
        <w:tc>
          <w:tcPr>
            <w:tcW w:w="834" w:type="pct"/>
            <w:tcBorders>
              <w:top w:val="nil"/>
              <w:left w:val="nil"/>
              <w:bottom w:val="nil"/>
              <w:right w:val="nil"/>
            </w:tcBorders>
            <w:shd w:val="clear" w:color="auto" w:fill="auto"/>
            <w:noWrap/>
            <w:vAlign w:val="center"/>
          </w:tcPr>
          <w:p w14:paraId="60F6217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tcPr>
          <w:p w14:paraId="5D6E475D"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0.88</w:t>
            </w:r>
          </w:p>
        </w:tc>
        <w:tc>
          <w:tcPr>
            <w:tcW w:w="1417" w:type="pct"/>
            <w:tcBorders>
              <w:top w:val="nil"/>
              <w:left w:val="nil"/>
              <w:bottom w:val="nil"/>
              <w:right w:val="nil"/>
            </w:tcBorders>
            <w:shd w:val="clear" w:color="auto" w:fill="auto"/>
            <w:noWrap/>
            <w:vAlign w:val="center"/>
          </w:tcPr>
          <w:p w14:paraId="6AB4AE06"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0.95</w:t>
            </w:r>
          </w:p>
        </w:tc>
        <w:tc>
          <w:tcPr>
            <w:tcW w:w="658" w:type="pct"/>
            <w:tcBorders>
              <w:top w:val="nil"/>
              <w:left w:val="nil"/>
              <w:bottom w:val="nil"/>
              <w:right w:val="nil"/>
            </w:tcBorders>
            <w:shd w:val="clear" w:color="auto" w:fill="auto"/>
            <w:noWrap/>
            <w:vAlign w:val="center"/>
          </w:tcPr>
          <w:p w14:paraId="308503F5"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0.94</w:t>
            </w:r>
          </w:p>
        </w:tc>
      </w:tr>
      <w:tr w:rsidR="00403D2E" w:rsidRPr="00357722" w14:paraId="3C4861E2" w14:textId="77777777" w:rsidTr="00B31D4D">
        <w:trPr>
          <w:trHeight w:val="170"/>
        </w:trPr>
        <w:tc>
          <w:tcPr>
            <w:tcW w:w="821" w:type="pct"/>
            <w:tcBorders>
              <w:top w:val="nil"/>
              <w:left w:val="nil"/>
              <w:bottom w:val="nil"/>
              <w:right w:val="nil"/>
            </w:tcBorders>
            <w:shd w:val="clear" w:color="auto" w:fill="auto"/>
            <w:noWrap/>
            <w:vAlign w:val="bottom"/>
            <w:hideMark/>
          </w:tcPr>
          <w:p w14:paraId="5DBF5776" w14:textId="6773B2A4"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xml:space="preserve">Country </w:t>
            </w:r>
            <w:r w:rsidR="00B31D4D">
              <w:rPr>
                <w:rFonts w:ascii="Times New Roman" w:eastAsia="Times New Roman" w:hAnsi="Times New Roman" w:cs="Times New Roman"/>
                <w:color w:val="000000"/>
                <w:sz w:val="16"/>
                <w:szCs w:val="16"/>
              </w:rPr>
              <w:t xml:space="preserve">fixed </w:t>
            </w:r>
            <w:r w:rsidRPr="00357722">
              <w:rPr>
                <w:rFonts w:ascii="Times New Roman" w:eastAsia="Times New Roman" w:hAnsi="Times New Roman" w:cs="Times New Roman"/>
                <w:color w:val="000000"/>
                <w:sz w:val="16"/>
                <w:szCs w:val="16"/>
              </w:rPr>
              <w:t>effects</w:t>
            </w:r>
          </w:p>
        </w:tc>
        <w:tc>
          <w:tcPr>
            <w:tcW w:w="834" w:type="pct"/>
            <w:tcBorders>
              <w:top w:val="nil"/>
              <w:left w:val="nil"/>
              <w:bottom w:val="nil"/>
              <w:right w:val="nil"/>
            </w:tcBorders>
            <w:shd w:val="clear" w:color="auto" w:fill="auto"/>
            <w:noWrap/>
            <w:vAlign w:val="center"/>
          </w:tcPr>
          <w:p w14:paraId="108B377E"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nil"/>
              <w:right w:val="nil"/>
            </w:tcBorders>
            <w:shd w:val="clear" w:color="auto" w:fill="auto"/>
            <w:noWrap/>
            <w:vAlign w:val="center"/>
            <w:hideMark/>
          </w:tcPr>
          <w:p w14:paraId="47DC8649"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1417" w:type="pct"/>
            <w:tcBorders>
              <w:top w:val="nil"/>
              <w:left w:val="nil"/>
              <w:bottom w:val="nil"/>
              <w:right w:val="nil"/>
            </w:tcBorders>
            <w:shd w:val="clear" w:color="auto" w:fill="auto"/>
            <w:noWrap/>
            <w:vAlign w:val="center"/>
            <w:hideMark/>
          </w:tcPr>
          <w:p w14:paraId="72186A1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658" w:type="pct"/>
            <w:tcBorders>
              <w:top w:val="nil"/>
              <w:left w:val="nil"/>
              <w:bottom w:val="nil"/>
              <w:right w:val="nil"/>
            </w:tcBorders>
            <w:shd w:val="clear" w:color="auto" w:fill="auto"/>
            <w:noWrap/>
            <w:vAlign w:val="center"/>
            <w:hideMark/>
          </w:tcPr>
          <w:p w14:paraId="2DAC0BAB"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r>
      <w:tr w:rsidR="00403D2E" w:rsidRPr="00357722" w14:paraId="3C0588B2" w14:textId="77777777" w:rsidTr="00B31D4D">
        <w:trPr>
          <w:trHeight w:val="170"/>
        </w:trPr>
        <w:tc>
          <w:tcPr>
            <w:tcW w:w="821" w:type="pct"/>
            <w:tcBorders>
              <w:top w:val="nil"/>
              <w:left w:val="nil"/>
              <w:bottom w:val="single" w:sz="4" w:space="0" w:color="auto"/>
              <w:right w:val="nil"/>
            </w:tcBorders>
            <w:shd w:val="clear" w:color="auto" w:fill="auto"/>
            <w:noWrap/>
            <w:vAlign w:val="bottom"/>
            <w:hideMark/>
          </w:tcPr>
          <w:p w14:paraId="3FDFEED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Year fixed effects</w:t>
            </w:r>
          </w:p>
        </w:tc>
        <w:tc>
          <w:tcPr>
            <w:tcW w:w="834" w:type="pct"/>
            <w:tcBorders>
              <w:top w:val="nil"/>
              <w:left w:val="nil"/>
              <w:bottom w:val="single" w:sz="4" w:space="0" w:color="auto"/>
              <w:right w:val="nil"/>
            </w:tcBorders>
            <w:shd w:val="clear" w:color="auto" w:fill="auto"/>
            <w:noWrap/>
            <w:vAlign w:val="center"/>
            <w:hideMark/>
          </w:tcPr>
          <w:p w14:paraId="0CDBBDB4"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p>
        </w:tc>
        <w:tc>
          <w:tcPr>
            <w:tcW w:w="1270" w:type="pct"/>
            <w:tcBorders>
              <w:top w:val="nil"/>
              <w:left w:val="nil"/>
              <w:bottom w:val="single" w:sz="4" w:space="0" w:color="auto"/>
              <w:right w:val="nil"/>
            </w:tcBorders>
            <w:shd w:val="clear" w:color="auto" w:fill="auto"/>
            <w:noWrap/>
            <w:vAlign w:val="center"/>
            <w:hideMark/>
          </w:tcPr>
          <w:p w14:paraId="650949F3"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1417" w:type="pct"/>
            <w:tcBorders>
              <w:top w:val="nil"/>
              <w:left w:val="nil"/>
              <w:bottom w:val="single" w:sz="4" w:space="0" w:color="auto"/>
              <w:right w:val="nil"/>
            </w:tcBorders>
            <w:shd w:val="clear" w:color="auto" w:fill="auto"/>
            <w:noWrap/>
            <w:vAlign w:val="center"/>
            <w:hideMark/>
          </w:tcPr>
          <w:p w14:paraId="3066EBE2"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c>
          <w:tcPr>
            <w:tcW w:w="658" w:type="pct"/>
            <w:tcBorders>
              <w:top w:val="nil"/>
              <w:left w:val="nil"/>
              <w:bottom w:val="single" w:sz="4" w:space="0" w:color="auto"/>
              <w:right w:val="nil"/>
            </w:tcBorders>
            <w:shd w:val="clear" w:color="auto" w:fill="auto"/>
            <w:noWrap/>
            <w:vAlign w:val="center"/>
            <w:hideMark/>
          </w:tcPr>
          <w:p w14:paraId="7774198F" w14:textId="77777777" w:rsidR="00403D2E" w:rsidRPr="00357722" w:rsidRDefault="00403D2E" w:rsidP="00136C48">
            <w:pPr>
              <w:spacing w:after="0" w:line="360" w:lineRule="auto"/>
              <w:jc w:val="both"/>
              <w:rPr>
                <w:rFonts w:ascii="Times New Roman" w:eastAsia="Times New Roman" w:hAnsi="Times New Roman" w:cs="Times New Roman"/>
                <w:color w:val="000000"/>
                <w:sz w:val="16"/>
                <w:szCs w:val="16"/>
              </w:rPr>
            </w:pPr>
            <w:r w:rsidRPr="00357722">
              <w:rPr>
                <w:rFonts w:ascii="Times New Roman" w:hAnsi="Times New Roman" w:cs="Times New Roman"/>
                <w:color w:val="000000"/>
                <w:sz w:val="16"/>
                <w:szCs w:val="16"/>
              </w:rPr>
              <w:t>Yes</w:t>
            </w:r>
          </w:p>
        </w:tc>
      </w:tr>
    </w:tbl>
    <w:p w14:paraId="5370A501" w14:textId="61F05BBC" w:rsidR="002E3D3A" w:rsidRPr="00357722" w:rsidRDefault="0048630B" w:rsidP="00BF6160">
      <w:pPr>
        <w:suppressAutoHyphens/>
        <w:spacing w:after="0"/>
        <w:jc w:val="both"/>
        <w:rPr>
          <w:rFonts w:ascii="Times New Roman" w:eastAsia="Calibri" w:hAnsi="Times New Roman" w:cs="Times New Roman"/>
          <w:sz w:val="16"/>
          <w:szCs w:val="16"/>
          <w:lang w:eastAsia="en-US"/>
        </w:rPr>
      </w:pPr>
      <w:r w:rsidRPr="00357722">
        <w:rPr>
          <w:rFonts w:ascii="Times New Roman" w:eastAsia="Calibri" w:hAnsi="Times New Roman" w:cs="Times New Roman"/>
          <w:sz w:val="18"/>
          <w:szCs w:val="18"/>
          <w:lang w:eastAsia="en-US"/>
        </w:rPr>
        <w:t>Notes: All variables are as defined in Appendix A</w:t>
      </w:r>
      <w:proofErr w:type="gramStart"/>
      <w:r w:rsidRPr="00357722">
        <w:rPr>
          <w:rFonts w:ascii="Times New Roman" w:eastAsia="Calibri" w:hAnsi="Times New Roman" w:cs="Times New Roman"/>
          <w:sz w:val="18"/>
          <w:szCs w:val="18"/>
          <w:lang w:eastAsia="en-US"/>
        </w:rPr>
        <w:t>1.</w:t>
      </w:r>
      <w:r w:rsidR="002E3D3A" w:rsidRPr="00357722">
        <w:rPr>
          <w:rFonts w:ascii="Times New Roman" w:eastAsia="Calibri" w:hAnsi="Times New Roman" w:cs="Times New Roman"/>
          <w:sz w:val="16"/>
          <w:szCs w:val="16"/>
          <w:lang w:eastAsia="en-US"/>
        </w:rPr>
        <w:t>.</w:t>
      </w:r>
      <w:proofErr w:type="gramEnd"/>
      <w:r w:rsidR="002E3D3A" w:rsidRPr="00357722">
        <w:rPr>
          <w:rFonts w:ascii="Times New Roman" w:eastAsia="Calibri" w:hAnsi="Times New Roman" w:cs="Times New Roman"/>
          <w:sz w:val="16"/>
          <w:szCs w:val="16"/>
          <w:lang w:eastAsia="en-US"/>
        </w:rPr>
        <w:t xml:space="preserve"> </w:t>
      </w:r>
      <w:r w:rsidR="002E3D3A" w:rsidRPr="00357722">
        <w:rPr>
          <w:rFonts w:ascii="Times New Roman" w:eastAsia="DFKai-SB" w:hAnsi="Times New Roman" w:cs="Times New Roman"/>
          <w:sz w:val="16"/>
          <w:szCs w:val="16"/>
          <w:lang w:eastAsia="en-US"/>
        </w:rPr>
        <w:t xml:space="preserve">The </w:t>
      </w:r>
      <w:r w:rsidR="002E3D3A" w:rsidRPr="00357722">
        <w:rPr>
          <w:rFonts w:ascii="Times New Roman" w:eastAsia="DFKai-SB" w:hAnsi="Times New Roman" w:cs="Times New Roman"/>
          <w:i/>
          <w:sz w:val="16"/>
          <w:szCs w:val="16"/>
          <w:lang w:eastAsia="en-US"/>
        </w:rPr>
        <w:t>t</w:t>
      </w:r>
      <w:r w:rsidR="002E3D3A" w:rsidRPr="00357722">
        <w:rPr>
          <w:rFonts w:ascii="Times New Roman" w:eastAsia="DFKai-SB" w:hAnsi="Times New Roman" w:cs="Times New Roman"/>
          <w:sz w:val="16"/>
          <w:szCs w:val="16"/>
          <w:lang w:eastAsia="en-US"/>
        </w:rPr>
        <w:t xml:space="preserve">-statistics are robust to heteroscedasticity reported in parentheses, are based on double clustered standard errors (clustering done at the country and year levels). </w:t>
      </w:r>
      <w:r w:rsidR="002E3D3A" w:rsidRPr="00357722">
        <w:rPr>
          <w:rFonts w:ascii="Times New Roman" w:eastAsia="Calibri" w:hAnsi="Times New Roman" w:cs="Times New Roman"/>
          <w:sz w:val="16"/>
          <w:szCs w:val="16"/>
          <w:lang w:eastAsia="en-US"/>
        </w:rPr>
        <w:t xml:space="preserve">For tractable interpretation, all the coefficients are reported as elasticity and the statistical significance is reported against 10% (*), 5% (**) and 1% (***) significance levels respectively. </w:t>
      </w:r>
    </w:p>
    <w:p w14:paraId="15B52200" w14:textId="77777777" w:rsidR="00160E4E" w:rsidRPr="00357722" w:rsidRDefault="00160E4E" w:rsidP="00BF6160">
      <w:pPr>
        <w:suppressAutoHyphens/>
        <w:spacing w:after="0"/>
        <w:jc w:val="both"/>
        <w:rPr>
          <w:rFonts w:ascii="Times New Roman" w:eastAsia="Calibri" w:hAnsi="Times New Roman" w:cs="Times New Roman"/>
          <w:sz w:val="16"/>
          <w:szCs w:val="16"/>
          <w:lang w:eastAsia="en-US"/>
        </w:rPr>
      </w:pPr>
    </w:p>
    <w:p w14:paraId="237708BB" w14:textId="77777777" w:rsidR="002E3D3A" w:rsidRPr="00357722" w:rsidRDefault="002E3D3A" w:rsidP="00403D2E">
      <w:pPr>
        <w:autoSpaceDE w:val="0"/>
        <w:autoSpaceDN w:val="0"/>
        <w:adjustRightInd w:val="0"/>
        <w:spacing w:after="0" w:line="480" w:lineRule="auto"/>
        <w:jc w:val="both"/>
        <w:rPr>
          <w:rFonts w:ascii="Times New Roman" w:hAnsi="Times New Roman" w:cs="Times New Roman"/>
          <w:sz w:val="18"/>
          <w:szCs w:val="18"/>
        </w:rPr>
        <w:sectPr w:rsidR="002E3D3A" w:rsidRPr="00357722" w:rsidSect="00C34896">
          <w:pgSz w:w="11906" w:h="16838"/>
          <w:pgMar w:top="1440" w:right="1440" w:bottom="1440" w:left="993" w:header="708" w:footer="708" w:gutter="0"/>
          <w:cols w:space="708"/>
          <w:docGrid w:linePitch="360"/>
        </w:sectPr>
      </w:pPr>
    </w:p>
    <w:p w14:paraId="6BA00720" w14:textId="109863C0" w:rsidR="00DD6C7F" w:rsidRPr="00357722" w:rsidRDefault="009414ED" w:rsidP="008C7C9D">
      <w:pPr>
        <w:spacing w:after="0"/>
        <w:jc w:val="both"/>
        <w:rPr>
          <w:rFonts w:ascii="Times New Roman" w:hAnsi="Times New Roman" w:cs="Times New Roman"/>
          <w:b/>
          <w:color w:val="000000" w:themeColor="text1"/>
          <w:sz w:val="20"/>
          <w:szCs w:val="20"/>
        </w:rPr>
      </w:pPr>
      <w:r w:rsidRPr="00357722">
        <w:rPr>
          <w:rFonts w:ascii="Times New Roman" w:eastAsia="SimSun" w:hAnsi="Times New Roman" w:cs="Times New Roman"/>
          <w:b/>
          <w:color w:val="000000" w:themeColor="text1"/>
          <w:sz w:val="20"/>
          <w:szCs w:val="20"/>
          <w:lang w:eastAsia="zh-CN"/>
        </w:rPr>
        <w:lastRenderedPageBreak/>
        <w:t xml:space="preserve">Table </w:t>
      </w:r>
      <w:r w:rsidR="00403D2E" w:rsidRPr="00357722">
        <w:rPr>
          <w:rFonts w:ascii="Times New Roman" w:eastAsia="SimSun" w:hAnsi="Times New Roman" w:cs="Times New Roman"/>
          <w:b/>
          <w:color w:val="000000" w:themeColor="text1"/>
          <w:sz w:val="20"/>
          <w:szCs w:val="20"/>
          <w:lang w:eastAsia="zh-CN"/>
        </w:rPr>
        <w:t>6</w:t>
      </w:r>
      <w:r w:rsidRPr="00357722">
        <w:rPr>
          <w:rFonts w:ascii="Times New Roman" w:eastAsia="SimSun" w:hAnsi="Times New Roman" w:cs="Times New Roman"/>
          <w:b/>
          <w:color w:val="000000" w:themeColor="text1"/>
          <w:sz w:val="20"/>
          <w:szCs w:val="20"/>
          <w:lang w:eastAsia="zh-CN"/>
        </w:rPr>
        <w:t>:</w:t>
      </w:r>
      <w:r w:rsidRPr="00357722">
        <w:rPr>
          <w:rFonts w:ascii="Times New Roman" w:eastAsia="SimSun" w:hAnsi="Times New Roman" w:cs="Times New Roman"/>
          <w:color w:val="000000" w:themeColor="text1"/>
          <w:sz w:val="20"/>
          <w:szCs w:val="20"/>
          <w:lang w:eastAsia="zh-CN"/>
        </w:rPr>
        <w:t xml:space="preserve"> T</w:t>
      </w:r>
      <w:r w:rsidRPr="00357722">
        <w:rPr>
          <w:rFonts w:ascii="Times New Roman" w:hAnsi="Times New Roman" w:cs="Times New Roman"/>
          <w:b/>
          <w:color w:val="000000" w:themeColor="text1"/>
          <w:sz w:val="20"/>
          <w:szCs w:val="20"/>
        </w:rPr>
        <w:t>he</w:t>
      </w:r>
      <w:r w:rsidR="001B62C0" w:rsidRPr="00357722">
        <w:rPr>
          <w:rFonts w:ascii="Times New Roman" w:hAnsi="Times New Roman" w:cs="Times New Roman"/>
          <w:b/>
          <w:color w:val="000000" w:themeColor="text1"/>
          <w:sz w:val="20"/>
          <w:szCs w:val="20"/>
        </w:rPr>
        <w:t xml:space="preserve"> </w:t>
      </w:r>
      <w:r w:rsidR="00C655D1">
        <w:rPr>
          <w:rFonts w:ascii="Times New Roman" w:hAnsi="Times New Roman" w:cs="Times New Roman"/>
          <w:b/>
          <w:color w:val="000000" w:themeColor="text1"/>
          <w:sz w:val="20"/>
          <w:szCs w:val="20"/>
        </w:rPr>
        <w:t>effects</w:t>
      </w:r>
      <w:r w:rsidR="001B62C0" w:rsidRPr="00357722">
        <w:rPr>
          <w:rFonts w:ascii="Times New Roman" w:hAnsi="Times New Roman" w:cs="Times New Roman"/>
          <w:b/>
          <w:color w:val="000000" w:themeColor="text1"/>
          <w:sz w:val="20"/>
          <w:szCs w:val="20"/>
        </w:rPr>
        <w:t xml:space="preserve"> of </w:t>
      </w:r>
      <w:r w:rsidR="00574716" w:rsidRPr="00357722">
        <w:rPr>
          <w:rFonts w:ascii="Times New Roman" w:hAnsi="Times New Roman" w:cs="Times New Roman"/>
          <w:b/>
          <w:color w:val="000000" w:themeColor="text1"/>
          <w:sz w:val="20"/>
          <w:szCs w:val="20"/>
        </w:rPr>
        <w:t>economic freedom</w:t>
      </w:r>
      <w:r w:rsidRPr="00357722">
        <w:rPr>
          <w:rFonts w:ascii="Times New Roman" w:hAnsi="Times New Roman" w:cs="Times New Roman"/>
          <w:b/>
          <w:color w:val="000000" w:themeColor="text1"/>
          <w:sz w:val="20"/>
          <w:szCs w:val="20"/>
        </w:rPr>
        <w:t xml:space="preserve"> </w:t>
      </w:r>
      <w:r w:rsidR="001B62C0" w:rsidRPr="00357722">
        <w:rPr>
          <w:rFonts w:ascii="Times New Roman" w:hAnsi="Times New Roman" w:cs="Times New Roman"/>
          <w:b/>
          <w:color w:val="000000" w:themeColor="text1"/>
          <w:sz w:val="20"/>
          <w:szCs w:val="20"/>
        </w:rPr>
        <w:t xml:space="preserve">on financial development </w:t>
      </w:r>
    </w:p>
    <w:tbl>
      <w:tblPr>
        <w:tblW w:w="5000" w:type="pct"/>
        <w:tblLook w:val="04A0" w:firstRow="1" w:lastRow="0" w:firstColumn="1" w:lastColumn="0" w:noHBand="0" w:noVBand="1"/>
      </w:tblPr>
      <w:tblGrid>
        <w:gridCol w:w="2204"/>
        <w:gridCol w:w="2220"/>
        <w:gridCol w:w="3353"/>
        <w:gridCol w:w="1696"/>
      </w:tblGrid>
      <w:tr w:rsidR="00DD6C7F" w:rsidRPr="00357722" w14:paraId="7AF7A53E" w14:textId="77777777" w:rsidTr="0048630B">
        <w:trPr>
          <w:trHeight w:val="255"/>
        </w:trPr>
        <w:tc>
          <w:tcPr>
            <w:tcW w:w="1163" w:type="pct"/>
            <w:tcBorders>
              <w:top w:val="single" w:sz="4" w:space="0" w:color="auto"/>
              <w:left w:val="nil"/>
              <w:bottom w:val="nil"/>
              <w:right w:val="nil"/>
            </w:tcBorders>
            <w:shd w:val="clear" w:color="auto" w:fill="auto"/>
            <w:noWrap/>
            <w:vAlign w:val="bottom"/>
            <w:hideMark/>
          </w:tcPr>
          <w:p w14:paraId="2DD1994C" w14:textId="77777777" w:rsidR="00DD6C7F" w:rsidRPr="00357722" w:rsidRDefault="00DD6C7F" w:rsidP="00543F90">
            <w:pPr>
              <w:spacing w:after="0" w:line="360" w:lineRule="auto"/>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 </w:t>
            </w:r>
          </w:p>
        </w:tc>
        <w:tc>
          <w:tcPr>
            <w:tcW w:w="1172" w:type="pct"/>
            <w:tcBorders>
              <w:top w:val="single" w:sz="4" w:space="0" w:color="auto"/>
              <w:left w:val="nil"/>
              <w:bottom w:val="nil"/>
              <w:right w:val="nil"/>
            </w:tcBorders>
            <w:shd w:val="clear" w:color="auto" w:fill="auto"/>
            <w:noWrap/>
            <w:vAlign w:val="center"/>
            <w:hideMark/>
          </w:tcPr>
          <w:p w14:paraId="5CF2BCCB"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lang w:val="en-US"/>
              </w:rPr>
              <w:t>Model (1)</w:t>
            </w:r>
          </w:p>
        </w:tc>
        <w:tc>
          <w:tcPr>
            <w:tcW w:w="1770" w:type="pct"/>
            <w:tcBorders>
              <w:top w:val="single" w:sz="4" w:space="0" w:color="auto"/>
              <w:left w:val="nil"/>
              <w:bottom w:val="nil"/>
              <w:right w:val="nil"/>
            </w:tcBorders>
            <w:shd w:val="clear" w:color="auto" w:fill="auto"/>
            <w:noWrap/>
            <w:vAlign w:val="center"/>
            <w:hideMark/>
          </w:tcPr>
          <w:p w14:paraId="67419CD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lang w:val="en-US"/>
              </w:rPr>
              <w:t>Model (2)</w:t>
            </w:r>
          </w:p>
        </w:tc>
        <w:tc>
          <w:tcPr>
            <w:tcW w:w="895" w:type="pct"/>
            <w:tcBorders>
              <w:top w:val="single" w:sz="4" w:space="0" w:color="auto"/>
              <w:left w:val="nil"/>
              <w:bottom w:val="nil"/>
              <w:right w:val="nil"/>
            </w:tcBorders>
            <w:shd w:val="clear" w:color="auto" w:fill="auto"/>
            <w:noWrap/>
            <w:vAlign w:val="center"/>
            <w:hideMark/>
          </w:tcPr>
          <w:p w14:paraId="5B2A25C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lang w:val="en-US"/>
              </w:rPr>
              <w:t>Model (3)</w:t>
            </w:r>
          </w:p>
        </w:tc>
      </w:tr>
      <w:tr w:rsidR="00DD6C7F" w:rsidRPr="00357722" w14:paraId="61065B94" w14:textId="77777777" w:rsidTr="0048630B">
        <w:trPr>
          <w:trHeight w:val="255"/>
        </w:trPr>
        <w:tc>
          <w:tcPr>
            <w:tcW w:w="1163" w:type="pct"/>
            <w:tcBorders>
              <w:top w:val="nil"/>
              <w:left w:val="nil"/>
              <w:bottom w:val="single" w:sz="4" w:space="0" w:color="auto"/>
              <w:right w:val="nil"/>
            </w:tcBorders>
            <w:shd w:val="clear" w:color="auto" w:fill="auto"/>
            <w:noWrap/>
            <w:vAlign w:val="bottom"/>
            <w:hideMark/>
          </w:tcPr>
          <w:p w14:paraId="098B41F3" w14:textId="77777777" w:rsidR="00DD6C7F" w:rsidRPr="00357722" w:rsidRDefault="00DD6C7F" w:rsidP="00543F90">
            <w:pPr>
              <w:spacing w:after="0" w:line="360" w:lineRule="auto"/>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Variable</w:t>
            </w:r>
          </w:p>
        </w:tc>
        <w:tc>
          <w:tcPr>
            <w:tcW w:w="1172" w:type="pct"/>
            <w:tcBorders>
              <w:top w:val="nil"/>
              <w:left w:val="nil"/>
              <w:bottom w:val="single" w:sz="4" w:space="0" w:color="auto"/>
              <w:right w:val="nil"/>
            </w:tcBorders>
            <w:shd w:val="clear" w:color="auto" w:fill="auto"/>
            <w:noWrap/>
            <w:vAlign w:val="center"/>
            <w:hideMark/>
          </w:tcPr>
          <w:p w14:paraId="3E6DB5A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lang w:val="en-US"/>
              </w:rPr>
              <w:t>MCGDP</w:t>
            </w:r>
          </w:p>
        </w:tc>
        <w:tc>
          <w:tcPr>
            <w:tcW w:w="1770" w:type="pct"/>
            <w:tcBorders>
              <w:top w:val="nil"/>
              <w:left w:val="nil"/>
              <w:bottom w:val="single" w:sz="4" w:space="0" w:color="auto"/>
              <w:right w:val="nil"/>
            </w:tcBorders>
            <w:shd w:val="clear" w:color="auto" w:fill="auto"/>
            <w:noWrap/>
            <w:vAlign w:val="center"/>
            <w:hideMark/>
          </w:tcPr>
          <w:p w14:paraId="11DED895"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lang w:val="en-US"/>
              </w:rPr>
              <w:t>PSCGDP</w:t>
            </w:r>
          </w:p>
        </w:tc>
        <w:tc>
          <w:tcPr>
            <w:tcW w:w="895" w:type="pct"/>
            <w:tcBorders>
              <w:top w:val="nil"/>
              <w:left w:val="nil"/>
              <w:bottom w:val="single" w:sz="4" w:space="0" w:color="auto"/>
              <w:right w:val="nil"/>
            </w:tcBorders>
            <w:shd w:val="clear" w:color="auto" w:fill="auto"/>
            <w:noWrap/>
            <w:vAlign w:val="center"/>
            <w:hideMark/>
          </w:tcPr>
          <w:p w14:paraId="2D278AD8"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lang w:val="en-US"/>
              </w:rPr>
              <w:t>DCPGDP</w:t>
            </w:r>
          </w:p>
        </w:tc>
      </w:tr>
      <w:tr w:rsidR="00DD6C7F" w:rsidRPr="00357722" w14:paraId="1A0EE56D" w14:textId="77777777" w:rsidTr="0048630B">
        <w:trPr>
          <w:trHeight w:val="20"/>
        </w:trPr>
        <w:tc>
          <w:tcPr>
            <w:tcW w:w="1163" w:type="pct"/>
            <w:tcBorders>
              <w:top w:val="nil"/>
              <w:left w:val="nil"/>
              <w:bottom w:val="nil"/>
              <w:right w:val="nil"/>
            </w:tcBorders>
            <w:shd w:val="clear" w:color="auto" w:fill="auto"/>
            <w:noWrap/>
            <w:vAlign w:val="bottom"/>
            <w:hideMark/>
          </w:tcPr>
          <w:p w14:paraId="4BF4382C" w14:textId="77777777" w:rsidR="00DD6C7F" w:rsidRPr="00357722" w:rsidRDefault="00DD6C7F" w:rsidP="00543F90">
            <w:pPr>
              <w:spacing w:after="0" w:line="360" w:lineRule="auto"/>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IEPD</w:t>
            </w:r>
          </w:p>
        </w:tc>
        <w:tc>
          <w:tcPr>
            <w:tcW w:w="1172" w:type="pct"/>
            <w:tcBorders>
              <w:top w:val="nil"/>
              <w:left w:val="nil"/>
              <w:bottom w:val="nil"/>
              <w:right w:val="nil"/>
            </w:tcBorders>
            <w:shd w:val="clear" w:color="auto" w:fill="auto"/>
            <w:noWrap/>
            <w:vAlign w:val="center"/>
            <w:hideMark/>
          </w:tcPr>
          <w:p w14:paraId="731BD00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0.984***</w:t>
            </w:r>
          </w:p>
        </w:tc>
        <w:tc>
          <w:tcPr>
            <w:tcW w:w="1770" w:type="pct"/>
            <w:tcBorders>
              <w:top w:val="nil"/>
              <w:left w:val="nil"/>
              <w:bottom w:val="nil"/>
              <w:right w:val="nil"/>
            </w:tcBorders>
            <w:shd w:val="clear" w:color="auto" w:fill="auto"/>
            <w:noWrap/>
            <w:vAlign w:val="center"/>
            <w:hideMark/>
          </w:tcPr>
          <w:p w14:paraId="0D090A98"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0.084***</w:t>
            </w:r>
          </w:p>
        </w:tc>
        <w:tc>
          <w:tcPr>
            <w:tcW w:w="895" w:type="pct"/>
            <w:tcBorders>
              <w:top w:val="nil"/>
              <w:left w:val="nil"/>
              <w:bottom w:val="nil"/>
              <w:right w:val="nil"/>
            </w:tcBorders>
            <w:shd w:val="clear" w:color="auto" w:fill="auto"/>
            <w:noWrap/>
            <w:vAlign w:val="center"/>
            <w:hideMark/>
          </w:tcPr>
          <w:p w14:paraId="2EE81F8B"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0.091***</w:t>
            </w:r>
          </w:p>
        </w:tc>
      </w:tr>
      <w:tr w:rsidR="00DD6C7F" w:rsidRPr="00357722" w14:paraId="5D5CFB7F" w14:textId="77777777" w:rsidTr="0048630B">
        <w:trPr>
          <w:trHeight w:val="20"/>
        </w:trPr>
        <w:tc>
          <w:tcPr>
            <w:tcW w:w="1163" w:type="pct"/>
            <w:tcBorders>
              <w:top w:val="nil"/>
              <w:left w:val="nil"/>
              <w:bottom w:val="nil"/>
              <w:right w:val="nil"/>
            </w:tcBorders>
            <w:shd w:val="clear" w:color="auto" w:fill="auto"/>
            <w:noWrap/>
            <w:vAlign w:val="bottom"/>
            <w:hideMark/>
          </w:tcPr>
          <w:p w14:paraId="4884367A" w14:textId="77777777" w:rsidR="00DD6C7F" w:rsidRPr="00357722" w:rsidRDefault="00DD6C7F" w:rsidP="00543F90">
            <w:pPr>
              <w:spacing w:after="0" w:line="360" w:lineRule="auto"/>
              <w:jc w:val="center"/>
              <w:rPr>
                <w:rFonts w:ascii="Times New Roman" w:eastAsia="Times New Roman" w:hAnsi="Times New Roman" w:cs="Times New Roman"/>
                <w:i/>
                <w:iCs/>
                <w:color w:val="000000"/>
                <w:sz w:val="20"/>
                <w:szCs w:val="20"/>
              </w:rPr>
            </w:pPr>
          </w:p>
        </w:tc>
        <w:tc>
          <w:tcPr>
            <w:tcW w:w="1172" w:type="pct"/>
            <w:tcBorders>
              <w:top w:val="nil"/>
              <w:left w:val="nil"/>
              <w:bottom w:val="nil"/>
              <w:right w:val="nil"/>
            </w:tcBorders>
            <w:shd w:val="clear" w:color="auto" w:fill="auto"/>
            <w:noWrap/>
            <w:vAlign w:val="center"/>
            <w:hideMark/>
          </w:tcPr>
          <w:p w14:paraId="132AC2C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(3.80)</w:t>
            </w:r>
          </w:p>
        </w:tc>
        <w:tc>
          <w:tcPr>
            <w:tcW w:w="1770" w:type="pct"/>
            <w:tcBorders>
              <w:top w:val="nil"/>
              <w:left w:val="nil"/>
              <w:bottom w:val="nil"/>
              <w:right w:val="nil"/>
            </w:tcBorders>
            <w:shd w:val="clear" w:color="auto" w:fill="auto"/>
            <w:noWrap/>
            <w:vAlign w:val="center"/>
            <w:hideMark/>
          </w:tcPr>
          <w:p w14:paraId="6A7F520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(4.33)</w:t>
            </w:r>
          </w:p>
        </w:tc>
        <w:tc>
          <w:tcPr>
            <w:tcW w:w="895" w:type="pct"/>
            <w:tcBorders>
              <w:top w:val="nil"/>
              <w:left w:val="nil"/>
              <w:bottom w:val="nil"/>
              <w:right w:val="nil"/>
            </w:tcBorders>
            <w:shd w:val="clear" w:color="auto" w:fill="auto"/>
            <w:noWrap/>
            <w:vAlign w:val="center"/>
            <w:hideMark/>
          </w:tcPr>
          <w:p w14:paraId="317B2C3D"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(4.37)</w:t>
            </w:r>
          </w:p>
        </w:tc>
      </w:tr>
      <w:tr w:rsidR="00DD6C7F" w:rsidRPr="00357722" w14:paraId="2804A123" w14:textId="77777777" w:rsidTr="0048630B">
        <w:trPr>
          <w:trHeight w:val="20"/>
        </w:trPr>
        <w:tc>
          <w:tcPr>
            <w:tcW w:w="1163" w:type="pct"/>
            <w:tcBorders>
              <w:top w:val="nil"/>
              <w:left w:val="nil"/>
              <w:bottom w:val="nil"/>
              <w:right w:val="nil"/>
            </w:tcBorders>
            <w:shd w:val="clear" w:color="auto" w:fill="auto"/>
            <w:noWrap/>
            <w:vAlign w:val="bottom"/>
            <w:hideMark/>
          </w:tcPr>
          <w:p w14:paraId="53292116" w14:textId="605B45A5" w:rsidR="00DD6C7F" w:rsidRPr="00357722" w:rsidRDefault="00095424" w:rsidP="00543F90">
            <w:pPr>
              <w:spacing w:after="0" w:line="360" w:lineRule="auto"/>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E</w:t>
            </w:r>
            <w:r w:rsidR="00DD6C7F" w:rsidRPr="00357722">
              <w:rPr>
                <w:rFonts w:ascii="Times New Roman" w:eastAsia="Times New Roman" w:hAnsi="Times New Roman" w:cs="Times New Roman"/>
                <w:i/>
                <w:iCs/>
                <w:color w:val="000000"/>
                <w:sz w:val="20"/>
                <w:szCs w:val="20"/>
              </w:rPr>
              <w:t>F</w:t>
            </w:r>
          </w:p>
        </w:tc>
        <w:tc>
          <w:tcPr>
            <w:tcW w:w="1172" w:type="pct"/>
            <w:tcBorders>
              <w:top w:val="nil"/>
              <w:left w:val="nil"/>
              <w:bottom w:val="nil"/>
              <w:right w:val="nil"/>
            </w:tcBorders>
            <w:shd w:val="clear" w:color="auto" w:fill="auto"/>
            <w:noWrap/>
            <w:vAlign w:val="center"/>
            <w:hideMark/>
          </w:tcPr>
          <w:p w14:paraId="6BE71CA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1.058**</w:t>
            </w:r>
          </w:p>
        </w:tc>
        <w:tc>
          <w:tcPr>
            <w:tcW w:w="1770" w:type="pct"/>
            <w:tcBorders>
              <w:top w:val="nil"/>
              <w:left w:val="nil"/>
              <w:bottom w:val="nil"/>
              <w:right w:val="nil"/>
            </w:tcBorders>
            <w:shd w:val="clear" w:color="auto" w:fill="auto"/>
            <w:noWrap/>
            <w:vAlign w:val="center"/>
            <w:hideMark/>
          </w:tcPr>
          <w:p w14:paraId="1C4461A8"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0.099**</w:t>
            </w:r>
          </w:p>
        </w:tc>
        <w:tc>
          <w:tcPr>
            <w:tcW w:w="895" w:type="pct"/>
            <w:tcBorders>
              <w:top w:val="nil"/>
              <w:left w:val="nil"/>
              <w:bottom w:val="nil"/>
              <w:right w:val="nil"/>
            </w:tcBorders>
            <w:shd w:val="clear" w:color="auto" w:fill="auto"/>
            <w:noWrap/>
            <w:vAlign w:val="center"/>
            <w:hideMark/>
          </w:tcPr>
          <w:p w14:paraId="06633C15"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0.111**</w:t>
            </w:r>
          </w:p>
        </w:tc>
      </w:tr>
      <w:tr w:rsidR="00DD6C7F" w:rsidRPr="00357722" w14:paraId="6916C8F5" w14:textId="77777777" w:rsidTr="0048630B">
        <w:trPr>
          <w:trHeight w:val="20"/>
        </w:trPr>
        <w:tc>
          <w:tcPr>
            <w:tcW w:w="1163" w:type="pct"/>
            <w:tcBorders>
              <w:top w:val="nil"/>
              <w:left w:val="nil"/>
              <w:bottom w:val="nil"/>
              <w:right w:val="nil"/>
            </w:tcBorders>
            <w:shd w:val="clear" w:color="auto" w:fill="auto"/>
            <w:noWrap/>
            <w:vAlign w:val="bottom"/>
            <w:hideMark/>
          </w:tcPr>
          <w:p w14:paraId="54A67555" w14:textId="77777777" w:rsidR="00DD6C7F" w:rsidRPr="00357722" w:rsidRDefault="00DD6C7F" w:rsidP="00543F90">
            <w:pPr>
              <w:spacing w:after="0" w:line="360" w:lineRule="auto"/>
              <w:jc w:val="center"/>
              <w:rPr>
                <w:rFonts w:ascii="Times New Roman" w:eastAsia="Times New Roman" w:hAnsi="Times New Roman" w:cs="Times New Roman"/>
                <w:i/>
                <w:iCs/>
                <w:color w:val="000000"/>
                <w:sz w:val="20"/>
                <w:szCs w:val="20"/>
              </w:rPr>
            </w:pPr>
          </w:p>
        </w:tc>
        <w:tc>
          <w:tcPr>
            <w:tcW w:w="1172" w:type="pct"/>
            <w:tcBorders>
              <w:top w:val="nil"/>
              <w:left w:val="nil"/>
              <w:bottom w:val="nil"/>
              <w:right w:val="nil"/>
            </w:tcBorders>
            <w:shd w:val="clear" w:color="auto" w:fill="auto"/>
            <w:noWrap/>
            <w:vAlign w:val="center"/>
            <w:hideMark/>
          </w:tcPr>
          <w:p w14:paraId="10F031D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(2.05)</w:t>
            </w:r>
          </w:p>
        </w:tc>
        <w:tc>
          <w:tcPr>
            <w:tcW w:w="1770" w:type="pct"/>
            <w:tcBorders>
              <w:top w:val="nil"/>
              <w:left w:val="nil"/>
              <w:bottom w:val="nil"/>
              <w:right w:val="nil"/>
            </w:tcBorders>
            <w:shd w:val="clear" w:color="auto" w:fill="auto"/>
            <w:noWrap/>
            <w:vAlign w:val="center"/>
            <w:hideMark/>
          </w:tcPr>
          <w:p w14:paraId="69B5F26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(2.38)</w:t>
            </w:r>
          </w:p>
        </w:tc>
        <w:tc>
          <w:tcPr>
            <w:tcW w:w="895" w:type="pct"/>
            <w:tcBorders>
              <w:top w:val="nil"/>
              <w:left w:val="nil"/>
              <w:bottom w:val="nil"/>
              <w:right w:val="nil"/>
            </w:tcBorders>
            <w:shd w:val="clear" w:color="auto" w:fill="auto"/>
            <w:noWrap/>
            <w:vAlign w:val="center"/>
            <w:hideMark/>
          </w:tcPr>
          <w:p w14:paraId="04206030"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(2.55)</w:t>
            </w:r>
          </w:p>
        </w:tc>
      </w:tr>
      <w:tr w:rsidR="00DD6C7F" w:rsidRPr="00357722" w14:paraId="66AA3695" w14:textId="77777777" w:rsidTr="0048630B">
        <w:trPr>
          <w:trHeight w:val="20"/>
        </w:trPr>
        <w:tc>
          <w:tcPr>
            <w:tcW w:w="1163" w:type="pct"/>
            <w:tcBorders>
              <w:top w:val="nil"/>
              <w:left w:val="nil"/>
              <w:bottom w:val="nil"/>
              <w:right w:val="nil"/>
            </w:tcBorders>
            <w:shd w:val="clear" w:color="auto" w:fill="auto"/>
            <w:noWrap/>
            <w:vAlign w:val="bottom"/>
            <w:hideMark/>
          </w:tcPr>
          <w:p w14:paraId="2A284FB3" w14:textId="288BB02C" w:rsidR="00DD6C7F" w:rsidRPr="00357722" w:rsidRDefault="00DD6C7F" w:rsidP="00543F90">
            <w:pPr>
              <w:spacing w:after="0" w:line="360" w:lineRule="auto"/>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 xml:space="preserve">IEPD </w:t>
            </w:r>
            <w:r w:rsidRPr="00357722">
              <w:rPr>
                <w:rFonts w:ascii="Times New Roman" w:eastAsia="Times New Roman" w:hAnsi="Times New Roman" w:cs="Times New Roman"/>
                <w:color w:val="000000"/>
                <w:sz w:val="20"/>
                <w:szCs w:val="20"/>
              </w:rPr>
              <w:t>x</w:t>
            </w:r>
            <w:r w:rsidRPr="00357722">
              <w:rPr>
                <w:rFonts w:ascii="Times New Roman" w:eastAsia="Times New Roman" w:hAnsi="Times New Roman" w:cs="Times New Roman"/>
                <w:i/>
                <w:iCs/>
                <w:color w:val="000000"/>
                <w:sz w:val="20"/>
                <w:szCs w:val="20"/>
              </w:rPr>
              <w:t xml:space="preserve"> </w:t>
            </w:r>
            <w:r w:rsidR="00095424" w:rsidRPr="00357722">
              <w:rPr>
                <w:rFonts w:ascii="Times New Roman" w:eastAsia="Times New Roman" w:hAnsi="Times New Roman" w:cs="Times New Roman"/>
                <w:i/>
                <w:iCs/>
                <w:color w:val="000000"/>
                <w:sz w:val="20"/>
                <w:szCs w:val="20"/>
              </w:rPr>
              <w:t>E</w:t>
            </w:r>
            <w:r w:rsidRPr="00357722">
              <w:rPr>
                <w:rFonts w:ascii="Times New Roman" w:eastAsia="Times New Roman" w:hAnsi="Times New Roman" w:cs="Times New Roman"/>
                <w:i/>
                <w:iCs/>
                <w:color w:val="000000"/>
                <w:sz w:val="20"/>
                <w:szCs w:val="20"/>
              </w:rPr>
              <w:t>F</w:t>
            </w:r>
          </w:p>
        </w:tc>
        <w:tc>
          <w:tcPr>
            <w:tcW w:w="1172" w:type="pct"/>
            <w:tcBorders>
              <w:top w:val="nil"/>
              <w:left w:val="nil"/>
              <w:bottom w:val="nil"/>
              <w:right w:val="nil"/>
            </w:tcBorders>
            <w:shd w:val="clear" w:color="auto" w:fill="auto"/>
            <w:noWrap/>
            <w:vAlign w:val="center"/>
            <w:hideMark/>
          </w:tcPr>
          <w:p w14:paraId="678640B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0.185</w:t>
            </w:r>
          </w:p>
        </w:tc>
        <w:tc>
          <w:tcPr>
            <w:tcW w:w="1770" w:type="pct"/>
            <w:tcBorders>
              <w:top w:val="nil"/>
              <w:left w:val="nil"/>
              <w:bottom w:val="nil"/>
              <w:right w:val="nil"/>
            </w:tcBorders>
            <w:shd w:val="clear" w:color="auto" w:fill="auto"/>
            <w:noWrap/>
            <w:vAlign w:val="center"/>
            <w:hideMark/>
          </w:tcPr>
          <w:p w14:paraId="246CCF1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0.032***</w:t>
            </w:r>
          </w:p>
        </w:tc>
        <w:tc>
          <w:tcPr>
            <w:tcW w:w="895" w:type="pct"/>
            <w:tcBorders>
              <w:top w:val="nil"/>
              <w:left w:val="nil"/>
              <w:bottom w:val="nil"/>
              <w:right w:val="nil"/>
            </w:tcBorders>
            <w:shd w:val="clear" w:color="auto" w:fill="auto"/>
            <w:noWrap/>
            <w:vAlign w:val="center"/>
            <w:hideMark/>
          </w:tcPr>
          <w:p w14:paraId="7D52A5A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0.035***</w:t>
            </w:r>
          </w:p>
        </w:tc>
      </w:tr>
      <w:tr w:rsidR="00DD6C7F" w:rsidRPr="00357722" w14:paraId="09A8F326" w14:textId="77777777" w:rsidTr="0048630B">
        <w:trPr>
          <w:trHeight w:val="20"/>
        </w:trPr>
        <w:tc>
          <w:tcPr>
            <w:tcW w:w="1163" w:type="pct"/>
            <w:tcBorders>
              <w:top w:val="nil"/>
              <w:left w:val="nil"/>
              <w:bottom w:val="nil"/>
              <w:right w:val="nil"/>
            </w:tcBorders>
            <w:shd w:val="clear" w:color="auto" w:fill="auto"/>
            <w:noWrap/>
            <w:vAlign w:val="bottom"/>
            <w:hideMark/>
          </w:tcPr>
          <w:p w14:paraId="2AFCEB70" w14:textId="77777777" w:rsidR="00DD6C7F" w:rsidRPr="00357722" w:rsidRDefault="00DD6C7F" w:rsidP="00543F90">
            <w:pPr>
              <w:spacing w:after="0" w:line="360" w:lineRule="auto"/>
              <w:jc w:val="center"/>
              <w:rPr>
                <w:rFonts w:ascii="Times New Roman" w:eastAsia="Times New Roman" w:hAnsi="Times New Roman" w:cs="Times New Roman"/>
                <w:i/>
                <w:iCs/>
                <w:color w:val="000000"/>
                <w:sz w:val="20"/>
                <w:szCs w:val="20"/>
              </w:rPr>
            </w:pPr>
          </w:p>
        </w:tc>
        <w:tc>
          <w:tcPr>
            <w:tcW w:w="1172" w:type="pct"/>
            <w:tcBorders>
              <w:top w:val="nil"/>
              <w:left w:val="nil"/>
              <w:bottom w:val="nil"/>
              <w:right w:val="nil"/>
            </w:tcBorders>
            <w:shd w:val="clear" w:color="auto" w:fill="auto"/>
            <w:noWrap/>
            <w:vAlign w:val="center"/>
            <w:hideMark/>
          </w:tcPr>
          <w:p w14:paraId="43E1047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(1.18)</w:t>
            </w:r>
          </w:p>
        </w:tc>
        <w:tc>
          <w:tcPr>
            <w:tcW w:w="1770" w:type="pct"/>
            <w:tcBorders>
              <w:top w:val="nil"/>
              <w:left w:val="nil"/>
              <w:bottom w:val="nil"/>
              <w:right w:val="nil"/>
            </w:tcBorders>
            <w:shd w:val="clear" w:color="auto" w:fill="auto"/>
            <w:noWrap/>
            <w:vAlign w:val="center"/>
            <w:hideMark/>
          </w:tcPr>
          <w:p w14:paraId="2A7484AC"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(2.71)</w:t>
            </w:r>
          </w:p>
        </w:tc>
        <w:tc>
          <w:tcPr>
            <w:tcW w:w="895" w:type="pct"/>
            <w:tcBorders>
              <w:top w:val="nil"/>
              <w:left w:val="nil"/>
              <w:bottom w:val="nil"/>
              <w:right w:val="nil"/>
            </w:tcBorders>
            <w:shd w:val="clear" w:color="auto" w:fill="auto"/>
            <w:noWrap/>
            <w:vAlign w:val="center"/>
            <w:hideMark/>
          </w:tcPr>
          <w:p w14:paraId="53128C9B"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(2.73)</w:t>
            </w:r>
          </w:p>
        </w:tc>
      </w:tr>
      <w:tr w:rsidR="00DD6C7F" w:rsidRPr="00357722" w14:paraId="0EECA472" w14:textId="77777777" w:rsidTr="0048630B">
        <w:trPr>
          <w:trHeight w:val="20"/>
        </w:trPr>
        <w:tc>
          <w:tcPr>
            <w:tcW w:w="1163" w:type="pct"/>
            <w:tcBorders>
              <w:top w:val="nil"/>
              <w:left w:val="nil"/>
              <w:bottom w:val="nil"/>
              <w:right w:val="nil"/>
            </w:tcBorders>
            <w:shd w:val="clear" w:color="auto" w:fill="auto"/>
            <w:noWrap/>
            <w:vAlign w:val="center"/>
            <w:hideMark/>
          </w:tcPr>
          <w:p w14:paraId="3184AE4E" w14:textId="775240B4" w:rsidR="00DD6C7F" w:rsidRPr="00357722" w:rsidRDefault="008857A2"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FSDGDP</w:t>
            </w:r>
          </w:p>
        </w:tc>
        <w:tc>
          <w:tcPr>
            <w:tcW w:w="1172" w:type="pct"/>
            <w:tcBorders>
              <w:top w:val="nil"/>
              <w:left w:val="nil"/>
              <w:bottom w:val="nil"/>
              <w:right w:val="nil"/>
            </w:tcBorders>
            <w:shd w:val="clear" w:color="auto" w:fill="auto"/>
            <w:noWrap/>
            <w:vAlign w:val="center"/>
            <w:hideMark/>
          </w:tcPr>
          <w:p w14:paraId="4A1FB456"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0.016</w:t>
            </w:r>
          </w:p>
        </w:tc>
        <w:tc>
          <w:tcPr>
            <w:tcW w:w="1770" w:type="pct"/>
            <w:tcBorders>
              <w:top w:val="nil"/>
              <w:left w:val="nil"/>
              <w:bottom w:val="nil"/>
              <w:right w:val="nil"/>
            </w:tcBorders>
            <w:shd w:val="clear" w:color="auto" w:fill="auto"/>
            <w:noWrap/>
            <w:vAlign w:val="center"/>
            <w:hideMark/>
          </w:tcPr>
          <w:p w14:paraId="3D56247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0.007***</w:t>
            </w:r>
          </w:p>
        </w:tc>
        <w:tc>
          <w:tcPr>
            <w:tcW w:w="895" w:type="pct"/>
            <w:tcBorders>
              <w:top w:val="nil"/>
              <w:left w:val="nil"/>
              <w:bottom w:val="nil"/>
              <w:right w:val="nil"/>
            </w:tcBorders>
            <w:shd w:val="clear" w:color="auto" w:fill="auto"/>
            <w:noWrap/>
            <w:vAlign w:val="center"/>
            <w:hideMark/>
          </w:tcPr>
          <w:p w14:paraId="2CC14E7C"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0.005***</w:t>
            </w:r>
          </w:p>
        </w:tc>
      </w:tr>
      <w:tr w:rsidR="00DD6C7F" w:rsidRPr="00357722" w14:paraId="0F77C4D2" w14:textId="77777777" w:rsidTr="0048630B">
        <w:trPr>
          <w:trHeight w:val="20"/>
        </w:trPr>
        <w:tc>
          <w:tcPr>
            <w:tcW w:w="1163" w:type="pct"/>
            <w:tcBorders>
              <w:top w:val="nil"/>
              <w:left w:val="nil"/>
              <w:bottom w:val="nil"/>
              <w:right w:val="nil"/>
            </w:tcBorders>
            <w:shd w:val="clear" w:color="auto" w:fill="auto"/>
            <w:noWrap/>
            <w:vAlign w:val="bottom"/>
            <w:hideMark/>
          </w:tcPr>
          <w:p w14:paraId="276D6223" w14:textId="77777777" w:rsidR="00DD6C7F" w:rsidRPr="00357722" w:rsidRDefault="00DD6C7F" w:rsidP="00543F90">
            <w:pPr>
              <w:spacing w:after="0" w:line="360" w:lineRule="auto"/>
              <w:jc w:val="center"/>
              <w:rPr>
                <w:rFonts w:ascii="Times New Roman" w:eastAsia="Times New Roman" w:hAnsi="Times New Roman" w:cs="Times New Roman"/>
                <w:i/>
                <w:iCs/>
                <w:color w:val="000000"/>
                <w:sz w:val="20"/>
                <w:szCs w:val="20"/>
              </w:rPr>
            </w:pPr>
          </w:p>
        </w:tc>
        <w:tc>
          <w:tcPr>
            <w:tcW w:w="1172" w:type="pct"/>
            <w:tcBorders>
              <w:top w:val="nil"/>
              <w:left w:val="nil"/>
              <w:bottom w:val="nil"/>
              <w:right w:val="nil"/>
            </w:tcBorders>
            <w:shd w:val="clear" w:color="auto" w:fill="auto"/>
            <w:noWrap/>
            <w:vAlign w:val="center"/>
            <w:hideMark/>
          </w:tcPr>
          <w:p w14:paraId="2A5A9F7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(1.39)</w:t>
            </w:r>
          </w:p>
        </w:tc>
        <w:tc>
          <w:tcPr>
            <w:tcW w:w="1770" w:type="pct"/>
            <w:tcBorders>
              <w:top w:val="nil"/>
              <w:left w:val="nil"/>
              <w:bottom w:val="nil"/>
              <w:right w:val="nil"/>
            </w:tcBorders>
            <w:shd w:val="clear" w:color="auto" w:fill="auto"/>
            <w:noWrap/>
            <w:vAlign w:val="center"/>
            <w:hideMark/>
          </w:tcPr>
          <w:p w14:paraId="71A3C43C"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(7.84)</w:t>
            </w:r>
          </w:p>
        </w:tc>
        <w:tc>
          <w:tcPr>
            <w:tcW w:w="895" w:type="pct"/>
            <w:tcBorders>
              <w:top w:val="nil"/>
              <w:left w:val="nil"/>
              <w:bottom w:val="nil"/>
              <w:right w:val="nil"/>
            </w:tcBorders>
            <w:shd w:val="clear" w:color="auto" w:fill="auto"/>
            <w:noWrap/>
            <w:vAlign w:val="center"/>
            <w:hideMark/>
          </w:tcPr>
          <w:p w14:paraId="32AC1A40"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(5.05)</w:t>
            </w:r>
          </w:p>
        </w:tc>
      </w:tr>
      <w:tr w:rsidR="00DD6C7F" w:rsidRPr="00357722" w14:paraId="2B164B4F" w14:textId="77777777" w:rsidTr="0048630B">
        <w:trPr>
          <w:trHeight w:val="20"/>
        </w:trPr>
        <w:tc>
          <w:tcPr>
            <w:tcW w:w="1163" w:type="pct"/>
            <w:tcBorders>
              <w:top w:val="nil"/>
              <w:left w:val="nil"/>
              <w:bottom w:val="nil"/>
              <w:right w:val="nil"/>
            </w:tcBorders>
            <w:shd w:val="clear" w:color="auto" w:fill="auto"/>
            <w:noWrap/>
            <w:vAlign w:val="center"/>
            <w:hideMark/>
          </w:tcPr>
          <w:p w14:paraId="00C66F47"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FINOPEN</w:t>
            </w:r>
          </w:p>
        </w:tc>
        <w:tc>
          <w:tcPr>
            <w:tcW w:w="1172" w:type="pct"/>
            <w:tcBorders>
              <w:top w:val="nil"/>
              <w:left w:val="nil"/>
              <w:bottom w:val="nil"/>
              <w:right w:val="nil"/>
            </w:tcBorders>
            <w:shd w:val="clear" w:color="auto" w:fill="auto"/>
            <w:noWrap/>
            <w:vAlign w:val="center"/>
            <w:hideMark/>
          </w:tcPr>
          <w:p w14:paraId="57A7B91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-0.334</w:t>
            </w:r>
          </w:p>
        </w:tc>
        <w:tc>
          <w:tcPr>
            <w:tcW w:w="1770" w:type="pct"/>
            <w:tcBorders>
              <w:top w:val="nil"/>
              <w:left w:val="nil"/>
              <w:bottom w:val="nil"/>
              <w:right w:val="nil"/>
            </w:tcBorders>
            <w:shd w:val="clear" w:color="auto" w:fill="auto"/>
            <w:noWrap/>
            <w:vAlign w:val="center"/>
            <w:hideMark/>
          </w:tcPr>
          <w:p w14:paraId="5875112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-0.006</w:t>
            </w:r>
          </w:p>
        </w:tc>
        <w:tc>
          <w:tcPr>
            <w:tcW w:w="895" w:type="pct"/>
            <w:tcBorders>
              <w:top w:val="nil"/>
              <w:left w:val="nil"/>
              <w:bottom w:val="nil"/>
              <w:right w:val="nil"/>
            </w:tcBorders>
            <w:shd w:val="clear" w:color="auto" w:fill="auto"/>
            <w:noWrap/>
            <w:vAlign w:val="center"/>
            <w:hideMark/>
          </w:tcPr>
          <w:p w14:paraId="1E1F1FDE"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-0.018</w:t>
            </w:r>
          </w:p>
        </w:tc>
      </w:tr>
      <w:tr w:rsidR="00DD6C7F" w:rsidRPr="00357722" w14:paraId="7A64A56B" w14:textId="77777777" w:rsidTr="0048630B">
        <w:trPr>
          <w:trHeight w:val="20"/>
        </w:trPr>
        <w:tc>
          <w:tcPr>
            <w:tcW w:w="1163" w:type="pct"/>
            <w:tcBorders>
              <w:top w:val="nil"/>
              <w:left w:val="nil"/>
              <w:bottom w:val="nil"/>
              <w:right w:val="nil"/>
            </w:tcBorders>
            <w:shd w:val="clear" w:color="auto" w:fill="auto"/>
            <w:noWrap/>
            <w:vAlign w:val="bottom"/>
            <w:hideMark/>
          </w:tcPr>
          <w:p w14:paraId="1153F05E"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5C38F16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(-1.44)</w:t>
            </w:r>
          </w:p>
        </w:tc>
        <w:tc>
          <w:tcPr>
            <w:tcW w:w="1770" w:type="pct"/>
            <w:tcBorders>
              <w:top w:val="nil"/>
              <w:left w:val="nil"/>
              <w:bottom w:val="nil"/>
              <w:right w:val="nil"/>
            </w:tcBorders>
            <w:shd w:val="clear" w:color="auto" w:fill="auto"/>
            <w:noWrap/>
            <w:vAlign w:val="center"/>
            <w:hideMark/>
          </w:tcPr>
          <w:p w14:paraId="0F910F07"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(-0.45)</w:t>
            </w:r>
          </w:p>
        </w:tc>
        <w:tc>
          <w:tcPr>
            <w:tcW w:w="895" w:type="pct"/>
            <w:tcBorders>
              <w:top w:val="nil"/>
              <w:left w:val="nil"/>
              <w:bottom w:val="nil"/>
              <w:right w:val="nil"/>
            </w:tcBorders>
            <w:shd w:val="clear" w:color="auto" w:fill="auto"/>
            <w:noWrap/>
            <w:vAlign w:val="center"/>
            <w:hideMark/>
          </w:tcPr>
          <w:p w14:paraId="4AFA2B87"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(-1.27)</w:t>
            </w:r>
          </w:p>
        </w:tc>
      </w:tr>
      <w:tr w:rsidR="00DD6C7F" w:rsidRPr="00357722" w14:paraId="37F2CCCA" w14:textId="77777777" w:rsidTr="0048630B">
        <w:trPr>
          <w:trHeight w:val="20"/>
        </w:trPr>
        <w:tc>
          <w:tcPr>
            <w:tcW w:w="1163" w:type="pct"/>
            <w:tcBorders>
              <w:top w:val="nil"/>
              <w:left w:val="nil"/>
              <w:bottom w:val="nil"/>
              <w:right w:val="nil"/>
            </w:tcBorders>
            <w:shd w:val="clear" w:color="auto" w:fill="auto"/>
            <w:noWrap/>
            <w:vAlign w:val="center"/>
            <w:hideMark/>
          </w:tcPr>
          <w:p w14:paraId="022AEFBD"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LAWNO</w:t>
            </w:r>
          </w:p>
        </w:tc>
        <w:tc>
          <w:tcPr>
            <w:tcW w:w="1172" w:type="pct"/>
            <w:tcBorders>
              <w:top w:val="nil"/>
              <w:left w:val="nil"/>
              <w:bottom w:val="nil"/>
              <w:right w:val="nil"/>
            </w:tcBorders>
            <w:shd w:val="clear" w:color="auto" w:fill="auto"/>
            <w:noWrap/>
            <w:vAlign w:val="center"/>
            <w:hideMark/>
          </w:tcPr>
          <w:p w14:paraId="443BCE7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0.602**</w:t>
            </w:r>
          </w:p>
        </w:tc>
        <w:tc>
          <w:tcPr>
            <w:tcW w:w="1770" w:type="pct"/>
            <w:tcBorders>
              <w:top w:val="nil"/>
              <w:left w:val="nil"/>
              <w:bottom w:val="nil"/>
              <w:right w:val="nil"/>
            </w:tcBorders>
            <w:shd w:val="clear" w:color="auto" w:fill="auto"/>
            <w:noWrap/>
            <w:vAlign w:val="center"/>
            <w:hideMark/>
          </w:tcPr>
          <w:p w14:paraId="456DB7C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0.007</w:t>
            </w:r>
          </w:p>
        </w:tc>
        <w:tc>
          <w:tcPr>
            <w:tcW w:w="895" w:type="pct"/>
            <w:tcBorders>
              <w:top w:val="nil"/>
              <w:left w:val="nil"/>
              <w:bottom w:val="nil"/>
              <w:right w:val="nil"/>
            </w:tcBorders>
            <w:shd w:val="clear" w:color="auto" w:fill="auto"/>
            <w:noWrap/>
            <w:vAlign w:val="center"/>
            <w:hideMark/>
          </w:tcPr>
          <w:p w14:paraId="1D2F3AE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0.010</w:t>
            </w:r>
          </w:p>
        </w:tc>
      </w:tr>
      <w:tr w:rsidR="00DD6C7F" w:rsidRPr="00357722" w14:paraId="15B03D75" w14:textId="77777777" w:rsidTr="0048630B">
        <w:trPr>
          <w:trHeight w:val="20"/>
        </w:trPr>
        <w:tc>
          <w:tcPr>
            <w:tcW w:w="1163" w:type="pct"/>
            <w:tcBorders>
              <w:top w:val="nil"/>
              <w:left w:val="nil"/>
              <w:bottom w:val="nil"/>
              <w:right w:val="nil"/>
            </w:tcBorders>
            <w:shd w:val="clear" w:color="auto" w:fill="auto"/>
            <w:noWrap/>
            <w:vAlign w:val="bottom"/>
            <w:hideMark/>
          </w:tcPr>
          <w:p w14:paraId="78A72F4E"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40CEBFF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(2.15)</w:t>
            </w:r>
          </w:p>
        </w:tc>
        <w:tc>
          <w:tcPr>
            <w:tcW w:w="1770" w:type="pct"/>
            <w:tcBorders>
              <w:top w:val="nil"/>
              <w:left w:val="nil"/>
              <w:bottom w:val="nil"/>
              <w:right w:val="nil"/>
            </w:tcBorders>
            <w:shd w:val="clear" w:color="auto" w:fill="auto"/>
            <w:noWrap/>
            <w:vAlign w:val="center"/>
            <w:hideMark/>
          </w:tcPr>
          <w:p w14:paraId="56A65D16"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(0.48)</w:t>
            </w:r>
          </w:p>
        </w:tc>
        <w:tc>
          <w:tcPr>
            <w:tcW w:w="895" w:type="pct"/>
            <w:tcBorders>
              <w:top w:val="nil"/>
              <w:left w:val="nil"/>
              <w:bottom w:val="nil"/>
              <w:right w:val="nil"/>
            </w:tcBorders>
            <w:shd w:val="clear" w:color="auto" w:fill="auto"/>
            <w:noWrap/>
            <w:vAlign w:val="center"/>
            <w:hideMark/>
          </w:tcPr>
          <w:p w14:paraId="474DFB58"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(0.61)</w:t>
            </w:r>
          </w:p>
        </w:tc>
      </w:tr>
      <w:tr w:rsidR="00DD6C7F" w:rsidRPr="00357722" w14:paraId="0FAEC4D8" w14:textId="77777777" w:rsidTr="0048630B">
        <w:trPr>
          <w:trHeight w:val="20"/>
        </w:trPr>
        <w:tc>
          <w:tcPr>
            <w:tcW w:w="1163" w:type="pct"/>
            <w:tcBorders>
              <w:top w:val="nil"/>
              <w:left w:val="nil"/>
              <w:bottom w:val="nil"/>
              <w:right w:val="nil"/>
            </w:tcBorders>
            <w:shd w:val="clear" w:color="auto" w:fill="auto"/>
            <w:noWrap/>
            <w:vAlign w:val="center"/>
            <w:hideMark/>
          </w:tcPr>
          <w:p w14:paraId="253266DB"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POPG</w:t>
            </w:r>
          </w:p>
        </w:tc>
        <w:tc>
          <w:tcPr>
            <w:tcW w:w="1172" w:type="pct"/>
            <w:tcBorders>
              <w:top w:val="nil"/>
              <w:left w:val="nil"/>
              <w:bottom w:val="nil"/>
              <w:right w:val="nil"/>
            </w:tcBorders>
            <w:shd w:val="clear" w:color="auto" w:fill="auto"/>
            <w:noWrap/>
            <w:vAlign w:val="center"/>
            <w:hideMark/>
          </w:tcPr>
          <w:p w14:paraId="19A09FA0"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-0.301</w:t>
            </w:r>
          </w:p>
        </w:tc>
        <w:tc>
          <w:tcPr>
            <w:tcW w:w="1770" w:type="pct"/>
            <w:tcBorders>
              <w:top w:val="nil"/>
              <w:left w:val="nil"/>
              <w:bottom w:val="nil"/>
              <w:right w:val="nil"/>
            </w:tcBorders>
            <w:shd w:val="clear" w:color="auto" w:fill="auto"/>
            <w:noWrap/>
            <w:vAlign w:val="center"/>
            <w:hideMark/>
          </w:tcPr>
          <w:p w14:paraId="42187C37"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0.044*</w:t>
            </w:r>
          </w:p>
        </w:tc>
        <w:tc>
          <w:tcPr>
            <w:tcW w:w="895" w:type="pct"/>
            <w:tcBorders>
              <w:top w:val="nil"/>
              <w:left w:val="nil"/>
              <w:bottom w:val="nil"/>
              <w:right w:val="nil"/>
            </w:tcBorders>
            <w:shd w:val="clear" w:color="auto" w:fill="auto"/>
            <w:noWrap/>
            <w:vAlign w:val="center"/>
            <w:hideMark/>
          </w:tcPr>
          <w:p w14:paraId="4062219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0.062**</w:t>
            </w:r>
          </w:p>
        </w:tc>
      </w:tr>
      <w:tr w:rsidR="00DD6C7F" w:rsidRPr="00357722" w14:paraId="3A2EA31F" w14:textId="77777777" w:rsidTr="0048630B">
        <w:trPr>
          <w:trHeight w:val="20"/>
        </w:trPr>
        <w:tc>
          <w:tcPr>
            <w:tcW w:w="1163" w:type="pct"/>
            <w:tcBorders>
              <w:top w:val="nil"/>
              <w:left w:val="nil"/>
              <w:bottom w:val="nil"/>
              <w:right w:val="nil"/>
            </w:tcBorders>
            <w:shd w:val="clear" w:color="auto" w:fill="auto"/>
            <w:noWrap/>
            <w:vAlign w:val="bottom"/>
            <w:hideMark/>
          </w:tcPr>
          <w:p w14:paraId="3EC24E0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3F38989E"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(-1.41)</w:t>
            </w:r>
          </w:p>
        </w:tc>
        <w:tc>
          <w:tcPr>
            <w:tcW w:w="1770" w:type="pct"/>
            <w:tcBorders>
              <w:top w:val="nil"/>
              <w:left w:val="nil"/>
              <w:bottom w:val="nil"/>
              <w:right w:val="nil"/>
            </w:tcBorders>
            <w:shd w:val="clear" w:color="auto" w:fill="auto"/>
            <w:noWrap/>
            <w:vAlign w:val="center"/>
            <w:hideMark/>
          </w:tcPr>
          <w:p w14:paraId="7943CE1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(1.93)</w:t>
            </w:r>
          </w:p>
        </w:tc>
        <w:tc>
          <w:tcPr>
            <w:tcW w:w="895" w:type="pct"/>
            <w:tcBorders>
              <w:top w:val="nil"/>
              <w:left w:val="nil"/>
              <w:bottom w:val="nil"/>
              <w:right w:val="nil"/>
            </w:tcBorders>
            <w:shd w:val="clear" w:color="auto" w:fill="auto"/>
            <w:noWrap/>
            <w:vAlign w:val="center"/>
            <w:hideMark/>
          </w:tcPr>
          <w:p w14:paraId="39457F3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(2.38)</w:t>
            </w:r>
          </w:p>
        </w:tc>
      </w:tr>
      <w:tr w:rsidR="00DD6C7F" w:rsidRPr="00357722" w14:paraId="26226F30" w14:textId="77777777" w:rsidTr="0048630B">
        <w:trPr>
          <w:trHeight w:val="20"/>
        </w:trPr>
        <w:tc>
          <w:tcPr>
            <w:tcW w:w="1163" w:type="pct"/>
            <w:tcBorders>
              <w:top w:val="nil"/>
              <w:left w:val="nil"/>
              <w:bottom w:val="nil"/>
              <w:right w:val="nil"/>
            </w:tcBorders>
            <w:shd w:val="clear" w:color="auto" w:fill="auto"/>
            <w:noWrap/>
            <w:vAlign w:val="center"/>
            <w:hideMark/>
          </w:tcPr>
          <w:p w14:paraId="2A34A7F1"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GDPG</w:t>
            </w:r>
          </w:p>
        </w:tc>
        <w:tc>
          <w:tcPr>
            <w:tcW w:w="1172" w:type="pct"/>
            <w:tcBorders>
              <w:top w:val="nil"/>
              <w:left w:val="nil"/>
              <w:bottom w:val="nil"/>
              <w:right w:val="nil"/>
            </w:tcBorders>
            <w:shd w:val="clear" w:color="auto" w:fill="auto"/>
            <w:noWrap/>
            <w:vAlign w:val="center"/>
            <w:hideMark/>
          </w:tcPr>
          <w:p w14:paraId="411B8D8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0.098***</w:t>
            </w:r>
          </w:p>
        </w:tc>
        <w:tc>
          <w:tcPr>
            <w:tcW w:w="1770" w:type="pct"/>
            <w:tcBorders>
              <w:top w:val="nil"/>
              <w:left w:val="nil"/>
              <w:bottom w:val="nil"/>
              <w:right w:val="nil"/>
            </w:tcBorders>
            <w:shd w:val="clear" w:color="auto" w:fill="auto"/>
            <w:noWrap/>
            <w:vAlign w:val="center"/>
            <w:hideMark/>
          </w:tcPr>
          <w:p w14:paraId="59128BF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-0.014***</w:t>
            </w:r>
          </w:p>
        </w:tc>
        <w:tc>
          <w:tcPr>
            <w:tcW w:w="895" w:type="pct"/>
            <w:tcBorders>
              <w:top w:val="nil"/>
              <w:left w:val="nil"/>
              <w:bottom w:val="nil"/>
              <w:right w:val="nil"/>
            </w:tcBorders>
            <w:shd w:val="clear" w:color="auto" w:fill="auto"/>
            <w:noWrap/>
            <w:vAlign w:val="center"/>
            <w:hideMark/>
          </w:tcPr>
          <w:p w14:paraId="378FE3C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-0.014***</w:t>
            </w:r>
          </w:p>
        </w:tc>
      </w:tr>
      <w:tr w:rsidR="00DD6C7F" w:rsidRPr="00357722" w14:paraId="4D52B985" w14:textId="77777777" w:rsidTr="0048630B">
        <w:trPr>
          <w:trHeight w:val="20"/>
        </w:trPr>
        <w:tc>
          <w:tcPr>
            <w:tcW w:w="1163" w:type="pct"/>
            <w:tcBorders>
              <w:top w:val="nil"/>
              <w:left w:val="nil"/>
              <w:bottom w:val="nil"/>
              <w:right w:val="nil"/>
            </w:tcBorders>
            <w:shd w:val="clear" w:color="auto" w:fill="auto"/>
            <w:noWrap/>
            <w:vAlign w:val="bottom"/>
            <w:hideMark/>
          </w:tcPr>
          <w:p w14:paraId="12103DC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141E1398"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(2.67)</w:t>
            </w:r>
          </w:p>
        </w:tc>
        <w:tc>
          <w:tcPr>
            <w:tcW w:w="1770" w:type="pct"/>
            <w:tcBorders>
              <w:top w:val="nil"/>
              <w:left w:val="nil"/>
              <w:bottom w:val="nil"/>
              <w:right w:val="nil"/>
            </w:tcBorders>
            <w:shd w:val="clear" w:color="auto" w:fill="auto"/>
            <w:noWrap/>
            <w:vAlign w:val="center"/>
            <w:hideMark/>
          </w:tcPr>
          <w:p w14:paraId="60E2791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(-7.01)</w:t>
            </w:r>
          </w:p>
        </w:tc>
        <w:tc>
          <w:tcPr>
            <w:tcW w:w="895" w:type="pct"/>
            <w:tcBorders>
              <w:top w:val="nil"/>
              <w:left w:val="nil"/>
              <w:bottom w:val="nil"/>
              <w:right w:val="nil"/>
            </w:tcBorders>
            <w:shd w:val="clear" w:color="auto" w:fill="auto"/>
            <w:noWrap/>
            <w:vAlign w:val="center"/>
            <w:hideMark/>
          </w:tcPr>
          <w:p w14:paraId="6B4B92FC"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(-6.18)</w:t>
            </w:r>
          </w:p>
        </w:tc>
      </w:tr>
      <w:tr w:rsidR="00DD6C7F" w:rsidRPr="00357722" w14:paraId="0563B663" w14:textId="77777777" w:rsidTr="0048630B">
        <w:trPr>
          <w:trHeight w:val="20"/>
        </w:trPr>
        <w:tc>
          <w:tcPr>
            <w:tcW w:w="1163" w:type="pct"/>
            <w:tcBorders>
              <w:top w:val="nil"/>
              <w:left w:val="nil"/>
              <w:bottom w:val="nil"/>
              <w:right w:val="nil"/>
            </w:tcBorders>
            <w:shd w:val="clear" w:color="auto" w:fill="auto"/>
            <w:noWrap/>
            <w:vAlign w:val="center"/>
            <w:hideMark/>
          </w:tcPr>
          <w:p w14:paraId="79A3F369"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INFL</w:t>
            </w:r>
          </w:p>
        </w:tc>
        <w:tc>
          <w:tcPr>
            <w:tcW w:w="1172" w:type="pct"/>
            <w:tcBorders>
              <w:top w:val="nil"/>
              <w:left w:val="nil"/>
              <w:bottom w:val="nil"/>
              <w:right w:val="nil"/>
            </w:tcBorders>
            <w:shd w:val="clear" w:color="auto" w:fill="auto"/>
            <w:noWrap/>
            <w:vAlign w:val="center"/>
            <w:hideMark/>
          </w:tcPr>
          <w:p w14:paraId="21BE0A05"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0.042**</w:t>
            </w:r>
          </w:p>
        </w:tc>
        <w:tc>
          <w:tcPr>
            <w:tcW w:w="1770" w:type="pct"/>
            <w:tcBorders>
              <w:top w:val="nil"/>
              <w:left w:val="nil"/>
              <w:bottom w:val="nil"/>
              <w:right w:val="nil"/>
            </w:tcBorders>
            <w:shd w:val="clear" w:color="auto" w:fill="auto"/>
            <w:noWrap/>
            <w:vAlign w:val="center"/>
            <w:hideMark/>
          </w:tcPr>
          <w:p w14:paraId="1293137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-0.003**</w:t>
            </w:r>
          </w:p>
        </w:tc>
        <w:tc>
          <w:tcPr>
            <w:tcW w:w="895" w:type="pct"/>
            <w:tcBorders>
              <w:top w:val="nil"/>
              <w:left w:val="nil"/>
              <w:bottom w:val="nil"/>
              <w:right w:val="nil"/>
            </w:tcBorders>
            <w:shd w:val="clear" w:color="auto" w:fill="auto"/>
            <w:noWrap/>
            <w:vAlign w:val="center"/>
            <w:hideMark/>
          </w:tcPr>
          <w:p w14:paraId="2F5FB306"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-0.003**</w:t>
            </w:r>
          </w:p>
        </w:tc>
      </w:tr>
      <w:tr w:rsidR="00DD6C7F" w:rsidRPr="00357722" w14:paraId="629ADB67" w14:textId="77777777" w:rsidTr="0048630B">
        <w:trPr>
          <w:trHeight w:val="20"/>
        </w:trPr>
        <w:tc>
          <w:tcPr>
            <w:tcW w:w="1163" w:type="pct"/>
            <w:tcBorders>
              <w:top w:val="nil"/>
              <w:left w:val="nil"/>
              <w:bottom w:val="nil"/>
              <w:right w:val="nil"/>
            </w:tcBorders>
            <w:shd w:val="clear" w:color="auto" w:fill="auto"/>
            <w:noWrap/>
            <w:vAlign w:val="bottom"/>
            <w:hideMark/>
          </w:tcPr>
          <w:p w14:paraId="5D58B93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2FC5AD1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(2.54)</w:t>
            </w:r>
          </w:p>
        </w:tc>
        <w:tc>
          <w:tcPr>
            <w:tcW w:w="1770" w:type="pct"/>
            <w:tcBorders>
              <w:top w:val="nil"/>
              <w:left w:val="nil"/>
              <w:bottom w:val="nil"/>
              <w:right w:val="nil"/>
            </w:tcBorders>
            <w:shd w:val="clear" w:color="auto" w:fill="auto"/>
            <w:noWrap/>
            <w:vAlign w:val="center"/>
            <w:hideMark/>
          </w:tcPr>
          <w:p w14:paraId="4D8D79A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(-2.28)</w:t>
            </w:r>
          </w:p>
        </w:tc>
        <w:tc>
          <w:tcPr>
            <w:tcW w:w="895" w:type="pct"/>
            <w:tcBorders>
              <w:top w:val="nil"/>
              <w:left w:val="nil"/>
              <w:bottom w:val="nil"/>
              <w:right w:val="nil"/>
            </w:tcBorders>
            <w:shd w:val="clear" w:color="auto" w:fill="auto"/>
            <w:noWrap/>
            <w:vAlign w:val="center"/>
            <w:hideMark/>
          </w:tcPr>
          <w:p w14:paraId="478208DD"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(-2.13)</w:t>
            </w:r>
          </w:p>
        </w:tc>
      </w:tr>
      <w:tr w:rsidR="00DD6C7F" w:rsidRPr="00357722" w14:paraId="07EA7B87" w14:textId="77777777" w:rsidTr="0048630B">
        <w:trPr>
          <w:trHeight w:val="20"/>
        </w:trPr>
        <w:tc>
          <w:tcPr>
            <w:tcW w:w="1163" w:type="pct"/>
            <w:tcBorders>
              <w:top w:val="nil"/>
              <w:left w:val="nil"/>
              <w:bottom w:val="nil"/>
              <w:right w:val="nil"/>
            </w:tcBorders>
            <w:shd w:val="clear" w:color="auto" w:fill="auto"/>
            <w:noWrap/>
            <w:vAlign w:val="center"/>
            <w:hideMark/>
          </w:tcPr>
          <w:p w14:paraId="69DFE571"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TRDOPEN</w:t>
            </w:r>
          </w:p>
        </w:tc>
        <w:tc>
          <w:tcPr>
            <w:tcW w:w="1172" w:type="pct"/>
            <w:tcBorders>
              <w:top w:val="nil"/>
              <w:left w:val="nil"/>
              <w:bottom w:val="nil"/>
              <w:right w:val="nil"/>
            </w:tcBorders>
            <w:shd w:val="clear" w:color="auto" w:fill="auto"/>
            <w:noWrap/>
            <w:vAlign w:val="center"/>
            <w:hideMark/>
          </w:tcPr>
          <w:p w14:paraId="4D7216E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0.014</w:t>
            </w:r>
          </w:p>
        </w:tc>
        <w:tc>
          <w:tcPr>
            <w:tcW w:w="1770" w:type="pct"/>
            <w:tcBorders>
              <w:top w:val="nil"/>
              <w:left w:val="nil"/>
              <w:bottom w:val="nil"/>
              <w:right w:val="nil"/>
            </w:tcBorders>
            <w:shd w:val="clear" w:color="auto" w:fill="auto"/>
            <w:noWrap/>
            <w:vAlign w:val="center"/>
            <w:hideMark/>
          </w:tcPr>
          <w:p w14:paraId="2CE4DF7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-0.002***</w:t>
            </w:r>
          </w:p>
        </w:tc>
        <w:tc>
          <w:tcPr>
            <w:tcW w:w="895" w:type="pct"/>
            <w:tcBorders>
              <w:top w:val="nil"/>
              <w:left w:val="nil"/>
              <w:bottom w:val="nil"/>
              <w:right w:val="nil"/>
            </w:tcBorders>
            <w:shd w:val="clear" w:color="auto" w:fill="auto"/>
            <w:noWrap/>
            <w:vAlign w:val="center"/>
            <w:hideMark/>
          </w:tcPr>
          <w:p w14:paraId="635D289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-0.001</w:t>
            </w:r>
          </w:p>
        </w:tc>
      </w:tr>
      <w:tr w:rsidR="00DD6C7F" w:rsidRPr="00357722" w14:paraId="1E44B0A7" w14:textId="77777777" w:rsidTr="0048630B">
        <w:trPr>
          <w:trHeight w:val="20"/>
        </w:trPr>
        <w:tc>
          <w:tcPr>
            <w:tcW w:w="1163" w:type="pct"/>
            <w:tcBorders>
              <w:top w:val="nil"/>
              <w:left w:val="nil"/>
              <w:bottom w:val="nil"/>
              <w:right w:val="nil"/>
            </w:tcBorders>
            <w:shd w:val="clear" w:color="auto" w:fill="auto"/>
            <w:noWrap/>
            <w:vAlign w:val="bottom"/>
            <w:hideMark/>
          </w:tcPr>
          <w:p w14:paraId="4991A1A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72F2E1D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(1.22)</w:t>
            </w:r>
          </w:p>
        </w:tc>
        <w:tc>
          <w:tcPr>
            <w:tcW w:w="1770" w:type="pct"/>
            <w:tcBorders>
              <w:top w:val="nil"/>
              <w:left w:val="nil"/>
              <w:bottom w:val="nil"/>
              <w:right w:val="nil"/>
            </w:tcBorders>
            <w:shd w:val="clear" w:color="auto" w:fill="auto"/>
            <w:noWrap/>
            <w:vAlign w:val="center"/>
            <w:hideMark/>
          </w:tcPr>
          <w:p w14:paraId="6AD02B4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(-3.01)</w:t>
            </w:r>
          </w:p>
        </w:tc>
        <w:tc>
          <w:tcPr>
            <w:tcW w:w="895" w:type="pct"/>
            <w:tcBorders>
              <w:top w:val="nil"/>
              <w:left w:val="nil"/>
              <w:bottom w:val="nil"/>
              <w:right w:val="nil"/>
            </w:tcBorders>
            <w:shd w:val="clear" w:color="auto" w:fill="auto"/>
            <w:noWrap/>
            <w:vAlign w:val="center"/>
            <w:hideMark/>
          </w:tcPr>
          <w:p w14:paraId="4F19725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(-0.86)</w:t>
            </w:r>
          </w:p>
        </w:tc>
      </w:tr>
      <w:tr w:rsidR="00DD6C7F" w:rsidRPr="00357722" w14:paraId="11D567AD" w14:textId="77777777" w:rsidTr="0048630B">
        <w:trPr>
          <w:trHeight w:val="20"/>
        </w:trPr>
        <w:tc>
          <w:tcPr>
            <w:tcW w:w="1163" w:type="pct"/>
            <w:tcBorders>
              <w:top w:val="nil"/>
              <w:left w:val="nil"/>
              <w:bottom w:val="nil"/>
              <w:right w:val="nil"/>
            </w:tcBorders>
            <w:shd w:val="clear" w:color="auto" w:fill="auto"/>
            <w:noWrap/>
            <w:vAlign w:val="center"/>
            <w:hideMark/>
          </w:tcPr>
          <w:p w14:paraId="4C39B4DC"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REMITT</w:t>
            </w:r>
          </w:p>
        </w:tc>
        <w:tc>
          <w:tcPr>
            <w:tcW w:w="1172" w:type="pct"/>
            <w:tcBorders>
              <w:top w:val="nil"/>
              <w:left w:val="nil"/>
              <w:bottom w:val="nil"/>
              <w:right w:val="nil"/>
            </w:tcBorders>
            <w:shd w:val="clear" w:color="auto" w:fill="auto"/>
            <w:noWrap/>
            <w:vAlign w:val="center"/>
            <w:hideMark/>
          </w:tcPr>
          <w:p w14:paraId="5CDC2C9E"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-0.330**</w:t>
            </w:r>
          </w:p>
        </w:tc>
        <w:tc>
          <w:tcPr>
            <w:tcW w:w="1770" w:type="pct"/>
            <w:tcBorders>
              <w:top w:val="nil"/>
              <w:left w:val="nil"/>
              <w:bottom w:val="nil"/>
              <w:right w:val="nil"/>
            </w:tcBorders>
            <w:shd w:val="clear" w:color="auto" w:fill="auto"/>
            <w:noWrap/>
            <w:vAlign w:val="center"/>
            <w:hideMark/>
          </w:tcPr>
          <w:p w14:paraId="05A89B4B"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-0.017**</w:t>
            </w:r>
          </w:p>
        </w:tc>
        <w:tc>
          <w:tcPr>
            <w:tcW w:w="895" w:type="pct"/>
            <w:tcBorders>
              <w:top w:val="nil"/>
              <w:left w:val="nil"/>
              <w:bottom w:val="nil"/>
              <w:right w:val="nil"/>
            </w:tcBorders>
            <w:shd w:val="clear" w:color="auto" w:fill="auto"/>
            <w:noWrap/>
            <w:vAlign w:val="center"/>
            <w:hideMark/>
          </w:tcPr>
          <w:p w14:paraId="305A435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-0.026***</w:t>
            </w:r>
          </w:p>
        </w:tc>
      </w:tr>
      <w:tr w:rsidR="00DD6C7F" w:rsidRPr="00357722" w14:paraId="536A98BA" w14:textId="77777777" w:rsidTr="0048630B">
        <w:trPr>
          <w:trHeight w:val="20"/>
        </w:trPr>
        <w:tc>
          <w:tcPr>
            <w:tcW w:w="1163" w:type="pct"/>
            <w:tcBorders>
              <w:top w:val="nil"/>
              <w:left w:val="nil"/>
              <w:bottom w:val="nil"/>
              <w:right w:val="nil"/>
            </w:tcBorders>
            <w:shd w:val="clear" w:color="auto" w:fill="auto"/>
            <w:noWrap/>
            <w:vAlign w:val="bottom"/>
            <w:hideMark/>
          </w:tcPr>
          <w:p w14:paraId="42F704E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19830BF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(-2.08)</w:t>
            </w:r>
          </w:p>
        </w:tc>
        <w:tc>
          <w:tcPr>
            <w:tcW w:w="1770" w:type="pct"/>
            <w:tcBorders>
              <w:top w:val="nil"/>
              <w:left w:val="nil"/>
              <w:bottom w:val="nil"/>
              <w:right w:val="nil"/>
            </w:tcBorders>
            <w:shd w:val="clear" w:color="auto" w:fill="auto"/>
            <w:noWrap/>
            <w:vAlign w:val="center"/>
            <w:hideMark/>
          </w:tcPr>
          <w:p w14:paraId="536E257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(-2.15)</w:t>
            </w:r>
          </w:p>
        </w:tc>
        <w:tc>
          <w:tcPr>
            <w:tcW w:w="895" w:type="pct"/>
            <w:tcBorders>
              <w:top w:val="nil"/>
              <w:left w:val="nil"/>
              <w:bottom w:val="nil"/>
              <w:right w:val="nil"/>
            </w:tcBorders>
            <w:shd w:val="clear" w:color="auto" w:fill="auto"/>
            <w:noWrap/>
            <w:vAlign w:val="center"/>
            <w:hideMark/>
          </w:tcPr>
          <w:p w14:paraId="439F5AC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(-3.07)</w:t>
            </w:r>
          </w:p>
        </w:tc>
      </w:tr>
      <w:tr w:rsidR="00DD6C7F" w:rsidRPr="00357722" w14:paraId="79727351" w14:textId="77777777" w:rsidTr="0048630B">
        <w:trPr>
          <w:trHeight w:val="20"/>
        </w:trPr>
        <w:tc>
          <w:tcPr>
            <w:tcW w:w="1163" w:type="pct"/>
            <w:tcBorders>
              <w:top w:val="nil"/>
              <w:left w:val="nil"/>
              <w:bottom w:val="nil"/>
              <w:right w:val="nil"/>
            </w:tcBorders>
            <w:shd w:val="clear" w:color="auto" w:fill="auto"/>
            <w:noWrap/>
            <w:vAlign w:val="center"/>
            <w:hideMark/>
          </w:tcPr>
          <w:p w14:paraId="3B71EAE4" w14:textId="298942E3" w:rsidR="00DD6C7F" w:rsidRPr="00357722" w:rsidRDefault="008857A2"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OTIDSGDP</w:t>
            </w:r>
          </w:p>
        </w:tc>
        <w:tc>
          <w:tcPr>
            <w:tcW w:w="1172" w:type="pct"/>
            <w:tcBorders>
              <w:top w:val="nil"/>
              <w:left w:val="nil"/>
              <w:bottom w:val="nil"/>
              <w:right w:val="nil"/>
            </w:tcBorders>
            <w:shd w:val="clear" w:color="auto" w:fill="auto"/>
            <w:noWrap/>
            <w:vAlign w:val="center"/>
            <w:hideMark/>
          </w:tcPr>
          <w:p w14:paraId="1C4D061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-0.024***</w:t>
            </w:r>
          </w:p>
        </w:tc>
        <w:tc>
          <w:tcPr>
            <w:tcW w:w="1770" w:type="pct"/>
            <w:tcBorders>
              <w:top w:val="nil"/>
              <w:left w:val="nil"/>
              <w:bottom w:val="nil"/>
              <w:right w:val="nil"/>
            </w:tcBorders>
            <w:shd w:val="clear" w:color="auto" w:fill="auto"/>
            <w:noWrap/>
            <w:vAlign w:val="center"/>
            <w:hideMark/>
          </w:tcPr>
          <w:p w14:paraId="51EEA0D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0.003***</w:t>
            </w:r>
          </w:p>
        </w:tc>
        <w:tc>
          <w:tcPr>
            <w:tcW w:w="895" w:type="pct"/>
            <w:tcBorders>
              <w:top w:val="nil"/>
              <w:left w:val="nil"/>
              <w:bottom w:val="nil"/>
              <w:right w:val="nil"/>
            </w:tcBorders>
            <w:shd w:val="clear" w:color="auto" w:fill="auto"/>
            <w:noWrap/>
            <w:vAlign w:val="center"/>
            <w:hideMark/>
          </w:tcPr>
          <w:p w14:paraId="4A9CB90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0.002***</w:t>
            </w:r>
          </w:p>
        </w:tc>
      </w:tr>
      <w:tr w:rsidR="00DD6C7F" w:rsidRPr="00357722" w14:paraId="7EF45FC9" w14:textId="77777777" w:rsidTr="0048630B">
        <w:trPr>
          <w:trHeight w:val="20"/>
        </w:trPr>
        <w:tc>
          <w:tcPr>
            <w:tcW w:w="1163" w:type="pct"/>
            <w:tcBorders>
              <w:top w:val="nil"/>
              <w:left w:val="nil"/>
              <w:bottom w:val="nil"/>
              <w:right w:val="nil"/>
            </w:tcBorders>
            <w:shd w:val="clear" w:color="auto" w:fill="auto"/>
            <w:noWrap/>
            <w:vAlign w:val="bottom"/>
            <w:hideMark/>
          </w:tcPr>
          <w:p w14:paraId="36BED25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bottom w:val="nil"/>
              <w:right w:val="nil"/>
            </w:tcBorders>
            <w:shd w:val="clear" w:color="auto" w:fill="auto"/>
            <w:noWrap/>
            <w:vAlign w:val="center"/>
            <w:hideMark/>
          </w:tcPr>
          <w:p w14:paraId="51989E2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(-3.81)</w:t>
            </w:r>
          </w:p>
        </w:tc>
        <w:tc>
          <w:tcPr>
            <w:tcW w:w="1770" w:type="pct"/>
            <w:tcBorders>
              <w:top w:val="nil"/>
              <w:left w:val="nil"/>
              <w:bottom w:val="nil"/>
              <w:right w:val="nil"/>
            </w:tcBorders>
            <w:shd w:val="clear" w:color="auto" w:fill="auto"/>
            <w:noWrap/>
            <w:vAlign w:val="center"/>
            <w:hideMark/>
          </w:tcPr>
          <w:p w14:paraId="66F77D9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(5.69)</w:t>
            </w:r>
          </w:p>
        </w:tc>
        <w:tc>
          <w:tcPr>
            <w:tcW w:w="895" w:type="pct"/>
            <w:tcBorders>
              <w:top w:val="nil"/>
              <w:left w:val="nil"/>
              <w:bottom w:val="nil"/>
              <w:right w:val="nil"/>
            </w:tcBorders>
            <w:shd w:val="clear" w:color="auto" w:fill="auto"/>
            <w:noWrap/>
            <w:vAlign w:val="center"/>
            <w:hideMark/>
          </w:tcPr>
          <w:p w14:paraId="3F9980F0"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(4.35)</w:t>
            </w:r>
          </w:p>
        </w:tc>
      </w:tr>
      <w:tr w:rsidR="00DD6C7F" w:rsidRPr="00357722" w14:paraId="66D711B8" w14:textId="77777777" w:rsidTr="0048630B">
        <w:trPr>
          <w:trHeight w:val="20"/>
        </w:trPr>
        <w:tc>
          <w:tcPr>
            <w:tcW w:w="1163" w:type="pct"/>
            <w:tcBorders>
              <w:top w:val="nil"/>
              <w:left w:val="nil"/>
              <w:right w:val="nil"/>
            </w:tcBorders>
            <w:shd w:val="clear" w:color="auto" w:fill="auto"/>
            <w:noWrap/>
            <w:vAlign w:val="center"/>
            <w:hideMark/>
          </w:tcPr>
          <w:p w14:paraId="000B91BE"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LEGORI</w:t>
            </w:r>
          </w:p>
        </w:tc>
        <w:tc>
          <w:tcPr>
            <w:tcW w:w="1172" w:type="pct"/>
            <w:tcBorders>
              <w:top w:val="nil"/>
              <w:left w:val="nil"/>
              <w:right w:val="nil"/>
            </w:tcBorders>
            <w:shd w:val="clear" w:color="auto" w:fill="auto"/>
            <w:noWrap/>
            <w:vAlign w:val="center"/>
            <w:hideMark/>
          </w:tcPr>
          <w:p w14:paraId="56E2D2E8"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-6.161***</w:t>
            </w:r>
          </w:p>
        </w:tc>
        <w:tc>
          <w:tcPr>
            <w:tcW w:w="1770" w:type="pct"/>
            <w:tcBorders>
              <w:top w:val="nil"/>
              <w:left w:val="nil"/>
              <w:right w:val="nil"/>
            </w:tcBorders>
            <w:shd w:val="clear" w:color="auto" w:fill="auto"/>
            <w:noWrap/>
            <w:vAlign w:val="center"/>
            <w:hideMark/>
          </w:tcPr>
          <w:p w14:paraId="56C1E08E"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-1.036***</w:t>
            </w:r>
          </w:p>
        </w:tc>
        <w:tc>
          <w:tcPr>
            <w:tcW w:w="895" w:type="pct"/>
            <w:tcBorders>
              <w:top w:val="nil"/>
              <w:left w:val="nil"/>
              <w:right w:val="nil"/>
            </w:tcBorders>
            <w:shd w:val="clear" w:color="auto" w:fill="auto"/>
            <w:noWrap/>
            <w:vAlign w:val="center"/>
            <w:hideMark/>
          </w:tcPr>
          <w:p w14:paraId="66D079A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-1.178***</w:t>
            </w:r>
          </w:p>
        </w:tc>
      </w:tr>
      <w:tr w:rsidR="00DD6C7F" w:rsidRPr="00357722" w14:paraId="388B2BD4" w14:textId="77777777" w:rsidTr="0048630B">
        <w:trPr>
          <w:trHeight w:val="20"/>
        </w:trPr>
        <w:tc>
          <w:tcPr>
            <w:tcW w:w="1163" w:type="pct"/>
            <w:tcBorders>
              <w:top w:val="nil"/>
              <w:left w:val="nil"/>
              <w:right w:val="nil"/>
            </w:tcBorders>
            <w:shd w:val="clear" w:color="auto" w:fill="auto"/>
            <w:noWrap/>
            <w:vAlign w:val="bottom"/>
            <w:hideMark/>
          </w:tcPr>
          <w:p w14:paraId="63CF9FD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p>
        </w:tc>
        <w:tc>
          <w:tcPr>
            <w:tcW w:w="1172" w:type="pct"/>
            <w:tcBorders>
              <w:top w:val="nil"/>
              <w:left w:val="nil"/>
              <w:right w:val="nil"/>
            </w:tcBorders>
            <w:shd w:val="clear" w:color="auto" w:fill="auto"/>
            <w:noWrap/>
            <w:vAlign w:val="center"/>
            <w:hideMark/>
          </w:tcPr>
          <w:p w14:paraId="2F3355A5"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(-4.76)</w:t>
            </w:r>
          </w:p>
        </w:tc>
        <w:tc>
          <w:tcPr>
            <w:tcW w:w="1770" w:type="pct"/>
            <w:tcBorders>
              <w:top w:val="nil"/>
              <w:left w:val="nil"/>
              <w:right w:val="nil"/>
            </w:tcBorders>
            <w:shd w:val="clear" w:color="auto" w:fill="auto"/>
            <w:noWrap/>
            <w:vAlign w:val="center"/>
            <w:hideMark/>
          </w:tcPr>
          <w:p w14:paraId="5F69554F"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(-11.88)</w:t>
            </w:r>
          </w:p>
        </w:tc>
        <w:tc>
          <w:tcPr>
            <w:tcW w:w="895" w:type="pct"/>
            <w:tcBorders>
              <w:top w:val="nil"/>
              <w:left w:val="nil"/>
              <w:right w:val="nil"/>
            </w:tcBorders>
            <w:shd w:val="clear" w:color="auto" w:fill="auto"/>
            <w:noWrap/>
            <w:vAlign w:val="center"/>
            <w:hideMark/>
          </w:tcPr>
          <w:p w14:paraId="66FAA4A5"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(-10.99)</w:t>
            </w:r>
          </w:p>
        </w:tc>
      </w:tr>
      <w:tr w:rsidR="00DD6C7F" w:rsidRPr="00357722" w14:paraId="7EE8C61B" w14:textId="77777777" w:rsidTr="0048630B">
        <w:trPr>
          <w:trHeight w:val="20"/>
        </w:trPr>
        <w:tc>
          <w:tcPr>
            <w:tcW w:w="1163" w:type="pct"/>
            <w:tcBorders>
              <w:top w:val="nil"/>
              <w:left w:val="nil"/>
              <w:bottom w:val="nil"/>
              <w:right w:val="nil"/>
            </w:tcBorders>
            <w:shd w:val="clear" w:color="auto" w:fill="auto"/>
            <w:noWrap/>
            <w:vAlign w:val="center"/>
            <w:hideMark/>
          </w:tcPr>
          <w:p w14:paraId="4E1D2E58" w14:textId="77777777" w:rsidR="00DD6C7F" w:rsidRPr="00357722" w:rsidRDefault="00DD6C7F" w:rsidP="00543F90">
            <w:pPr>
              <w:spacing w:after="0" w:line="360" w:lineRule="auto"/>
              <w:jc w:val="both"/>
              <w:rPr>
                <w:rFonts w:ascii="Times New Roman" w:eastAsia="Times New Roman" w:hAnsi="Times New Roman" w:cs="Times New Roman"/>
                <w:i/>
                <w:iCs/>
                <w:color w:val="000000"/>
                <w:sz w:val="20"/>
                <w:szCs w:val="20"/>
              </w:rPr>
            </w:pPr>
            <w:r w:rsidRPr="00357722">
              <w:rPr>
                <w:rFonts w:ascii="Times New Roman" w:eastAsia="Times New Roman" w:hAnsi="Times New Roman" w:cs="Times New Roman"/>
                <w:i/>
                <w:iCs/>
                <w:color w:val="000000"/>
                <w:sz w:val="20"/>
                <w:szCs w:val="20"/>
              </w:rPr>
              <w:t>Constant</w:t>
            </w:r>
          </w:p>
        </w:tc>
        <w:tc>
          <w:tcPr>
            <w:tcW w:w="1172" w:type="pct"/>
            <w:tcBorders>
              <w:top w:val="nil"/>
              <w:left w:val="nil"/>
              <w:bottom w:val="nil"/>
              <w:right w:val="nil"/>
            </w:tcBorders>
            <w:shd w:val="clear" w:color="auto" w:fill="auto"/>
            <w:noWrap/>
            <w:vAlign w:val="center"/>
            <w:hideMark/>
          </w:tcPr>
          <w:p w14:paraId="5087C700"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14.344***</w:t>
            </w:r>
          </w:p>
        </w:tc>
        <w:tc>
          <w:tcPr>
            <w:tcW w:w="1770" w:type="pct"/>
            <w:tcBorders>
              <w:top w:val="nil"/>
              <w:left w:val="nil"/>
              <w:bottom w:val="nil"/>
              <w:right w:val="nil"/>
            </w:tcBorders>
            <w:shd w:val="clear" w:color="auto" w:fill="auto"/>
            <w:noWrap/>
            <w:vAlign w:val="center"/>
            <w:hideMark/>
          </w:tcPr>
          <w:p w14:paraId="03EA2D76"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2.252***</w:t>
            </w:r>
          </w:p>
        </w:tc>
        <w:tc>
          <w:tcPr>
            <w:tcW w:w="895" w:type="pct"/>
            <w:tcBorders>
              <w:top w:val="nil"/>
              <w:left w:val="nil"/>
              <w:bottom w:val="nil"/>
              <w:right w:val="nil"/>
            </w:tcBorders>
            <w:shd w:val="clear" w:color="auto" w:fill="auto"/>
            <w:noWrap/>
            <w:vAlign w:val="center"/>
            <w:hideMark/>
          </w:tcPr>
          <w:p w14:paraId="49DEAEE8"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2.533***</w:t>
            </w:r>
          </w:p>
        </w:tc>
      </w:tr>
      <w:tr w:rsidR="00DD6C7F" w:rsidRPr="00357722" w14:paraId="035A8A68" w14:textId="77777777" w:rsidTr="0048630B">
        <w:trPr>
          <w:trHeight w:val="20"/>
        </w:trPr>
        <w:tc>
          <w:tcPr>
            <w:tcW w:w="1163" w:type="pct"/>
            <w:tcBorders>
              <w:left w:val="nil"/>
              <w:bottom w:val="single" w:sz="4" w:space="0" w:color="auto"/>
              <w:right w:val="nil"/>
            </w:tcBorders>
            <w:shd w:val="clear" w:color="auto" w:fill="auto"/>
            <w:noWrap/>
            <w:vAlign w:val="bottom"/>
            <w:hideMark/>
          </w:tcPr>
          <w:p w14:paraId="4304F31E" w14:textId="77777777" w:rsidR="00DD6C7F" w:rsidRPr="00357722" w:rsidRDefault="00DD6C7F" w:rsidP="00543F90">
            <w:pPr>
              <w:spacing w:after="0" w:line="360" w:lineRule="auto"/>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 </w:t>
            </w:r>
          </w:p>
        </w:tc>
        <w:tc>
          <w:tcPr>
            <w:tcW w:w="1172" w:type="pct"/>
            <w:tcBorders>
              <w:left w:val="nil"/>
              <w:bottom w:val="single" w:sz="4" w:space="0" w:color="auto"/>
              <w:right w:val="nil"/>
            </w:tcBorders>
            <w:shd w:val="clear" w:color="auto" w:fill="auto"/>
            <w:noWrap/>
            <w:vAlign w:val="center"/>
            <w:hideMark/>
          </w:tcPr>
          <w:p w14:paraId="2FEFA2BC"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(4.83)</w:t>
            </w:r>
          </w:p>
        </w:tc>
        <w:tc>
          <w:tcPr>
            <w:tcW w:w="1770" w:type="pct"/>
            <w:tcBorders>
              <w:left w:val="nil"/>
              <w:bottom w:val="single" w:sz="4" w:space="0" w:color="auto"/>
              <w:right w:val="nil"/>
            </w:tcBorders>
            <w:shd w:val="clear" w:color="auto" w:fill="auto"/>
            <w:noWrap/>
            <w:vAlign w:val="center"/>
            <w:hideMark/>
          </w:tcPr>
          <w:p w14:paraId="1742E22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(13.49)</w:t>
            </w:r>
          </w:p>
        </w:tc>
        <w:tc>
          <w:tcPr>
            <w:tcW w:w="895" w:type="pct"/>
            <w:tcBorders>
              <w:left w:val="nil"/>
              <w:bottom w:val="single" w:sz="4" w:space="0" w:color="auto"/>
              <w:right w:val="nil"/>
            </w:tcBorders>
            <w:shd w:val="clear" w:color="auto" w:fill="auto"/>
            <w:noWrap/>
            <w:vAlign w:val="center"/>
            <w:hideMark/>
          </w:tcPr>
          <w:p w14:paraId="7BEB0CE4"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(12.11)</w:t>
            </w:r>
          </w:p>
        </w:tc>
      </w:tr>
      <w:tr w:rsidR="00DD6C7F" w:rsidRPr="00357722" w14:paraId="7CBE9A33" w14:textId="77777777" w:rsidTr="0048630B">
        <w:trPr>
          <w:trHeight w:val="255"/>
        </w:trPr>
        <w:tc>
          <w:tcPr>
            <w:tcW w:w="1163" w:type="pct"/>
            <w:tcBorders>
              <w:top w:val="single" w:sz="4" w:space="0" w:color="auto"/>
              <w:left w:val="nil"/>
              <w:bottom w:val="nil"/>
              <w:right w:val="nil"/>
            </w:tcBorders>
            <w:shd w:val="clear" w:color="auto" w:fill="auto"/>
            <w:noWrap/>
            <w:vAlign w:val="bottom"/>
            <w:hideMark/>
          </w:tcPr>
          <w:p w14:paraId="437C69C2" w14:textId="77777777" w:rsidR="00DD6C7F" w:rsidRPr="00357722" w:rsidRDefault="00DD6C7F" w:rsidP="00543F90">
            <w:pPr>
              <w:spacing w:after="0" w:line="360" w:lineRule="auto"/>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No of Observations</w:t>
            </w:r>
          </w:p>
        </w:tc>
        <w:tc>
          <w:tcPr>
            <w:tcW w:w="1172" w:type="pct"/>
            <w:tcBorders>
              <w:top w:val="single" w:sz="4" w:space="0" w:color="auto"/>
              <w:left w:val="nil"/>
              <w:bottom w:val="nil"/>
              <w:right w:val="nil"/>
            </w:tcBorders>
            <w:shd w:val="clear" w:color="auto" w:fill="auto"/>
            <w:noWrap/>
            <w:vAlign w:val="center"/>
            <w:hideMark/>
          </w:tcPr>
          <w:p w14:paraId="16F2173D"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603</w:t>
            </w:r>
          </w:p>
        </w:tc>
        <w:tc>
          <w:tcPr>
            <w:tcW w:w="1770" w:type="pct"/>
            <w:tcBorders>
              <w:top w:val="single" w:sz="4" w:space="0" w:color="auto"/>
              <w:left w:val="nil"/>
              <w:bottom w:val="nil"/>
              <w:right w:val="nil"/>
            </w:tcBorders>
            <w:shd w:val="clear" w:color="auto" w:fill="auto"/>
            <w:noWrap/>
            <w:vAlign w:val="center"/>
            <w:hideMark/>
          </w:tcPr>
          <w:p w14:paraId="607237E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637</w:t>
            </w:r>
          </w:p>
        </w:tc>
        <w:tc>
          <w:tcPr>
            <w:tcW w:w="895" w:type="pct"/>
            <w:tcBorders>
              <w:top w:val="single" w:sz="4" w:space="0" w:color="auto"/>
              <w:left w:val="nil"/>
              <w:bottom w:val="nil"/>
              <w:right w:val="nil"/>
            </w:tcBorders>
            <w:shd w:val="clear" w:color="auto" w:fill="auto"/>
            <w:noWrap/>
            <w:vAlign w:val="center"/>
            <w:hideMark/>
          </w:tcPr>
          <w:p w14:paraId="18D69FD6"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637</w:t>
            </w:r>
          </w:p>
        </w:tc>
      </w:tr>
      <w:tr w:rsidR="00DD6C7F" w:rsidRPr="00357722" w14:paraId="7A508ACC" w14:textId="77777777" w:rsidTr="0048630B">
        <w:trPr>
          <w:trHeight w:val="255"/>
        </w:trPr>
        <w:tc>
          <w:tcPr>
            <w:tcW w:w="1163" w:type="pct"/>
            <w:tcBorders>
              <w:top w:val="nil"/>
              <w:left w:val="nil"/>
              <w:bottom w:val="nil"/>
              <w:right w:val="nil"/>
            </w:tcBorders>
            <w:shd w:val="clear" w:color="auto" w:fill="auto"/>
            <w:noWrap/>
            <w:vAlign w:val="bottom"/>
            <w:hideMark/>
          </w:tcPr>
          <w:p w14:paraId="372E7EFA" w14:textId="77777777" w:rsidR="00DD6C7F" w:rsidRPr="00357722" w:rsidRDefault="00DD6C7F" w:rsidP="00543F90">
            <w:pPr>
              <w:spacing w:after="0" w:line="360" w:lineRule="auto"/>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F-Statistics</w:t>
            </w:r>
          </w:p>
        </w:tc>
        <w:tc>
          <w:tcPr>
            <w:tcW w:w="1172" w:type="pct"/>
            <w:tcBorders>
              <w:top w:val="nil"/>
              <w:left w:val="nil"/>
              <w:bottom w:val="nil"/>
              <w:right w:val="nil"/>
            </w:tcBorders>
            <w:shd w:val="clear" w:color="auto" w:fill="auto"/>
            <w:noWrap/>
            <w:vAlign w:val="center"/>
            <w:hideMark/>
          </w:tcPr>
          <w:p w14:paraId="0DCA1EC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495</w:t>
            </w:r>
          </w:p>
        </w:tc>
        <w:tc>
          <w:tcPr>
            <w:tcW w:w="1770" w:type="pct"/>
            <w:tcBorders>
              <w:top w:val="nil"/>
              <w:left w:val="nil"/>
              <w:bottom w:val="nil"/>
              <w:right w:val="nil"/>
            </w:tcBorders>
            <w:shd w:val="clear" w:color="auto" w:fill="auto"/>
            <w:noWrap/>
            <w:vAlign w:val="center"/>
            <w:hideMark/>
          </w:tcPr>
          <w:p w14:paraId="1E0A951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4965</w:t>
            </w:r>
          </w:p>
        </w:tc>
        <w:tc>
          <w:tcPr>
            <w:tcW w:w="895" w:type="pct"/>
            <w:tcBorders>
              <w:top w:val="nil"/>
              <w:left w:val="nil"/>
              <w:bottom w:val="nil"/>
              <w:right w:val="nil"/>
            </w:tcBorders>
            <w:shd w:val="clear" w:color="auto" w:fill="auto"/>
            <w:noWrap/>
            <w:vAlign w:val="center"/>
            <w:hideMark/>
          </w:tcPr>
          <w:p w14:paraId="1706C8C2"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6751</w:t>
            </w:r>
          </w:p>
        </w:tc>
      </w:tr>
      <w:tr w:rsidR="00DD6C7F" w:rsidRPr="00357722" w14:paraId="2DC648F8" w14:textId="77777777" w:rsidTr="0048630B">
        <w:trPr>
          <w:trHeight w:val="255"/>
        </w:trPr>
        <w:tc>
          <w:tcPr>
            <w:tcW w:w="1163" w:type="pct"/>
            <w:tcBorders>
              <w:top w:val="nil"/>
              <w:left w:val="nil"/>
              <w:bottom w:val="nil"/>
              <w:right w:val="nil"/>
            </w:tcBorders>
            <w:shd w:val="clear" w:color="auto" w:fill="auto"/>
            <w:noWrap/>
            <w:vAlign w:val="bottom"/>
            <w:hideMark/>
          </w:tcPr>
          <w:p w14:paraId="7EE9A985" w14:textId="2F990496" w:rsidR="00DD6C7F" w:rsidRPr="00357722" w:rsidRDefault="00B31D4D" w:rsidP="00543F90">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Country fixed </w:t>
            </w:r>
            <w:r w:rsidR="00DD6C7F" w:rsidRPr="00357722">
              <w:rPr>
                <w:rFonts w:ascii="Times New Roman" w:eastAsia="Times New Roman" w:hAnsi="Times New Roman" w:cs="Times New Roman"/>
                <w:color w:val="000000"/>
                <w:sz w:val="20"/>
                <w:szCs w:val="20"/>
              </w:rPr>
              <w:t>effects</w:t>
            </w:r>
          </w:p>
        </w:tc>
        <w:tc>
          <w:tcPr>
            <w:tcW w:w="1172" w:type="pct"/>
            <w:tcBorders>
              <w:top w:val="nil"/>
              <w:left w:val="nil"/>
              <w:bottom w:val="nil"/>
              <w:right w:val="nil"/>
            </w:tcBorders>
            <w:shd w:val="clear" w:color="auto" w:fill="auto"/>
            <w:noWrap/>
            <w:vAlign w:val="center"/>
            <w:hideMark/>
          </w:tcPr>
          <w:p w14:paraId="6519456E"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Yes</w:t>
            </w:r>
          </w:p>
        </w:tc>
        <w:tc>
          <w:tcPr>
            <w:tcW w:w="1770" w:type="pct"/>
            <w:tcBorders>
              <w:top w:val="nil"/>
              <w:left w:val="nil"/>
              <w:bottom w:val="nil"/>
              <w:right w:val="nil"/>
            </w:tcBorders>
            <w:shd w:val="clear" w:color="auto" w:fill="auto"/>
            <w:noWrap/>
            <w:vAlign w:val="center"/>
            <w:hideMark/>
          </w:tcPr>
          <w:p w14:paraId="15897F61"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Yes</w:t>
            </w:r>
          </w:p>
        </w:tc>
        <w:tc>
          <w:tcPr>
            <w:tcW w:w="895" w:type="pct"/>
            <w:tcBorders>
              <w:top w:val="nil"/>
              <w:left w:val="nil"/>
              <w:bottom w:val="nil"/>
              <w:right w:val="nil"/>
            </w:tcBorders>
            <w:shd w:val="clear" w:color="auto" w:fill="auto"/>
            <w:noWrap/>
            <w:vAlign w:val="center"/>
            <w:hideMark/>
          </w:tcPr>
          <w:p w14:paraId="56E86DB9"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Yes</w:t>
            </w:r>
          </w:p>
        </w:tc>
      </w:tr>
      <w:tr w:rsidR="00DD6C7F" w:rsidRPr="00357722" w14:paraId="6C8A2DBD" w14:textId="77777777" w:rsidTr="0048630B">
        <w:trPr>
          <w:trHeight w:val="255"/>
        </w:trPr>
        <w:tc>
          <w:tcPr>
            <w:tcW w:w="1163" w:type="pct"/>
            <w:tcBorders>
              <w:top w:val="nil"/>
              <w:left w:val="nil"/>
              <w:bottom w:val="single" w:sz="4" w:space="0" w:color="auto"/>
              <w:right w:val="nil"/>
            </w:tcBorders>
            <w:shd w:val="clear" w:color="auto" w:fill="auto"/>
            <w:noWrap/>
            <w:vAlign w:val="bottom"/>
            <w:hideMark/>
          </w:tcPr>
          <w:p w14:paraId="2AEA281D" w14:textId="4A8D7350" w:rsidR="00DD6C7F" w:rsidRPr="00357722" w:rsidRDefault="00B31D4D" w:rsidP="00543F90">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Year fixed </w:t>
            </w:r>
            <w:r w:rsidR="00DD6C7F" w:rsidRPr="00357722">
              <w:rPr>
                <w:rFonts w:ascii="Times New Roman" w:eastAsia="Times New Roman" w:hAnsi="Times New Roman" w:cs="Times New Roman"/>
                <w:color w:val="000000"/>
                <w:sz w:val="20"/>
                <w:szCs w:val="20"/>
              </w:rPr>
              <w:t>effects</w:t>
            </w:r>
          </w:p>
        </w:tc>
        <w:tc>
          <w:tcPr>
            <w:tcW w:w="1172" w:type="pct"/>
            <w:tcBorders>
              <w:top w:val="nil"/>
              <w:left w:val="nil"/>
              <w:bottom w:val="single" w:sz="4" w:space="0" w:color="auto"/>
              <w:right w:val="nil"/>
            </w:tcBorders>
            <w:shd w:val="clear" w:color="auto" w:fill="auto"/>
            <w:noWrap/>
            <w:vAlign w:val="center"/>
            <w:hideMark/>
          </w:tcPr>
          <w:p w14:paraId="7411A817"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Yes</w:t>
            </w:r>
          </w:p>
        </w:tc>
        <w:tc>
          <w:tcPr>
            <w:tcW w:w="1770" w:type="pct"/>
            <w:tcBorders>
              <w:top w:val="nil"/>
              <w:left w:val="nil"/>
              <w:bottom w:val="single" w:sz="4" w:space="0" w:color="auto"/>
              <w:right w:val="nil"/>
            </w:tcBorders>
            <w:shd w:val="clear" w:color="auto" w:fill="auto"/>
            <w:noWrap/>
            <w:vAlign w:val="center"/>
            <w:hideMark/>
          </w:tcPr>
          <w:p w14:paraId="646A661A"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Yes</w:t>
            </w:r>
          </w:p>
        </w:tc>
        <w:tc>
          <w:tcPr>
            <w:tcW w:w="895" w:type="pct"/>
            <w:tcBorders>
              <w:top w:val="nil"/>
              <w:left w:val="nil"/>
              <w:bottom w:val="single" w:sz="4" w:space="0" w:color="auto"/>
              <w:right w:val="nil"/>
            </w:tcBorders>
            <w:shd w:val="clear" w:color="auto" w:fill="auto"/>
            <w:noWrap/>
            <w:vAlign w:val="center"/>
            <w:hideMark/>
          </w:tcPr>
          <w:p w14:paraId="60DBD513" w14:textId="77777777" w:rsidR="00DD6C7F" w:rsidRPr="00357722" w:rsidRDefault="00DD6C7F" w:rsidP="00543F90">
            <w:pPr>
              <w:spacing w:after="0" w:line="360" w:lineRule="auto"/>
              <w:jc w:val="center"/>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Yes</w:t>
            </w:r>
          </w:p>
        </w:tc>
      </w:tr>
    </w:tbl>
    <w:p w14:paraId="1AD01609" w14:textId="57F80717" w:rsidR="00FD1839" w:rsidRPr="00357722" w:rsidRDefault="0048630B" w:rsidP="00FD1839">
      <w:pPr>
        <w:suppressAutoHyphens/>
        <w:spacing w:after="0"/>
        <w:jc w:val="both"/>
        <w:rPr>
          <w:rFonts w:ascii="Times New Roman" w:eastAsia="Calibri" w:hAnsi="Times New Roman" w:cs="Times New Roman"/>
          <w:sz w:val="16"/>
          <w:szCs w:val="16"/>
          <w:lang w:eastAsia="en-US"/>
        </w:rPr>
      </w:pPr>
      <w:r w:rsidRPr="00357722">
        <w:rPr>
          <w:rFonts w:ascii="Times New Roman" w:eastAsia="Calibri" w:hAnsi="Times New Roman" w:cs="Times New Roman"/>
          <w:sz w:val="18"/>
          <w:szCs w:val="18"/>
          <w:lang w:eastAsia="en-US"/>
        </w:rPr>
        <w:t>Notes: All variables are as defined in Appendix A1</w:t>
      </w:r>
      <w:r w:rsidR="00FD1839" w:rsidRPr="00357722">
        <w:rPr>
          <w:rFonts w:ascii="Times New Roman" w:eastAsia="Calibri" w:hAnsi="Times New Roman" w:cs="Times New Roman"/>
          <w:sz w:val="16"/>
          <w:szCs w:val="16"/>
          <w:lang w:eastAsia="en-US"/>
        </w:rPr>
        <w:t xml:space="preserve">. </w:t>
      </w:r>
      <w:r w:rsidR="00FD1839" w:rsidRPr="00357722">
        <w:rPr>
          <w:rFonts w:ascii="Times New Roman" w:eastAsia="DFKai-SB" w:hAnsi="Times New Roman" w:cs="Times New Roman"/>
          <w:sz w:val="16"/>
          <w:szCs w:val="16"/>
          <w:lang w:eastAsia="en-US"/>
        </w:rPr>
        <w:t xml:space="preserve">The </w:t>
      </w:r>
      <w:r w:rsidR="00FD1839" w:rsidRPr="00357722">
        <w:rPr>
          <w:rFonts w:ascii="Times New Roman" w:eastAsia="DFKai-SB" w:hAnsi="Times New Roman" w:cs="Times New Roman"/>
          <w:i/>
          <w:sz w:val="16"/>
          <w:szCs w:val="16"/>
          <w:lang w:eastAsia="en-US"/>
        </w:rPr>
        <w:t>t</w:t>
      </w:r>
      <w:r w:rsidR="00FD1839" w:rsidRPr="00357722">
        <w:rPr>
          <w:rFonts w:ascii="Times New Roman" w:eastAsia="DFKai-SB" w:hAnsi="Times New Roman" w:cs="Times New Roman"/>
          <w:sz w:val="16"/>
          <w:szCs w:val="16"/>
          <w:lang w:eastAsia="en-US"/>
        </w:rPr>
        <w:t xml:space="preserve">-statistics are robust to heteroscedasticity reported in parentheses, are based on double clustered standard errors (clustering done at the country and year levels). </w:t>
      </w:r>
      <w:r w:rsidR="00FD1839" w:rsidRPr="00357722">
        <w:rPr>
          <w:rFonts w:ascii="Times New Roman" w:eastAsia="Calibri" w:hAnsi="Times New Roman" w:cs="Times New Roman"/>
          <w:sz w:val="16"/>
          <w:szCs w:val="16"/>
          <w:lang w:eastAsia="en-US"/>
        </w:rPr>
        <w:t xml:space="preserve">For tractable interpretation, all the coefficients are reported as elasticity and the statistical significance is reported against 10% (*), 5% (**) and 1% (***) significance levels respectively. </w:t>
      </w:r>
    </w:p>
    <w:p w14:paraId="32156610" w14:textId="13BB7DA6" w:rsidR="00DF7A53" w:rsidRPr="00357722" w:rsidRDefault="009414ED" w:rsidP="001B62C0">
      <w:pPr>
        <w:autoSpaceDE w:val="0"/>
        <w:autoSpaceDN w:val="0"/>
        <w:adjustRightInd w:val="0"/>
        <w:spacing w:after="0" w:line="480" w:lineRule="auto"/>
        <w:jc w:val="both"/>
        <w:rPr>
          <w:rFonts w:ascii="Times New Roman" w:hAnsi="Times New Roman" w:cs="Times New Roman"/>
          <w:sz w:val="18"/>
          <w:szCs w:val="18"/>
        </w:rPr>
      </w:pPr>
      <w:r w:rsidRPr="00357722">
        <w:rPr>
          <w:rFonts w:ascii="Times New Roman" w:hAnsi="Times New Roman" w:cs="Times New Roman"/>
          <w:sz w:val="18"/>
          <w:szCs w:val="18"/>
        </w:rPr>
        <w:t>.</w:t>
      </w:r>
    </w:p>
    <w:p w14:paraId="71751137" w14:textId="77777777" w:rsidR="009414ED" w:rsidRPr="00357722" w:rsidRDefault="009414ED" w:rsidP="005636E8">
      <w:pPr>
        <w:spacing w:line="480" w:lineRule="auto"/>
        <w:jc w:val="both"/>
        <w:rPr>
          <w:rFonts w:ascii="Times New Roman" w:eastAsia="SimSun" w:hAnsi="Times New Roman" w:cs="Times New Roman"/>
          <w:b/>
          <w:color w:val="000000" w:themeColor="text1"/>
          <w:sz w:val="20"/>
          <w:szCs w:val="20"/>
          <w:lang w:eastAsia="zh-CN"/>
        </w:rPr>
        <w:sectPr w:rsidR="009414ED" w:rsidRPr="00357722" w:rsidSect="00C34896">
          <w:pgSz w:w="11906" w:h="16838"/>
          <w:pgMar w:top="1440" w:right="1440" w:bottom="1440" w:left="993" w:header="708" w:footer="708" w:gutter="0"/>
          <w:cols w:space="708"/>
          <w:docGrid w:linePitch="360"/>
        </w:sectPr>
      </w:pPr>
    </w:p>
    <w:p w14:paraId="41A64F37" w14:textId="0E204704" w:rsidR="00403D2E" w:rsidRPr="00357722" w:rsidRDefault="00403D2E" w:rsidP="00EF3A3D">
      <w:pPr>
        <w:spacing w:after="0"/>
        <w:jc w:val="both"/>
        <w:rPr>
          <w:rFonts w:ascii="Times New Roman" w:eastAsia="SimSun" w:hAnsi="Times New Roman" w:cs="Times New Roman"/>
          <w:color w:val="000000" w:themeColor="text1"/>
          <w:sz w:val="20"/>
          <w:szCs w:val="20"/>
          <w:lang w:eastAsia="zh-CN"/>
        </w:rPr>
      </w:pPr>
      <w:r w:rsidRPr="00357722">
        <w:rPr>
          <w:rFonts w:ascii="Times New Roman" w:eastAsia="SimSun" w:hAnsi="Times New Roman" w:cs="Times New Roman"/>
          <w:b/>
          <w:color w:val="000000" w:themeColor="text1"/>
          <w:sz w:val="20"/>
          <w:szCs w:val="20"/>
          <w:lang w:eastAsia="zh-CN"/>
        </w:rPr>
        <w:lastRenderedPageBreak/>
        <w:t>Table 7:</w:t>
      </w:r>
      <w:r w:rsidRPr="00357722">
        <w:rPr>
          <w:rFonts w:ascii="Times New Roman" w:eastAsia="SimSun" w:hAnsi="Times New Roman" w:cs="Times New Roman"/>
          <w:color w:val="000000" w:themeColor="text1"/>
          <w:sz w:val="20"/>
          <w:szCs w:val="20"/>
          <w:lang w:eastAsia="zh-CN"/>
        </w:rPr>
        <w:t xml:space="preserve"> T</w:t>
      </w:r>
      <w:r w:rsidRPr="00357722">
        <w:rPr>
          <w:rFonts w:ascii="Times New Roman" w:hAnsi="Times New Roman" w:cs="Times New Roman"/>
          <w:b/>
          <w:color w:val="000000" w:themeColor="text1"/>
          <w:sz w:val="20"/>
          <w:szCs w:val="20"/>
        </w:rPr>
        <w:t xml:space="preserve">he </w:t>
      </w:r>
      <w:r w:rsidR="00543F90" w:rsidRPr="00357722">
        <w:rPr>
          <w:rFonts w:ascii="Times New Roman" w:hAnsi="Times New Roman" w:cs="Times New Roman"/>
          <w:b/>
          <w:color w:val="000000" w:themeColor="text1"/>
          <w:sz w:val="20"/>
          <w:szCs w:val="20"/>
        </w:rPr>
        <w:t>generalized method of moments estimation</w:t>
      </w:r>
    </w:p>
    <w:tbl>
      <w:tblPr>
        <w:tblW w:w="4976" w:type="pct"/>
        <w:tblLayout w:type="fixed"/>
        <w:tblLook w:val="04A0" w:firstRow="1" w:lastRow="0" w:firstColumn="1" w:lastColumn="0" w:noHBand="0" w:noVBand="1"/>
      </w:tblPr>
      <w:tblGrid>
        <w:gridCol w:w="2269"/>
        <w:gridCol w:w="1136"/>
        <w:gridCol w:w="1281"/>
        <w:gridCol w:w="1170"/>
        <w:gridCol w:w="244"/>
        <w:gridCol w:w="1131"/>
        <w:gridCol w:w="1275"/>
        <w:gridCol w:w="1170"/>
        <w:gridCol w:w="236"/>
        <w:gridCol w:w="1142"/>
        <w:gridCol w:w="1359"/>
        <w:gridCol w:w="1478"/>
      </w:tblGrid>
      <w:tr w:rsidR="006E29B3" w:rsidRPr="00357722" w14:paraId="53B31FCB" w14:textId="77777777" w:rsidTr="006E29B3">
        <w:trPr>
          <w:trHeight w:val="170"/>
        </w:trPr>
        <w:tc>
          <w:tcPr>
            <w:tcW w:w="817" w:type="pct"/>
            <w:tcBorders>
              <w:top w:val="single" w:sz="4" w:space="0" w:color="auto"/>
              <w:left w:val="nil"/>
              <w:bottom w:val="single" w:sz="4" w:space="0" w:color="auto"/>
              <w:right w:val="nil"/>
            </w:tcBorders>
            <w:shd w:val="clear" w:color="auto" w:fill="auto"/>
            <w:noWrap/>
            <w:vAlign w:val="bottom"/>
            <w:hideMark/>
          </w:tcPr>
          <w:p w14:paraId="5529D538"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 Variable</w:t>
            </w:r>
          </w:p>
        </w:tc>
        <w:tc>
          <w:tcPr>
            <w:tcW w:w="409" w:type="pct"/>
            <w:tcBorders>
              <w:top w:val="single" w:sz="4" w:space="0" w:color="auto"/>
              <w:left w:val="nil"/>
              <w:bottom w:val="single" w:sz="4" w:space="0" w:color="auto"/>
              <w:right w:val="nil"/>
            </w:tcBorders>
            <w:shd w:val="clear" w:color="auto" w:fill="auto"/>
            <w:noWrap/>
            <w:vAlign w:val="center"/>
            <w:hideMark/>
          </w:tcPr>
          <w:p w14:paraId="79DD8D23" w14:textId="67BD2132"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(1)</w:t>
            </w:r>
          </w:p>
          <w:p w14:paraId="40E5ABC5" w14:textId="2D2B78B5"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MCGDP</w:t>
            </w:r>
          </w:p>
        </w:tc>
        <w:tc>
          <w:tcPr>
            <w:tcW w:w="461" w:type="pct"/>
            <w:tcBorders>
              <w:top w:val="single" w:sz="4" w:space="0" w:color="auto"/>
              <w:left w:val="nil"/>
              <w:bottom w:val="single" w:sz="4" w:space="0" w:color="auto"/>
              <w:right w:val="nil"/>
            </w:tcBorders>
            <w:shd w:val="clear" w:color="auto" w:fill="auto"/>
            <w:noWrap/>
            <w:vAlign w:val="center"/>
            <w:hideMark/>
          </w:tcPr>
          <w:p w14:paraId="40E66204" w14:textId="77777777"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(2)</w:t>
            </w:r>
          </w:p>
          <w:p w14:paraId="45FB8A05" w14:textId="6CF29A56"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PSCGDP</w:t>
            </w:r>
          </w:p>
        </w:tc>
        <w:tc>
          <w:tcPr>
            <w:tcW w:w="421" w:type="pct"/>
            <w:tcBorders>
              <w:top w:val="single" w:sz="4" w:space="0" w:color="auto"/>
              <w:left w:val="nil"/>
              <w:bottom w:val="single" w:sz="4" w:space="0" w:color="auto"/>
              <w:right w:val="nil"/>
            </w:tcBorders>
            <w:shd w:val="clear" w:color="auto" w:fill="auto"/>
            <w:noWrap/>
            <w:vAlign w:val="center"/>
            <w:hideMark/>
          </w:tcPr>
          <w:p w14:paraId="17EAC0AE" w14:textId="77777777"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(3)</w:t>
            </w:r>
          </w:p>
          <w:p w14:paraId="5DEAB968" w14:textId="30D5F9C3"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DCPGDP</w:t>
            </w:r>
          </w:p>
        </w:tc>
        <w:tc>
          <w:tcPr>
            <w:tcW w:w="88" w:type="pct"/>
            <w:tcBorders>
              <w:top w:val="single" w:sz="4" w:space="0" w:color="auto"/>
              <w:left w:val="nil"/>
              <w:bottom w:val="single" w:sz="4" w:space="0" w:color="auto"/>
              <w:right w:val="nil"/>
            </w:tcBorders>
            <w:shd w:val="clear" w:color="auto" w:fill="auto"/>
            <w:noWrap/>
            <w:vAlign w:val="center"/>
            <w:hideMark/>
          </w:tcPr>
          <w:p w14:paraId="10D7B196" w14:textId="77777777" w:rsidR="00403D2E" w:rsidRPr="00357722" w:rsidRDefault="00403D2E"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w:t>
            </w:r>
          </w:p>
        </w:tc>
        <w:tc>
          <w:tcPr>
            <w:tcW w:w="407" w:type="pct"/>
            <w:tcBorders>
              <w:top w:val="single" w:sz="4" w:space="0" w:color="auto"/>
              <w:left w:val="nil"/>
              <w:bottom w:val="single" w:sz="4" w:space="0" w:color="auto"/>
              <w:right w:val="nil"/>
            </w:tcBorders>
            <w:shd w:val="clear" w:color="auto" w:fill="auto"/>
            <w:noWrap/>
            <w:vAlign w:val="center"/>
            <w:hideMark/>
          </w:tcPr>
          <w:p w14:paraId="77C27052" w14:textId="77777777"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(4)</w:t>
            </w:r>
          </w:p>
          <w:p w14:paraId="3DC48310" w14:textId="35C3048A"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MCGDP</w:t>
            </w:r>
          </w:p>
        </w:tc>
        <w:tc>
          <w:tcPr>
            <w:tcW w:w="459" w:type="pct"/>
            <w:tcBorders>
              <w:top w:val="single" w:sz="4" w:space="0" w:color="auto"/>
              <w:left w:val="nil"/>
              <w:bottom w:val="single" w:sz="4" w:space="0" w:color="auto"/>
              <w:right w:val="nil"/>
            </w:tcBorders>
            <w:shd w:val="clear" w:color="auto" w:fill="auto"/>
            <w:noWrap/>
            <w:vAlign w:val="center"/>
            <w:hideMark/>
          </w:tcPr>
          <w:p w14:paraId="595E6DE9" w14:textId="77777777"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(5)</w:t>
            </w:r>
          </w:p>
          <w:p w14:paraId="36E4BFCD" w14:textId="5547E079"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PSCGDP</w:t>
            </w:r>
          </w:p>
        </w:tc>
        <w:tc>
          <w:tcPr>
            <w:tcW w:w="421" w:type="pct"/>
            <w:tcBorders>
              <w:top w:val="single" w:sz="4" w:space="0" w:color="auto"/>
              <w:left w:val="nil"/>
              <w:bottom w:val="single" w:sz="4" w:space="0" w:color="auto"/>
              <w:right w:val="nil"/>
            </w:tcBorders>
            <w:shd w:val="clear" w:color="auto" w:fill="auto"/>
            <w:noWrap/>
            <w:vAlign w:val="center"/>
            <w:hideMark/>
          </w:tcPr>
          <w:p w14:paraId="4B5B7F9C" w14:textId="7232FD2E"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(6)</w:t>
            </w:r>
          </w:p>
          <w:p w14:paraId="009EDDCA" w14:textId="4E30840F"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DCPGDP</w:t>
            </w:r>
          </w:p>
        </w:tc>
        <w:tc>
          <w:tcPr>
            <w:tcW w:w="85" w:type="pct"/>
            <w:tcBorders>
              <w:top w:val="single" w:sz="4" w:space="0" w:color="auto"/>
              <w:left w:val="nil"/>
              <w:bottom w:val="single" w:sz="4" w:space="0" w:color="auto"/>
              <w:right w:val="nil"/>
            </w:tcBorders>
            <w:shd w:val="clear" w:color="auto" w:fill="auto"/>
            <w:noWrap/>
            <w:vAlign w:val="center"/>
            <w:hideMark/>
          </w:tcPr>
          <w:p w14:paraId="69AF3857" w14:textId="77777777" w:rsidR="00403D2E" w:rsidRPr="00357722" w:rsidRDefault="00403D2E"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w:t>
            </w:r>
          </w:p>
        </w:tc>
        <w:tc>
          <w:tcPr>
            <w:tcW w:w="411" w:type="pct"/>
            <w:tcBorders>
              <w:top w:val="single" w:sz="4" w:space="0" w:color="auto"/>
              <w:left w:val="nil"/>
              <w:bottom w:val="single" w:sz="4" w:space="0" w:color="auto"/>
              <w:right w:val="nil"/>
            </w:tcBorders>
            <w:shd w:val="clear" w:color="auto" w:fill="auto"/>
            <w:noWrap/>
            <w:vAlign w:val="center"/>
            <w:hideMark/>
          </w:tcPr>
          <w:p w14:paraId="50A77A73" w14:textId="76BD1FA2"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(7)</w:t>
            </w:r>
          </w:p>
          <w:p w14:paraId="02115706" w14:textId="194915FD"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MCGDP</w:t>
            </w:r>
          </w:p>
        </w:tc>
        <w:tc>
          <w:tcPr>
            <w:tcW w:w="489" w:type="pct"/>
            <w:tcBorders>
              <w:top w:val="single" w:sz="4" w:space="0" w:color="auto"/>
              <w:left w:val="nil"/>
              <w:bottom w:val="single" w:sz="4" w:space="0" w:color="auto"/>
              <w:right w:val="nil"/>
            </w:tcBorders>
            <w:shd w:val="clear" w:color="auto" w:fill="auto"/>
            <w:noWrap/>
            <w:vAlign w:val="center"/>
            <w:hideMark/>
          </w:tcPr>
          <w:p w14:paraId="6D89C9FF" w14:textId="780614FA"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(8)</w:t>
            </w:r>
          </w:p>
          <w:p w14:paraId="6E4431F5" w14:textId="1F2FFC81"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PSCGDP</w:t>
            </w:r>
          </w:p>
        </w:tc>
        <w:tc>
          <w:tcPr>
            <w:tcW w:w="532" w:type="pct"/>
            <w:tcBorders>
              <w:top w:val="single" w:sz="4" w:space="0" w:color="auto"/>
              <w:left w:val="nil"/>
              <w:bottom w:val="single" w:sz="4" w:space="0" w:color="auto"/>
              <w:right w:val="nil"/>
            </w:tcBorders>
            <w:shd w:val="clear" w:color="auto" w:fill="auto"/>
            <w:noWrap/>
            <w:vAlign w:val="center"/>
            <w:hideMark/>
          </w:tcPr>
          <w:p w14:paraId="449F640C" w14:textId="77777777" w:rsidR="00543F90" w:rsidRPr="00357722" w:rsidRDefault="00543F90" w:rsidP="00543F90">
            <w:pPr>
              <w:spacing w:after="0" w:line="360" w:lineRule="auto"/>
              <w:jc w:val="both"/>
              <w:rPr>
                <w:rFonts w:ascii="Times New Roman" w:eastAsia="Times New Roman" w:hAnsi="Times New Roman" w:cs="Times New Roman"/>
                <w:color w:val="000000"/>
                <w:sz w:val="16"/>
                <w:szCs w:val="16"/>
                <w:lang w:val="en-US"/>
              </w:rPr>
            </w:pPr>
            <w:r w:rsidRPr="00357722">
              <w:rPr>
                <w:rFonts w:ascii="Times New Roman" w:eastAsia="Times New Roman" w:hAnsi="Times New Roman" w:cs="Times New Roman"/>
                <w:color w:val="000000"/>
                <w:sz w:val="16"/>
                <w:szCs w:val="16"/>
                <w:lang w:val="en-US"/>
              </w:rPr>
              <w:t>Model (9)</w:t>
            </w:r>
          </w:p>
          <w:p w14:paraId="493D675C" w14:textId="5D5FF25E" w:rsidR="00403D2E" w:rsidRPr="00357722" w:rsidRDefault="00005414" w:rsidP="00543F90">
            <w:pPr>
              <w:spacing w:after="0" w:line="360" w:lineRule="auto"/>
              <w:jc w:val="both"/>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lang w:val="en-US"/>
              </w:rPr>
              <w:t>DCPGDP</w:t>
            </w:r>
          </w:p>
        </w:tc>
      </w:tr>
      <w:tr w:rsidR="008F4F29" w:rsidRPr="00357722" w14:paraId="7CA7AC29" w14:textId="77777777" w:rsidTr="006E29B3">
        <w:trPr>
          <w:trHeight w:val="170"/>
        </w:trPr>
        <w:tc>
          <w:tcPr>
            <w:tcW w:w="817" w:type="pct"/>
            <w:tcBorders>
              <w:top w:val="nil"/>
              <w:left w:val="nil"/>
              <w:bottom w:val="nil"/>
              <w:right w:val="nil"/>
            </w:tcBorders>
            <w:shd w:val="clear" w:color="auto" w:fill="auto"/>
            <w:noWrap/>
            <w:vAlign w:val="center"/>
            <w:hideMark/>
          </w:tcPr>
          <w:p w14:paraId="19D793C1" w14:textId="31CDFC13"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IEPD</w:t>
            </w:r>
          </w:p>
        </w:tc>
        <w:tc>
          <w:tcPr>
            <w:tcW w:w="409" w:type="pct"/>
            <w:tcBorders>
              <w:top w:val="nil"/>
              <w:left w:val="nil"/>
              <w:bottom w:val="nil"/>
              <w:right w:val="nil"/>
            </w:tcBorders>
            <w:shd w:val="clear" w:color="auto" w:fill="auto"/>
            <w:noWrap/>
            <w:vAlign w:val="center"/>
          </w:tcPr>
          <w:p w14:paraId="7E4C00E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0.411***</w:t>
            </w:r>
          </w:p>
        </w:tc>
        <w:tc>
          <w:tcPr>
            <w:tcW w:w="461" w:type="pct"/>
            <w:tcBorders>
              <w:top w:val="nil"/>
              <w:left w:val="nil"/>
              <w:bottom w:val="nil"/>
              <w:right w:val="nil"/>
            </w:tcBorders>
            <w:shd w:val="clear" w:color="auto" w:fill="auto"/>
            <w:noWrap/>
            <w:vAlign w:val="center"/>
          </w:tcPr>
          <w:p w14:paraId="44CB2A5B" w14:textId="4D1E0F31"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0.210**</w:t>
            </w:r>
            <w:r w:rsidR="00BF6B9D" w:rsidRPr="00357722">
              <w:rPr>
                <w:rFonts w:ascii="Times New Roman" w:eastAsia="Times New Roman" w:hAnsi="Times New Roman" w:cs="Times New Roman"/>
                <w:color w:val="000000"/>
                <w:sz w:val="18"/>
                <w:szCs w:val="18"/>
              </w:rPr>
              <w:t>*</w:t>
            </w:r>
          </w:p>
        </w:tc>
        <w:tc>
          <w:tcPr>
            <w:tcW w:w="421" w:type="pct"/>
            <w:tcBorders>
              <w:top w:val="nil"/>
              <w:left w:val="nil"/>
              <w:bottom w:val="nil"/>
              <w:right w:val="nil"/>
            </w:tcBorders>
            <w:shd w:val="clear" w:color="auto" w:fill="auto"/>
            <w:noWrap/>
            <w:vAlign w:val="center"/>
          </w:tcPr>
          <w:p w14:paraId="4124C4E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0.224***</w:t>
            </w:r>
          </w:p>
        </w:tc>
        <w:tc>
          <w:tcPr>
            <w:tcW w:w="88" w:type="pct"/>
            <w:tcBorders>
              <w:top w:val="nil"/>
              <w:left w:val="nil"/>
              <w:bottom w:val="nil"/>
              <w:right w:val="nil"/>
            </w:tcBorders>
            <w:shd w:val="clear" w:color="auto" w:fill="auto"/>
            <w:noWrap/>
            <w:vAlign w:val="center"/>
          </w:tcPr>
          <w:p w14:paraId="3AA244E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7E3954B6" w14:textId="7A5F5E99"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2.033***</w:t>
            </w:r>
          </w:p>
        </w:tc>
        <w:tc>
          <w:tcPr>
            <w:tcW w:w="459" w:type="pct"/>
            <w:tcBorders>
              <w:top w:val="nil"/>
              <w:left w:val="nil"/>
              <w:bottom w:val="nil"/>
              <w:right w:val="nil"/>
            </w:tcBorders>
            <w:shd w:val="clear" w:color="auto" w:fill="auto"/>
            <w:noWrap/>
            <w:vAlign w:val="center"/>
          </w:tcPr>
          <w:p w14:paraId="7873B64F" w14:textId="44F2A09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0.991***</w:t>
            </w:r>
          </w:p>
        </w:tc>
        <w:tc>
          <w:tcPr>
            <w:tcW w:w="421" w:type="pct"/>
            <w:tcBorders>
              <w:top w:val="nil"/>
              <w:left w:val="nil"/>
              <w:bottom w:val="nil"/>
              <w:right w:val="nil"/>
            </w:tcBorders>
            <w:shd w:val="clear" w:color="auto" w:fill="auto"/>
            <w:noWrap/>
            <w:vAlign w:val="center"/>
          </w:tcPr>
          <w:p w14:paraId="0A25FFFF" w14:textId="2B079334"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0.876**</w:t>
            </w:r>
          </w:p>
        </w:tc>
        <w:tc>
          <w:tcPr>
            <w:tcW w:w="85" w:type="pct"/>
            <w:tcBorders>
              <w:top w:val="nil"/>
              <w:left w:val="nil"/>
              <w:bottom w:val="nil"/>
              <w:right w:val="nil"/>
            </w:tcBorders>
            <w:shd w:val="clear" w:color="auto" w:fill="auto"/>
            <w:noWrap/>
            <w:vAlign w:val="center"/>
          </w:tcPr>
          <w:p w14:paraId="6EDA808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4F8178E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1.969***</w:t>
            </w:r>
          </w:p>
        </w:tc>
        <w:tc>
          <w:tcPr>
            <w:tcW w:w="489" w:type="pct"/>
            <w:tcBorders>
              <w:top w:val="nil"/>
              <w:left w:val="nil"/>
              <w:bottom w:val="nil"/>
              <w:right w:val="nil"/>
            </w:tcBorders>
            <w:shd w:val="clear" w:color="auto" w:fill="auto"/>
            <w:noWrap/>
            <w:vAlign w:val="center"/>
          </w:tcPr>
          <w:p w14:paraId="3509442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0.678**</w:t>
            </w:r>
          </w:p>
        </w:tc>
        <w:tc>
          <w:tcPr>
            <w:tcW w:w="532" w:type="pct"/>
            <w:tcBorders>
              <w:top w:val="nil"/>
              <w:left w:val="nil"/>
              <w:bottom w:val="nil"/>
              <w:right w:val="nil"/>
            </w:tcBorders>
            <w:shd w:val="clear" w:color="auto" w:fill="auto"/>
            <w:noWrap/>
            <w:vAlign w:val="center"/>
          </w:tcPr>
          <w:p w14:paraId="3F88C2D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0.674**</w:t>
            </w:r>
          </w:p>
        </w:tc>
      </w:tr>
      <w:tr w:rsidR="008F4F29" w:rsidRPr="00357722" w14:paraId="6589E9CE" w14:textId="77777777" w:rsidTr="006E29B3">
        <w:trPr>
          <w:trHeight w:val="170"/>
        </w:trPr>
        <w:tc>
          <w:tcPr>
            <w:tcW w:w="817" w:type="pct"/>
            <w:tcBorders>
              <w:top w:val="nil"/>
              <w:left w:val="nil"/>
              <w:bottom w:val="nil"/>
              <w:right w:val="nil"/>
            </w:tcBorders>
            <w:shd w:val="clear" w:color="auto" w:fill="auto"/>
            <w:noWrap/>
            <w:vAlign w:val="bottom"/>
            <w:hideMark/>
          </w:tcPr>
          <w:p w14:paraId="47849CF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4586F4D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(4.10)</w:t>
            </w:r>
          </w:p>
        </w:tc>
        <w:tc>
          <w:tcPr>
            <w:tcW w:w="461" w:type="pct"/>
            <w:tcBorders>
              <w:top w:val="nil"/>
              <w:left w:val="nil"/>
              <w:bottom w:val="nil"/>
              <w:right w:val="nil"/>
            </w:tcBorders>
            <w:shd w:val="clear" w:color="auto" w:fill="auto"/>
            <w:noWrap/>
            <w:vAlign w:val="center"/>
          </w:tcPr>
          <w:p w14:paraId="656CBE8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(2.64)</w:t>
            </w:r>
          </w:p>
        </w:tc>
        <w:tc>
          <w:tcPr>
            <w:tcW w:w="421" w:type="pct"/>
            <w:tcBorders>
              <w:top w:val="nil"/>
              <w:left w:val="nil"/>
              <w:bottom w:val="nil"/>
              <w:right w:val="nil"/>
            </w:tcBorders>
            <w:shd w:val="clear" w:color="auto" w:fill="auto"/>
            <w:noWrap/>
            <w:vAlign w:val="center"/>
          </w:tcPr>
          <w:p w14:paraId="17D5ADF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(2.93)</w:t>
            </w:r>
          </w:p>
        </w:tc>
        <w:tc>
          <w:tcPr>
            <w:tcW w:w="88" w:type="pct"/>
            <w:tcBorders>
              <w:top w:val="nil"/>
              <w:left w:val="nil"/>
              <w:bottom w:val="nil"/>
              <w:right w:val="nil"/>
            </w:tcBorders>
            <w:shd w:val="clear" w:color="auto" w:fill="auto"/>
            <w:noWrap/>
            <w:vAlign w:val="center"/>
          </w:tcPr>
          <w:p w14:paraId="7B7E9DC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4379154C" w14:textId="37BD1DC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(2.90)</w:t>
            </w:r>
          </w:p>
        </w:tc>
        <w:tc>
          <w:tcPr>
            <w:tcW w:w="459" w:type="pct"/>
            <w:tcBorders>
              <w:top w:val="nil"/>
              <w:left w:val="nil"/>
              <w:bottom w:val="nil"/>
              <w:right w:val="nil"/>
            </w:tcBorders>
            <w:shd w:val="clear" w:color="auto" w:fill="auto"/>
            <w:noWrap/>
            <w:vAlign w:val="center"/>
          </w:tcPr>
          <w:p w14:paraId="1732CB45" w14:textId="5CA6FD44"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(3.46)</w:t>
            </w:r>
          </w:p>
        </w:tc>
        <w:tc>
          <w:tcPr>
            <w:tcW w:w="421" w:type="pct"/>
            <w:tcBorders>
              <w:top w:val="nil"/>
              <w:left w:val="nil"/>
              <w:bottom w:val="nil"/>
              <w:right w:val="nil"/>
            </w:tcBorders>
            <w:shd w:val="clear" w:color="auto" w:fill="auto"/>
            <w:noWrap/>
            <w:vAlign w:val="center"/>
          </w:tcPr>
          <w:p w14:paraId="12ACD48F" w14:textId="0D4F0F92"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(2.28)</w:t>
            </w:r>
          </w:p>
        </w:tc>
        <w:tc>
          <w:tcPr>
            <w:tcW w:w="85" w:type="pct"/>
            <w:tcBorders>
              <w:top w:val="nil"/>
              <w:left w:val="nil"/>
              <w:bottom w:val="nil"/>
              <w:right w:val="nil"/>
            </w:tcBorders>
            <w:shd w:val="clear" w:color="auto" w:fill="auto"/>
            <w:noWrap/>
            <w:vAlign w:val="center"/>
          </w:tcPr>
          <w:p w14:paraId="0B63382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786E37E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(3.46)</w:t>
            </w:r>
          </w:p>
        </w:tc>
        <w:tc>
          <w:tcPr>
            <w:tcW w:w="489" w:type="pct"/>
            <w:tcBorders>
              <w:top w:val="nil"/>
              <w:left w:val="nil"/>
              <w:bottom w:val="nil"/>
              <w:right w:val="nil"/>
            </w:tcBorders>
            <w:shd w:val="clear" w:color="auto" w:fill="auto"/>
            <w:noWrap/>
            <w:vAlign w:val="center"/>
          </w:tcPr>
          <w:p w14:paraId="3764D11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(2.62)</w:t>
            </w:r>
          </w:p>
        </w:tc>
        <w:tc>
          <w:tcPr>
            <w:tcW w:w="532" w:type="pct"/>
            <w:tcBorders>
              <w:top w:val="nil"/>
              <w:left w:val="nil"/>
              <w:bottom w:val="nil"/>
              <w:right w:val="nil"/>
            </w:tcBorders>
            <w:shd w:val="clear" w:color="auto" w:fill="auto"/>
            <w:noWrap/>
            <w:vAlign w:val="center"/>
          </w:tcPr>
          <w:p w14:paraId="31B7717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(2.47)</w:t>
            </w:r>
          </w:p>
        </w:tc>
      </w:tr>
      <w:tr w:rsidR="008F4F29" w:rsidRPr="00357722" w14:paraId="09793C76" w14:textId="77777777" w:rsidTr="006E29B3">
        <w:trPr>
          <w:trHeight w:val="170"/>
        </w:trPr>
        <w:tc>
          <w:tcPr>
            <w:tcW w:w="817" w:type="pct"/>
            <w:tcBorders>
              <w:top w:val="nil"/>
              <w:left w:val="nil"/>
              <w:bottom w:val="nil"/>
              <w:right w:val="nil"/>
            </w:tcBorders>
            <w:shd w:val="clear" w:color="auto" w:fill="auto"/>
            <w:vAlign w:val="center"/>
            <w:hideMark/>
          </w:tcPr>
          <w:p w14:paraId="76DB676A" w14:textId="1C9E2788" w:rsidR="008F4F29" w:rsidRPr="00357722" w:rsidRDefault="00BD65EB"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lang w:val="en-US"/>
              </w:rPr>
              <w:t>EF</w:t>
            </w:r>
          </w:p>
        </w:tc>
        <w:tc>
          <w:tcPr>
            <w:tcW w:w="409" w:type="pct"/>
            <w:tcBorders>
              <w:top w:val="nil"/>
              <w:left w:val="nil"/>
              <w:bottom w:val="nil"/>
              <w:right w:val="nil"/>
            </w:tcBorders>
            <w:shd w:val="clear" w:color="auto" w:fill="auto"/>
            <w:noWrap/>
            <w:vAlign w:val="center"/>
          </w:tcPr>
          <w:p w14:paraId="5A1B36B5"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6"/>
                <w:szCs w:val="16"/>
              </w:rPr>
            </w:pPr>
          </w:p>
        </w:tc>
        <w:tc>
          <w:tcPr>
            <w:tcW w:w="461" w:type="pct"/>
            <w:tcBorders>
              <w:top w:val="nil"/>
              <w:left w:val="nil"/>
              <w:bottom w:val="nil"/>
              <w:right w:val="nil"/>
            </w:tcBorders>
            <w:shd w:val="clear" w:color="auto" w:fill="auto"/>
            <w:noWrap/>
            <w:vAlign w:val="center"/>
          </w:tcPr>
          <w:p w14:paraId="610E987E"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07FCF258"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0DE9C1E9"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5BC0B400" w14:textId="6D2B267D"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0.136**</w:t>
            </w:r>
          </w:p>
        </w:tc>
        <w:tc>
          <w:tcPr>
            <w:tcW w:w="459" w:type="pct"/>
            <w:tcBorders>
              <w:top w:val="nil"/>
              <w:left w:val="nil"/>
              <w:bottom w:val="nil"/>
              <w:right w:val="nil"/>
            </w:tcBorders>
            <w:shd w:val="clear" w:color="auto" w:fill="auto"/>
            <w:noWrap/>
            <w:vAlign w:val="center"/>
          </w:tcPr>
          <w:p w14:paraId="0AC65239" w14:textId="2D14FCCD"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0.057**</w:t>
            </w:r>
          </w:p>
        </w:tc>
        <w:tc>
          <w:tcPr>
            <w:tcW w:w="421" w:type="pct"/>
            <w:tcBorders>
              <w:top w:val="nil"/>
              <w:left w:val="nil"/>
              <w:bottom w:val="nil"/>
              <w:right w:val="nil"/>
            </w:tcBorders>
            <w:shd w:val="clear" w:color="auto" w:fill="auto"/>
            <w:noWrap/>
            <w:vAlign w:val="center"/>
          </w:tcPr>
          <w:p w14:paraId="754D0F99" w14:textId="1933171F"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0.044</w:t>
            </w:r>
          </w:p>
        </w:tc>
        <w:tc>
          <w:tcPr>
            <w:tcW w:w="85" w:type="pct"/>
            <w:tcBorders>
              <w:top w:val="nil"/>
              <w:left w:val="nil"/>
              <w:bottom w:val="nil"/>
              <w:right w:val="nil"/>
            </w:tcBorders>
            <w:shd w:val="clear" w:color="auto" w:fill="auto"/>
            <w:noWrap/>
            <w:vAlign w:val="center"/>
          </w:tcPr>
          <w:p w14:paraId="285C57F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79A6A006"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89" w:type="pct"/>
            <w:tcBorders>
              <w:top w:val="nil"/>
              <w:left w:val="nil"/>
              <w:bottom w:val="nil"/>
              <w:right w:val="nil"/>
            </w:tcBorders>
            <w:shd w:val="clear" w:color="auto" w:fill="auto"/>
            <w:noWrap/>
            <w:vAlign w:val="center"/>
          </w:tcPr>
          <w:p w14:paraId="08560077"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532" w:type="pct"/>
            <w:tcBorders>
              <w:top w:val="nil"/>
              <w:left w:val="nil"/>
              <w:bottom w:val="nil"/>
              <w:right w:val="nil"/>
            </w:tcBorders>
            <w:shd w:val="clear" w:color="auto" w:fill="auto"/>
            <w:noWrap/>
            <w:vAlign w:val="center"/>
          </w:tcPr>
          <w:p w14:paraId="665C997D"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r>
      <w:tr w:rsidR="008F4F29" w:rsidRPr="00357722" w14:paraId="1549E7C5" w14:textId="77777777" w:rsidTr="006E29B3">
        <w:trPr>
          <w:trHeight w:val="170"/>
        </w:trPr>
        <w:tc>
          <w:tcPr>
            <w:tcW w:w="817" w:type="pct"/>
            <w:tcBorders>
              <w:top w:val="nil"/>
              <w:left w:val="nil"/>
              <w:bottom w:val="nil"/>
              <w:right w:val="nil"/>
            </w:tcBorders>
            <w:shd w:val="clear" w:color="auto" w:fill="auto"/>
            <w:vAlign w:val="center"/>
            <w:hideMark/>
          </w:tcPr>
          <w:p w14:paraId="0B112B80" w14:textId="77777777" w:rsidR="008F4F29" w:rsidRPr="00357722" w:rsidRDefault="008F4F29" w:rsidP="008F4F29">
            <w:pPr>
              <w:spacing w:after="0" w:line="360" w:lineRule="auto"/>
              <w:jc w:val="both"/>
              <w:rPr>
                <w:rFonts w:ascii="Times New Roman" w:eastAsia="Times New Roman" w:hAnsi="Times New Roman" w:cs="Times New Roman"/>
                <w:sz w:val="18"/>
                <w:szCs w:val="18"/>
              </w:rPr>
            </w:pPr>
          </w:p>
        </w:tc>
        <w:tc>
          <w:tcPr>
            <w:tcW w:w="409" w:type="pct"/>
            <w:tcBorders>
              <w:top w:val="nil"/>
              <w:left w:val="nil"/>
              <w:bottom w:val="nil"/>
              <w:right w:val="nil"/>
            </w:tcBorders>
            <w:shd w:val="clear" w:color="auto" w:fill="auto"/>
            <w:noWrap/>
            <w:vAlign w:val="center"/>
          </w:tcPr>
          <w:p w14:paraId="2CBE7C8E"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center"/>
          </w:tcPr>
          <w:p w14:paraId="22BD3020"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4EEBFB9D"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4E209485"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52EE8E07" w14:textId="2B707E2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(2.17)</w:t>
            </w:r>
          </w:p>
        </w:tc>
        <w:tc>
          <w:tcPr>
            <w:tcW w:w="459" w:type="pct"/>
            <w:tcBorders>
              <w:top w:val="nil"/>
              <w:left w:val="nil"/>
              <w:bottom w:val="nil"/>
              <w:right w:val="nil"/>
            </w:tcBorders>
            <w:shd w:val="clear" w:color="auto" w:fill="auto"/>
            <w:noWrap/>
            <w:vAlign w:val="center"/>
          </w:tcPr>
          <w:p w14:paraId="24CB88F9" w14:textId="580AC12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(2.30)</w:t>
            </w:r>
          </w:p>
        </w:tc>
        <w:tc>
          <w:tcPr>
            <w:tcW w:w="421" w:type="pct"/>
            <w:tcBorders>
              <w:top w:val="nil"/>
              <w:left w:val="nil"/>
              <w:bottom w:val="nil"/>
              <w:right w:val="nil"/>
            </w:tcBorders>
            <w:shd w:val="clear" w:color="auto" w:fill="auto"/>
            <w:noWrap/>
            <w:vAlign w:val="center"/>
          </w:tcPr>
          <w:p w14:paraId="2F52778C" w14:textId="2FA0B42F"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(1.48)</w:t>
            </w:r>
          </w:p>
        </w:tc>
        <w:tc>
          <w:tcPr>
            <w:tcW w:w="85" w:type="pct"/>
            <w:tcBorders>
              <w:top w:val="nil"/>
              <w:left w:val="nil"/>
              <w:bottom w:val="nil"/>
              <w:right w:val="nil"/>
            </w:tcBorders>
            <w:shd w:val="clear" w:color="auto" w:fill="auto"/>
            <w:noWrap/>
            <w:vAlign w:val="center"/>
          </w:tcPr>
          <w:p w14:paraId="09C10D7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4E2DDB94"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89" w:type="pct"/>
            <w:tcBorders>
              <w:top w:val="nil"/>
              <w:left w:val="nil"/>
              <w:bottom w:val="nil"/>
              <w:right w:val="nil"/>
            </w:tcBorders>
            <w:shd w:val="clear" w:color="auto" w:fill="auto"/>
            <w:noWrap/>
            <w:vAlign w:val="center"/>
          </w:tcPr>
          <w:p w14:paraId="504D9EB2"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532" w:type="pct"/>
            <w:tcBorders>
              <w:top w:val="nil"/>
              <w:left w:val="nil"/>
              <w:bottom w:val="nil"/>
              <w:right w:val="nil"/>
            </w:tcBorders>
            <w:shd w:val="clear" w:color="auto" w:fill="auto"/>
            <w:noWrap/>
            <w:vAlign w:val="center"/>
          </w:tcPr>
          <w:p w14:paraId="4CCDFC03"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r>
      <w:tr w:rsidR="008F4F29" w:rsidRPr="00357722" w14:paraId="081ECEDE" w14:textId="77777777" w:rsidTr="006E29B3">
        <w:trPr>
          <w:trHeight w:val="170"/>
        </w:trPr>
        <w:tc>
          <w:tcPr>
            <w:tcW w:w="817" w:type="pct"/>
            <w:tcBorders>
              <w:top w:val="nil"/>
              <w:left w:val="nil"/>
              <w:bottom w:val="nil"/>
              <w:right w:val="nil"/>
            </w:tcBorders>
            <w:shd w:val="clear" w:color="auto" w:fill="auto"/>
            <w:vAlign w:val="center"/>
            <w:hideMark/>
          </w:tcPr>
          <w:p w14:paraId="4F4D1A87" w14:textId="11D7BDEF"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 xml:space="preserve">IEPD </w:t>
            </w:r>
            <w:r w:rsidRPr="00357722">
              <w:rPr>
                <w:rFonts w:ascii="Times New Roman" w:eastAsia="Times New Roman" w:hAnsi="Times New Roman" w:cs="Times New Roman"/>
                <w:color w:val="000000"/>
                <w:sz w:val="18"/>
                <w:szCs w:val="18"/>
              </w:rPr>
              <w:t>x</w:t>
            </w:r>
            <w:r w:rsidRPr="00357722">
              <w:rPr>
                <w:rFonts w:ascii="Times New Roman" w:eastAsia="Times New Roman" w:hAnsi="Times New Roman" w:cs="Times New Roman"/>
                <w:i/>
                <w:iCs/>
                <w:color w:val="000000"/>
                <w:sz w:val="18"/>
                <w:szCs w:val="18"/>
              </w:rPr>
              <w:t xml:space="preserve"> </w:t>
            </w:r>
            <w:r w:rsidR="00BD65EB" w:rsidRPr="00357722">
              <w:rPr>
                <w:rFonts w:ascii="Times New Roman" w:eastAsia="Times New Roman" w:hAnsi="Times New Roman" w:cs="Times New Roman"/>
                <w:i/>
                <w:iCs/>
                <w:color w:val="000000"/>
                <w:sz w:val="18"/>
                <w:szCs w:val="18"/>
              </w:rPr>
              <w:t>EF</w:t>
            </w:r>
          </w:p>
        </w:tc>
        <w:tc>
          <w:tcPr>
            <w:tcW w:w="409" w:type="pct"/>
            <w:tcBorders>
              <w:top w:val="nil"/>
              <w:left w:val="nil"/>
              <w:bottom w:val="nil"/>
              <w:right w:val="nil"/>
            </w:tcBorders>
            <w:shd w:val="clear" w:color="auto" w:fill="auto"/>
            <w:noWrap/>
            <w:vAlign w:val="center"/>
          </w:tcPr>
          <w:p w14:paraId="5BFF7C17"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6"/>
                <w:szCs w:val="16"/>
              </w:rPr>
            </w:pPr>
          </w:p>
        </w:tc>
        <w:tc>
          <w:tcPr>
            <w:tcW w:w="461" w:type="pct"/>
            <w:tcBorders>
              <w:top w:val="nil"/>
              <w:left w:val="nil"/>
              <w:bottom w:val="nil"/>
              <w:right w:val="nil"/>
            </w:tcBorders>
            <w:shd w:val="clear" w:color="auto" w:fill="auto"/>
            <w:noWrap/>
            <w:vAlign w:val="center"/>
          </w:tcPr>
          <w:p w14:paraId="73487065"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3D0CBE10"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2CE450E4"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4E0015F1" w14:textId="15A451A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0.027*</w:t>
            </w:r>
          </w:p>
        </w:tc>
        <w:tc>
          <w:tcPr>
            <w:tcW w:w="459" w:type="pct"/>
            <w:tcBorders>
              <w:top w:val="nil"/>
              <w:left w:val="nil"/>
              <w:bottom w:val="nil"/>
              <w:right w:val="nil"/>
            </w:tcBorders>
            <w:shd w:val="clear" w:color="auto" w:fill="auto"/>
            <w:noWrap/>
            <w:vAlign w:val="center"/>
          </w:tcPr>
          <w:p w14:paraId="74569397" w14:textId="432D3FB2"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0.018***</w:t>
            </w:r>
          </w:p>
        </w:tc>
        <w:tc>
          <w:tcPr>
            <w:tcW w:w="421" w:type="pct"/>
            <w:tcBorders>
              <w:top w:val="nil"/>
              <w:left w:val="nil"/>
              <w:bottom w:val="nil"/>
              <w:right w:val="nil"/>
            </w:tcBorders>
            <w:shd w:val="clear" w:color="auto" w:fill="auto"/>
            <w:noWrap/>
            <w:vAlign w:val="center"/>
          </w:tcPr>
          <w:p w14:paraId="38690E47" w14:textId="39F17A9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0.013**</w:t>
            </w:r>
          </w:p>
        </w:tc>
        <w:tc>
          <w:tcPr>
            <w:tcW w:w="85" w:type="pct"/>
            <w:tcBorders>
              <w:top w:val="nil"/>
              <w:left w:val="nil"/>
              <w:bottom w:val="nil"/>
              <w:right w:val="nil"/>
            </w:tcBorders>
            <w:shd w:val="clear" w:color="auto" w:fill="auto"/>
            <w:noWrap/>
            <w:vAlign w:val="center"/>
          </w:tcPr>
          <w:p w14:paraId="31558E8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3A4A0851"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89" w:type="pct"/>
            <w:tcBorders>
              <w:top w:val="nil"/>
              <w:left w:val="nil"/>
              <w:bottom w:val="nil"/>
              <w:right w:val="nil"/>
            </w:tcBorders>
            <w:shd w:val="clear" w:color="auto" w:fill="auto"/>
            <w:noWrap/>
            <w:vAlign w:val="center"/>
          </w:tcPr>
          <w:p w14:paraId="452DF081"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532" w:type="pct"/>
            <w:tcBorders>
              <w:top w:val="nil"/>
              <w:left w:val="nil"/>
              <w:bottom w:val="nil"/>
              <w:right w:val="nil"/>
            </w:tcBorders>
            <w:shd w:val="clear" w:color="auto" w:fill="auto"/>
            <w:noWrap/>
            <w:vAlign w:val="center"/>
          </w:tcPr>
          <w:p w14:paraId="0E705FFB"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r>
      <w:tr w:rsidR="008F4F29" w:rsidRPr="00357722" w14:paraId="41ADA01D" w14:textId="77777777" w:rsidTr="006E29B3">
        <w:trPr>
          <w:trHeight w:val="170"/>
        </w:trPr>
        <w:tc>
          <w:tcPr>
            <w:tcW w:w="817" w:type="pct"/>
            <w:tcBorders>
              <w:top w:val="nil"/>
              <w:left w:val="nil"/>
              <w:bottom w:val="nil"/>
              <w:right w:val="nil"/>
            </w:tcBorders>
            <w:shd w:val="clear" w:color="auto" w:fill="auto"/>
            <w:noWrap/>
            <w:vAlign w:val="bottom"/>
            <w:hideMark/>
          </w:tcPr>
          <w:p w14:paraId="20F2D458" w14:textId="77777777" w:rsidR="008F4F29" w:rsidRPr="00357722" w:rsidRDefault="008F4F29" w:rsidP="008F4F29">
            <w:pPr>
              <w:spacing w:after="0" w:line="360" w:lineRule="auto"/>
              <w:jc w:val="both"/>
              <w:rPr>
                <w:rFonts w:ascii="Times New Roman" w:eastAsia="Times New Roman" w:hAnsi="Times New Roman" w:cs="Times New Roman"/>
                <w:sz w:val="18"/>
                <w:szCs w:val="18"/>
              </w:rPr>
            </w:pPr>
          </w:p>
        </w:tc>
        <w:tc>
          <w:tcPr>
            <w:tcW w:w="409" w:type="pct"/>
            <w:tcBorders>
              <w:top w:val="nil"/>
              <w:left w:val="nil"/>
              <w:bottom w:val="nil"/>
              <w:right w:val="nil"/>
            </w:tcBorders>
            <w:shd w:val="clear" w:color="auto" w:fill="auto"/>
            <w:noWrap/>
            <w:vAlign w:val="center"/>
          </w:tcPr>
          <w:p w14:paraId="1EC90891"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center"/>
          </w:tcPr>
          <w:p w14:paraId="215A58ED"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2212430F"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31A34A73"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606BF9DD" w14:textId="5BDCF89D"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(2.00)</w:t>
            </w:r>
          </w:p>
        </w:tc>
        <w:tc>
          <w:tcPr>
            <w:tcW w:w="459" w:type="pct"/>
            <w:tcBorders>
              <w:top w:val="nil"/>
              <w:left w:val="nil"/>
              <w:bottom w:val="nil"/>
              <w:right w:val="nil"/>
            </w:tcBorders>
            <w:shd w:val="clear" w:color="auto" w:fill="auto"/>
            <w:noWrap/>
            <w:vAlign w:val="center"/>
          </w:tcPr>
          <w:p w14:paraId="295D7631" w14:textId="7FF8AE0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(3.09)</w:t>
            </w:r>
          </w:p>
        </w:tc>
        <w:tc>
          <w:tcPr>
            <w:tcW w:w="421" w:type="pct"/>
            <w:tcBorders>
              <w:top w:val="nil"/>
              <w:left w:val="nil"/>
              <w:bottom w:val="nil"/>
              <w:right w:val="nil"/>
            </w:tcBorders>
            <w:shd w:val="clear" w:color="auto" w:fill="auto"/>
            <w:noWrap/>
            <w:vAlign w:val="center"/>
          </w:tcPr>
          <w:p w14:paraId="018C06A7" w14:textId="0239EF3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(2.13)</w:t>
            </w:r>
          </w:p>
        </w:tc>
        <w:tc>
          <w:tcPr>
            <w:tcW w:w="85" w:type="pct"/>
            <w:tcBorders>
              <w:top w:val="nil"/>
              <w:left w:val="nil"/>
              <w:bottom w:val="nil"/>
              <w:right w:val="nil"/>
            </w:tcBorders>
            <w:shd w:val="clear" w:color="auto" w:fill="auto"/>
            <w:noWrap/>
            <w:vAlign w:val="center"/>
          </w:tcPr>
          <w:p w14:paraId="73E7E7C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22B345C3"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489" w:type="pct"/>
            <w:tcBorders>
              <w:top w:val="nil"/>
              <w:left w:val="nil"/>
              <w:bottom w:val="nil"/>
              <w:right w:val="nil"/>
            </w:tcBorders>
            <w:shd w:val="clear" w:color="auto" w:fill="auto"/>
            <w:noWrap/>
            <w:vAlign w:val="center"/>
          </w:tcPr>
          <w:p w14:paraId="52881D16"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c>
          <w:tcPr>
            <w:tcW w:w="532" w:type="pct"/>
            <w:tcBorders>
              <w:top w:val="nil"/>
              <w:left w:val="nil"/>
              <w:bottom w:val="nil"/>
              <w:right w:val="nil"/>
            </w:tcBorders>
            <w:shd w:val="clear" w:color="auto" w:fill="auto"/>
            <w:noWrap/>
            <w:vAlign w:val="center"/>
          </w:tcPr>
          <w:p w14:paraId="4AD0A743" w14:textId="77777777" w:rsidR="008F4F29" w:rsidRPr="00357722" w:rsidRDefault="008F4F29" w:rsidP="008F4F29">
            <w:pPr>
              <w:spacing w:after="0" w:line="360" w:lineRule="auto"/>
              <w:jc w:val="both"/>
              <w:rPr>
                <w:rFonts w:ascii="Times New Roman" w:eastAsia="Times New Roman" w:hAnsi="Times New Roman" w:cs="Times New Roman"/>
                <w:sz w:val="20"/>
                <w:szCs w:val="20"/>
              </w:rPr>
            </w:pPr>
          </w:p>
        </w:tc>
      </w:tr>
      <w:tr w:rsidR="006E29B3" w:rsidRPr="00357722" w14:paraId="2E90BF20" w14:textId="77777777" w:rsidTr="006E29B3">
        <w:trPr>
          <w:trHeight w:val="170"/>
        </w:trPr>
        <w:tc>
          <w:tcPr>
            <w:tcW w:w="817" w:type="pct"/>
            <w:tcBorders>
              <w:top w:val="nil"/>
              <w:left w:val="nil"/>
              <w:bottom w:val="nil"/>
              <w:right w:val="nil"/>
            </w:tcBorders>
            <w:shd w:val="clear" w:color="auto" w:fill="auto"/>
            <w:noWrap/>
            <w:vAlign w:val="center"/>
            <w:hideMark/>
          </w:tcPr>
          <w:p w14:paraId="3CE44C28" w14:textId="77777777" w:rsidR="00403D2E" w:rsidRPr="00357722" w:rsidRDefault="00403D2E" w:rsidP="00543F90">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lang w:val="en-US"/>
              </w:rPr>
              <w:t>CBT</w:t>
            </w:r>
          </w:p>
        </w:tc>
        <w:tc>
          <w:tcPr>
            <w:tcW w:w="409" w:type="pct"/>
            <w:tcBorders>
              <w:top w:val="nil"/>
              <w:left w:val="nil"/>
              <w:bottom w:val="nil"/>
              <w:right w:val="nil"/>
            </w:tcBorders>
            <w:shd w:val="clear" w:color="auto" w:fill="auto"/>
            <w:noWrap/>
            <w:vAlign w:val="center"/>
          </w:tcPr>
          <w:p w14:paraId="1D4A6949" w14:textId="77777777" w:rsidR="00403D2E" w:rsidRPr="00357722" w:rsidRDefault="00403D2E" w:rsidP="00543F90">
            <w:pPr>
              <w:spacing w:after="0" w:line="360" w:lineRule="auto"/>
              <w:jc w:val="both"/>
              <w:rPr>
                <w:rFonts w:ascii="Times New Roman" w:eastAsia="Times New Roman" w:hAnsi="Times New Roman" w:cs="Times New Roman"/>
                <w:i/>
                <w:iCs/>
                <w:color w:val="000000"/>
                <w:sz w:val="16"/>
                <w:szCs w:val="16"/>
              </w:rPr>
            </w:pPr>
          </w:p>
        </w:tc>
        <w:tc>
          <w:tcPr>
            <w:tcW w:w="461" w:type="pct"/>
            <w:tcBorders>
              <w:top w:val="nil"/>
              <w:left w:val="nil"/>
              <w:bottom w:val="nil"/>
              <w:right w:val="nil"/>
            </w:tcBorders>
            <w:shd w:val="clear" w:color="auto" w:fill="auto"/>
            <w:noWrap/>
            <w:vAlign w:val="center"/>
          </w:tcPr>
          <w:p w14:paraId="4AB5C553"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3A5FD6A5"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09BA5B73"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4D5306A5"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center"/>
          </w:tcPr>
          <w:p w14:paraId="0532C6CE"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08017EAB"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5" w:type="pct"/>
            <w:tcBorders>
              <w:top w:val="nil"/>
              <w:left w:val="nil"/>
              <w:bottom w:val="nil"/>
              <w:right w:val="nil"/>
            </w:tcBorders>
            <w:shd w:val="clear" w:color="auto" w:fill="auto"/>
            <w:noWrap/>
            <w:vAlign w:val="center"/>
          </w:tcPr>
          <w:p w14:paraId="3C651194"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11" w:type="pct"/>
            <w:tcBorders>
              <w:top w:val="nil"/>
              <w:left w:val="nil"/>
              <w:bottom w:val="nil"/>
              <w:right w:val="nil"/>
            </w:tcBorders>
            <w:shd w:val="clear" w:color="auto" w:fill="auto"/>
            <w:noWrap/>
            <w:vAlign w:val="center"/>
          </w:tcPr>
          <w:p w14:paraId="0C604218"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0.853***</w:t>
            </w:r>
          </w:p>
        </w:tc>
        <w:tc>
          <w:tcPr>
            <w:tcW w:w="489" w:type="pct"/>
            <w:tcBorders>
              <w:top w:val="nil"/>
              <w:left w:val="nil"/>
              <w:bottom w:val="nil"/>
              <w:right w:val="nil"/>
            </w:tcBorders>
            <w:shd w:val="clear" w:color="auto" w:fill="auto"/>
            <w:noWrap/>
            <w:vAlign w:val="center"/>
          </w:tcPr>
          <w:p w14:paraId="63D458B3"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0.259**</w:t>
            </w:r>
          </w:p>
        </w:tc>
        <w:tc>
          <w:tcPr>
            <w:tcW w:w="532" w:type="pct"/>
            <w:tcBorders>
              <w:top w:val="nil"/>
              <w:left w:val="nil"/>
              <w:bottom w:val="nil"/>
              <w:right w:val="nil"/>
            </w:tcBorders>
            <w:shd w:val="clear" w:color="auto" w:fill="auto"/>
            <w:noWrap/>
            <w:vAlign w:val="center"/>
          </w:tcPr>
          <w:p w14:paraId="645BBDE4"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0.234</w:t>
            </w:r>
          </w:p>
        </w:tc>
      </w:tr>
      <w:tr w:rsidR="006E29B3" w:rsidRPr="00357722" w14:paraId="24233A09" w14:textId="77777777" w:rsidTr="006E29B3">
        <w:trPr>
          <w:trHeight w:val="170"/>
        </w:trPr>
        <w:tc>
          <w:tcPr>
            <w:tcW w:w="817" w:type="pct"/>
            <w:tcBorders>
              <w:top w:val="nil"/>
              <w:left w:val="nil"/>
              <w:bottom w:val="nil"/>
              <w:right w:val="nil"/>
            </w:tcBorders>
            <w:shd w:val="clear" w:color="auto" w:fill="auto"/>
            <w:noWrap/>
            <w:hideMark/>
          </w:tcPr>
          <w:p w14:paraId="02010CAA"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7D4F87A8"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center"/>
          </w:tcPr>
          <w:p w14:paraId="6F14372F"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75960048"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1695ADE3"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073CAE51"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center"/>
          </w:tcPr>
          <w:p w14:paraId="3DF80C87"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70056C3C"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5" w:type="pct"/>
            <w:tcBorders>
              <w:top w:val="nil"/>
              <w:left w:val="nil"/>
              <w:bottom w:val="nil"/>
              <w:right w:val="nil"/>
            </w:tcBorders>
            <w:shd w:val="clear" w:color="auto" w:fill="auto"/>
            <w:noWrap/>
            <w:vAlign w:val="center"/>
          </w:tcPr>
          <w:p w14:paraId="1B1627CB"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11" w:type="pct"/>
            <w:tcBorders>
              <w:top w:val="nil"/>
              <w:left w:val="nil"/>
              <w:bottom w:val="nil"/>
              <w:right w:val="nil"/>
            </w:tcBorders>
            <w:shd w:val="clear" w:color="auto" w:fill="auto"/>
            <w:noWrap/>
            <w:vAlign w:val="center"/>
          </w:tcPr>
          <w:p w14:paraId="3C016319"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(3.13)</w:t>
            </w:r>
          </w:p>
        </w:tc>
        <w:tc>
          <w:tcPr>
            <w:tcW w:w="489" w:type="pct"/>
            <w:tcBorders>
              <w:top w:val="nil"/>
              <w:left w:val="nil"/>
              <w:bottom w:val="nil"/>
              <w:right w:val="nil"/>
            </w:tcBorders>
            <w:shd w:val="clear" w:color="auto" w:fill="auto"/>
            <w:noWrap/>
            <w:vAlign w:val="center"/>
          </w:tcPr>
          <w:p w14:paraId="1C439372"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(2.06)</w:t>
            </w:r>
          </w:p>
        </w:tc>
        <w:tc>
          <w:tcPr>
            <w:tcW w:w="532" w:type="pct"/>
            <w:tcBorders>
              <w:top w:val="nil"/>
              <w:left w:val="nil"/>
              <w:bottom w:val="nil"/>
              <w:right w:val="nil"/>
            </w:tcBorders>
            <w:shd w:val="clear" w:color="auto" w:fill="auto"/>
            <w:noWrap/>
            <w:vAlign w:val="center"/>
          </w:tcPr>
          <w:p w14:paraId="677C3C53"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(1.59)</w:t>
            </w:r>
          </w:p>
        </w:tc>
      </w:tr>
      <w:tr w:rsidR="006E29B3" w:rsidRPr="00357722" w14:paraId="73B791BD" w14:textId="77777777" w:rsidTr="006E29B3">
        <w:trPr>
          <w:trHeight w:val="170"/>
        </w:trPr>
        <w:tc>
          <w:tcPr>
            <w:tcW w:w="817" w:type="pct"/>
            <w:tcBorders>
              <w:top w:val="nil"/>
              <w:left w:val="nil"/>
              <w:bottom w:val="nil"/>
              <w:right w:val="nil"/>
            </w:tcBorders>
            <w:shd w:val="clear" w:color="auto" w:fill="auto"/>
            <w:noWrap/>
            <w:vAlign w:val="center"/>
            <w:hideMark/>
          </w:tcPr>
          <w:p w14:paraId="767624BD" w14:textId="63912490" w:rsidR="00403D2E" w:rsidRPr="00357722" w:rsidRDefault="002F704B" w:rsidP="00543F90">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lang w:val="en-US"/>
              </w:rPr>
              <w:t>IEPD</w:t>
            </w:r>
            <w:r w:rsidR="00403D2E" w:rsidRPr="00357722">
              <w:rPr>
                <w:rFonts w:ascii="Times New Roman" w:eastAsia="Times New Roman" w:hAnsi="Times New Roman" w:cs="Times New Roman"/>
                <w:i/>
                <w:iCs/>
                <w:color w:val="000000"/>
                <w:sz w:val="18"/>
                <w:szCs w:val="18"/>
                <w:lang w:val="en-US"/>
              </w:rPr>
              <w:t xml:space="preserve"> </w:t>
            </w:r>
            <w:r w:rsidR="00403D2E" w:rsidRPr="00357722">
              <w:rPr>
                <w:rFonts w:ascii="Times New Roman" w:eastAsia="Times New Roman" w:hAnsi="Times New Roman" w:cs="Times New Roman"/>
                <w:color w:val="000000"/>
                <w:sz w:val="18"/>
                <w:szCs w:val="18"/>
                <w:lang w:val="en-US"/>
              </w:rPr>
              <w:t>x</w:t>
            </w:r>
            <w:r w:rsidR="00403D2E" w:rsidRPr="00357722">
              <w:rPr>
                <w:rFonts w:ascii="Times New Roman" w:eastAsia="Times New Roman" w:hAnsi="Times New Roman" w:cs="Times New Roman"/>
                <w:i/>
                <w:iCs/>
                <w:color w:val="000000"/>
                <w:sz w:val="18"/>
                <w:szCs w:val="18"/>
                <w:lang w:val="en-US"/>
              </w:rPr>
              <w:t xml:space="preserve"> CBT</w:t>
            </w:r>
          </w:p>
        </w:tc>
        <w:tc>
          <w:tcPr>
            <w:tcW w:w="409" w:type="pct"/>
            <w:tcBorders>
              <w:top w:val="nil"/>
              <w:left w:val="nil"/>
              <w:bottom w:val="nil"/>
              <w:right w:val="nil"/>
            </w:tcBorders>
            <w:shd w:val="clear" w:color="auto" w:fill="auto"/>
            <w:noWrap/>
            <w:vAlign w:val="center"/>
          </w:tcPr>
          <w:p w14:paraId="2D6C4CB7" w14:textId="77777777" w:rsidR="00403D2E" w:rsidRPr="00357722" w:rsidRDefault="00403D2E" w:rsidP="00543F90">
            <w:pPr>
              <w:spacing w:after="0" w:line="360" w:lineRule="auto"/>
              <w:jc w:val="both"/>
              <w:rPr>
                <w:rFonts w:ascii="Times New Roman" w:eastAsia="Times New Roman" w:hAnsi="Times New Roman" w:cs="Times New Roman"/>
                <w:i/>
                <w:iCs/>
                <w:color w:val="000000"/>
                <w:sz w:val="16"/>
                <w:szCs w:val="16"/>
              </w:rPr>
            </w:pPr>
          </w:p>
        </w:tc>
        <w:tc>
          <w:tcPr>
            <w:tcW w:w="461" w:type="pct"/>
            <w:tcBorders>
              <w:top w:val="nil"/>
              <w:left w:val="nil"/>
              <w:bottom w:val="nil"/>
              <w:right w:val="nil"/>
            </w:tcBorders>
            <w:shd w:val="clear" w:color="auto" w:fill="auto"/>
            <w:noWrap/>
            <w:vAlign w:val="center"/>
          </w:tcPr>
          <w:p w14:paraId="2EC7CB3E"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41CCDD4B"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6B5262EE"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52AA38C0"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center"/>
          </w:tcPr>
          <w:p w14:paraId="674FF3FE"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015033BD"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5" w:type="pct"/>
            <w:tcBorders>
              <w:top w:val="nil"/>
              <w:left w:val="nil"/>
              <w:bottom w:val="nil"/>
              <w:right w:val="nil"/>
            </w:tcBorders>
            <w:shd w:val="clear" w:color="auto" w:fill="auto"/>
            <w:noWrap/>
            <w:vAlign w:val="center"/>
          </w:tcPr>
          <w:p w14:paraId="7CDD92AD"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11" w:type="pct"/>
            <w:tcBorders>
              <w:top w:val="nil"/>
              <w:left w:val="nil"/>
              <w:bottom w:val="nil"/>
              <w:right w:val="nil"/>
            </w:tcBorders>
            <w:shd w:val="clear" w:color="auto" w:fill="auto"/>
            <w:noWrap/>
            <w:vAlign w:val="center"/>
          </w:tcPr>
          <w:p w14:paraId="5B50FFD1"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0.177***</w:t>
            </w:r>
          </w:p>
        </w:tc>
        <w:tc>
          <w:tcPr>
            <w:tcW w:w="489" w:type="pct"/>
            <w:tcBorders>
              <w:top w:val="nil"/>
              <w:left w:val="nil"/>
              <w:bottom w:val="nil"/>
              <w:right w:val="nil"/>
            </w:tcBorders>
            <w:shd w:val="clear" w:color="auto" w:fill="auto"/>
            <w:noWrap/>
            <w:vAlign w:val="center"/>
          </w:tcPr>
          <w:p w14:paraId="4D72DBCD"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0.059*</w:t>
            </w:r>
          </w:p>
        </w:tc>
        <w:tc>
          <w:tcPr>
            <w:tcW w:w="532" w:type="pct"/>
            <w:tcBorders>
              <w:top w:val="nil"/>
              <w:left w:val="nil"/>
              <w:bottom w:val="nil"/>
              <w:right w:val="nil"/>
            </w:tcBorders>
            <w:shd w:val="clear" w:color="auto" w:fill="auto"/>
            <w:noWrap/>
            <w:vAlign w:val="center"/>
          </w:tcPr>
          <w:p w14:paraId="4A67305F"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0.057*</w:t>
            </w:r>
          </w:p>
        </w:tc>
      </w:tr>
      <w:tr w:rsidR="006E29B3" w:rsidRPr="00357722" w14:paraId="7DECD657" w14:textId="77777777" w:rsidTr="006E29B3">
        <w:trPr>
          <w:trHeight w:val="170"/>
        </w:trPr>
        <w:tc>
          <w:tcPr>
            <w:tcW w:w="817" w:type="pct"/>
            <w:tcBorders>
              <w:top w:val="nil"/>
              <w:left w:val="nil"/>
              <w:bottom w:val="nil"/>
              <w:right w:val="nil"/>
            </w:tcBorders>
            <w:shd w:val="clear" w:color="auto" w:fill="auto"/>
            <w:noWrap/>
            <w:vAlign w:val="bottom"/>
            <w:hideMark/>
          </w:tcPr>
          <w:p w14:paraId="645EE8B5"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28125B12"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center"/>
          </w:tcPr>
          <w:p w14:paraId="633C89EB"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2483E80C"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8" w:type="pct"/>
            <w:tcBorders>
              <w:top w:val="nil"/>
              <w:left w:val="nil"/>
              <w:bottom w:val="nil"/>
              <w:right w:val="nil"/>
            </w:tcBorders>
            <w:shd w:val="clear" w:color="auto" w:fill="auto"/>
            <w:noWrap/>
            <w:vAlign w:val="center"/>
          </w:tcPr>
          <w:p w14:paraId="7369C882"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07" w:type="pct"/>
            <w:tcBorders>
              <w:top w:val="nil"/>
              <w:left w:val="nil"/>
              <w:bottom w:val="nil"/>
              <w:right w:val="nil"/>
            </w:tcBorders>
            <w:shd w:val="clear" w:color="auto" w:fill="auto"/>
            <w:noWrap/>
            <w:vAlign w:val="center"/>
          </w:tcPr>
          <w:p w14:paraId="3C3E0D40"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center"/>
          </w:tcPr>
          <w:p w14:paraId="338F2AFD"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tcPr>
          <w:p w14:paraId="1671047A"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85" w:type="pct"/>
            <w:tcBorders>
              <w:top w:val="nil"/>
              <w:left w:val="nil"/>
              <w:bottom w:val="nil"/>
              <w:right w:val="nil"/>
            </w:tcBorders>
            <w:shd w:val="clear" w:color="auto" w:fill="auto"/>
            <w:noWrap/>
            <w:vAlign w:val="center"/>
          </w:tcPr>
          <w:p w14:paraId="08C58AA0" w14:textId="77777777" w:rsidR="00403D2E" w:rsidRPr="00357722" w:rsidRDefault="00403D2E" w:rsidP="00543F90">
            <w:pPr>
              <w:spacing w:after="0" w:line="360" w:lineRule="auto"/>
              <w:jc w:val="both"/>
              <w:rPr>
                <w:rFonts w:ascii="Times New Roman" w:eastAsia="Times New Roman" w:hAnsi="Times New Roman" w:cs="Times New Roman"/>
                <w:sz w:val="20"/>
                <w:szCs w:val="20"/>
              </w:rPr>
            </w:pPr>
          </w:p>
        </w:tc>
        <w:tc>
          <w:tcPr>
            <w:tcW w:w="411" w:type="pct"/>
            <w:tcBorders>
              <w:top w:val="nil"/>
              <w:left w:val="nil"/>
              <w:bottom w:val="nil"/>
              <w:right w:val="nil"/>
            </w:tcBorders>
            <w:shd w:val="clear" w:color="auto" w:fill="auto"/>
            <w:noWrap/>
            <w:vAlign w:val="center"/>
          </w:tcPr>
          <w:p w14:paraId="1D63C87C"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(2.83)</w:t>
            </w:r>
          </w:p>
        </w:tc>
        <w:tc>
          <w:tcPr>
            <w:tcW w:w="489" w:type="pct"/>
            <w:tcBorders>
              <w:top w:val="nil"/>
              <w:left w:val="nil"/>
              <w:bottom w:val="nil"/>
              <w:right w:val="nil"/>
            </w:tcBorders>
            <w:shd w:val="clear" w:color="auto" w:fill="auto"/>
            <w:noWrap/>
            <w:vAlign w:val="center"/>
          </w:tcPr>
          <w:p w14:paraId="180F04E8"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(1.89)</w:t>
            </w:r>
          </w:p>
        </w:tc>
        <w:tc>
          <w:tcPr>
            <w:tcW w:w="532" w:type="pct"/>
            <w:tcBorders>
              <w:top w:val="nil"/>
              <w:left w:val="nil"/>
              <w:bottom w:val="nil"/>
              <w:right w:val="nil"/>
            </w:tcBorders>
            <w:shd w:val="clear" w:color="auto" w:fill="auto"/>
            <w:noWrap/>
            <w:vAlign w:val="center"/>
          </w:tcPr>
          <w:p w14:paraId="133BF32E" w14:textId="77777777" w:rsidR="00403D2E" w:rsidRPr="00357722" w:rsidRDefault="00403D2E" w:rsidP="00543F9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(1.97)</w:t>
            </w:r>
          </w:p>
        </w:tc>
      </w:tr>
      <w:tr w:rsidR="008F4F29" w:rsidRPr="00357722" w14:paraId="0A3D350D" w14:textId="77777777" w:rsidTr="006E29B3">
        <w:trPr>
          <w:trHeight w:val="170"/>
        </w:trPr>
        <w:tc>
          <w:tcPr>
            <w:tcW w:w="817" w:type="pct"/>
            <w:tcBorders>
              <w:top w:val="nil"/>
              <w:left w:val="nil"/>
              <w:bottom w:val="nil"/>
              <w:right w:val="nil"/>
            </w:tcBorders>
            <w:shd w:val="clear" w:color="auto" w:fill="auto"/>
            <w:noWrap/>
            <w:vAlign w:val="center"/>
            <w:hideMark/>
          </w:tcPr>
          <w:p w14:paraId="01E7D560" w14:textId="039B816E" w:rsidR="008F4F29" w:rsidRPr="00357722" w:rsidRDefault="008857A2"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FSDGDP</w:t>
            </w:r>
          </w:p>
        </w:tc>
        <w:tc>
          <w:tcPr>
            <w:tcW w:w="409" w:type="pct"/>
            <w:tcBorders>
              <w:top w:val="nil"/>
              <w:left w:val="nil"/>
              <w:bottom w:val="nil"/>
              <w:right w:val="nil"/>
            </w:tcBorders>
            <w:shd w:val="clear" w:color="auto" w:fill="auto"/>
            <w:noWrap/>
            <w:vAlign w:val="center"/>
          </w:tcPr>
          <w:p w14:paraId="35F16A7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0.004*</w:t>
            </w:r>
          </w:p>
        </w:tc>
        <w:tc>
          <w:tcPr>
            <w:tcW w:w="461" w:type="pct"/>
            <w:tcBorders>
              <w:top w:val="nil"/>
              <w:left w:val="nil"/>
              <w:bottom w:val="nil"/>
              <w:right w:val="nil"/>
            </w:tcBorders>
            <w:shd w:val="clear" w:color="auto" w:fill="auto"/>
            <w:noWrap/>
            <w:vAlign w:val="center"/>
          </w:tcPr>
          <w:p w14:paraId="098E1F9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0.005**</w:t>
            </w:r>
          </w:p>
        </w:tc>
        <w:tc>
          <w:tcPr>
            <w:tcW w:w="421" w:type="pct"/>
            <w:tcBorders>
              <w:top w:val="nil"/>
              <w:left w:val="nil"/>
              <w:bottom w:val="nil"/>
              <w:right w:val="nil"/>
            </w:tcBorders>
            <w:shd w:val="clear" w:color="auto" w:fill="auto"/>
            <w:noWrap/>
            <w:vAlign w:val="center"/>
          </w:tcPr>
          <w:p w14:paraId="2C5FA65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0.004*</w:t>
            </w:r>
          </w:p>
        </w:tc>
        <w:tc>
          <w:tcPr>
            <w:tcW w:w="88" w:type="pct"/>
            <w:tcBorders>
              <w:top w:val="nil"/>
              <w:left w:val="nil"/>
              <w:bottom w:val="nil"/>
              <w:right w:val="nil"/>
            </w:tcBorders>
            <w:shd w:val="clear" w:color="auto" w:fill="auto"/>
            <w:noWrap/>
            <w:vAlign w:val="center"/>
          </w:tcPr>
          <w:p w14:paraId="6C7D75C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241C3E25" w14:textId="7FC10804"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0.013*</w:t>
            </w:r>
          </w:p>
        </w:tc>
        <w:tc>
          <w:tcPr>
            <w:tcW w:w="459" w:type="pct"/>
            <w:tcBorders>
              <w:top w:val="nil"/>
              <w:left w:val="nil"/>
              <w:bottom w:val="nil"/>
              <w:right w:val="nil"/>
            </w:tcBorders>
            <w:shd w:val="clear" w:color="auto" w:fill="auto"/>
            <w:noWrap/>
            <w:vAlign w:val="center"/>
          </w:tcPr>
          <w:p w14:paraId="6A88C5D0" w14:textId="2B5D74F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0.008***</w:t>
            </w:r>
          </w:p>
        </w:tc>
        <w:tc>
          <w:tcPr>
            <w:tcW w:w="421" w:type="pct"/>
            <w:tcBorders>
              <w:top w:val="nil"/>
              <w:left w:val="nil"/>
              <w:bottom w:val="nil"/>
              <w:right w:val="nil"/>
            </w:tcBorders>
            <w:shd w:val="clear" w:color="auto" w:fill="auto"/>
            <w:noWrap/>
            <w:vAlign w:val="center"/>
          </w:tcPr>
          <w:p w14:paraId="1C19BB7E" w14:textId="3B5DB5B3"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0.008***</w:t>
            </w:r>
          </w:p>
        </w:tc>
        <w:tc>
          <w:tcPr>
            <w:tcW w:w="85" w:type="pct"/>
            <w:tcBorders>
              <w:top w:val="nil"/>
              <w:left w:val="nil"/>
              <w:bottom w:val="nil"/>
              <w:right w:val="nil"/>
            </w:tcBorders>
            <w:shd w:val="clear" w:color="auto" w:fill="auto"/>
            <w:noWrap/>
            <w:vAlign w:val="center"/>
          </w:tcPr>
          <w:p w14:paraId="223A9F1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3DF56EA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0.009*</w:t>
            </w:r>
          </w:p>
        </w:tc>
        <w:tc>
          <w:tcPr>
            <w:tcW w:w="489" w:type="pct"/>
            <w:tcBorders>
              <w:top w:val="nil"/>
              <w:left w:val="nil"/>
              <w:bottom w:val="nil"/>
              <w:right w:val="nil"/>
            </w:tcBorders>
            <w:shd w:val="clear" w:color="auto" w:fill="auto"/>
            <w:noWrap/>
            <w:vAlign w:val="center"/>
          </w:tcPr>
          <w:p w14:paraId="0BA1B7FC"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0.006</w:t>
            </w:r>
          </w:p>
        </w:tc>
        <w:tc>
          <w:tcPr>
            <w:tcW w:w="532" w:type="pct"/>
            <w:tcBorders>
              <w:top w:val="nil"/>
              <w:left w:val="nil"/>
              <w:bottom w:val="nil"/>
              <w:right w:val="nil"/>
            </w:tcBorders>
            <w:shd w:val="clear" w:color="auto" w:fill="auto"/>
            <w:noWrap/>
            <w:vAlign w:val="center"/>
          </w:tcPr>
          <w:p w14:paraId="561BF97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0.006*</w:t>
            </w:r>
          </w:p>
        </w:tc>
      </w:tr>
      <w:tr w:rsidR="008F4F29" w:rsidRPr="00357722" w14:paraId="1E4EC981" w14:textId="77777777" w:rsidTr="006E29B3">
        <w:trPr>
          <w:trHeight w:val="170"/>
        </w:trPr>
        <w:tc>
          <w:tcPr>
            <w:tcW w:w="817" w:type="pct"/>
            <w:tcBorders>
              <w:top w:val="nil"/>
              <w:left w:val="nil"/>
              <w:bottom w:val="nil"/>
              <w:right w:val="nil"/>
            </w:tcBorders>
            <w:shd w:val="clear" w:color="auto" w:fill="auto"/>
            <w:noWrap/>
            <w:vAlign w:val="bottom"/>
            <w:hideMark/>
          </w:tcPr>
          <w:p w14:paraId="6928F4C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6342A9C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(1.77)</w:t>
            </w:r>
          </w:p>
        </w:tc>
        <w:tc>
          <w:tcPr>
            <w:tcW w:w="461" w:type="pct"/>
            <w:tcBorders>
              <w:top w:val="nil"/>
              <w:left w:val="nil"/>
              <w:bottom w:val="nil"/>
              <w:right w:val="nil"/>
            </w:tcBorders>
            <w:shd w:val="clear" w:color="auto" w:fill="auto"/>
            <w:noWrap/>
            <w:vAlign w:val="center"/>
          </w:tcPr>
          <w:p w14:paraId="0F78992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(2.38)</w:t>
            </w:r>
          </w:p>
        </w:tc>
        <w:tc>
          <w:tcPr>
            <w:tcW w:w="421" w:type="pct"/>
            <w:tcBorders>
              <w:top w:val="nil"/>
              <w:left w:val="nil"/>
              <w:bottom w:val="nil"/>
              <w:right w:val="nil"/>
            </w:tcBorders>
            <w:shd w:val="clear" w:color="auto" w:fill="auto"/>
            <w:noWrap/>
            <w:vAlign w:val="center"/>
          </w:tcPr>
          <w:p w14:paraId="20974C4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(2.00)</w:t>
            </w:r>
          </w:p>
        </w:tc>
        <w:tc>
          <w:tcPr>
            <w:tcW w:w="88" w:type="pct"/>
            <w:tcBorders>
              <w:top w:val="nil"/>
              <w:left w:val="nil"/>
              <w:bottom w:val="nil"/>
              <w:right w:val="nil"/>
            </w:tcBorders>
            <w:shd w:val="clear" w:color="auto" w:fill="auto"/>
            <w:noWrap/>
            <w:vAlign w:val="center"/>
          </w:tcPr>
          <w:p w14:paraId="6756DA1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09FAC14A" w14:textId="151058D1"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(2.00)</w:t>
            </w:r>
          </w:p>
        </w:tc>
        <w:tc>
          <w:tcPr>
            <w:tcW w:w="459" w:type="pct"/>
            <w:tcBorders>
              <w:top w:val="nil"/>
              <w:left w:val="nil"/>
              <w:bottom w:val="nil"/>
              <w:right w:val="nil"/>
            </w:tcBorders>
            <w:shd w:val="clear" w:color="auto" w:fill="auto"/>
            <w:noWrap/>
            <w:vAlign w:val="center"/>
          </w:tcPr>
          <w:p w14:paraId="73D5E82E" w14:textId="2F2BF3A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(3.19)</w:t>
            </w:r>
          </w:p>
        </w:tc>
        <w:tc>
          <w:tcPr>
            <w:tcW w:w="421" w:type="pct"/>
            <w:tcBorders>
              <w:top w:val="nil"/>
              <w:left w:val="nil"/>
              <w:bottom w:val="nil"/>
              <w:right w:val="nil"/>
            </w:tcBorders>
            <w:shd w:val="clear" w:color="auto" w:fill="auto"/>
            <w:noWrap/>
            <w:vAlign w:val="center"/>
          </w:tcPr>
          <w:p w14:paraId="703924AB" w14:textId="442F7AE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(2.70)</w:t>
            </w:r>
          </w:p>
        </w:tc>
        <w:tc>
          <w:tcPr>
            <w:tcW w:w="85" w:type="pct"/>
            <w:tcBorders>
              <w:top w:val="nil"/>
              <w:left w:val="nil"/>
              <w:bottom w:val="nil"/>
              <w:right w:val="nil"/>
            </w:tcBorders>
            <w:shd w:val="clear" w:color="auto" w:fill="auto"/>
            <w:noWrap/>
            <w:vAlign w:val="center"/>
          </w:tcPr>
          <w:p w14:paraId="5B40ACF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5B38F29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(1.76)</w:t>
            </w:r>
          </w:p>
        </w:tc>
        <w:tc>
          <w:tcPr>
            <w:tcW w:w="489" w:type="pct"/>
            <w:tcBorders>
              <w:top w:val="nil"/>
              <w:left w:val="nil"/>
              <w:bottom w:val="nil"/>
              <w:right w:val="nil"/>
            </w:tcBorders>
            <w:shd w:val="clear" w:color="auto" w:fill="auto"/>
            <w:noWrap/>
            <w:vAlign w:val="center"/>
          </w:tcPr>
          <w:p w14:paraId="32BEBFA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(1.31)</w:t>
            </w:r>
          </w:p>
        </w:tc>
        <w:tc>
          <w:tcPr>
            <w:tcW w:w="532" w:type="pct"/>
            <w:tcBorders>
              <w:top w:val="nil"/>
              <w:left w:val="nil"/>
              <w:bottom w:val="nil"/>
              <w:right w:val="nil"/>
            </w:tcBorders>
            <w:shd w:val="clear" w:color="auto" w:fill="auto"/>
            <w:noWrap/>
            <w:vAlign w:val="center"/>
          </w:tcPr>
          <w:p w14:paraId="5ACA4F3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(1.75)</w:t>
            </w:r>
          </w:p>
        </w:tc>
      </w:tr>
      <w:tr w:rsidR="008F4F29" w:rsidRPr="00357722" w14:paraId="259B4842" w14:textId="77777777" w:rsidTr="006E29B3">
        <w:trPr>
          <w:trHeight w:val="170"/>
        </w:trPr>
        <w:tc>
          <w:tcPr>
            <w:tcW w:w="817" w:type="pct"/>
            <w:tcBorders>
              <w:top w:val="nil"/>
              <w:left w:val="nil"/>
              <w:bottom w:val="nil"/>
              <w:right w:val="nil"/>
            </w:tcBorders>
            <w:shd w:val="clear" w:color="auto" w:fill="auto"/>
            <w:noWrap/>
            <w:vAlign w:val="center"/>
            <w:hideMark/>
          </w:tcPr>
          <w:p w14:paraId="4F951462"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FINOPEN</w:t>
            </w:r>
          </w:p>
        </w:tc>
        <w:tc>
          <w:tcPr>
            <w:tcW w:w="409" w:type="pct"/>
            <w:tcBorders>
              <w:top w:val="nil"/>
              <w:left w:val="nil"/>
              <w:bottom w:val="nil"/>
              <w:right w:val="nil"/>
            </w:tcBorders>
            <w:shd w:val="clear" w:color="auto" w:fill="auto"/>
            <w:noWrap/>
            <w:vAlign w:val="center"/>
          </w:tcPr>
          <w:p w14:paraId="253BC81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-0.126</w:t>
            </w:r>
          </w:p>
        </w:tc>
        <w:tc>
          <w:tcPr>
            <w:tcW w:w="461" w:type="pct"/>
            <w:tcBorders>
              <w:top w:val="nil"/>
              <w:left w:val="nil"/>
              <w:bottom w:val="nil"/>
              <w:right w:val="nil"/>
            </w:tcBorders>
            <w:shd w:val="clear" w:color="auto" w:fill="auto"/>
            <w:noWrap/>
            <w:vAlign w:val="center"/>
          </w:tcPr>
          <w:p w14:paraId="017922E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0.023</w:t>
            </w:r>
          </w:p>
        </w:tc>
        <w:tc>
          <w:tcPr>
            <w:tcW w:w="421" w:type="pct"/>
            <w:tcBorders>
              <w:top w:val="nil"/>
              <w:left w:val="nil"/>
              <w:bottom w:val="nil"/>
              <w:right w:val="nil"/>
            </w:tcBorders>
            <w:shd w:val="clear" w:color="auto" w:fill="auto"/>
            <w:noWrap/>
            <w:vAlign w:val="center"/>
          </w:tcPr>
          <w:p w14:paraId="1F3CE95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0.003</w:t>
            </w:r>
          </w:p>
        </w:tc>
        <w:tc>
          <w:tcPr>
            <w:tcW w:w="88" w:type="pct"/>
            <w:tcBorders>
              <w:top w:val="nil"/>
              <w:left w:val="nil"/>
              <w:bottom w:val="nil"/>
              <w:right w:val="nil"/>
            </w:tcBorders>
            <w:shd w:val="clear" w:color="auto" w:fill="auto"/>
            <w:noWrap/>
            <w:vAlign w:val="center"/>
          </w:tcPr>
          <w:p w14:paraId="7ED1486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3DD3CF41" w14:textId="6C8AC7F5"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-0.055</w:t>
            </w:r>
          </w:p>
        </w:tc>
        <w:tc>
          <w:tcPr>
            <w:tcW w:w="459" w:type="pct"/>
            <w:tcBorders>
              <w:top w:val="nil"/>
              <w:left w:val="nil"/>
              <w:bottom w:val="nil"/>
              <w:right w:val="nil"/>
            </w:tcBorders>
            <w:shd w:val="clear" w:color="auto" w:fill="auto"/>
            <w:noWrap/>
            <w:vAlign w:val="center"/>
          </w:tcPr>
          <w:p w14:paraId="01C2D073" w14:textId="2325EC41"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-0.052</w:t>
            </w:r>
          </w:p>
        </w:tc>
        <w:tc>
          <w:tcPr>
            <w:tcW w:w="421" w:type="pct"/>
            <w:tcBorders>
              <w:top w:val="nil"/>
              <w:left w:val="nil"/>
              <w:bottom w:val="nil"/>
              <w:right w:val="nil"/>
            </w:tcBorders>
            <w:shd w:val="clear" w:color="auto" w:fill="auto"/>
            <w:noWrap/>
            <w:vAlign w:val="center"/>
          </w:tcPr>
          <w:p w14:paraId="29C38B78" w14:textId="00E542F9"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-0.031</w:t>
            </w:r>
          </w:p>
        </w:tc>
        <w:tc>
          <w:tcPr>
            <w:tcW w:w="85" w:type="pct"/>
            <w:tcBorders>
              <w:top w:val="nil"/>
              <w:left w:val="nil"/>
              <w:bottom w:val="nil"/>
              <w:right w:val="nil"/>
            </w:tcBorders>
            <w:shd w:val="clear" w:color="auto" w:fill="auto"/>
            <w:noWrap/>
            <w:vAlign w:val="center"/>
          </w:tcPr>
          <w:p w14:paraId="4DCA3D35"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629AF71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-0.101</w:t>
            </w:r>
          </w:p>
        </w:tc>
        <w:tc>
          <w:tcPr>
            <w:tcW w:w="489" w:type="pct"/>
            <w:tcBorders>
              <w:top w:val="nil"/>
              <w:left w:val="nil"/>
              <w:bottom w:val="nil"/>
              <w:right w:val="nil"/>
            </w:tcBorders>
            <w:shd w:val="clear" w:color="auto" w:fill="auto"/>
            <w:noWrap/>
            <w:vAlign w:val="center"/>
          </w:tcPr>
          <w:p w14:paraId="6E06093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0.039</w:t>
            </w:r>
          </w:p>
        </w:tc>
        <w:tc>
          <w:tcPr>
            <w:tcW w:w="532" w:type="pct"/>
            <w:tcBorders>
              <w:top w:val="nil"/>
              <w:left w:val="nil"/>
              <w:bottom w:val="nil"/>
              <w:right w:val="nil"/>
            </w:tcBorders>
            <w:shd w:val="clear" w:color="auto" w:fill="auto"/>
            <w:noWrap/>
            <w:vAlign w:val="center"/>
          </w:tcPr>
          <w:p w14:paraId="789C775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0.017</w:t>
            </w:r>
          </w:p>
        </w:tc>
      </w:tr>
      <w:tr w:rsidR="008F4F29" w:rsidRPr="00357722" w14:paraId="2142911B" w14:textId="77777777" w:rsidTr="006E29B3">
        <w:trPr>
          <w:trHeight w:val="170"/>
        </w:trPr>
        <w:tc>
          <w:tcPr>
            <w:tcW w:w="817" w:type="pct"/>
            <w:tcBorders>
              <w:top w:val="nil"/>
              <w:left w:val="nil"/>
              <w:bottom w:val="nil"/>
              <w:right w:val="nil"/>
            </w:tcBorders>
            <w:shd w:val="clear" w:color="auto" w:fill="auto"/>
            <w:noWrap/>
            <w:vAlign w:val="bottom"/>
            <w:hideMark/>
          </w:tcPr>
          <w:p w14:paraId="512FC4F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30A54D3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(-0.97)</w:t>
            </w:r>
          </w:p>
        </w:tc>
        <w:tc>
          <w:tcPr>
            <w:tcW w:w="461" w:type="pct"/>
            <w:tcBorders>
              <w:top w:val="nil"/>
              <w:left w:val="nil"/>
              <w:bottom w:val="nil"/>
              <w:right w:val="nil"/>
            </w:tcBorders>
            <w:shd w:val="clear" w:color="auto" w:fill="auto"/>
            <w:noWrap/>
            <w:vAlign w:val="center"/>
          </w:tcPr>
          <w:p w14:paraId="50911EDC"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(0.33)</w:t>
            </w:r>
          </w:p>
        </w:tc>
        <w:tc>
          <w:tcPr>
            <w:tcW w:w="421" w:type="pct"/>
            <w:tcBorders>
              <w:top w:val="nil"/>
              <w:left w:val="nil"/>
              <w:bottom w:val="nil"/>
              <w:right w:val="nil"/>
            </w:tcBorders>
            <w:shd w:val="clear" w:color="auto" w:fill="auto"/>
            <w:noWrap/>
            <w:vAlign w:val="center"/>
          </w:tcPr>
          <w:p w14:paraId="6A59C7D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(0.03)</w:t>
            </w:r>
          </w:p>
        </w:tc>
        <w:tc>
          <w:tcPr>
            <w:tcW w:w="88" w:type="pct"/>
            <w:tcBorders>
              <w:top w:val="nil"/>
              <w:left w:val="nil"/>
              <w:bottom w:val="nil"/>
              <w:right w:val="nil"/>
            </w:tcBorders>
            <w:shd w:val="clear" w:color="auto" w:fill="auto"/>
            <w:noWrap/>
            <w:vAlign w:val="center"/>
          </w:tcPr>
          <w:p w14:paraId="115589B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1990BA79" w14:textId="7646F743"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(-0.45)</w:t>
            </w:r>
          </w:p>
        </w:tc>
        <w:tc>
          <w:tcPr>
            <w:tcW w:w="459" w:type="pct"/>
            <w:tcBorders>
              <w:top w:val="nil"/>
              <w:left w:val="nil"/>
              <w:bottom w:val="nil"/>
              <w:right w:val="nil"/>
            </w:tcBorders>
            <w:shd w:val="clear" w:color="auto" w:fill="auto"/>
            <w:noWrap/>
            <w:vAlign w:val="center"/>
          </w:tcPr>
          <w:p w14:paraId="604E8600" w14:textId="1B88B703"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(-0.57)</w:t>
            </w:r>
          </w:p>
        </w:tc>
        <w:tc>
          <w:tcPr>
            <w:tcW w:w="421" w:type="pct"/>
            <w:tcBorders>
              <w:top w:val="nil"/>
              <w:left w:val="nil"/>
              <w:bottom w:val="nil"/>
              <w:right w:val="nil"/>
            </w:tcBorders>
            <w:shd w:val="clear" w:color="auto" w:fill="auto"/>
            <w:noWrap/>
            <w:vAlign w:val="center"/>
          </w:tcPr>
          <w:p w14:paraId="3F77AA3B" w14:textId="7825932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(-0.37)</w:t>
            </w:r>
          </w:p>
        </w:tc>
        <w:tc>
          <w:tcPr>
            <w:tcW w:w="85" w:type="pct"/>
            <w:tcBorders>
              <w:top w:val="nil"/>
              <w:left w:val="nil"/>
              <w:bottom w:val="nil"/>
              <w:right w:val="nil"/>
            </w:tcBorders>
            <w:shd w:val="clear" w:color="auto" w:fill="auto"/>
            <w:noWrap/>
            <w:vAlign w:val="center"/>
          </w:tcPr>
          <w:p w14:paraId="6CCA796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2EA0CB8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(-0.71)</w:t>
            </w:r>
          </w:p>
        </w:tc>
        <w:tc>
          <w:tcPr>
            <w:tcW w:w="489" w:type="pct"/>
            <w:tcBorders>
              <w:top w:val="nil"/>
              <w:left w:val="nil"/>
              <w:bottom w:val="nil"/>
              <w:right w:val="nil"/>
            </w:tcBorders>
            <w:shd w:val="clear" w:color="auto" w:fill="auto"/>
            <w:noWrap/>
            <w:vAlign w:val="center"/>
          </w:tcPr>
          <w:p w14:paraId="69ABA7D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(0.24)</w:t>
            </w:r>
          </w:p>
        </w:tc>
        <w:tc>
          <w:tcPr>
            <w:tcW w:w="532" w:type="pct"/>
            <w:tcBorders>
              <w:top w:val="nil"/>
              <w:left w:val="nil"/>
              <w:bottom w:val="nil"/>
              <w:right w:val="nil"/>
            </w:tcBorders>
            <w:shd w:val="clear" w:color="auto" w:fill="auto"/>
            <w:noWrap/>
            <w:vAlign w:val="center"/>
          </w:tcPr>
          <w:p w14:paraId="7953DC9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(0.20)</w:t>
            </w:r>
          </w:p>
        </w:tc>
      </w:tr>
      <w:tr w:rsidR="008F4F29" w:rsidRPr="00357722" w14:paraId="46FB7080" w14:textId="77777777" w:rsidTr="006E29B3">
        <w:trPr>
          <w:trHeight w:val="170"/>
        </w:trPr>
        <w:tc>
          <w:tcPr>
            <w:tcW w:w="817" w:type="pct"/>
            <w:tcBorders>
              <w:top w:val="nil"/>
              <w:left w:val="nil"/>
              <w:bottom w:val="nil"/>
              <w:right w:val="nil"/>
            </w:tcBorders>
            <w:shd w:val="clear" w:color="auto" w:fill="auto"/>
            <w:noWrap/>
            <w:vAlign w:val="center"/>
            <w:hideMark/>
          </w:tcPr>
          <w:p w14:paraId="11C58337"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LAWNO</w:t>
            </w:r>
          </w:p>
        </w:tc>
        <w:tc>
          <w:tcPr>
            <w:tcW w:w="409" w:type="pct"/>
            <w:tcBorders>
              <w:top w:val="nil"/>
              <w:left w:val="nil"/>
              <w:bottom w:val="nil"/>
              <w:right w:val="nil"/>
            </w:tcBorders>
            <w:shd w:val="clear" w:color="auto" w:fill="auto"/>
            <w:noWrap/>
            <w:vAlign w:val="center"/>
          </w:tcPr>
          <w:p w14:paraId="6147969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0.023</w:t>
            </w:r>
          </w:p>
        </w:tc>
        <w:tc>
          <w:tcPr>
            <w:tcW w:w="461" w:type="pct"/>
            <w:tcBorders>
              <w:top w:val="nil"/>
              <w:left w:val="nil"/>
              <w:bottom w:val="nil"/>
              <w:right w:val="nil"/>
            </w:tcBorders>
            <w:shd w:val="clear" w:color="auto" w:fill="auto"/>
            <w:noWrap/>
            <w:vAlign w:val="center"/>
          </w:tcPr>
          <w:p w14:paraId="126A09BC"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0.026</w:t>
            </w:r>
          </w:p>
        </w:tc>
        <w:tc>
          <w:tcPr>
            <w:tcW w:w="421" w:type="pct"/>
            <w:tcBorders>
              <w:top w:val="nil"/>
              <w:left w:val="nil"/>
              <w:bottom w:val="nil"/>
              <w:right w:val="nil"/>
            </w:tcBorders>
            <w:shd w:val="clear" w:color="auto" w:fill="auto"/>
            <w:noWrap/>
            <w:vAlign w:val="center"/>
          </w:tcPr>
          <w:p w14:paraId="09043F1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0.045</w:t>
            </w:r>
          </w:p>
        </w:tc>
        <w:tc>
          <w:tcPr>
            <w:tcW w:w="88" w:type="pct"/>
            <w:tcBorders>
              <w:top w:val="nil"/>
              <w:left w:val="nil"/>
              <w:bottom w:val="nil"/>
              <w:right w:val="nil"/>
            </w:tcBorders>
            <w:shd w:val="clear" w:color="auto" w:fill="auto"/>
            <w:noWrap/>
            <w:vAlign w:val="center"/>
          </w:tcPr>
          <w:p w14:paraId="02F4843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7980C9F4" w14:textId="548C0508"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0.208</w:t>
            </w:r>
          </w:p>
        </w:tc>
        <w:tc>
          <w:tcPr>
            <w:tcW w:w="459" w:type="pct"/>
            <w:tcBorders>
              <w:top w:val="nil"/>
              <w:left w:val="nil"/>
              <w:bottom w:val="nil"/>
              <w:right w:val="nil"/>
            </w:tcBorders>
            <w:shd w:val="clear" w:color="auto" w:fill="auto"/>
            <w:noWrap/>
            <w:vAlign w:val="center"/>
          </w:tcPr>
          <w:p w14:paraId="5CD09AA4" w14:textId="1AA9DC19"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0.007</w:t>
            </w:r>
          </w:p>
        </w:tc>
        <w:tc>
          <w:tcPr>
            <w:tcW w:w="421" w:type="pct"/>
            <w:tcBorders>
              <w:top w:val="nil"/>
              <w:left w:val="nil"/>
              <w:bottom w:val="nil"/>
              <w:right w:val="nil"/>
            </w:tcBorders>
            <w:shd w:val="clear" w:color="auto" w:fill="auto"/>
            <w:noWrap/>
            <w:vAlign w:val="center"/>
          </w:tcPr>
          <w:p w14:paraId="49C95FDE" w14:textId="016D7CE8"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-0.015</w:t>
            </w:r>
          </w:p>
        </w:tc>
        <w:tc>
          <w:tcPr>
            <w:tcW w:w="85" w:type="pct"/>
            <w:tcBorders>
              <w:top w:val="nil"/>
              <w:left w:val="nil"/>
              <w:bottom w:val="nil"/>
              <w:right w:val="nil"/>
            </w:tcBorders>
            <w:shd w:val="clear" w:color="auto" w:fill="auto"/>
            <w:noWrap/>
            <w:vAlign w:val="center"/>
          </w:tcPr>
          <w:p w14:paraId="4D6F9CC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4DDDF23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0.097</w:t>
            </w:r>
          </w:p>
        </w:tc>
        <w:tc>
          <w:tcPr>
            <w:tcW w:w="489" w:type="pct"/>
            <w:tcBorders>
              <w:top w:val="nil"/>
              <w:left w:val="nil"/>
              <w:bottom w:val="nil"/>
              <w:right w:val="nil"/>
            </w:tcBorders>
            <w:shd w:val="clear" w:color="auto" w:fill="auto"/>
            <w:noWrap/>
            <w:vAlign w:val="center"/>
          </w:tcPr>
          <w:p w14:paraId="56A291E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0.022</w:t>
            </w:r>
          </w:p>
        </w:tc>
        <w:tc>
          <w:tcPr>
            <w:tcW w:w="532" w:type="pct"/>
            <w:tcBorders>
              <w:top w:val="nil"/>
              <w:left w:val="nil"/>
              <w:bottom w:val="nil"/>
              <w:right w:val="nil"/>
            </w:tcBorders>
            <w:shd w:val="clear" w:color="auto" w:fill="auto"/>
            <w:noWrap/>
            <w:vAlign w:val="center"/>
          </w:tcPr>
          <w:p w14:paraId="35C44E45"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0.006</w:t>
            </w:r>
          </w:p>
        </w:tc>
      </w:tr>
      <w:tr w:rsidR="008F4F29" w:rsidRPr="00357722" w14:paraId="6E5FEEFD" w14:textId="77777777" w:rsidTr="006E29B3">
        <w:trPr>
          <w:trHeight w:val="170"/>
        </w:trPr>
        <w:tc>
          <w:tcPr>
            <w:tcW w:w="817" w:type="pct"/>
            <w:tcBorders>
              <w:top w:val="nil"/>
              <w:left w:val="nil"/>
              <w:bottom w:val="nil"/>
              <w:right w:val="nil"/>
            </w:tcBorders>
            <w:shd w:val="clear" w:color="auto" w:fill="auto"/>
            <w:noWrap/>
            <w:vAlign w:val="bottom"/>
            <w:hideMark/>
          </w:tcPr>
          <w:p w14:paraId="3717CA9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26C513B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(0.28)</w:t>
            </w:r>
          </w:p>
        </w:tc>
        <w:tc>
          <w:tcPr>
            <w:tcW w:w="461" w:type="pct"/>
            <w:tcBorders>
              <w:top w:val="nil"/>
              <w:left w:val="nil"/>
              <w:bottom w:val="nil"/>
              <w:right w:val="nil"/>
            </w:tcBorders>
            <w:shd w:val="clear" w:color="auto" w:fill="auto"/>
            <w:noWrap/>
            <w:vAlign w:val="center"/>
          </w:tcPr>
          <w:p w14:paraId="7192718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(0.40)</w:t>
            </w:r>
          </w:p>
        </w:tc>
        <w:tc>
          <w:tcPr>
            <w:tcW w:w="421" w:type="pct"/>
            <w:tcBorders>
              <w:top w:val="nil"/>
              <w:left w:val="nil"/>
              <w:bottom w:val="nil"/>
              <w:right w:val="nil"/>
            </w:tcBorders>
            <w:shd w:val="clear" w:color="auto" w:fill="auto"/>
            <w:noWrap/>
            <w:vAlign w:val="center"/>
          </w:tcPr>
          <w:p w14:paraId="1A193EC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(0.56)</w:t>
            </w:r>
          </w:p>
        </w:tc>
        <w:tc>
          <w:tcPr>
            <w:tcW w:w="88" w:type="pct"/>
            <w:tcBorders>
              <w:top w:val="nil"/>
              <w:left w:val="nil"/>
              <w:bottom w:val="nil"/>
              <w:right w:val="nil"/>
            </w:tcBorders>
            <w:shd w:val="clear" w:color="auto" w:fill="auto"/>
            <w:noWrap/>
            <w:vAlign w:val="center"/>
          </w:tcPr>
          <w:p w14:paraId="558A14C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2D4B46B8" w14:textId="605D913E"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(1.54)</w:t>
            </w:r>
          </w:p>
        </w:tc>
        <w:tc>
          <w:tcPr>
            <w:tcW w:w="459" w:type="pct"/>
            <w:tcBorders>
              <w:top w:val="nil"/>
              <w:left w:val="nil"/>
              <w:bottom w:val="nil"/>
              <w:right w:val="nil"/>
            </w:tcBorders>
            <w:shd w:val="clear" w:color="auto" w:fill="auto"/>
            <w:noWrap/>
            <w:vAlign w:val="center"/>
          </w:tcPr>
          <w:p w14:paraId="3BE4DE6E" w14:textId="0099E3E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(0.07)</w:t>
            </w:r>
          </w:p>
        </w:tc>
        <w:tc>
          <w:tcPr>
            <w:tcW w:w="421" w:type="pct"/>
            <w:tcBorders>
              <w:top w:val="nil"/>
              <w:left w:val="nil"/>
              <w:bottom w:val="nil"/>
              <w:right w:val="nil"/>
            </w:tcBorders>
            <w:shd w:val="clear" w:color="auto" w:fill="auto"/>
            <w:noWrap/>
            <w:vAlign w:val="center"/>
          </w:tcPr>
          <w:p w14:paraId="5635F6C7" w14:textId="2AC7B9FB"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(-0.18)</w:t>
            </w:r>
          </w:p>
        </w:tc>
        <w:tc>
          <w:tcPr>
            <w:tcW w:w="85" w:type="pct"/>
            <w:tcBorders>
              <w:top w:val="nil"/>
              <w:left w:val="nil"/>
              <w:bottom w:val="nil"/>
              <w:right w:val="nil"/>
            </w:tcBorders>
            <w:shd w:val="clear" w:color="auto" w:fill="auto"/>
            <w:noWrap/>
            <w:vAlign w:val="center"/>
          </w:tcPr>
          <w:p w14:paraId="6F4921C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63A2E32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(1.26)</w:t>
            </w:r>
          </w:p>
        </w:tc>
        <w:tc>
          <w:tcPr>
            <w:tcW w:w="489" w:type="pct"/>
            <w:tcBorders>
              <w:top w:val="nil"/>
              <w:left w:val="nil"/>
              <w:bottom w:val="nil"/>
              <w:right w:val="nil"/>
            </w:tcBorders>
            <w:shd w:val="clear" w:color="auto" w:fill="auto"/>
            <w:noWrap/>
            <w:vAlign w:val="center"/>
          </w:tcPr>
          <w:p w14:paraId="7AF1512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(0.27)</w:t>
            </w:r>
          </w:p>
        </w:tc>
        <w:tc>
          <w:tcPr>
            <w:tcW w:w="532" w:type="pct"/>
            <w:tcBorders>
              <w:top w:val="nil"/>
              <w:left w:val="nil"/>
              <w:bottom w:val="nil"/>
              <w:right w:val="nil"/>
            </w:tcBorders>
            <w:shd w:val="clear" w:color="auto" w:fill="auto"/>
            <w:noWrap/>
            <w:vAlign w:val="center"/>
          </w:tcPr>
          <w:p w14:paraId="16C3BE15"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(0.09)</w:t>
            </w:r>
          </w:p>
        </w:tc>
      </w:tr>
      <w:tr w:rsidR="008F4F29" w:rsidRPr="00357722" w14:paraId="4F23AD3B" w14:textId="77777777" w:rsidTr="006E29B3">
        <w:trPr>
          <w:trHeight w:val="170"/>
        </w:trPr>
        <w:tc>
          <w:tcPr>
            <w:tcW w:w="817" w:type="pct"/>
            <w:tcBorders>
              <w:top w:val="nil"/>
              <w:left w:val="nil"/>
              <w:bottom w:val="nil"/>
              <w:right w:val="nil"/>
            </w:tcBorders>
            <w:shd w:val="clear" w:color="auto" w:fill="auto"/>
            <w:noWrap/>
            <w:vAlign w:val="center"/>
            <w:hideMark/>
          </w:tcPr>
          <w:p w14:paraId="71604510"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POPG</w:t>
            </w:r>
          </w:p>
        </w:tc>
        <w:tc>
          <w:tcPr>
            <w:tcW w:w="409" w:type="pct"/>
            <w:tcBorders>
              <w:top w:val="nil"/>
              <w:left w:val="nil"/>
              <w:bottom w:val="nil"/>
              <w:right w:val="nil"/>
            </w:tcBorders>
            <w:shd w:val="clear" w:color="auto" w:fill="auto"/>
            <w:noWrap/>
            <w:vAlign w:val="center"/>
          </w:tcPr>
          <w:p w14:paraId="1546590C"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0.315***</w:t>
            </w:r>
          </w:p>
        </w:tc>
        <w:tc>
          <w:tcPr>
            <w:tcW w:w="461" w:type="pct"/>
            <w:tcBorders>
              <w:top w:val="nil"/>
              <w:left w:val="nil"/>
              <w:bottom w:val="nil"/>
              <w:right w:val="nil"/>
            </w:tcBorders>
            <w:shd w:val="clear" w:color="auto" w:fill="auto"/>
            <w:noWrap/>
            <w:vAlign w:val="center"/>
          </w:tcPr>
          <w:p w14:paraId="46D2D9E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c>
          <w:tcPr>
            <w:tcW w:w="421" w:type="pct"/>
            <w:tcBorders>
              <w:top w:val="nil"/>
              <w:left w:val="nil"/>
              <w:bottom w:val="nil"/>
              <w:right w:val="nil"/>
            </w:tcBorders>
            <w:shd w:val="clear" w:color="auto" w:fill="auto"/>
            <w:noWrap/>
            <w:vAlign w:val="center"/>
          </w:tcPr>
          <w:p w14:paraId="21FF5E9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0.001</w:t>
            </w:r>
          </w:p>
        </w:tc>
        <w:tc>
          <w:tcPr>
            <w:tcW w:w="88" w:type="pct"/>
            <w:tcBorders>
              <w:top w:val="nil"/>
              <w:left w:val="nil"/>
              <w:bottom w:val="nil"/>
              <w:right w:val="nil"/>
            </w:tcBorders>
            <w:shd w:val="clear" w:color="auto" w:fill="auto"/>
            <w:noWrap/>
            <w:vAlign w:val="center"/>
          </w:tcPr>
          <w:p w14:paraId="5CDDC77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4339E191" w14:textId="4B368F1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0.482**</w:t>
            </w:r>
          </w:p>
        </w:tc>
        <w:tc>
          <w:tcPr>
            <w:tcW w:w="459" w:type="pct"/>
            <w:tcBorders>
              <w:top w:val="nil"/>
              <w:left w:val="nil"/>
              <w:bottom w:val="nil"/>
              <w:right w:val="nil"/>
            </w:tcBorders>
            <w:shd w:val="clear" w:color="auto" w:fill="auto"/>
            <w:noWrap/>
            <w:vAlign w:val="center"/>
          </w:tcPr>
          <w:p w14:paraId="1E8F6081" w14:textId="071CB14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-0.019</w:t>
            </w:r>
          </w:p>
        </w:tc>
        <w:tc>
          <w:tcPr>
            <w:tcW w:w="421" w:type="pct"/>
            <w:tcBorders>
              <w:top w:val="nil"/>
              <w:left w:val="nil"/>
              <w:bottom w:val="nil"/>
              <w:right w:val="nil"/>
            </w:tcBorders>
            <w:shd w:val="clear" w:color="auto" w:fill="auto"/>
            <w:noWrap/>
            <w:vAlign w:val="center"/>
          </w:tcPr>
          <w:p w14:paraId="7D75ECC2" w14:textId="72C99DE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0.014</w:t>
            </w:r>
          </w:p>
        </w:tc>
        <w:tc>
          <w:tcPr>
            <w:tcW w:w="85" w:type="pct"/>
            <w:tcBorders>
              <w:top w:val="nil"/>
              <w:left w:val="nil"/>
              <w:bottom w:val="nil"/>
              <w:right w:val="nil"/>
            </w:tcBorders>
            <w:shd w:val="clear" w:color="auto" w:fill="auto"/>
            <w:noWrap/>
            <w:vAlign w:val="center"/>
          </w:tcPr>
          <w:p w14:paraId="3008BBA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5A139BC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0.242*</w:t>
            </w:r>
          </w:p>
        </w:tc>
        <w:tc>
          <w:tcPr>
            <w:tcW w:w="489" w:type="pct"/>
            <w:tcBorders>
              <w:top w:val="nil"/>
              <w:left w:val="nil"/>
              <w:bottom w:val="nil"/>
              <w:right w:val="nil"/>
            </w:tcBorders>
            <w:shd w:val="clear" w:color="auto" w:fill="auto"/>
            <w:noWrap/>
            <w:vAlign w:val="center"/>
          </w:tcPr>
          <w:p w14:paraId="3D4D192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0.065</w:t>
            </w:r>
          </w:p>
        </w:tc>
        <w:tc>
          <w:tcPr>
            <w:tcW w:w="532" w:type="pct"/>
            <w:tcBorders>
              <w:top w:val="nil"/>
              <w:left w:val="nil"/>
              <w:bottom w:val="nil"/>
              <w:right w:val="nil"/>
            </w:tcBorders>
            <w:shd w:val="clear" w:color="auto" w:fill="auto"/>
            <w:noWrap/>
            <w:vAlign w:val="center"/>
          </w:tcPr>
          <w:p w14:paraId="51CA0B6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-0.015</w:t>
            </w:r>
          </w:p>
        </w:tc>
      </w:tr>
      <w:tr w:rsidR="008F4F29" w:rsidRPr="00357722" w14:paraId="65DF6D3E" w14:textId="77777777" w:rsidTr="006E29B3">
        <w:trPr>
          <w:trHeight w:val="170"/>
        </w:trPr>
        <w:tc>
          <w:tcPr>
            <w:tcW w:w="817" w:type="pct"/>
            <w:tcBorders>
              <w:top w:val="nil"/>
              <w:left w:val="nil"/>
              <w:bottom w:val="nil"/>
              <w:right w:val="nil"/>
            </w:tcBorders>
            <w:shd w:val="clear" w:color="auto" w:fill="auto"/>
            <w:noWrap/>
            <w:vAlign w:val="bottom"/>
            <w:hideMark/>
          </w:tcPr>
          <w:p w14:paraId="26B9893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36D232E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(3.30)</w:t>
            </w:r>
          </w:p>
        </w:tc>
        <w:tc>
          <w:tcPr>
            <w:tcW w:w="461" w:type="pct"/>
            <w:tcBorders>
              <w:top w:val="nil"/>
              <w:left w:val="nil"/>
              <w:bottom w:val="nil"/>
              <w:right w:val="nil"/>
            </w:tcBorders>
            <w:shd w:val="clear" w:color="auto" w:fill="auto"/>
            <w:noWrap/>
            <w:vAlign w:val="center"/>
          </w:tcPr>
          <w:p w14:paraId="38F8015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w:t>
            </w:r>
          </w:p>
        </w:tc>
        <w:tc>
          <w:tcPr>
            <w:tcW w:w="421" w:type="pct"/>
            <w:tcBorders>
              <w:top w:val="nil"/>
              <w:left w:val="nil"/>
              <w:bottom w:val="nil"/>
              <w:right w:val="nil"/>
            </w:tcBorders>
            <w:shd w:val="clear" w:color="auto" w:fill="auto"/>
            <w:noWrap/>
            <w:vAlign w:val="center"/>
          </w:tcPr>
          <w:p w14:paraId="1D593C2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w:t>
            </w:r>
          </w:p>
        </w:tc>
        <w:tc>
          <w:tcPr>
            <w:tcW w:w="88" w:type="pct"/>
            <w:tcBorders>
              <w:top w:val="nil"/>
              <w:left w:val="nil"/>
              <w:bottom w:val="nil"/>
              <w:right w:val="nil"/>
            </w:tcBorders>
            <w:shd w:val="clear" w:color="auto" w:fill="auto"/>
            <w:noWrap/>
            <w:vAlign w:val="center"/>
          </w:tcPr>
          <w:p w14:paraId="036494A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44A8B71F" w14:textId="3BBB67BB"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(2.43)</w:t>
            </w:r>
          </w:p>
        </w:tc>
        <w:tc>
          <w:tcPr>
            <w:tcW w:w="459" w:type="pct"/>
            <w:tcBorders>
              <w:top w:val="nil"/>
              <w:left w:val="nil"/>
              <w:bottom w:val="nil"/>
              <w:right w:val="nil"/>
            </w:tcBorders>
            <w:shd w:val="clear" w:color="auto" w:fill="auto"/>
            <w:noWrap/>
            <w:vAlign w:val="center"/>
          </w:tcPr>
          <w:p w14:paraId="1785E6EC" w14:textId="1F874F6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(-0.20)</w:t>
            </w:r>
          </w:p>
        </w:tc>
        <w:tc>
          <w:tcPr>
            <w:tcW w:w="421" w:type="pct"/>
            <w:tcBorders>
              <w:top w:val="nil"/>
              <w:left w:val="nil"/>
              <w:bottom w:val="nil"/>
              <w:right w:val="nil"/>
            </w:tcBorders>
            <w:shd w:val="clear" w:color="auto" w:fill="auto"/>
            <w:noWrap/>
            <w:vAlign w:val="center"/>
          </w:tcPr>
          <w:p w14:paraId="06F8AA3A" w14:textId="24FE979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(0.13)</w:t>
            </w:r>
          </w:p>
        </w:tc>
        <w:tc>
          <w:tcPr>
            <w:tcW w:w="85" w:type="pct"/>
            <w:tcBorders>
              <w:top w:val="nil"/>
              <w:left w:val="nil"/>
              <w:bottom w:val="nil"/>
              <w:right w:val="nil"/>
            </w:tcBorders>
            <w:shd w:val="clear" w:color="auto" w:fill="auto"/>
            <w:noWrap/>
            <w:vAlign w:val="center"/>
          </w:tcPr>
          <w:p w14:paraId="0CA7394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064D3A3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(1.84)</w:t>
            </w:r>
          </w:p>
        </w:tc>
        <w:tc>
          <w:tcPr>
            <w:tcW w:w="489" w:type="pct"/>
            <w:tcBorders>
              <w:top w:val="nil"/>
              <w:left w:val="nil"/>
              <w:bottom w:val="nil"/>
              <w:right w:val="nil"/>
            </w:tcBorders>
            <w:shd w:val="clear" w:color="auto" w:fill="auto"/>
            <w:noWrap/>
            <w:vAlign w:val="center"/>
          </w:tcPr>
          <w:p w14:paraId="5BBE957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(0.94)</w:t>
            </w:r>
          </w:p>
        </w:tc>
        <w:tc>
          <w:tcPr>
            <w:tcW w:w="532" w:type="pct"/>
            <w:tcBorders>
              <w:top w:val="nil"/>
              <w:left w:val="nil"/>
              <w:bottom w:val="nil"/>
              <w:right w:val="nil"/>
            </w:tcBorders>
            <w:shd w:val="clear" w:color="auto" w:fill="auto"/>
            <w:noWrap/>
            <w:vAlign w:val="center"/>
          </w:tcPr>
          <w:p w14:paraId="3978AF0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(-0.20)</w:t>
            </w:r>
          </w:p>
        </w:tc>
      </w:tr>
      <w:tr w:rsidR="008F4F29" w:rsidRPr="00357722" w14:paraId="0CEC53D3" w14:textId="77777777" w:rsidTr="006E29B3">
        <w:trPr>
          <w:trHeight w:val="170"/>
        </w:trPr>
        <w:tc>
          <w:tcPr>
            <w:tcW w:w="817" w:type="pct"/>
            <w:tcBorders>
              <w:top w:val="nil"/>
              <w:left w:val="nil"/>
              <w:bottom w:val="nil"/>
              <w:right w:val="nil"/>
            </w:tcBorders>
            <w:shd w:val="clear" w:color="auto" w:fill="auto"/>
            <w:noWrap/>
            <w:vAlign w:val="center"/>
            <w:hideMark/>
          </w:tcPr>
          <w:p w14:paraId="476ECB39"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GDPG</w:t>
            </w:r>
          </w:p>
        </w:tc>
        <w:tc>
          <w:tcPr>
            <w:tcW w:w="409" w:type="pct"/>
            <w:tcBorders>
              <w:top w:val="nil"/>
              <w:left w:val="nil"/>
              <w:bottom w:val="nil"/>
              <w:right w:val="nil"/>
            </w:tcBorders>
            <w:shd w:val="clear" w:color="auto" w:fill="auto"/>
            <w:noWrap/>
            <w:vAlign w:val="center"/>
          </w:tcPr>
          <w:p w14:paraId="0077328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0.011</w:t>
            </w:r>
          </w:p>
        </w:tc>
        <w:tc>
          <w:tcPr>
            <w:tcW w:w="461" w:type="pct"/>
            <w:tcBorders>
              <w:top w:val="nil"/>
              <w:left w:val="nil"/>
              <w:bottom w:val="nil"/>
              <w:right w:val="nil"/>
            </w:tcBorders>
            <w:shd w:val="clear" w:color="auto" w:fill="auto"/>
            <w:noWrap/>
            <w:vAlign w:val="center"/>
          </w:tcPr>
          <w:p w14:paraId="77DA69A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-0.028**</w:t>
            </w:r>
          </w:p>
        </w:tc>
        <w:tc>
          <w:tcPr>
            <w:tcW w:w="421" w:type="pct"/>
            <w:tcBorders>
              <w:top w:val="nil"/>
              <w:left w:val="nil"/>
              <w:bottom w:val="nil"/>
              <w:right w:val="nil"/>
            </w:tcBorders>
            <w:shd w:val="clear" w:color="auto" w:fill="auto"/>
            <w:noWrap/>
            <w:vAlign w:val="center"/>
          </w:tcPr>
          <w:p w14:paraId="11148BE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-0.025*</w:t>
            </w:r>
          </w:p>
        </w:tc>
        <w:tc>
          <w:tcPr>
            <w:tcW w:w="88" w:type="pct"/>
            <w:tcBorders>
              <w:top w:val="nil"/>
              <w:left w:val="nil"/>
              <w:bottom w:val="nil"/>
              <w:right w:val="nil"/>
            </w:tcBorders>
            <w:shd w:val="clear" w:color="auto" w:fill="auto"/>
            <w:noWrap/>
            <w:vAlign w:val="center"/>
          </w:tcPr>
          <w:p w14:paraId="5C49018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77CB75BF" w14:textId="560A158E"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-0.005</w:t>
            </w:r>
          </w:p>
        </w:tc>
        <w:tc>
          <w:tcPr>
            <w:tcW w:w="459" w:type="pct"/>
            <w:tcBorders>
              <w:top w:val="nil"/>
              <w:left w:val="nil"/>
              <w:bottom w:val="nil"/>
              <w:right w:val="nil"/>
            </w:tcBorders>
            <w:shd w:val="clear" w:color="auto" w:fill="auto"/>
            <w:noWrap/>
            <w:vAlign w:val="center"/>
          </w:tcPr>
          <w:p w14:paraId="53710FF4" w14:textId="5BE9CE0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-0.003</w:t>
            </w:r>
          </w:p>
        </w:tc>
        <w:tc>
          <w:tcPr>
            <w:tcW w:w="421" w:type="pct"/>
            <w:tcBorders>
              <w:top w:val="nil"/>
              <w:left w:val="nil"/>
              <w:bottom w:val="nil"/>
              <w:right w:val="nil"/>
            </w:tcBorders>
            <w:shd w:val="clear" w:color="auto" w:fill="auto"/>
            <w:noWrap/>
            <w:vAlign w:val="center"/>
          </w:tcPr>
          <w:p w14:paraId="337DEF50" w14:textId="33922D3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-0.005</w:t>
            </w:r>
          </w:p>
        </w:tc>
        <w:tc>
          <w:tcPr>
            <w:tcW w:w="85" w:type="pct"/>
            <w:tcBorders>
              <w:top w:val="nil"/>
              <w:left w:val="nil"/>
              <w:bottom w:val="nil"/>
              <w:right w:val="nil"/>
            </w:tcBorders>
            <w:shd w:val="clear" w:color="auto" w:fill="auto"/>
            <w:noWrap/>
            <w:vAlign w:val="center"/>
          </w:tcPr>
          <w:p w14:paraId="0152AA9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5B66B36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0.006</w:t>
            </w:r>
          </w:p>
        </w:tc>
        <w:tc>
          <w:tcPr>
            <w:tcW w:w="489" w:type="pct"/>
            <w:tcBorders>
              <w:top w:val="nil"/>
              <w:left w:val="nil"/>
              <w:bottom w:val="nil"/>
              <w:right w:val="nil"/>
            </w:tcBorders>
            <w:shd w:val="clear" w:color="auto" w:fill="auto"/>
            <w:noWrap/>
            <w:vAlign w:val="center"/>
          </w:tcPr>
          <w:p w14:paraId="0DFE374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-0.028**</w:t>
            </w:r>
          </w:p>
        </w:tc>
        <w:tc>
          <w:tcPr>
            <w:tcW w:w="532" w:type="pct"/>
            <w:tcBorders>
              <w:top w:val="nil"/>
              <w:left w:val="nil"/>
              <w:bottom w:val="nil"/>
              <w:right w:val="nil"/>
            </w:tcBorders>
            <w:shd w:val="clear" w:color="auto" w:fill="auto"/>
            <w:noWrap/>
            <w:vAlign w:val="center"/>
          </w:tcPr>
          <w:p w14:paraId="6C9AE26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-0.028**</w:t>
            </w:r>
          </w:p>
        </w:tc>
      </w:tr>
      <w:tr w:rsidR="008F4F29" w:rsidRPr="00357722" w14:paraId="489E139D" w14:textId="77777777" w:rsidTr="006E29B3">
        <w:trPr>
          <w:trHeight w:val="170"/>
        </w:trPr>
        <w:tc>
          <w:tcPr>
            <w:tcW w:w="817" w:type="pct"/>
            <w:tcBorders>
              <w:top w:val="nil"/>
              <w:left w:val="nil"/>
              <w:bottom w:val="nil"/>
              <w:right w:val="nil"/>
            </w:tcBorders>
            <w:shd w:val="clear" w:color="auto" w:fill="auto"/>
            <w:noWrap/>
            <w:vAlign w:val="bottom"/>
            <w:hideMark/>
          </w:tcPr>
          <w:p w14:paraId="6158875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1C4DE01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(0.73)</w:t>
            </w:r>
          </w:p>
        </w:tc>
        <w:tc>
          <w:tcPr>
            <w:tcW w:w="461" w:type="pct"/>
            <w:tcBorders>
              <w:top w:val="nil"/>
              <w:left w:val="nil"/>
              <w:bottom w:val="nil"/>
              <w:right w:val="nil"/>
            </w:tcBorders>
            <w:shd w:val="clear" w:color="auto" w:fill="auto"/>
            <w:noWrap/>
            <w:vAlign w:val="center"/>
          </w:tcPr>
          <w:p w14:paraId="729A9C0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(-2.44)</w:t>
            </w:r>
          </w:p>
        </w:tc>
        <w:tc>
          <w:tcPr>
            <w:tcW w:w="421" w:type="pct"/>
            <w:tcBorders>
              <w:top w:val="nil"/>
              <w:left w:val="nil"/>
              <w:bottom w:val="nil"/>
              <w:right w:val="nil"/>
            </w:tcBorders>
            <w:shd w:val="clear" w:color="auto" w:fill="auto"/>
            <w:noWrap/>
            <w:vAlign w:val="center"/>
          </w:tcPr>
          <w:p w14:paraId="305FE7C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(-2.00)</w:t>
            </w:r>
          </w:p>
        </w:tc>
        <w:tc>
          <w:tcPr>
            <w:tcW w:w="88" w:type="pct"/>
            <w:tcBorders>
              <w:top w:val="nil"/>
              <w:left w:val="nil"/>
              <w:bottom w:val="nil"/>
              <w:right w:val="nil"/>
            </w:tcBorders>
            <w:shd w:val="clear" w:color="auto" w:fill="auto"/>
            <w:noWrap/>
            <w:vAlign w:val="center"/>
          </w:tcPr>
          <w:p w14:paraId="6A4B51E5"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6691BC85" w14:textId="09DDCA83"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(-0.41)</w:t>
            </w:r>
          </w:p>
        </w:tc>
        <w:tc>
          <w:tcPr>
            <w:tcW w:w="459" w:type="pct"/>
            <w:tcBorders>
              <w:top w:val="nil"/>
              <w:left w:val="nil"/>
              <w:bottom w:val="nil"/>
              <w:right w:val="nil"/>
            </w:tcBorders>
            <w:shd w:val="clear" w:color="auto" w:fill="auto"/>
            <w:noWrap/>
            <w:vAlign w:val="center"/>
          </w:tcPr>
          <w:p w14:paraId="7FFA1D98" w14:textId="1CAEBF29"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(-0.42)</w:t>
            </w:r>
          </w:p>
        </w:tc>
        <w:tc>
          <w:tcPr>
            <w:tcW w:w="421" w:type="pct"/>
            <w:tcBorders>
              <w:top w:val="nil"/>
              <w:left w:val="nil"/>
              <w:bottom w:val="nil"/>
              <w:right w:val="nil"/>
            </w:tcBorders>
            <w:shd w:val="clear" w:color="auto" w:fill="auto"/>
            <w:noWrap/>
            <w:vAlign w:val="center"/>
          </w:tcPr>
          <w:p w14:paraId="394E43E9" w14:textId="76E84AE1"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(-0.79)</w:t>
            </w:r>
          </w:p>
        </w:tc>
        <w:tc>
          <w:tcPr>
            <w:tcW w:w="85" w:type="pct"/>
            <w:tcBorders>
              <w:top w:val="nil"/>
              <w:left w:val="nil"/>
              <w:bottom w:val="nil"/>
              <w:right w:val="nil"/>
            </w:tcBorders>
            <w:shd w:val="clear" w:color="auto" w:fill="auto"/>
            <w:noWrap/>
            <w:vAlign w:val="center"/>
          </w:tcPr>
          <w:p w14:paraId="0A90068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525659E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(0.30)</w:t>
            </w:r>
          </w:p>
        </w:tc>
        <w:tc>
          <w:tcPr>
            <w:tcW w:w="489" w:type="pct"/>
            <w:tcBorders>
              <w:top w:val="nil"/>
              <w:left w:val="nil"/>
              <w:bottom w:val="nil"/>
              <w:right w:val="nil"/>
            </w:tcBorders>
            <w:shd w:val="clear" w:color="auto" w:fill="auto"/>
            <w:noWrap/>
            <w:vAlign w:val="center"/>
          </w:tcPr>
          <w:p w14:paraId="55C4DBD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(-2.10)</w:t>
            </w:r>
          </w:p>
        </w:tc>
        <w:tc>
          <w:tcPr>
            <w:tcW w:w="532" w:type="pct"/>
            <w:tcBorders>
              <w:top w:val="nil"/>
              <w:left w:val="nil"/>
              <w:bottom w:val="nil"/>
              <w:right w:val="nil"/>
            </w:tcBorders>
            <w:shd w:val="clear" w:color="auto" w:fill="auto"/>
            <w:noWrap/>
            <w:vAlign w:val="center"/>
          </w:tcPr>
          <w:p w14:paraId="7C32EC3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(-2.68)</w:t>
            </w:r>
          </w:p>
        </w:tc>
      </w:tr>
      <w:tr w:rsidR="008F4F29" w:rsidRPr="00357722" w14:paraId="637DAF03" w14:textId="77777777" w:rsidTr="006E29B3">
        <w:trPr>
          <w:trHeight w:val="170"/>
        </w:trPr>
        <w:tc>
          <w:tcPr>
            <w:tcW w:w="817" w:type="pct"/>
            <w:tcBorders>
              <w:top w:val="nil"/>
              <w:left w:val="nil"/>
              <w:bottom w:val="nil"/>
              <w:right w:val="nil"/>
            </w:tcBorders>
            <w:shd w:val="clear" w:color="auto" w:fill="auto"/>
            <w:noWrap/>
            <w:vAlign w:val="center"/>
            <w:hideMark/>
          </w:tcPr>
          <w:p w14:paraId="73634912"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INFL</w:t>
            </w:r>
          </w:p>
        </w:tc>
        <w:tc>
          <w:tcPr>
            <w:tcW w:w="409" w:type="pct"/>
            <w:tcBorders>
              <w:top w:val="nil"/>
              <w:left w:val="nil"/>
              <w:bottom w:val="nil"/>
              <w:right w:val="nil"/>
            </w:tcBorders>
            <w:shd w:val="clear" w:color="auto" w:fill="auto"/>
            <w:noWrap/>
            <w:vAlign w:val="center"/>
          </w:tcPr>
          <w:p w14:paraId="42F72BF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c>
          <w:tcPr>
            <w:tcW w:w="461" w:type="pct"/>
            <w:tcBorders>
              <w:top w:val="nil"/>
              <w:left w:val="nil"/>
              <w:bottom w:val="nil"/>
              <w:right w:val="nil"/>
            </w:tcBorders>
            <w:shd w:val="clear" w:color="auto" w:fill="auto"/>
            <w:noWrap/>
            <w:vAlign w:val="center"/>
          </w:tcPr>
          <w:p w14:paraId="1F5EFA2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-0.014</w:t>
            </w:r>
          </w:p>
        </w:tc>
        <w:tc>
          <w:tcPr>
            <w:tcW w:w="421" w:type="pct"/>
            <w:tcBorders>
              <w:top w:val="nil"/>
              <w:left w:val="nil"/>
              <w:bottom w:val="nil"/>
              <w:right w:val="nil"/>
            </w:tcBorders>
            <w:shd w:val="clear" w:color="auto" w:fill="auto"/>
            <w:noWrap/>
            <w:vAlign w:val="center"/>
          </w:tcPr>
          <w:p w14:paraId="19AF65F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-0.015</w:t>
            </w:r>
          </w:p>
        </w:tc>
        <w:tc>
          <w:tcPr>
            <w:tcW w:w="88" w:type="pct"/>
            <w:tcBorders>
              <w:top w:val="nil"/>
              <w:left w:val="nil"/>
              <w:bottom w:val="nil"/>
              <w:right w:val="nil"/>
            </w:tcBorders>
            <w:shd w:val="clear" w:color="auto" w:fill="auto"/>
            <w:noWrap/>
            <w:vAlign w:val="center"/>
          </w:tcPr>
          <w:p w14:paraId="78E7664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604ACE49" w14:textId="488D826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0.024</w:t>
            </w:r>
          </w:p>
        </w:tc>
        <w:tc>
          <w:tcPr>
            <w:tcW w:w="459" w:type="pct"/>
            <w:tcBorders>
              <w:top w:val="nil"/>
              <w:left w:val="nil"/>
              <w:bottom w:val="nil"/>
              <w:right w:val="nil"/>
            </w:tcBorders>
            <w:shd w:val="clear" w:color="auto" w:fill="auto"/>
            <w:noWrap/>
            <w:vAlign w:val="center"/>
          </w:tcPr>
          <w:p w14:paraId="30D8BE55" w14:textId="77D0ECE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0.004</w:t>
            </w:r>
          </w:p>
        </w:tc>
        <w:tc>
          <w:tcPr>
            <w:tcW w:w="421" w:type="pct"/>
            <w:tcBorders>
              <w:top w:val="nil"/>
              <w:left w:val="nil"/>
              <w:bottom w:val="nil"/>
              <w:right w:val="nil"/>
            </w:tcBorders>
            <w:shd w:val="clear" w:color="auto" w:fill="auto"/>
            <w:noWrap/>
            <w:vAlign w:val="center"/>
          </w:tcPr>
          <w:p w14:paraId="060A875E" w14:textId="251D564D"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0.001</w:t>
            </w:r>
          </w:p>
        </w:tc>
        <w:tc>
          <w:tcPr>
            <w:tcW w:w="85" w:type="pct"/>
            <w:tcBorders>
              <w:top w:val="nil"/>
              <w:left w:val="nil"/>
              <w:bottom w:val="nil"/>
              <w:right w:val="nil"/>
            </w:tcBorders>
            <w:shd w:val="clear" w:color="auto" w:fill="auto"/>
            <w:noWrap/>
            <w:vAlign w:val="center"/>
          </w:tcPr>
          <w:p w14:paraId="5CF7D55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2AC18E8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0.020</w:t>
            </w:r>
          </w:p>
        </w:tc>
        <w:tc>
          <w:tcPr>
            <w:tcW w:w="489" w:type="pct"/>
            <w:tcBorders>
              <w:top w:val="nil"/>
              <w:left w:val="nil"/>
              <w:bottom w:val="nil"/>
              <w:right w:val="nil"/>
            </w:tcBorders>
            <w:shd w:val="clear" w:color="auto" w:fill="auto"/>
            <w:noWrap/>
            <w:vAlign w:val="center"/>
          </w:tcPr>
          <w:p w14:paraId="5E84C16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-0.028</w:t>
            </w:r>
          </w:p>
        </w:tc>
        <w:tc>
          <w:tcPr>
            <w:tcW w:w="532" w:type="pct"/>
            <w:tcBorders>
              <w:top w:val="nil"/>
              <w:left w:val="nil"/>
              <w:bottom w:val="nil"/>
              <w:right w:val="nil"/>
            </w:tcBorders>
            <w:shd w:val="clear" w:color="auto" w:fill="auto"/>
            <w:noWrap/>
            <w:vAlign w:val="center"/>
          </w:tcPr>
          <w:p w14:paraId="25FC84C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-0.028</w:t>
            </w:r>
          </w:p>
        </w:tc>
      </w:tr>
      <w:tr w:rsidR="008F4F29" w:rsidRPr="00357722" w14:paraId="767E3AEF" w14:textId="77777777" w:rsidTr="006E29B3">
        <w:trPr>
          <w:trHeight w:val="170"/>
        </w:trPr>
        <w:tc>
          <w:tcPr>
            <w:tcW w:w="817" w:type="pct"/>
            <w:tcBorders>
              <w:top w:val="nil"/>
              <w:left w:val="nil"/>
              <w:bottom w:val="nil"/>
              <w:right w:val="nil"/>
            </w:tcBorders>
            <w:shd w:val="clear" w:color="auto" w:fill="auto"/>
            <w:noWrap/>
            <w:vAlign w:val="bottom"/>
            <w:hideMark/>
          </w:tcPr>
          <w:p w14:paraId="67AFEA3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62B84D6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(-0.13)</w:t>
            </w:r>
          </w:p>
        </w:tc>
        <w:tc>
          <w:tcPr>
            <w:tcW w:w="461" w:type="pct"/>
            <w:tcBorders>
              <w:top w:val="nil"/>
              <w:left w:val="nil"/>
              <w:bottom w:val="nil"/>
              <w:right w:val="nil"/>
            </w:tcBorders>
            <w:shd w:val="clear" w:color="auto" w:fill="auto"/>
            <w:noWrap/>
            <w:vAlign w:val="center"/>
          </w:tcPr>
          <w:p w14:paraId="537EBFC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(-1.04)</w:t>
            </w:r>
          </w:p>
        </w:tc>
        <w:tc>
          <w:tcPr>
            <w:tcW w:w="421" w:type="pct"/>
            <w:tcBorders>
              <w:top w:val="nil"/>
              <w:left w:val="nil"/>
              <w:bottom w:val="nil"/>
              <w:right w:val="nil"/>
            </w:tcBorders>
            <w:shd w:val="clear" w:color="auto" w:fill="auto"/>
            <w:noWrap/>
            <w:vAlign w:val="center"/>
          </w:tcPr>
          <w:p w14:paraId="408F770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(-1.06)</w:t>
            </w:r>
          </w:p>
        </w:tc>
        <w:tc>
          <w:tcPr>
            <w:tcW w:w="88" w:type="pct"/>
            <w:tcBorders>
              <w:top w:val="nil"/>
              <w:left w:val="nil"/>
              <w:bottom w:val="nil"/>
              <w:right w:val="nil"/>
            </w:tcBorders>
            <w:shd w:val="clear" w:color="auto" w:fill="auto"/>
            <w:noWrap/>
            <w:vAlign w:val="center"/>
          </w:tcPr>
          <w:p w14:paraId="5AD6238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641EDA85" w14:textId="71848F8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(1.03)</w:t>
            </w:r>
          </w:p>
        </w:tc>
        <w:tc>
          <w:tcPr>
            <w:tcW w:w="459" w:type="pct"/>
            <w:tcBorders>
              <w:top w:val="nil"/>
              <w:left w:val="nil"/>
              <w:bottom w:val="nil"/>
              <w:right w:val="nil"/>
            </w:tcBorders>
            <w:shd w:val="clear" w:color="auto" w:fill="auto"/>
            <w:noWrap/>
            <w:vAlign w:val="center"/>
          </w:tcPr>
          <w:p w14:paraId="0EB21BA7" w14:textId="058319CB"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(0.46)</w:t>
            </w:r>
          </w:p>
        </w:tc>
        <w:tc>
          <w:tcPr>
            <w:tcW w:w="421" w:type="pct"/>
            <w:tcBorders>
              <w:top w:val="nil"/>
              <w:left w:val="nil"/>
              <w:bottom w:val="nil"/>
              <w:right w:val="nil"/>
            </w:tcBorders>
            <w:shd w:val="clear" w:color="auto" w:fill="auto"/>
            <w:noWrap/>
            <w:vAlign w:val="center"/>
          </w:tcPr>
          <w:p w14:paraId="61DB8865" w14:textId="11813C04"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(0.15)</w:t>
            </w:r>
          </w:p>
        </w:tc>
        <w:tc>
          <w:tcPr>
            <w:tcW w:w="85" w:type="pct"/>
            <w:tcBorders>
              <w:top w:val="nil"/>
              <w:left w:val="nil"/>
              <w:bottom w:val="nil"/>
              <w:right w:val="nil"/>
            </w:tcBorders>
            <w:shd w:val="clear" w:color="auto" w:fill="auto"/>
            <w:noWrap/>
            <w:vAlign w:val="center"/>
          </w:tcPr>
          <w:p w14:paraId="3E0C636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7C4E690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(0.65)</w:t>
            </w:r>
          </w:p>
        </w:tc>
        <w:tc>
          <w:tcPr>
            <w:tcW w:w="489" w:type="pct"/>
            <w:tcBorders>
              <w:top w:val="nil"/>
              <w:left w:val="nil"/>
              <w:bottom w:val="nil"/>
              <w:right w:val="nil"/>
            </w:tcBorders>
            <w:shd w:val="clear" w:color="auto" w:fill="auto"/>
            <w:noWrap/>
            <w:vAlign w:val="center"/>
          </w:tcPr>
          <w:p w14:paraId="671FAF4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(-1.02)</w:t>
            </w:r>
          </w:p>
        </w:tc>
        <w:tc>
          <w:tcPr>
            <w:tcW w:w="532" w:type="pct"/>
            <w:tcBorders>
              <w:top w:val="nil"/>
              <w:left w:val="nil"/>
              <w:bottom w:val="nil"/>
              <w:right w:val="nil"/>
            </w:tcBorders>
            <w:shd w:val="clear" w:color="auto" w:fill="auto"/>
            <w:noWrap/>
            <w:vAlign w:val="center"/>
          </w:tcPr>
          <w:p w14:paraId="4594BF5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(-1.13)</w:t>
            </w:r>
          </w:p>
        </w:tc>
      </w:tr>
      <w:tr w:rsidR="008F4F29" w:rsidRPr="00357722" w14:paraId="4CCE02CC" w14:textId="77777777" w:rsidTr="006E29B3">
        <w:trPr>
          <w:trHeight w:val="170"/>
        </w:trPr>
        <w:tc>
          <w:tcPr>
            <w:tcW w:w="817" w:type="pct"/>
            <w:tcBorders>
              <w:top w:val="nil"/>
              <w:left w:val="nil"/>
              <w:bottom w:val="nil"/>
              <w:right w:val="nil"/>
            </w:tcBorders>
            <w:shd w:val="clear" w:color="auto" w:fill="auto"/>
            <w:noWrap/>
            <w:vAlign w:val="center"/>
            <w:hideMark/>
          </w:tcPr>
          <w:p w14:paraId="63A7CF18"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TRDOPEN</w:t>
            </w:r>
          </w:p>
        </w:tc>
        <w:tc>
          <w:tcPr>
            <w:tcW w:w="409" w:type="pct"/>
            <w:tcBorders>
              <w:top w:val="nil"/>
              <w:left w:val="nil"/>
              <w:bottom w:val="nil"/>
              <w:right w:val="nil"/>
            </w:tcBorders>
            <w:shd w:val="clear" w:color="auto" w:fill="auto"/>
            <w:noWrap/>
            <w:vAlign w:val="center"/>
          </w:tcPr>
          <w:p w14:paraId="37C0B7B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c>
          <w:tcPr>
            <w:tcW w:w="461" w:type="pct"/>
            <w:tcBorders>
              <w:top w:val="nil"/>
              <w:left w:val="nil"/>
              <w:bottom w:val="nil"/>
              <w:right w:val="nil"/>
            </w:tcBorders>
            <w:shd w:val="clear" w:color="auto" w:fill="auto"/>
            <w:noWrap/>
            <w:vAlign w:val="center"/>
          </w:tcPr>
          <w:p w14:paraId="7753D15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-0.000</w:t>
            </w:r>
          </w:p>
        </w:tc>
        <w:tc>
          <w:tcPr>
            <w:tcW w:w="421" w:type="pct"/>
            <w:tcBorders>
              <w:top w:val="nil"/>
              <w:left w:val="nil"/>
              <w:bottom w:val="nil"/>
              <w:right w:val="nil"/>
            </w:tcBorders>
            <w:shd w:val="clear" w:color="auto" w:fill="auto"/>
            <w:noWrap/>
            <w:vAlign w:val="center"/>
          </w:tcPr>
          <w:p w14:paraId="659236B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-0.000</w:t>
            </w:r>
          </w:p>
        </w:tc>
        <w:tc>
          <w:tcPr>
            <w:tcW w:w="88" w:type="pct"/>
            <w:tcBorders>
              <w:top w:val="nil"/>
              <w:left w:val="nil"/>
              <w:bottom w:val="nil"/>
              <w:right w:val="nil"/>
            </w:tcBorders>
            <w:shd w:val="clear" w:color="auto" w:fill="auto"/>
            <w:noWrap/>
            <w:vAlign w:val="center"/>
          </w:tcPr>
          <w:p w14:paraId="3549008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4CA6789C" w14:textId="25E832EE"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0.000</w:t>
            </w:r>
          </w:p>
        </w:tc>
        <w:tc>
          <w:tcPr>
            <w:tcW w:w="459" w:type="pct"/>
            <w:tcBorders>
              <w:top w:val="nil"/>
              <w:left w:val="nil"/>
              <w:bottom w:val="nil"/>
              <w:right w:val="nil"/>
            </w:tcBorders>
            <w:shd w:val="clear" w:color="auto" w:fill="auto"/>
            <w:noWrap/>
            <w:vAlign w:val="center"/>
          </w:tcPr>
          <w:p w14:paraId="296DE7A4" w14:textId="57F6A741"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-0.002</w:t>
            </w:r>
          </w:p>
        </w:tc>
        <w:tc>
          <w:tcPr>
            <w:tcW w:w="421" w:type="pct"/>
            <w:tcBorders>
              <w:top w:val="nil"/>
              <w:left w:val="nil"/>
              <w:bottom w:val="nil"/>
              <w:right w:val="nil"/>
            </w:tcBorders>
            <w:shd w:val="clear" w:color="auto" w:fill="auto"/>
            <w:noWrap/>
            <w:vAlign w:val="center"/>
          </w:tcPr>
          <w:p w14:paraId="785C58CA" w14:textId="2C7B5DCD"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-0.001</w:t>
            </w:r>
          </w:p>
        </w:tc>
        <w:tc>
          <w:tcPr>
            <w:tcW w:w="85" w:type="pct"/>
            <w:tcBorders>
              <w:top w:val="nil"/>
              <w:left w:val="nil"/>
              <w:bottom w:val="nil"/>
              <w:right w:val="nil"/>
            </w:tcBorders>
            <w:shd w:val="clear" w:color="auto" w:fill="auto"/>
            <w:noWrap/>
            <w:vAlign w:val="center"/>
          </w:tcPr>
          <w:p w14:paraId="09C731E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39D2096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c>
          <w:tcPr>
            <w:tcW w:w="489" w:type="pct"/>
            <w:tcBorders>
              <w:top w:val="nil"/>
              <w:left w:val="nil"/>
              <w:bottom w:val="nil"/>
              <w:right w:val="nil"/>
            </w:tcBorders>
            <w:shd w:val="clear" w:color="auto" w:fill="auto"/>
            <w:noWrap/>
            <w:vAlign w:val="center"/>
          </w:tcPr>
          <w:p w14:paraId="49BFFE9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-0.001</w:t>
            </w:r>
          </w:p>
        </w:tc>
        <w:tc>
          <w:tcPr>
            <w:tcW w:w="532" w:type="pct"/>
            <w:tcBorders>
              <w:top w:val="nil"/>
              <w:left w:val="nil"/>
              <w:bottom w:val="nil"/>
              <w:right w:val="nil"/>
            </w:tcBorders>
            <w:shd w:val="clear" w:color="auto" w:fill="auto"/>
            <w:noWrap/>
            <w:vAlign w:val="center"/>
          </w:tcPr>
          <w:p w14:paraId="659629C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-0.001</w:t>
            </w:r>
          </w:p>
        </w:tc>
      </w:tr>
      <w:tr w:rsidR="008F4F29" w:rsidRPr="00357722" w14:paraId="087934A6" w14:textId="77777777" w:rsidTr="006E29B3">
        <w:trPr>
          <w:trHeight w:val="170"/>
        </w:trPr>
        <w:tc>
          <w:tcPr>
            <w:tcW w:w="817" w:type="pct"/>
            <w:tcBorders>
              <w:top w:val="nil"/>
              <w:left w:val="nil"/>
              <w:bottom w:val="nil"/>
              <w:right w:val="nil"/>
            </w:tcBorders>
            <w:shd w:val="clear" w:color="auto" w:fill="auto"/>
            <w:noWrap/>
            <w:vAlign w:val="bottom"/>
            <w:hideMark/>
          </w:tcPr>
          <w:p w14:paraId="164E32D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510116B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(2.05)</w:t>
            </w:r>
          </w:p>
        </w:tc>
        <w:tc>
          <w:tcPr>
            <w:tcW w:w="461" w:type="pct"/>
            <w:tcBorders>
              <w:top w:val="nil"/>
              <w:left w:val="nil"/>
              <w:bottom w:val="nil"/>
              <w:right w:val="nil"/>
            </w:tcBorders>
            <w:shd w:val="clear" w:color="auto" w:fill="auto"/>
            <w:noWrap/>
            <w:vAlign w:val="center"/>
          </w:tcPr>
          <w:p w14:paraId="31D0E4D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w:t>
            </w:r>
          </w:p>
        </w:tc>
        <w:tc>
          <w:tcPr>
            <w:tcW w:w="421" w:type="pct"/>
            <w:tcBorders>
              <w:top w:val="nil"/>
              <w:left w:val="nil"/>
              <w:bottom w:val="nil"/>
              <w:right w:val="nil"/>
            </w:tcBorders>
            <w:shd w:val="clear" w:color="auto" w:fill="auto"/>
            <w:noWrap/>
            <w:vAlign w:val="center"/>
          </w:tcPr>
          <w:p w14:paraId="35E8B43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(-0.13)</w:t>
            </w:r>
          </w:p>
        </w:tc>
        <w:tc>
          <w:tcPr>
            <w:tcW w:w="88" w:type="pct"/>
            <w:tcBorders>
              <w:top w:val="nil"/>
              <w:left w:val="nil"/>
              <w:bottom w:val="nil"/>
              <w:right w:val="nil"/>
            </w:tcBorders>
            <w:shd w:val="clear" w:color="auto" w:fill="auto"/>
            <w:noWrap/>
            <w:vAlign w:val="center"/>
          </w:tcPr>
          <w:p w14:paraId="3B56C28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0A727EE2" w14:textId="13CA5E9D"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(0.11)</w:t>
            </w:r>
          </w:p>
        </w:tc>
        <w:tc>
          <w:tcPr>
            <w:tcW w:w="459" w:type="pct"/>
            <w:tcBorders>
              <w:top w:val="nil"/>
              <w:left w:val="nil"/>
              <w:bottom w:val="nil"/>
              <w:right w:val="nil"/>
            </w:tcBorders>
            <w:shd w:val="clear" w:color="auto" w:fill="auto"/>
            <w:noWrap/>
            <w:vAlign w:val="center"/>
          </w:tcPr>
          <w:p w14:paraId="657A478A" w14:textId="559C580B"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(-1.34)</w:t>
            </w:r>
          </w:p>
        </w:tc>
        <w:tc>
          <w:tcPr>
            <w:tcW w:w="421" w:type="pct"/>
            <w:tcBorders>
              <w:top w:val="nil"/>
              <w:left w:val="nil"/>
              <w:bottom w:val="nil"/>
              <w:right w:val="nil"/>
            </w:tcBorders>
            <w:shd w:val="clear" w:color="auto" w:fill="auto"/>
            <w:noWrap/>
            <w:vAlign w:val="center"/>
          </w:tcPr>
          <w:p w14:paraId="1F17761E" w14:textId="69EA81E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(-0.96)</w:t>
            </w:r>
          </w:p>
        </w:tc>
        <w:tc>
          <w:tcPr>
            <w:tcW w:w="85" w:type="pct"/>
            <w:tcBorders>
              <w:top w:val="nil"/>
              <w:left w:val="nil"/>
              <w:bottom w:val="nil"/>
              <w:right w:val="nil"/>
            </w:tcBorders>
            <w:shd w:val="clear" w:color="auto" w:fill="auto"/>
            <w:noWrap/>
            <w:vAlign w:val="center"/>
          </w:tcPr>
          <w:p w14:paraId="621B0F7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432D861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(-0.59)</w:t>
            </w:r>
          </w:p>
        </w:tc>
        <w:tc>
          <w:tcPr>
            <w:tcW w:w="489" w:type="pct"/>
            <w:tcBorders>
              <w:top w:val="nil"/>
              <w:left w:val="nil"/>
              <w:bottom w:val="nil"/>
              <w:right w:val="nil"/>
            </w:tcBorders>
            <w:shd w:val="clear" w:color="auto" w:fill="auto"/>
            <w:noWrap/>
            <w:vAlign w:val="center"/>
          </w:tcPr>
          <w:p w14:paraId="447E519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(-0.51)</w:t>
            </w:r>
          </w:p>
        </w:tc>
        <w:tc>
          <w:tcPr>
            <w:tcW w:w="532" w:type="pct"/>
            <w:tcBorders>
              <w:top w:val="nil"/>
              <w:left w:val="nil"/>
              <w:bottom w:val="nil"/>
              <w:right w:val="nil"/>
            </w:tcBorders>
            <w:shd w:val="clear" w:color="auto" w:fill="auto"/>
            <w:noWrap/>
            <w:vAlign w:val="center"/>
          </w:tcPr>
          <w:p w14:paraId="3D0BCB0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(-0.57)</w:t>
            </w:r>
          </w:p>
        </w:tc>
      </w:tr>
      <w:tr w:rsidR="008F4F29" w:rsidRPr="00357722" w14:paraId="105AD283" w14:textId="77777777" w:rsidTr="006E29B3">
        <w:trPr>
          <w:trHeight w:val="170"/>
        </w:trPr>
        <w:tc>
          <w:tcPr>
            <w:tcW w:w="817" w:type="pct"/>
            <w:tcBorders>
              <w:top w:val="nil"/>
              <w:left w:val="nil"/>
              <w:bottom w:val="nil"/>
              <w:right w:val="nil"/>
            </w:tcBorders>
            <w:shd w:val="clear" w:color="auto" w:fill="auto"/>
            <w:noWrap/>
            <w:vAlign w:val="center"/>
            <w:hideMark/>
          </w:tcPr>
          <w:p w14:paraId="2CE57B01"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REMITT</w:t>
            </w:r>
          </w:p>
        </w:tc>
        <w:tc>
          <w:tcPr>
            <w:tcW w:w="409" w:type="pct"/>
            <w:tcBorders>
              <w:top w:val="nil"/>
              <w:left w:val="nil"/>
              <w:bottom w:val="nil"/>
              <w:right w:val="nil"/>
            </w:tcBorders>
            <w:shd w:val="clear" w:color="auto" w:fill="auto"/>
            <w:noWrap/>
            <w:vAlign w:val="center"/>
          </w:tcPr>
          <w:p w14:paraId="7AAC9FC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-0.048</w:t>
            </w:r>
          </w:p>
        </w:tc>
        <w:tc>
          <w:tcPr>
            <w:tcW w:w="461" w:type="pct"/>
            <w:tcBorders>
              <w:top w:val="nil"/>
              <w:left w:val="nil"/>
              <w:bottom w:val="nil"/>
              <w:right w:val="nil"/>
            </w:tcBorders>
            <w:shd w:val="clear" w:color="auto" w:fill="auto"/>
            <w:noWrap/>
            <w:vAlign w:val="center"/>
          </w:tcPr>
          <w:p w14:paraId="4B7A0A3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-0.051**</w:t>
            </w:r>
          </w:p>
        </w:tc>
        <w:tc>
          <w:tcPr>
            <w:tcW w:w="421" w:type="pct"/>
            <w:tcBorders>
              <w:top w:val="nil"/>
              <w:left w:val="nil"/>
              <w:bottom w:val="nil"/>
              <w:right w:val="nil"/>
            </w:tcBorders>
            <w:shd w:val="clear" w:color="auto" w:fill="auto"/>
            <w:noWrap/>
            <w:vAlign w:val="center"/>
          </w:tcPr>
          <w:p w14:paraId="23E64B3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-0.050*</w:t>
            </w:r>
          </w:p>
        </w:tc>
        <w:tc>
          <w:tcPr>
            <w:tcW w:w="88" w:type="pct"/>
            <w:tcBorders>
              <w:top w:val="nil"/>
              <w:left w:val="nil"/>
              <w:bottom w:val="nil"/>
              <w:right w:val="nil"/>
            </w:tcBorders>
            <w:shd w:val="clear" w:color="auto" w:fill="auto"/>
            <w:noWrap/>
            <w:vAlign w:val="center"/>
          </w:tcPr>
          <w:p w14:paraId="54E0BDD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4CDFF623" w14:textId="64854D15"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-0.068</w:t>
            </w:r>
          </w:p>
        </w:tc>
        <w:tc>
          <w:tcPr>
            <w:tcW w:w="459" w:type="pct"/>
            <w:tcBorders>
              <w:top w:val="nil"/>
              <w:left w:val="nil"/>
              <w:bottom w:val="nil"/>
              <w:right w:val="nil"/>
            </w:tcBorders>
            <w:shd w:val="clear" w:color="auto" w:fill="auto"/>
            <w:noWrap/>
            <w:vAlign w:val="center"/>
          </w:tcPr>
          <w:p w14:paraId="46F2816B" w14:textId="68EB0F3E"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0.014</w:t>
            </w:r>
          </w:p>
        </w:tc>
        <w:tc>
          <w:tcPr>
            <w:tcW w:w="421" w:type="pct"/>
            <w:tcBorders>
              <w:top w:val="nil"/>
              <w:left w:val="nil"/>
              <w:bottom w:val="nil"/>
              <w:right w:val="nil"/>
            </w:tcBorders>
            <w:shd w:val="clear" w:color="auto" w:fill="auto"/>
            <w:noWrap/>
            <w:vAlign w:val="center"/>
          </w:tcPr>
          <w:p w14:paraId="605BC481" w14:textId="1CB4BDF4"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-0.002</w:t>
            </w:r>
          </w:p>
        </w:tc>
        <w:tc>
          <w:tcPr>
            <w:tcW w:w="85" w:type="pct"/>
            <w:tcBorders>
              <w:top w:val="nil"/>
              <w:left w:val="nil"/>
              <w:bottom w:val="nil"/>
              <w:right w:val="nil"/>
            </w:tcBorders>
            <w:shd w:val="clear" w:color="auto" w:fill="auto"/>
            <w:noWrap/>
            <w:vAlign w:val="center"/>
          </w:tcPr>
          <w:p w14:paraId="3B8E728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62CBE9C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-0.025</w:t>
            </w:r>
          </w:p>
        </w:tc>
        <w:tc>
          <w:tcPr>
            <w:tcW w:w="489" w:type="pct"/>
            <w:tcBorders>
              <w:top w:val="nil"/>
              <w:left w:val="nil"/>
              <w:bottom w:val="nil"/>
              <w:right w:val="nil"/>
            </w:tcBorders>
            <w:shd w:val="clear" w:color="auto" w:fill="auto"/>
            <w:noWrap/>
            <w:vAlign w:val="center"/>
          </w:tcPr>
          <w:p w14:paraId="43D4372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-0.044</w:t>
            </w:r>
          </w:p>
        </w:tc>
        <w:tc>
          <w:tcPr>
            <w:tcW w:w="532" w:type="pct"/>
            <w:tcBorders>
              <w:top w:val="nil"/>
              <w:left w:val="nil"/>
              <w:bottom w:val="nil"/>
              <w:right w:val="nil"/>
            </w:tcBorders>
            <w:shd w:val="clear" w:color="auto" w:fill="auto"/>
            <w:noWrap/>
            <w:vAlign w:val="center"/>
          </w:tcPr>
          <w:p w14:paraId="3F53E3E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-0.025</w:t>
            </w:r>
          </w:p>
        </w:tc>
      </w:tr>
      <w:tr w:rsidR="008F4F29" w:rsidRPr="00357722" w14:paraId="6BADCA89" w14:textId="77777777" w:rsidTr="006E29B3">
        <w:trPr>
          <w:trHeight w:val="170"/>
        </w:trPr>
        <w:tc>
          <w:tcPr>
            <w:tcW w:w="817" w:type="pct"/>
            <w:tcBorders>
              <w:top w:val="nil"/>
              <w:left w:val="nil"/>
              <w:bottom w:val="nil"/>
              <w:right w:val="nil"/>
            </w:tcBorders>
            <w:shd w:val="clear" w:color="auto" w:fill="auto"/>
            <w:noWrap/>
            <w:vAlign w:val="bottom"/>
            <w:hideMark/>
          </w:tcPr>
          <w:p w14:paraId="074AAAE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568B4C6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(-1.35)</w:t>
            </w:r>
          </w:p>
        </w:tc>
        <w:tc>
          <w:tcPr>
            <w:tcW w:w="461" w:type="pct"/>
            <w:tcBorders>
              <w:top w:val="nil"/>
              <w:left w:val="nil"/>
              <w:bottom w:val="nil"/>
              <w:right w:val="nil"/>
            </w:tcBorders>
            <w:shd w:val="clear" w:color="auto" w:fill="auto"/>
            <w:noWrap/>
            <w:vAlign w:val="center"/>
          </w:tcPr>
          <w:p w14:paraId="38FF58F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(-2.50)</w:t>
            </w:r>
          </w:p>
        </w:tc>
        <w:tc>
          <w:tcPr>
            <w:tcW w:w="421" w:type="pct"/>
            <w:tcBorders>
              <w:top w:val="nil"/>
              <w:left w:val="nil"/>
              <w:bottom w:val="nil"/>
              <w:right w:val="nil"/>
            </w:tcBorders>
            <w:shd w:val="clear" w:color="auto" w:fill="auto"/>
            <w:noWrap/>
            <w:vAlign w:val="center"/>
          </w:tcPr>
          <w:p w14:paraId="37041EF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(-2.01)</w:t>
            </w:r>
          </w:p>
        </w:tc>
        <w:tc>
          <w:tcPr>
            <w:tcW w:w="88" w:type="pct"/>
            <w:tcBorders>
              <w:top w:val="nil"/>
              <w:left w:val="nil"/>
              <w:bottom w:val="nil"/>
              <w:right w:val="nil"/>
            </w:tcBorders>
            <w:shd w:val="clear" w:color="auto" w:fill="auto"/>
            <w:noWrap/>
            <w:vAlign w:val="center"/>
          </w:tcPr>
          <w:p w14:paraId="3424EEE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07ECFEF7" w14:textId="5CE7F9D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(-1.51)</w:t>
            </w:r>
          </w:p>
        </w:tc>
        <w:tc>
          <w:tcPr>
            <w:tcW w:w="459" w:type="pct"/>
            <w:tcBorders>
              <w:top w:val="nil"/>
              <w:left w:val="nil"/>
              <w:bottom w:val="nil"/>
              <w:right w:val="nil"/>
            </w:tcBorders>
            <w:shd w:val="clear" w:color="auto" w:fill="auto"/>
            <w:noWrap/>
            <w:vAlign w:val="center"/>
          </w:tcPr>
          <w:p w14:paraId="29FDF950" w14:textId="4A69139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(0.36)</w:t>
            </w:r>
          </w:p>
        </w:tc>
        <w:tc>
          <w:tcPr>
            <w:tcW w:w="421" w:type="pct"/>
            <w:tcBorders>
              <w:top w:val="nil"/>
              <w:left w:val="nil"/>
              <w:bottom w:val="nil"/>
              <w:right w:val="nil"/>
            </w:tcBorders>
            <w:shd w:val="clear" w:color="auto" w:fill="auto"/>
            <w:noWrap/>
            <w:vAlign w:val="center"/>
          </w:tcPr>
          <w:p w14:paraId="0F5232A7" w14:textId="3C2130D8"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(-0.05)</w:t>
            </w:r>
          </w:p>
        </w:tc>
        <w:tc>
          <w:tcPr>
            <w:tcW w:w="85" w:type="pct"/>
            <w:tcBorders>
              <w:top w:val="nil"/>
              <w:left w:val="nil"/>
              <w:bottom w:val="nil"/>
              <w:right w:val="nil"/>
            </w:tcBorders>
            <w:shd w:val="clear" w:color="auto" w:fill="auto"/>
            <w:noWrap/>
            <w:vAlign w:val="center"/>
          </w:tcPr>
          <w:p w14:paraId="5F6DFA2C"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19234B1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(-0.53)</w:t>
            </w:r>
          </w:p>
        </w:tc>
        <w:tc>
          <w:tcPr>
            <w:tcW w:w="489" w:type="pct"/>
            <w:tcBorders>
              <w:top w:val="nil"/>
              <w:left w:val="nil"/>
              <w:bottom w:val="nil"/>
              <w:right w:val="nil"/>
            </w:tcBorders>
            <w:shd w:val="clear" w:color="auto" w:fill="auto"/>
            <w:noWrap/>
            <w:vAlign w:val="center"/>
          </w:tcPr>
          <w:p w14:paraId="7A049AC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(-0.88)</w:t>
            </w:r>
          </w:p>
        </w:tc>
        <w:tc>
          <w:tcPr>
            <w:tcW w:w="532" w:type="pct"/>
            <w:tcBorders>
              <w:top w:val="nil"/>
              <w:left w:val="nil"/>
              <w:bottom w:val="nil"/>
              <w:right w:val="nil"/>
            </w:tcBorders>
            <w:shd w:val="clear" w:color="auto" w:fill="auto"/>
            <w:noWrap/>
            <w:vAlign w:val="center"/>
          </w:tcPr>
          <w:p w14:paraId="1DB2B3F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(-0.53)</w:t>
            </w:r>
          </w:p>
        </w:tc>
      </w:tr>
      <w:tr w:rsidR="008F4F29" w:rsidRPr="00357722" w14:paraId="0B8C196A" w14:textId="77777777" w:rsidTr="006E29B3">
        <w:trPr>
          <w:trHeight w:val="170"/>
        </w:trPr>
        <w:tc>
          <w:tcPr>
            <w:tcW w:w="817" w:type="pct"/>
            <w:tcBorders>
              <w:top w:val="nil"/>
              <w:left w:val="nil"/>
              <w:bottom w:val="nil"/>
              <w:right w:val="nil"/>
            </w:tcBorders>
            <w:shd w:val="clear" w:color="auto" w:fill="auto"/>
            <w:noWrap/>
            <w:vAlign w:val="center"/>
            <w:hideMark/>
          </w:tcPr>
          <w:p w14:paraId="053FED7F" w14:textId="605B8FA8" w:rsidR="008F4F29" w:rsidRPr="00357722" w:rsidRDefault="008857A2"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lastRenderedPageBreak/>
              <w:t>OTIDSGDP</w:t>
            </w:r>
          </w:p>
        </w:tc>
        <w:tc>
          <w:tcPr>
            <w:tcW w:w="409" w:type="pct"/>
            <w:tcBorders>
              <w:top w:val="nil"/>
              <w:left w:val="nil"/>
              <w:bottom w:val="nil"/>
              <w:right w:val="nil"/>
            </w:tcBorders>
            <w:shd w:val="clear" w:color="auto" w:fill="auto"/>
            <w:noWrap/>
            <w:vAlign w:val="center"/>
          </w:tcPr>
          <w:p w14:paraId="0086E13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-0.003</w:t>
            </w:r>
          </w:p>
        </w:tc>
        <w:tc>
          <w:tcPr>
            <w:tcW w:w="461" w:type="pct"/>
            <w:tcBorders>
              <w:top w:val="nil"/>
              <w:left w:val="nil"/>
              <w:bottom w:val="nil"/>
              <w:right w:val="nil"/>
            </w:tcBorders>
            <w:shd w:val="clear" w:color="auto" w:fill="auto"/>
            <w:noWrap/>
            <w:vAlign w:val="center"/>
          </w:tcPr>
          <w:p w14:paraId="517A46F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0.001</w:t>
            </w:r>
          </w:p>
        </w:tc>
        <w:tc>
          <w:tcPr>
            <w:tcW w:w="421" w:type="pct"/>
            <w:tcBorders>
              <w:top w:val="nil"/>
              <w:left w:val="nil"/>
              <w:bottom w:val="nil"/>
              <w:right w:val="nil"/>
            </w:tcBorders>
            <w:shd w:val="clear" w:color="auto" w:fill="auto"/>
            <w:noWrap/>
            <w:vAlign w:val="center"/>
          </w:tcPr>
          <w:p w14:paraId="5B01E2C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0.000</w:t>
            </w:r>
          </w:p>
        </w:tc>
        <w:tc>
          <w:tcPr>
            <w:tcW w:w="88" w:type="pct"/>
            <w:tcBorders>
              <w:top w:val="nil"/>
              <w:left w:val="nil"/>
              <w:bottom w:val="nil"/>
              <w:right w:val="nil"/>
            </w:tcBorders>
            <w:shd w:val="clear" w:color="auto" w:fill="auto"/>
            <w:noWrap/>
            <w:vAlign w:val="center"/>
          </w:tcPr>
          <w:p w14:paraId="7265B83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43583014" w14:textId="33A2FAE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0.003</w:t>
            </w:r>
          </w:p>
        </w:tc>
        <w:tc>
          <w:tcPr>
            <w:tcW w:w="459" w:type="pct"/>
            <w:tcBorders>
              <w:top w:val="nil"/>
              <w:left w:val="nil"/>
              <w:bottom w:val="nil"/>
              <w:right w:val="nil"/>
            </w:tcBorders>
            <w:shd w:val="clear" w:color="auto" w:fill="auto"/>
            <w:noWrap/>
            <w:vAlign w:val="center"/>
          </w:tcPr>
          <w:p w14:paraId="293947E8" w14:textId="0E80EFE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0.004*</w:t>
            </w:r>
          </w:p>
        </w:tc>
        <w:tc>
          <w:tcPr>
            <w:tcW w:w="421" w:type="pct"/>
            <w:tcBorders>
              <w:top w:val="nil"/>
              <w:left w:val="nil"/>
              <w:bottom w:val="nil"/>
              <w:right w:val="nil"/>
            </w:tcBorders>
            <w:shd w:val="clear" w:color="auto" w:fill="auto"/>
            <w:noWrap/>
            <w:vAlign w:val="center"/>
          </w:tcPr>
          <w:p w14:paraId="1588648D" w14:textId="037F2A7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0.003</w:t>
            </w:r>
          </w:p>
        </w:tc>
        <w:tc>
          <w:tcPr>
            <w:tcW w:w="85" w:type="pct"/>
            <w:tcBorders>
              <w:top w:val="nil"/>
              <w:left w:val="nil"/>
              <w:bottom w:val="nil"/>
              <w:right w:val="nil"/>
            </w:tcBorders>
            <w:shd w:val="clear" w:color="auto" w:fill="auto"/>
            <w:noWrap/>
            <w:vAlign w:val="center"/>
          </w:tcPr>
          <w:p w14:paraId="2C8643D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35E4BDE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c>
          <w:tcPr>
            <w:tcW w:w="489" w:type="pct"/>
            <w:tcBorders>
              <w:top w:val="nil"/>
              <w:left w:val="nil"/>
              <w:bottom w:val="nil"/>
              <w:right w:val="nil"/>
            </w:tcBorders>
            <w:shd w:val="clear" w:color="auto" w:fill="auto"/>
            <w:noWrap/>
            <w:vAlign w:val="center"/>
          </w:tcPr>
          <w:p w14:paraId="235564D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c>
          <w:tcPr>
            <w:tcW w:w="532" w:type="pct"/>
            <w:tcBorders>
              <w:top w:val="nil"/>
              <w:left w:val="nil"/>
              <w:bottom w:val="nil"/>
              <w:right w:val="nil"/>
            </w:tcBorders>
            <w:shd w:val="clear" w:color="auto" w:fill="auto"/>
            <w:noWrap/>
            <w:vAlign w:val="center"/>
          </w:tcPr>
          <w:p w14:paraId="1E0A488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r>
      <w:tr w:rsidR="008F4F29" w:rsidRPr="00357722" w14:paraId="3FE9B32E" w14:textId="77777777" w:rsidTr="006E29B3">
        <w:trPr>
          <w:trHeight w:val="170"/>
        </w:trPr>
        <w:tc>
          <w:tcPr>
            <w:tcW w:w="817" w:type="pct"/>
            <w:tcBorders>
              <w:top w:val="nil"/>
              <w:left w:val="nil"/>
              <w:bottom w:val="nil"/>
              <w:right w:val="nil"/>
            </w:tcBorders>
            <w:shd w:val="clear" w:color="auto" w:fill="auto"/>
            <w:noWrap/>
            <w:vAlign w:val="bottom"/>
            <w:hideMark/>
          </w:tcPr>
          <w:p w14:paraId="18B7B2D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5A5529A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(-1.17)</w:t>
            </w:r>
          </w:p>
        </w:tc>
        <w:tc>
          <w:tcPr>
            <w:tcW w:w="461" w:type="pct"/>
            <w:tcBorders>
              <w:top w:val="nil"/>
              <w:left w:val="nil"/>
              <w:bottom w:val="nil"/>
              <w:right w:val="nil"/>
            </w:tcBorders>
            <w:shd w:val="clear" w:color="auto" w:fill="auto"/>
            <w:noWrap/>
            <w:vAlign w:val="center"/>
          </w:tcPr>
          <w:p w14:paraId="102B474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(0.36)</w:t>
            </w:r>
          </w:p>
        </w:tc>
        <w:tc>
          <w:tcPr>
            <w:tcW w:w="421" w:type="pct"/>
            <w:tcBorders>
              <w:top w:val="nil"/>
              <w:left w:val="nil"/>
              <w:bottom w:val="nil"/>
              <w:right w:val="nil"/>
            </w:tcBorders>
            <w:shd w:val="clear" w:color="auto" w:fill="auto"/>
            <w:noWrap/>
            <w:vAlign w:val="center"/>
          </w:tcPr>
          <w:p w14:paraId="675957C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(0.20)</w:t>
            </w:r>
          </w:p>
        </w:tc>
        <w:tc>
          <w:tcPr>
            <w:tcW w:w="88" w:type="pct"/>
            <w:tcBorders>
              <w:top w:val="nil"/>
              <w:left w:val="nil"/>
              <w:bottom w:val="nil"/>
              <w:right w:val="nil"/>
            </w:tcBorders>
            <w:shd w:val="clear" w:color="auto" w:fill="auto"/>
            <w:noWrap/>
            <w:vAlign w:val="center"/>
          </w:tcPr>
          <w:p w14:paraId="698AA02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062FC17B" w14:textId="408BB7CB"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(0.51)</w:t>
            </w:r>
          </w:p>
        </w:tc>
        <w:tc>
          <w:tcPr>
            <w:tcW w:w="459" w:type="pct"/>
            <w:tcBorders>
              <w:top w:val="nil"/>
              <w:left w:val="nil"/>
              <w:bottom w:val="nil"/>
              <w:right w:val="nil"/>
            </w:tcBorders>
            <w:shd w:val="clear" w:color="auto" w:fill="auto"/>
            <w:noWrap/>
            <w:vAlign w:val="center"/>
          </w:tcPr>
          <w:p w14:paraId="711E4B12" w14:textId="4B16CDE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(1.96)</w:t>
            </w:r>
          </w:p>
        </w:tc>
        <w:tc>
          <w:tcPr>
            <w:tcW w:w="421" w:type="pct"/>
            <w:tcBorders>
              <w:top w:val="nil"/>
              <w:left w:val="nil"/>
              <w:bottom w:val="nil"/>
              <w:right w:val="nil"/>
            </w:tcBorders>
            <w:shd w:val="clear" w:color="auto" w:fill="auto"/>
            <w:noWrap/>
            <w:vAlign w:val="center"/>
          </w:tcPr>
          <w:p w14:paraId="3232E501" w14:textId="44E6B525"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(1.43)</w:t>
            </w:r>
          </w:p>
        </w:tc>
        <w:tc>
          <w:tcPr>
            <w:tcW w:w="85" w:type="pct"/>
            <w:tcBorders>
              <w:top w:val="nil"/>
              <w:left w:val="nil"/>
              <w:bottom w:val="nil"/>
              <w:right w:val="nil"/>
            </w:tcBorders>
            <w:shd w:val="clear" w:color="auto" w:fill="auto"/>
            <w:noWrap/>
            <w:vAlign w:val="center"/>
          </w:tcPr>
          <w:p w14:paraId="65882DC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34502F8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(0.34)</w:t>
            </w:r>
          </w:p>
        </w:tc>
        <w:tc>
          <w:tcPr>
            <w:tcW w:w="489" w:type="pct"/>
            <w:tcBorders>
              <w:top w:val="nil"/>
              <w:left w:val="nil"/>
              <w:bottom w:val="nil"/>
              <w:right w:val="nil"/>
            </w:tcBorders>
            <w:shd w:val="clear" w:color="auto" w:fill="auto"/>
            <w:noWrap/>
            <w:vAlign w:val="center"/>
          </w:tcPr>
          <w:p w14:paraId="033B8BBC"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(1.01)</w:t>
            </w:r>
          </w:p>
        </w:tc>
        <w:tc>
          <w:tcPr>
            <w:tcW w:w="532" w:type="pct"/>
            <w:tcBorders>
              <w:top w:val="nil"/>
              <w:left w:val="nil"/>
              <w:bottom w:val="nil"/>
              <w:right w:val="nil"/>
            </w:tcBorders>
            <w:shd w:val="clear" w:color="auto" w:fill="auto"/>
            <w:noWrap/>
            <w:vAlign w:val="center"/>
          </w:tcPr>
          <w:p w14:paraId="1E6C684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(1.00)</w:t>
            </w:r>
          </w:p>
        </w:tc>
      </w:tr>
      <w:tr w:rsidR="008F4F29" w:rsidRPr="00357722" w14:paraId="2C2AABBC" w14:textId="77777777" w:rsidTr="006E29B3">
        <w:trPr>
          <w:trHeight w:val="170"/>
        </w:trPr>
        <w:tc>
          <w:tcPr>
            <w:tcW w:w="817" w:type="pct"/>
            <w:tcBorders>
              <w:top w:val="nil"/>
              <w:left w:val="nil"/>
              <w:bottom w:val="nil"/>
              <w:right w:val="nil"/>
            </w:tcBorders>
            <w:shd w:val="clear" w:color="auto" w:fill="auto"/>
            <w:noWrap/>
            <w:vAlign w:val="center"/>
            <w:hideMark/>
          </w:tcPr>
          <w:p w14:paraId="038BC375" w14:textId="77777777"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LEGORI</w:t>
            </w:r>
          </w:p>
        </w:tc>
        <w:tc>
          <w:tcPr>
            <w:tcW w:w="409" w:type="pct"/>
            <w:tcBorders>
              <w:top w:val="nil"/>
              <w:left w:val="nil"/>
              <w:bottom w:val="nil"/>
              <w:right w:val="nil"/>
            </w:tcBorders>
            <w:shd w:val="clear" w:color="auto" w:fill="auto"/>
            <w:noWrap/>
            <w:vAlign w:val="center"/>
          </w:tcPr>
          <w:p w14:paraId="23D60785"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0.023</w:t>
            </w:r>
          </w:p>
        </w:tc>
        <w:tc>
          <w:tcPr>
            <w:tcW w:w="461" w:type="pct"/>
            <w:tcBorders>
              <w:top w:val="nil"/>
              <w:left w:val="nil"/>
              <w:bottom w:val="nil"/>
              <w:right w:val="nil"/>
            </w:tcBorders>
            <w:shd w:val="clear" w:color="auto" w:fill="auto"/>
            <w:noWrap/>
            <w:vAlign w:val="center"/>
          </w:tcPr>
          <w:p w14:paraId="64EB2CA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-0.045</w:t>
            </w:r>
          </w:p>
        </w:tc>
        <w:tc>
          <w:tcPr>
            <w:tcW w:w="421" w:type="pct"/>
            <w:tcBorders>
              <w:top w:val="nil"/>
              <w:left w:val="nil"/>
              <w:bottom w:val="nil"/>
              <w:right w:val="nil"/>
            </w:tcBorders>
            <w:shd w:val="clear" w:color="auto" w:fill="auto"/>
            <w:noWrap/>
            <w:vAlign w:val="center"/>
          </w:tcPr>
          <w:p w14:paraId="2D1C79A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-0.027</w:t>
            </w:r>
          </w:p>
        </w:tc>
        <w:tc>
          <w:tcPr>
            <w:tcW w:w="88" w:type="pct"/>
            <w:tcBorders>
              <w:top w:val="nil"/>
              <w:left w:val="nil"/>
              <w:bottom w:val="nil"/>
              <w:right w:val="nil"/>
            </w:tcBorders>
            <w:shd w:val="clear" w:color="auto" w:fill="auto"/>
            <w:noWrap/>
            <w:vAlign w:val="center"/>
          </w:tcPr>
          <w:p w14:paraId="3874C37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727C1328" w14:textId="61C0212F"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0.271</w:t>
            </w:r>
          </w:p>
        </w:tc>
        <w:tc>
          <w:tcPr>
            <w:tcW w:w="459" w:type="pct"/>
            <w:tcBorders>
              <w:top w:val="nil"/>
              <w:left w:val="nil"/>
              <w:bottom w:val="nil"/>
              <w:right w:val="nil"/>
            </w:tcBorders>
            <w:shd w:val="clear" w:color="auto" w:fill="auto"/>
            <w:noWrap/>
            <w:vAlign w:val="center"/>
          </w:tcPr>
          <w:p w14:paraId="1CF7DEB1" w14:textId="22C5F2A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0.055</w:t>
            </w:r>
          </w:p>
        </w:tc>
        <w:tc>
          <w:tcPr>
            <w:tcW w:w="421" w:type="pct"/>
            <w:tcBorders>
              <w:top w:val="nil"/>
              <w:left w:val="nil"/>
              <w:bottom w:val="nil"/>
              <w:right w:val="nil"/>
            </w:tcBorders>
            <w:shd w:val="clear" w:color="auto" w:fill="auto"/>
            <w:noWrap/>
            <w:vAlign w:val="center"/>
          </w:tcPr>
          <w:p w14:paraId="6C26FB33" w14:textId="1EF9A2D8"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0.087</w:t>
            </w:r>
          </w:p>
        </w:tc>
        <w:tc>
          <w:tcPr>
            <w:tcW w:w="85" w:type="pct"/>
            <w:tcBorders>
              <w:top w:val="nil"/>
              <w:left w:val="nil"/>
              <w:bottom w:val="nil"/>
              <w:right w:val="nil"/>
            </w:tcBorders>
            <w:shd w:val="clear" w:color="auto" w:fill="auto"/>
            <w:noWrap/>
            <w:vAlign w:val="center"/>
          </w:tcPr>
          <w:p w14:paraId="2E7FB7A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74B48F1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-0.001</w:t>
            </w:r>
          </w:p>
        </w:tc>
        <w:tc>
          <w:tcPr>
            <w:tcW w:w="489" w:type="pct"/>
            <w:tcBorders>
              <w:top w:val="nil"/>
              <w:left w:val="nil"/>
              <w:bottom w:val="nil"/>
              <w:right w:val="nil"/>
            </w:tcBorders>
            <w:shd w:val="clear" w:color="auto" w:fill="auto"/>
            <w:noWrap/>
            <w:vAlign w:val="center"/>
          </w:tcPr>
          <w:p w14:paraId="4DE2BCB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-0.036</w:t>
            </w:r>
          </w:p>
        </w:tc>
        <w:tc>
          <w:tcPr>
            <w:tcW w:w="532" w:type="pct"/>
            <w:tcBorders>
              <w:top w:val="nil"/>
              <w:left w:val="nil"/>
              <w:bottom w:val="nil"/>
              <w:right w:val="nil"/>
            </w:tcBorders>
            <w:shd w:val="clear" w:color="auto" w:fill="auto"/>
            <w:noWrap/>
            <w:vAlign w:val="center"/>
          </w:tcPr>
          <w:p w14:paraId="0E6DFA5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-0.069</w:t>
            </w:r>
          </w:p>
        </w:tc>
      </w:tr>
      <w:tr w:rsidR="008F4F29" w:rsidRPr="00357722" w14:paraId="2F090618" w14:textId="77777777" w:rsidTr="006E29B3">
        <w:trPr>
          <w:trHeight w:val="170"/>
        </w:trPr>
        <w:tc>
          <w:tcPr>
            <w:tcW w:w="817" w:type="pct"/>
            <w:tcBorders>
              <w:top w:val="nil"/>
              <w:left w:val="nil"/>
              <w:bottom w:val="nil"/>
              <w:right w:val="nil"/>
            </w:tcBorders>
            <w:shd w:val="clear" w:color="auto" w:fill="auto"/>
            <w:noWrap/>
            <w:vAlign w:val="bottom"/>
            <w:hideMark/>
          </w:tcPr>
          <w:p w14:paraId="0502AD64" w14:textId="77777777" w:rsidR="008F4F29" w:rsidRPr="00357722" w:rsidRDefault="00BF6B9D"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Lagged FD</w:t>
            </w:r>
          </w:p>
          <w:p w14:paraId="7C0B1EFD" w14:textId="51131101" w:rsidR="00BF6B9D" w:rsidRPr="00357722" w:rsidRDefault="00BF6B9D"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145B5E6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(0.24)</w:t>
            </w:r>
          </w:p>
          <w:p w14:paraId="0A131DE1" w14:textId="0E20A054" w:rsidR="00BF6B9D" w:rsidRPr="00357722" w:rsidRDefault="00BF6B9D"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0.193**</w:t>
            </w:r>
          </w:p>
          <w:p w14:paraId="51B0CBFE" w14:textId="1A6DE54E" w:rsidR="00BF6B9D" w:rsidRPr="00357722" w:rsidRDefault="00BF6B9D"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(2.32)</w:t>
            </w:r>
          </w:p>
        </w:tc>
        <w:tc>
          <w:tcPr>
            <w:tcW w:w="461" w:type="pct"/>
            <w:tcBorders>
              <w:top w:val="nil"/>
              <w:left w:val="nil"/>
              <w:bottom w:val="nil"/>
              <w:right w:val="nil"/>
            </w:tcBorders>
            <w:shd w:val="clear" w:color="auto" w:fill="auto"/>
            <w:noWrap/>
            <w:vAlign w:val="center"/>
          </w:tcPr>
          <w:p w14:paraId="1041E85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(-0.58)</w:t>
            </w:r>
          </w:p>
          <w:p w14:paraId="2340AE09" w14:textId="3C98CDDB" w:rsidR="00BF6B9D" w:rsidRPr="00357722" w:rsidRDefault="00BF6B9D"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0.222***</w:t>
            </w:r>
          </w:p>
          <w:p w14:paraId="068EA153" w14:textId="499A3966" w:rsidR="00BF6B9D" w:rsidRPr="00357722" w:rsidRDefault="00BF6B9D"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(2.57)</w:t>
            </w:r>
          </w:p>
        </w:tc>
        <w:tc>
          <w:tcPr>
            <w:tcW w:w="421" w:type="pct"/>
            <w:tcBorders>
              <w:top w:val="nil"/>
              <w:left w:val="nil"/>
              <w:bottom w:val="nil"/>
              <w:right w:val="nil"/>
            </w:tcBorders>
            <w:shd w:val="clear" w:color="auto" w:fill="auto"/>
            <w:noWrap/>
            <w:vAlign w:val="center"/>
          </w:tcPr>
          <w:p w14:paraId="1C21F78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(-0.32)</w:t>
            </w:r>
          </w:p>
          <w:p w14:paraId="06E8F837" w14:textId="3286FA8C" w:rsidR="003961A0"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0.273***</w:t>
            </w:r>
          </w:p>
          <w:p w14:paraId="28CF9CA9" w14:textId="7F4698E8" w:rsidR="00BF6B9D"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(2.71)</w:t>
            </w:r>
          </w:p>
        </w:tc>
        <w:tc>
          <w:tcPr>
            <w:tcW w:w="88" w:type="pct"/>
            <w:tcBorders>
              <w:top w:val="nil"/>
              <w:left w:val="nil"/>
              <w:bottom w:val="nil"/>
              <w:right w:val="nil"/>
            </w:tcBorders>
            <w:shd w:val="clear" w:color="auto" w:fill="auto"/>
            <w:noWrap/>
            <w:vAlign w:val="center"/>
          </w:tcPr>
          <w:p w14:paraId="3FB9B90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5E225FBE"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(1.07)</w:t>
            </w:r>
          </w:p>
          <w:p w14:paraId="52650A7F" w14:textId="09507AB0" w:rsidR="003961A0" w:rsidRPr="00357722" w:rsidRDefault="003961A0"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2.832***</w:t>
            </w:r>
          </w:p>
          <w:p w14:paraId="52FB9C14" w14:textId="6F7F6F87" w:rsidR="00BF6B9D"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(2.52)</w:t>
            </w:r>
          </w:p>
        </w:tc>
        <w:tc>
          <w:tcPr>
            <w:tcW w:w="459" w:type="pct"/>
            <w:tcBorders>
              <w:top w:val="nil"/>
              <w:left w:val="nil"/>
              <w:bottom w:val="nil"/>
              <w:right w:val="nil"/>
            </w:tcBorders>
            <w:shd w:val="clear" w:color="auto" w:fill="auto"/>
            <w:noWrap/>
            <w:vAlign w:val="center"/>
          </w:tcPr>
          <w:p w14:paraId="67BFEA77"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(0.36)</w:t>
            </w:r>
          </w:p>
          <w:p w14:paraId="06E673B9" w14:textId="51F2466A" w:rsidR="003961A0" w:rsidRPr="00357722" w:rsidRDefault="003961A0"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0.673***</w:t>
            </w:r>
          </w:p>
          <w:p w14:paraId="199F8C00" w14:textId="568431EA" w:rsidR="00BF6B9D"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(3.03)</w:t>
            </w:r>
          </w:p>
        </w:tc>
        <w:tc>
          <w:tcPr>
            <w:tcW w:w="421" w:type="pct"/>
            <w:tcBorders>
              <w:top w:val="nil"/>
              <w:left w:val="nil"/>
              <w:bottom w:val="nil"/>
              <w:right w:val="nil"/>
            </w:tcBorders>
            <w:shd w:val="clear" w:color="auto" w:fill="auto"/>
            <w:noWrap/>
            <w:vAlign w:val="center"/>
          </w:tcPr>
          <w:p w14:paraId="4892CD64"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(0.68)</w:t>
            </w:r>
          </w:p>
          <w:p w14:paraId="287BBCF2" w14:textId="282FCD9C" w:rsidR="003961A0" w:rsidRPr="00357722" w:rsidRDefault="003961A0"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0.370**</w:t>
            </w:r>
          </w:p>
          <w:p w14:paraId="18CAA296" w14:textId="4CEF91B8" w:rsidR="00BF6B9D" w:rsidRPr="00357722" w:rsidRDefault="003961A0" w:rsidP="003961A0">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(2.14)</w:t>
            </w:r>
          </w:p>
        </w:tc>
        <w:tc>
          <w:tcPr>
            <w:tcW w:w="85" w:type="pct"/>
            <w:tcBorders>
              <w:top w:val="nil"/>
              <w:left w:val="nil"/>
              <w:bottom w:val="nil"/>
              <w:right w:val="nil"/>
            </w:tcBorders>
            <w:shd w:val="clear" w:color="auto" w:fill="auto"/>
            <w:noWrap/>
            <w:vAlign w:val="center"/>
          </w:tcPr>
          <w:p w14:paraId="30CC0C0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42DE605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(-0.01)</w:t>
            </w:r>
          </w:p>
          <w:p w14:paraId="5C59A8A0" w14:textId="138DA84D" w:rsidR="003961A0"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0.673***</w:t>
            </w:r>
          </w:p>
          <w:p w14:paraId="1EF5BFC9" w14:textId="66422B8D" w:rsidR="00BF6B9D"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(3.03)</w:t>
            </w:r>
          </w:p>
        </w:tc>
        <w:tc>
          <w:tcPr>
            <w:tcW w:w="489" w:type="pct"/>
            <w:tcBorders>
              <w:top w:val="nil"/>
              <w:left w:val="nil"/>
              <w:bottom w:val="nil"/>
              <w:right w:val="nil"/>
            </w:tcBorders>
            <w:shd w:val="clear" w:color="auto" w:fill="auto"/>
            <w:noWrap/>
            <w:vAlign w:val="center"/>
          </w:tcPr>
          <w:p w14:paraId="682238A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(-0.22)</w:t>
            </w:r>
          </w:p>
          <w:p w14:paraId="28F410F1" w14:textId="363ABB67" w:rsidR="003961A0"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0.666**</w:t>
            </w:r>
          </w:p>
          <w:p w14:paraId="54CB3CB0" w14:textId="06342DB2" w:rsidR="00BF6B9D"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(2.25)</w:t>
            </w:r>
          </w:p>
        </w:tc>
        <w:tc>
          <w:tcPr>
            <w:tcW w:w="532" w:type="pct"/>
            <w:tcBorders>
              <w:top w:val="nil"/>
              <w:left w:val="nil"/>
              <w:bottom w:val="nil"/>
              <w:right w:val="nil"/>
            </w:tcBorders>
            <w:shd w:val="clear" w:color="auto" w:fill="auto"/>
            <w:noWrap/>
            <w:vAlign w:val="center"/>
          </w:tcPr>
          <w:p w14:paraId="03E52D9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(-0.56)</w:t>
            </w:r>
          </w:p>
          <w:p w14:paraId="46885717" w14:textId="4DA639CD" w:rsidR="003961A0"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0.811**</w:t>
            </w:r>
          </w:p>
          <w:p w14:paraId="13E40E65" w14:textId="7D044C67" w:rsidR="00BF6B9D" w:rsidRPr="00357722" w:rsidRDefault="003961A0"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(2.10)</w:t>
            </w:r>
          </w:p>
        </w:tc>
      </w:tr>
      <w:tr w:rsidR="008F4F29" w:rsidRPr="00357722" w14:paraId="28197BFC" w14:textId="77777777" w:rsidTr="006E29B3">
        <w:trPr>
          <w:trHeight w:val="170"/>
        </w:trPr>
        <w:tc>
          <w:tcPr>
            <w:tcW w:w="817" w:type="pct"/>
            <w:tcBorders>
              <w:top w:val="nil"/>
              <w:left w:val="nil"/>
              <w:bottom w:val="nil"/>
              <w:right w:val="nil"/>
            </w:tcBorders>
            <w:shd w:val="clear" w:color="auto" w:fill="auto"/>
            <w:noWrap/>
            <w:vAlign w:val="center"/>
            <w:hideMark/>
          </w:tcPr>
          <w:p w14:paraId="083B928D" w14:textId="1E6E32E2" w:rsidR="008F4F29" w:rsidRPr="00357722" w:rsidRDefault="008F4F29" w:rsidP="008F4F29">
            <w:pPr>
              <w:spacing w:after="0" w:line="360" w:lineRule="auto"/>
              <w:jc w:val="both"/>
              <w:rPr>
                <w:rFonts w:ascii="Times New Roman" w:eastAsia="Times New Roman" w:hAnsi="Times New Roman" w:cs="Times New Roman"/>
                <w:i/>
                <w:iCs/>
                <w:color w:val="000000"/>
                <w:sz w:val="18"/>
                <w:szCs w:val="18"/>
              </w:rPr>
            </w:pPr>
            <w:r w:rsidRPr="00357722">
              <w:rPr>
                <w:rFonts w:ascii="Times New Roman" w:eastAsia="Times New Roman" w:hAnsi="Times New Roman" w:cs="Times New Roman"/>
                <w:i/>
                <w:iCs/>
                <w:color w:val="000000"/>
                <w:sz w:val="18"/>
                <w:szCs w:val="18"/>
              </w:rPr>
              <w:t>Constant</w:t>
            </w:r>
          </w:p>
        </w:tc>
        <w:tc>
          <w:tcPr>
            <w:tcW w:w="409" w:type="pct"/>
            <w:tcBorders>
              <w:top w:val="nil"/>
              <w:left w:val="nil"/>
              <w:bottom w:val="nil"/>
              <w:right w:val="nil"/>
            </w:tcBorders>
            <w:shd w:val="clear" w:color="auto" w:fill="auto"/>
            <w:noWrap/>
            <w:vAlign w:val="center"/>
          </w:tcPr>
          <w:p w14:paraId="7071D7C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0.002*</w:t>
            </w:r>
          </w:p>
        </w:tc>
        <w:tc>
          <w:tcPr>
            <w:tcW w:w="461" w:type="pct"/>
            <w:tcBorders>
              <w:top w:val="nil"/>
              <w:left w:val="nil"/>
              <w:bottom w:val="nil"/>
              <w:right w:val="nil"/>
            </w:tcBorders>
            <w:shd w:val="clear" w:color="auto" w:fill="auto"/>
            <w:noWrap/>
            <w:vAlign w:val="center"/>
          </w:tcPr>
          <w:p w14:paraId="5A70D69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0.001</w:t>
            </w:r>
          </w:p>
        </w:tc>
        <w:tc>
          <w:tcPr>
            <w:tcW w:w="421" w:type="pct"/>
            <w:tcBorders>
              <w:top w:val="nil"/>
              <w:left w:val="nil"/>
              <w:bottom w:val="nil"/>
              <w:right w:val="nil"/>
            </w:tcBorders>
            <w:shd w:val="clear" w:color="auto" w:fill="auto"/>
            <w:noWrap/>
            <w:vAlign w:val="center"/>
          </w:tcPr>
          <w:p w14:paraId="35E580A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4.850***</w:t>
            </w:r>
          </w:p>
        </w:tc>
        <w:tc>
          <w:tcPr>
            <w:tcW w:w="88" w:type="pct"/>
            <w:tcBorders>
              <w:top w:val="nil"/>
              <w:left w:val="nil"/>
              <w:bottom w:val="nil"/>
              <w:right w:val="nil"/>
            </w:tcBorders>
            <w:shd w:val="clear" w:color="auto" w:fill="auto"/>
            <w:noWrap/>
            <w:vAlign w:val="center"/>
          </w:tcPr>
          <w:p w14:paraId="40845A2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308491AB" w14:textId="68963AC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-0.028</w:t>
            </w:r>
          </w:p>
        </w:tc>
        <w:tc>
          <w:tcPr>
            <w:tcW w:w="459" w:type="pct"/>
            <w:tcBorders>
              <w:top w:val="nil"/>
              <w:left w:val="nil"/>
              <w:bottom w:val="nil"/>
              <w:right w:val="nil"/>
            </w:tcBorders>
            <w:shd w:val="clear" w:color="auto" w:fill="auto"/>
            <w:noWrap/>
            <w:vAlign w:val="center"/>
          </w:tcPr>
          <w:p w14:paraId="68D529BB" w14:textId="66599A8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0.015**</w:t>
            </w:r>
          </w:p>
        </w:tc>
        <w:tc>
          <w:tcPr>
            <w:tcW w:w="421" w:type="pct"/>
            <w:tcBorders>
              <w:top w:val="nil"/>
              <w:left w:val="nil"/>
              <w:bottom w:val="nil"/>
              <w:right w:val="nil"/>
            </w:tcBorders>
            <w:shd w:val="clear" w:color="auto" w:fill="auto"/>
            <w:noWrap/>
            <w:vAlign w:val="center"/>
          </w:tcPr>
          <w:p w14:paraId="54AED841" w14:textId="5C617581"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0.012*</w:t>
            </w:r>
          </w:p>
        </w:tc>
        <w:tc>
          <w:tcPr>
            <w:tcW w:w="85" w:type="pct"/>
            <w:tcBorders>
              <w:top w:val="nil"/>
              <w:left w:val="nil"/>
              <w:bottom w:val="nil"/>
              <w:right w:val="nil"/>
            </w:tcBorders>
            <w:shd w:val="clear" w:color="auto" w:fill="auto"/>
            <w:noWrap/>
            <w:vAlign w:val="center"/>
          </w:tcPr>
          <w:p w14:paraId="52AB0FFA"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0790C5E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12.230***</w:t>
            </w:r>
          </w:p>
        </w:tc>
        <w:tc>
          <w:tcPr>
            <w:tcW w:w="489" w:type="pct"/>
            <w:tcBorders>
              <w:top w:val="nil"/>
              <w:left w:val="nil"/>
              <w:bottom w:val="nil"/>
              <w:right w:val="nil"/>
            </w:tcBorders>
            <w:shd w:val="clear" w:color="auto" w:fill="auto"/>
            <w:noWrap/>
            <w:vAlign w:val="center"/>
          </w:tcPr>
          <w:p w14:paraId="5805382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6.744***</w:t>
            </w:r>
          </w:p>
        </w:tc>
        <w:tc>
          <w:tcPr>
            <w:tcW w:w="532" w:type="pct"/>
            <w:tcBorders>
              <w:top w:val="nil"/>
              <w:left w:val="nil"/>
              <w:bottom w:val="nil"/>
              <w:right w:val="nil"/>
            </w:tcBorders>
            <w:shd w:val="clear" w:color="auto" w:fill="auto"/>
            <w:noWrap/>
            <w:vAlign w:val="center"/>
          </w:tcPr>
          <w:p w14:paraId="5B495A49"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0.000</w:t>
            </w:r>
          </w:p>
        </w:tc>
      </w:tr>
      <w:tr w:rsidR="008F4F29" w:rsidRPr="00357722" w14:paraId="466A79EF" w14:textId="77777777" w:rsidTr="006E29B3">
        <w:trPr>
          <w:trHeight w:val="170"/>
        </w:trPr>
        <w:tc>
          <w:tcPr>
            <w:tcW w:w="817" w:type="pct"/>
            <w:tcBorders>
              <w:top w:val="nil"/>
              <w:left w:val="nil"/>
              <w:bottom w:val="nil"/>
              <w:right w:val="nil"/>
            </w:tcBorders>
            <w:shd w:val="clear" w:color="auto" w:fill="auto"/>
            <w:noWrap/>
            <w:vAlign w:val="bottom"/>
            <w:hideMark/>
          </w:tcPr>
          <w:p w14:paraId="74B647B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9" w:type="pct"/>
            <w:tcBorders>
              <w:top w:val="nil"/>
              <w:left w:val="nil"/>
              <w:bottom w:val="nil"/>
              <w:right w:val="nil"/>
            </w:tcBorders>
            <w:shd w:val="clear" w:color="auto" w:fill="auto"/>
            <w:noWrap/>
            <w:vAlign w:val="center"/>
          </w:tcPr>
          <w:p w14:paraId="0FEB0BA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(2.02)</w:t>
            </w:r>
          </w:p>
        </w:tc>
        <w:tc>
          <w:tcPr>
            <w:tcW w:w="461" w:type="pct"/>
            <w:tcBorders>
              <w:top w:val="nil"/>
              <w:left w:val="nil"/>
              <w:bottom w:val="nil"/>
              <w:right w:val="nil"/>
            </w:tcBorders>
            <w:shd w:val="clear" w:color="auto" w:fill="auto"/>
            <w:noWrap/>
            <w:vAlign w:val="center"/>
          </w:tcPr>
          <w:p w14:paraId="472AF86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(1.27)</w:t>
            </w:r>
          </w:p>
        </w:tc>
        <w:tc>
          <w:tcPr>
            <w:tcW w:w="421" w:type="pct"/>
            <w:tcBorders>
              <w:top w:val="nil"/>
              <w:left w:val="nil"/>
              <w:bottom w:val="nil"/>
              <w:right w:val="nil"/>
            </w:tcBorders>
            <w:shd w:val="clear" w:color="auto" w:fill="auto"/>
            <w:noWrap/>
            <w:vAlign w:val="center"/>
          </w:tcPr>
          <w:p w14:paraId="5687A4F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(8.98)</w:t>
            </w:r>
          </w:p>
        </w:tc>
        <w:tc>
          <w:tcPr>
            <w:tcW w:w="88" w:type="pct"/>
            <w:tcBorders>
              <w:top w:val="nil"/>
              <w:left w:val="nil"/>
              <w:bottom w:val="nil"/>
              <w:right w:val="nil"/>
            </w:tcBorders>
            <w:shd w:val="clear" w:color="auto" w:fill="auto"/>
            <w:noWrap/>
            <w:vAlign w:val="center"/>
          </w:tcPr>
          <w:p w14:paraId="2CD057A5"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4FBF2C75" w14:textId="21E5B1F4"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(-1.58)</w:t>
            </w:r>
          </w:p>
        </w:tc>
        <w:tc>
          <w:tcPr>
            <w:tcW w:w="459" w:type="pct"/>
            <w:tcBorders>
              <w:top w:val="nil"/>
              <w:left w:val="nil"/>
              <w:bottom w:val="nil"/>
              <w:right w:val="nil"/>
            </w:tcBorders>
            <w:shd w:val="clear" w:color="auto" w:fill="auto"/>
            <w:noWrap/>
            <w:vAlign w:val="center"/>
          </w:tcPr>
          <w:p w14:paraId="74196456" w14:textId="03E89A3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(2.17)</w:t>
            </w:r>
          </w:p>
        </w:tc>
        <w:tc>
          <w:tcPr>
            <w:tcW w:w="421" w:type="pct"/>
            <w:tcBorders>
              <w:top w:val="nil"/>
              <w:left w:val="nil"/>
              <w:bottom w:val="nil"/>
              <w:right w:val="nil"/>
            </w:tcBorders>
            <w:shd w:val="clear" w:color="auto" w:fill="auto"/>
            <w:noWrap/>
            <w:vAlign w:val="center"/>
          </w:tcPr>
          <w:p w14:paraId="0D2B1D4C" w14:textId="0D6FCDED"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(1.76)</w:t>
            </w:r>
          </w:p>
        </w:tc>
        <w:tc>
          <w:tcPr>
            <w:tcW w:w="85" w:type="pct"/>
            <w:tcBorders>
              <w:top w:val="nil"/>
              <w:left w:val="nil"/>
              <w:bottom w:val="nil"/>
              <w:right w:val="nil"/>
            </w:tcBorders>
            <w:shd w:val="clear" w:color="auto" w:fill="auto"/>
            <w:noWrap/>
            <w:vAlign w:val="center"/>
          </w:tcPr>
          <w:p w14:paraId="4A0FAF5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56C7A34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(5.21)</w:t>
            </w:r>
          </w:p>
        </w:tc>
        <w:tc>
          <w:tcPr>
            <w:tcW w:w="489" w:type="pct"/>
            <w:tcBorders>
              <w:top w:val="nil"/>
              <w:left w:val="nil"/>
              <w:bottom w:val="nil"/>
              <w:right w:val="nil"/>
            </w:tcBorders>
            <w:shd w:val="clear" w:color="auto" w:fill="auto"/>
            <w:noWrap/>
            <w:vAlign w:val="center"/>
          </w:tcPr>
          <w:p w14:paraId="43CFDDD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(3.65)</w:t>
            </w:r>
          </w:p>
        </w:tc>
        <w:tc>
          <w:tcPr>
            <w:tcW w:w="532" w:type="pct"/>
            <w:tcBorders>
              <w:top w:val="nil"/>
              <w:left w:val="nil"/>
              <w:bottom w:val="nil"/>
              <w:right w:val="nil"/>
            </w:tcBorders>
            <w:shd w:val="clear" w:color="auto" w:fill="auto"/>
            <w:noWrap/>
            <w:vAlign w:val="center"/>
          </w:tcPr>
          <w:p w14:paraId="187E756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(0.84)</w:t>
            </w:r>
          </w:p>
        </w:tc>
      </w:tr>
      <w:tr w:rsidR="00BD65EB" w:rsidRPr="00357722" w14:paraId="7D471EF2" w14:textId="77777777" w:rsidTr="006E29B3">
        <w:trPr>
          <w:trHeight w:val="170"/>
        </w:trPr>
        <w:tc>
          <w:tcPr>
            <w:tcW w:w="817" w:type="pct"/>
            <w:tcBorders>
              <w:top w:val="single" w:sz="4" w:space="0" w:color="auto"/>
              <w:left w:val="nil"/>
              <w:bottom w:val="nil"/>
              <w:right w:val="nil"/>
            </w:tcBorders>
            <w:shd w:val="clear" w:color="auto" w:fill="auto"/>
            <w:noWrap/>
            <w:vAlign w:val="bottom"/>
            <w:hideMark/>
          </w:tcPr>
          <w:p w14:paraId="7DD4A248"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No of observation</w:t>
            </w:r>
          </w:p>
        </w:tc>
        <w:tc>
          <w:tcPr>
            <w:tcW w:w="409" w:type="pct"/>
            <w:tcBorders>
              <w:top w:val="single" w:sz="4" w:space="0" w:color="auto"/>
              <w:left w:val="nil"/>
              <w:bottom w:val="nil"/>
              <w:right w:val="nil"/>
            </w:tcBorders>
            <w:shd w:val="clear" w:color="auto" w:fill="auto"/>
            <w:noWrap/>
            <w:vAlign w:val="center"/>
          </w:tcPr>
          <w:p w14:paraId="6162A9E7"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537</w:t>
            </w:r>
          </w:p>
        </w:tc>
        <w:tc>
          <w:tcPr>
            <w:tcW w:w="461" w:type="pct"/>
            <w:tcBorders>
              <w:top w:val="single" w:sz="4" w:space="0" w:color="auto"/>
              <w:left w:val="nil"/>
              <w:bottom w:val="nil"/>
              <w:right w:val="nil"/>
            </w:tcBorders>
            <w:shd w:val="clear" w:color="auto" w:fill="auto"/>
            <w:noWrap/>
            <w:vAlign w:val="center"/>
          </w:tcPr>
          <w:p w14:paraId="211CE59A"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554</w:t>
            </w:r>
          </w:p>
        </w:tc>
        <w:tc>
          <w:tcPr>
            <w:tcW w:w="421" w:type="pct"/>
            <w:tcBorders>
              <w:top w:val="single" w:sz="4" w:space="0" w:color="auto"/>
              <w:left w:val="nil"/>
              <w:bottom w:val="nil"/>
              <w:right w:val="nil"/>
            </w:tcBorders>
            <w:shd w:val="clear" w:color="auto" w:fill="auto"/>
            <w:noWrap/>
            <w:vAlign w:val="center"/>
          </w:tcPr>
          <w:p w14:paraId="6CA100E3"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554</w:t>
            </w:r>
          </w:p>
        </w:tc>
        <w:tc>
          <w:tcPr>
            <w:tcW w:w="88" w:type="pct"/>
            <w:tcBorders>
              <w:top w:val="single" w:sz="4" w:space="0" w:color="auto"/>
              <w:left w:val="nil"/>
              <w:bottom w:val="nil"/>
              <w:right w:val="nil"/>
            </w:tcBorders>
            <w:shd w:val="clear" w:color="auto" w:fill="auto"/>
            <w:noWrap/>
            <w:vAlign w:val="center"/>
          </w:tcPr>
          <w:p w14:paraId="77ABEA4A"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p>
        </w:tc>
        <w:tc>
          <w:tcPr>
            <w:tcW w:w="407" w:type="pct"/>
            <w:tcBorders>
              <w:top w:val="single" w:sz="4" w:space="0" w:color="auto"/>
              <w:left w:val="nil"/>
              <w:bottom w:val="nil"/>
              <w:right w:val="nil"/>
            </w:tcBorders>
            <w:shd w:val="clear" w:color="auto" w:fill="auto"/>
            <w:noWrap/>
            <w:vAlign w:val="center"/>
          </w:tcPr>
          <w:p w14:paraId="19481365" w14:textId="153BB034"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537</w:t>
            </w:r>
          </w:p>
        </w:tc>
        <w:tc>
          <w:tcPr>
            <w:tcW w:w="459" w:type="pct"/>
            <w:tcBorders>
              <w:top w:val="single" w:sz="4" w:space="0" w:color="auto"/>
              <w:left w:val="nil"/>
              <w:bottom w:val="nil"/>
              <w:right w:val="nil"/>
            </w:tcBorders>
            <w:shd w:val="clear" w:color="auto" w:fill="auto"/>
            <w:noWrap/>
            <w:vAlign w:val="center"/>
          </w:tcPr>
          <w:p w14:paraId="7D1CBC90" w14:textId="2DE369B9"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554</w:t>
            </w:r>
          </w:p>
        </w:tc>
        <w:tc>
          <w:tcPr>
            <w:tcW w:w="421" w:type="pct"/>
            <w:tcBorders>
              <w:top w:val="single" w:sz="4" w:space="0" w:color="auto"/>
              <w:left w:val="nil"/>
              <w:bottom w:val="nil"/>
              <w:right w:val="nil"/>
            </w:tcBorders>
            <w:shd w:val="clear" w:color="auto" w:fill="auto"/>
            <w:noWrap/>
            <w:vAlign w:val="center"/>
          </w:tcPr>
          <w:p w14:paraId="527AED54" w14:textId="085BA5D8"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554</w:t>
            </w:r>
          </w:p>
        </w:tc>
        <w:tc>
          <w:tcPr>
            <w:tcW w:w="85" w:type="pct"/>
            <w:tcBorders>
              <w:top w:val="single" w:sz="4" w:space="0" w:color="auto"/>
              <w:left w:val="nil"/>
              <w:bottom w:val="nil"/>
              <w:right w:val="nil"/>
            </w:tcBorders>
            <w:shd w:val="clear" w:color="auto" w:fill="auto"/>
            <w:noWrap/>
            <w:vAlign w:val="center"/>
          </w:tcPr>
          <w:p w14:paraId="50EF83A9"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p>
        </w:tc>
        <w:tc>
          <w:tcPr>
            <w:tcW w:w="411" w:type="pct"/>
            <w:tcBorders>
              <w:top w:val="single" w:sz="4" w:space="0" w:color="auto"/>
              <w:left w:val="nil"/>
              <w:bottom w:val="nil"/>
              <w:right w:val="nil"/>
            </w:tcBorders>
            <w:shd w:val="clear" w:color="auto" w:fill="auto"/>
            <w:noWrap/>
            <w:vAlign w:val="center"/>
          </w:tcPr>
          <w:p w14:paraId="0F9AC390"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492</w:t>
            </w:r>
          </w:p>
        </w:tc>
        <w:tc>
          <w:tcPr>
            <w:tcW w:w="489" w:type="pct"/>
            <w:tcBorders>
              <w:top w:val="single" w:sz="4" w:space="0" w:color="auto"/>
              <w:left w:val="nil"/>
              <w:bottom w:val="nil"/>
              <w:right w:val="nil"/>
            </w:tcBorders>
            <w:shd w:val="clear" w:color="auto" w:fill="auto"/>
            <w:noWrap/>
            <w:vAlign w:val="center"/>
          </w:tcPr>
          <w:p w14:paraId="3F4D24A2"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501</w:t>
            </w:r>
          </w:p>
        </w:tc>
        <w:tc>
          <w:tcPr>
            <w:tcW w:w="532" w:type="pct"/>
            <w:tcBorders>
              <w:top w:val="single" w:sz="4" w:space="0" w:color="auto"/>
              <w:left w:val="nil"/>
              <w:bottom w:val="nil"/>
              <w:right w:val="nil"/>
            </w:tcBorders>
            <w:shd w:val="clear" w:color="auto" w:fill="auto"/>
            <w:noWrap/>
            <w:vAlign w:val="center"/>
          </w:tcPr>
          <w:p w14:paraId="0D8332F8" w14:textId="77777777" w:rsidR="00BD65EB" w:rsidRPr="00357722" w:rsidRDefault="00BD65EB" w:rsidP="00BD65EB">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501</w:t>
            </w:r>
          </w:p>
        </w:tc>
      </w:tr>
      <w:tr w:rsidR="008F4F29" w:rsidRPr="00357722" w14:paraId="071BFE83" w14:textId="77777777" w:rsidTr="006E29B3">
        <w:trPr>
          <w:trHeight w:val="170"/>
        </w:trPr>
        <w:tc>
          <w:tcPr>
            <w:tcW w:w="817" w:type="pct"/>
            <w:tcBorders>
              <w:top w:val="nil"/>
              <w:left w:val="nil"/>
              <w:bottom w:val="nil"/>
              <w:right w:val="nil"/>
            </w:tcBorders>
            <w:shd w:val="clear" w:color="auto" w:fill="auto"/>
            <w:noWrap/>
            <w:vAlign w:val="bottom"/>
            <w:hideMark/>
          </w:tcPr>
          <w:p w14:paraId="2C7B155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AR1 (P-value)</w:t>
            </w:r>
          </w:p>
        </w:tc>
        <w:tc>
          <w:tcPr>
            <w:tcW w:w="409" w:type="pct"/>
            <w:tcBorders>
              <w:top w:val="nil"/>
              <w:left w:val="nil"/>
              <w:bottom w:val="nil"/>
              <w:right w:val="nil"/>
            </w:tcBorders>
            <w:shd w:val="clear" w:color="auto" w:fill="auto"/>
            <w:noWrap/>
            <w:vAlign w:val="center"/>
          </w:tcPr>
          <w:p w14:paraId="08EF568C"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w:t>
            </w:r>
          </w:p>
        </w:tc>
        <w:tc>
          <w:tcPr>
            <w:tcW w:w="461" w:type="pct"/>
            <w:tcBorders>
              <w:top w:val="nil"/>
              <w:left w:val="nil"/>
              <w:bottom w:val="nil"/>
              <w:right w:val="nil"/>
            </w:tcBorders>
            <w:shd w:val="clear" w:color="auto" w:fill="auto"/>
            <w:noWrap/>
            <w:vAlign w:val="center"/>
          </w:tcPr>
          <w:p w14:paraId="60D7F07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0.04</w:t>
            </w:r>
          </w:p>
        </w:tc>
        <w:tc>
          <w:tcPr>
            <w:tcW w:w="421" w:type="pct"/>
            <w:tcBorders>
              <w:top w:val="nil"/>
              <w:left w:val="nil"/>
              <w:bottom w:val="nil"/>
              <w:right w:val="nil"/>
            </w:tcBorders>
            <w:shd w:val="clear" w:color="auto" w:fill="auto"/>
            <w:noWrap/>
            <w:vAlign w:val="center"/>
          </w:tcPr>
          <w:p w14:paraId="573089C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0.03</w:t>
            </w:r>
          </w:p>
        </w:tc>
        <w:tc>
          <w:tcPr>
            <w:tcW w:w="88" w:type="pct"/>
            <w:tcBorders>
              <w:top w:val="nil"/>
              <w:left w:val="nil"/>
              <w:bottom w:val="nil"/>
              <w:right w:val="nil"/>
            </w:tcBorders>
            <w:shd w:val="clear" w:color="auto" w:fill="auto"/>
            <w:noWrap/>
            <w:vAlign w:val="center"/>
          </w:tcPr>
          <w:p w14:paraId="7C235A6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734F446E" w14:textId="3EF5F575"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0.09</w:t>
            </w:r>
          </w:p>
        </w:tc>
        <w:tc>
          <w:tcPr>
            <w:tcW w:w="459" w:type="pct"/>
            <w:tcBorders>
              <w:top w:val="nil"/>
              <w:left w:val="nil"/>
              <w:bottom w:val="nil"/>
              <w:right w:val="nil"/>
            </w:tcBorders>
            <w:shd w:val="clear" w:color="auto" w:fill="auto"/>
            <w:noWrap/>
            <w:vAlign w:val="center"/>
          </w:tcPr>
          <w:p w14:paraId="43012047" w14:textId="7CD666DC"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0.01</w:t>
            </w:r>
          </w:p>
        </w:tc>
        <w:tc>
          <w:tcPr>
            <w:tcW w:w="421" w:type="pct"/>
            <w:tcBorders>
              <w:top w:val="nil"/>
              <w:left w:val="nil"/>
              <w:bottom w:val="nil"/>
              <w:right w:val="nil"/>
            </w:tcBorders>
            <w:shd w:val="clear" w:color="auto" w:fill="auto"/>
            <w:noWrap/>
            <w:vAlign w:val="center"/>
          </w:tcPr>
          <w:p w14:paraId="1D40286D" w14:textId="48351290"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0.03</w:t>
            </w:r>
          </w:p>
        </w:tc>
        <w:tc>
          <w:tcPr>
            <w:tcW w:w="85" w:type="pct"/>
            <w:tcBorders>
              <w:top w:val="nil"/>
              <w:left w:val="nil"/>
              <w:bottom w:val="nil"/>
              <w:right w:val="nil"/>
            </w:tcBorders>
            <w:shd w:val="clear" w:color="auto" w:fill="auto"/>
            <w:noWrap/>
            <w:vAlign w:val="center"/>
          </w:tcPr>
          <w:p w14:paraId="415B8EE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7085FB5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0.03</w:t>
            </w:r>
          </w:p>
        </w:tc>
        <w:tc>
          <w:tcPr>
            <w:tcW w:w="489" w:type="pct"/>
            <w:tcBorders>
              <w:top w:val="nil"/>
              <w:left w:val="nil"/>
              <w:bottom w:val="nil"/>
              <w:right w:val="nil"/>
            </w:tcBorders>
            <w:shd w:val="clear" w:color="auto" w:fill="auto"/>
            <w:noWrap/>
            <w:vAlign w:val="center"/>
          </w:tcPr>
          <w:p w14:paraId="5F077CF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0.07</w:t>
            </w:r>
          </w:p>
        </w:tc>
        <w:tc>
          <w:tcPr>
            <w:tcW w:w="532" w:type="pct"/>
            <w:tcBorders>
              <w:top w:val="nil"/>
              <w:left w:val="nil"/>
              <w:bottom w:val="nil"/>
              <w:right w:val="nil"/>
            </w:tcBorders>
            <w:shd w:val="clear" w:color="auto" w:fill="auto"/>
            <w:noWrap/>
            <w:vAlign w:val="center"/>
          </w:tcPr>
          <w:p w14:paraId="3D51D31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0.08</w:t>
            </w:r>
          </w:p>
        </w:tc>
      </w:tr>
      <w:tr w:rsidR="008F4F29" w:rsidRPr="00357722" w14:paraId="189E5A7D" w14:textId="77777777" w:rsidTr="006E29B3">
        <w:trPr>
          <w:trHeight w:val="170"/>
        </w:trPr>
        <w:tc>
          <w:tcPr>
            <w:tcW w:w="817" w:type="pct"/>
            <w:tcBorders>
              <w:top w:val="nil"/>
              <w:left w:val="nil"/>
              <w:bottom w:val="nil"/>
              <w:right w:val="nil"/>
            </w:tcBorders>
            <w:shd w:val="clear" w:color="auto" w:fill="auto"/>
            <w:noWrap/>
            <w:vAlign w:val="bottom"/>
            <w:hideMark/>
          </w:tcPr>
          <w:p w14:paraId="57FFA34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AR2 (P-value)</w:t>
            </w:r>
          </w:p>
        </w:tc>
        <w:tc>
          <w:tcPr>
            <w:tcW w:w="409" w:type="pct"/>
            <w:tcBorders>
              <w:top w:val="nil"/>
              <w:left w:val="nil"/>
              <w:bottom w:val="nil"/>
              <w:right w:val="nil"/>
            </w:tcBorders>
            <w:shd w:val="clear" w:color="auto" w:fill="auto"/>
            <w:noWrap/>
            <w:vAlign w:val="center"/>
          </w:tcPr>
          <w:p w14:paraId="0528DEA0"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0.52</w:t>
            </w:r>
          </w:p>
        </w:tc>
        <w:tc>
          <w:tcPr>
            <w:tcW w:w="461" w:type="pct"/>
            <w:tcBorders>
              <w:top w:val="nil"/>
              <w:left w:val="nil"/>
              <w:bottom w:val="nil"/>
              <w:right w:val="nil"/>
            </w:tcBorders>
            <w:shd w:val="clear" w:color="auto" w:fill="auto"/>
            <w:noWrap/>
            <w:vAlign w:val="center"/>
          </w:tcPr>
          <w:p w14:paraId="0BF15A33"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0.61</w:t>
            </w:r>
          </w:p>
        </w:tc>
        <w:tc>
          <w:tcPr>
            <w:tcW w:w="421" w:type="pct"/>
            <w:tcBorders>
              <w:top w:val="nil"/>
              <w:left w:val="nil"/>
              <w:bottom w:val="nil"/>
              <w:right w:val="nil"/>
            </w:tcBorders>
            <w:shd w:val="clear" w:color="auto" w:fill="auto"/>
            <w:noWrap/>
            <w:vAlign w:val="center"/>
          </w:tcPr>
          <w:p w14:paraId="451E013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0.28</w:t>
            </w:r>
          </w:p>
        </w:tc>
        <w:tc>
          <w:tcPr>
            <w:tcW w:w="88" w:type="pct"/>
            <w:tcBorders>
              <w:top w:val="nil"/>
              <w:left w:val="nil"/>
              <w:bottom w:val="nil"/>
              <w:right w:val="nil"/>
            </w:tcBorders>
            <w:shd w:val="clear" w:color="auto" w:fill="auto"/>
            <w:noWrap/>
            <w:vAlign w:val="center"/>
          </w:tcPr>
          <w:p w14:paraId="2B22492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5D5DBF73" w14:textId="3715F5E8"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0.14</w:t>
            </w:r>
          </w:p>
        </w:tc>
        <w:tc>
          <w:tcPr>
            <w:tcW w:w="459" w:type="pct"/>
            <w:tcBorders>
              <w:top w:val="nil"/>
              <w:left w:val="nil"/>
              <w:bottom w:val="nil"/>
              <w:right w:val="nil"/>
            </w:tcBorders>
            <w:shd w:val="clear" w:color="auto" w:fill="auto"/>
            <w:noWrap/>
            <w:vAlign w:val="center"/>
          </w:tcPr>
          <w:p w14:paraId="70868DE5" w14:textId="608785B8"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0.34</w:t>
            </w:r>
          </w:p>
        </w:tc>
        <w:tc>
          <w:tcPr>
            <w:tcW w:w="421" w:type="pct"/>
            <w:tcBorders>
              <w:top w:val="nil"/>
              <w:left w:val="nil"/>
              <w:bottom w:val="nil"/>
              <w:right w:val="nil"/>
            </w:tcBorders>
            <w:shd w:val="clear" w:color="auto" w:fill="auto"/>
            <w:noWrap/>
            <w:vAlign w:val="center"/>
          </w:tcPr>
          <w:p w14:paraId="74FE7257" w14:textId="4A21C5C6"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0.34</w:t>
            </w:r>
          </w:p>
        </w:tc>
        <w:tc>
          <w:tcPr>
            <w:tcW w:w="85" w:type="pct"/>
            <w:tcBorders>
              <w:top w:val="nil"/>
              <w:left w:val="nil"/>
              <w:bottom w:val="nil"/>
              <w:right w:val="nil"/>
            </w:tcBorders>
            <w:shd w:val="clear" w:color="auto" w:fill="auto"/>
            <w:noWrap/>
            <w:vAlign w:val="center"/>
          </w:tcPr>
          <w:p w14:paraId="60756006"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11F1C01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0.84</w:t>
            </w:r>
          </w:p>
        </w:tc>
        <w:tc>
          <w:tcPr>
            <w:tcW w:w="489" w:type="pct"/>
            <w:tcBorders>
              <w:top w:val="nil"/>
              <w:left w:val="nil"/>
              <w:bottom w:val="nil"/>
              <w:right w:val="nil"/>
            </w:tcBorders>
            <w:shd w:val="clear" w:color="auto" w:fill="auto"/>
            <w:noWrap/>
            <w:vAlign w:val="center"/>
          </w:tcPr>
          <w:p w14:paraId="0262FA2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0.30</w:t>
            </w:r>
          </w:p>
        </w:tc>
        <w:tc>
          <w:tcPr>
            <w:tcW w:w="532" w:type="pct"/>
            <w:tcBorders>
              <w:top w:val="nil"/>
              <w:left w:val="nil"/>
              <w:bottom w:val="nil"/>
              <w:right w:val="nil"/>
            </w:tcBorders>
            <w:shd w:val="clear" w:color="auto" w:fill="auto"/>
            <w:noWrap/>
            <w:vAlign w:val="center"/>
          </w:tcPr>
          <w:p w14:paraId="2A22EB0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0.61</w:t>
            </w:r>
          </w:p>
        </w:tc>
      </w:tr>
      <w:tr w:rsidR="008F4F29" w:rsidRPr="00357722" w14:paraId="1D846755" w14:textId="77777777" w:rsidTr="006E29B3">
        <w:trPr>
          <w:trHeight w:val="170"/>
        </w:trPr>
        <w:tc>
          <w:tcPr>
            <w:tcW w:w="817" w:type="pct"/>
            <w:tcBorders>
              <w:top w:val="nil"/>
              <w:left w:val="nil"/>
              <w:bottom w:val="nil"/>
              <w:right w:val="nil"/>
            </w:tcBorders>
            <w:shd w:val="clear" w:color="auto" w:fill="auto"/>
            <w:noWrap/>
            <w:vAlign w:val="bottom"/>
          </w:tcPr>
          <w:p w14:paraId="0E021EB7"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Hansen J (P-value)</w:t>
            </w:r>
          </w:p>
        </w:tc>
        <w:tc>
          <w:tcPr>
            <w:tcW w:w="409" w:type="pct"/>
            <w:tcBorders>
              <w:top w:val="nil"/>
              <w:left w:val="nil"/>
              <w:bottom w:val="nil"/>
              <w:right w:val="nil"/>
            </w:tcBorders>
            <w:shd w:val="clear" w:color="auto" w:fill="auto"/>
            <w:noWrap/>
            <w:vAlign w:val="center"/>
          </w:tcPr>
          <w:p w14:paraId="026119E4"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0.34</w:t>
            </w:r>
          </w:p>
        </w:tc>
        <w:tc>
          <w:tcPr>
            <w:tcW w:w="461" w:type="pct"/>
            <w:tcBorders>
              <w:top w:val="nil"/>
              <w:left w:val="nil"/>
              <w:bottom w:val="nil"/>
              <w:right w:val="nil"/>
            </w:tcBorders>
            <w:shd w:val="clear" w:color="auto" w:fill="auto"/>
            <w:noWrap/>
            <w:vAlign w:val="center"/>
          </w:tcPr>
          <w:p w14:paraId="622AF746"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0.24</w:t>
            </w:r>
          </w:p>
        </w:tc>
        <w:tc>
          <w:tcPr>
            <w:tcW w:w="421" w:type="pct"/>
            <w:tcBorders>
              <w:top w:val="nil"/>
              <w:left w:val="nil"/>
              <w:bottom w:val="nil"/>
              <w:right w:val="nil"/>
            </w:tcBorders>
            <w:shd w:val="clear" w:color="auto" w:fill="auto"/>
            <w:noWrap/>
            <w:vAlign w:val="center"/>
          </w:tcPr>
          <w:p w14:paraId="255D2228"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0.12</w:t>
            </w:r>
          </w:p>
        </w:tc>
        <w:tc>
          <w:tcPr>
            <w:tcW w:w="88" w:type="pct"/>
            <w:tcBorders>
              <w:top w:val="nil"/>
              <w:left w:val="nil"/>
              <w:bottom w:val="nil"/>
              <w:right w:val="nil"/>
            </w:tcBorders>
            <w:shd w:val="clear" w:color="auto" w:fill="auto"/>
            <w:noWrap/>
            <w:vAlign w:val="center"/>
          </w:tcPr>
          <w:p w14:paraId="00F42E54"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nil"/>
              <w:right w:val="nil"/>
            </w:tcBorders>
            <w:shd w:val="clear" w:color="auto" w:fill="auto"/>
            <w:noWrap/>
            <w:vAlign w:val="center"/>
          </w:tcPr>
          <w:p w14:paraId="32A1FF2B" w14:textId="0CAD2648"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0.15</w:t>
            </w:r>
          </w:p>
        </w:tc>
        <w:tc>
          <w:tcPr>
            <w:tcW w:w="459" w:type="pct"/>
            <w:tcBorders>
              <w:top w:val="nil"/>
              <w:left w:val="nil"/>
              <w:bottom w:val="nil"/>
              <w:right w:val="nil"/>
            </w:tcBorders>
            <w:shd w:val="clear" w:color="auto" w:fill="auto"/>
            <w:noWrap/>
            <w:vAlign w:val="center"/>
          </w:tcPr>
          <w:p w14:paraId="0BC6E65F" w14:textId="69A25A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0.11</w:t>
            </w:r>
          </w:p>
        </w:tc>
        <w:tc>
          <w:tcPr>
            <w:tcW w:w="421" w:type="pct"/>
            <w:tcBorders>
              <w:top w:val="nil"/>
              <w:left w:val="nil"/>
              <w:bottom w:val="nil"/>
              <w:right w:val="nil"/>
            </w:tcBorders>
            <w:shd w:val="clear" w:color="auto" w:fill="auto"/>
            <w:noWrap/>
            <w:vAlign w:val="center"/>
          </w:tcPr>
          <w:p w14:paraId="68809001" w14:textId="14757DEB"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0.38</w:t>
            </w:r>
          </w:p>
        </w:tc>
        <w:tc>
          <w:tcPr>
            <w:tcW w:w="85" w:type="pct"/>
            <w:tcBorders>
              <w:top w:val="nil"/>
              <w:left w:val="nil"/>
              <w:bottom w:val="nil"/>
              <w:right w:val="nil"/>
            </w:tcBorders>
            <w:shd w:val="clear" w:color="auto" w:fill="auto"/>
            <w:noWrap/>
            <w:vAlign w:val="center"/>
          </w:tcPr>
          <w:p w14:paraId="2721757B"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nil"/>
              <w:right w:val="nil"/>
            </w:tcBorders>
            <w:shd w:val="clear" w:color="auto" w:fill="auto"/>
            <w:noWrap/>
            <w:vAlign w:val="center"/>
          </w:tcPr>
          <w:p w14:paraId="49A4BC43"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0.35</w:t>
            </w:r>
          </w:p>
        </w:tc>
        <w:tc>
          <w:tcPr>
            <w:tcW w:w="489" w:type="pct"/>
            <w:tcBorders>
              <w:top w:val="nil"/>
              <w:left w:val="nil"/>
              <w:bottom w:val="nil"/>
              <w:right w:val="nil"/>
            </w:tcBorders>
            <w:shd w:val="clear" w:color="auto" w:fill="auto"/>
            <w:noWrap/>
            <w:vAlign w:val="center"/>
          </w:tcPr>
          <w:p w14:paraId="4FD7223E"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0.71</w:t>
            </w:r>
          </w:p>
        </w:tc>
        <w:tc>
          <w:tcPr>
            <w:tcW w:w="532" w:type="pct"/>
            <w:tcBorders>
              <w:top w:val="nil"/>
              <w:left w:val="nil"/>
              <w:bottom w:val="nil"/>
              <w:right w:val="nil"/>
            </w:tcBorders>
            <w:shd w:val="clear" w:color="auto" w:fill="auto"/>
            <w:noWrap/>
            <w:vAlign w:val="center"/>
          </w:tcPr>
          <w:p w14:paraId="0B497E71" w14:textId="77777777" w:rsidR="008F4F29" w:rsidRPr="00357722" w:rsidRDefault="008F4F29" w:rsidP="008F4F29">
            <w:pPr>
              <w:spacing w:after="0" w:line="360" w:lineRule="auto"/>
              <w:jc w:val="both"/>
              <w:rPr>
                <w:rFonts w:ascii="Times New Roman" w:hAnsi="Times New Roman" w:cs="Times New Roman"/>
                <w:color w:val="000000"/>
                <w:sz w:val="18"/>
                <w:szCs w:val="18"/>
              </w:rPr>
            </w:pPr>
            <w:r w:rsidRPr="00357722">
              <w:rPr>
                <w:rFonts w:ascii="Times New Roman" w:hAnsi="Times New Roman" w:cs="Times New Roman"/>
                <w:color w:val="000000"/>
                <w:sz w:val="18"/>
                <w:szCs w:val="18"/>
              </w:rPr>
              <w:t>0.87</w:t>
            </w:r>
          </w:p>
        </w:tc>
      </w:tr>
      <w:tr w:rsidR="008F4F29" w:rsidRPr="00357722" w14:paraId="6D55D509" w14:textId="77777777" w:rsidTr="006E29B3">
        <w:trPr>
          <w:trHeight w:val="170"/>
        </w:trPr>
        <w:tc>
          <w:tcPr>
            <w:tcW w:w="817" w:type="pct"/>
            <w:tcBorders>
              <w:top w:val="nil"/>
              <w:left w:val="nil"/>
              <w:bottom w:val="single" w:sz="4" w:space="0" w:color="auto"/>
              <w:right w:val="nil"/>
            </w:tcBorders>
            <w:shd w:val="clear" w:color="auto" w:fill="auto"/>
            <w:noWrap/>
            <w:vAlign w:val="bottom"/>
            <w:hideMark/>
          </w:tcPr>
          <w:p w14:paraId="7B7CD6C8"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Hansen J Statistics</w:t>
            </w:r>
          </w:p>
        </w:tc>
        <w:tc>
          <w:tcPr>
            <w:tcW w:w="409" w:type="pct"/>
            <w:tcBorders>
              <w:top w:val="nil"/>
              <w:left w:val="nil"/>
              <w:bottom w:val="single" w:sz="4" w:space="0" w:color="auto"/>
              <w:right w:val="nil"/>
            </w:tcBorders>
            <w:shd w:val="clear" w:color="auto" w:fill="auto"/>
            <w:noWrap/>
            <w:vAlign w:val="center"/>
          </w:tcPr>
          <w:p w14:paraId="7F48AB9E"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19</w:t>
            </w:r>
          </w:p>
        </w:tc>
        <w:tc>
          <w:tcPr>
            <w:tcW w:w="461" w:type="pct"/>
            <w:tcBorders>
              <w:top w:val="nil"/>
              <w:left w:val="nil"/>
              <w:bottom w:val="single" w:sz="4" w:space="0" w:color="auto"/>
              <w:right w:val="nil"/>
            </w:tcBorders>
            <w:shd w:val="clear" w:color="auto" w:fill="auto"/>
            <w:noWrap/>
            <w:vAlign w:val="center"/>
          </w:tcPr>
          <w:p w14:paraId="21ECBB12"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12</w:t>
            </w:r>
          </w:p>
        </w:tc>
        <w:tc>
          <w:tcPr>
            <w:tcW w:w="421" w:type="pct"/>
            <w:tcBorders>
              <w:top w:val="nil"/>
              <w:left w:val="nil"/>
              <w:bottom w:val="single" w:sz="4" w:space="0" w:color="auto"/>
              <w:right w:val="nil"/>
            </w:tcBorders>
            <w:shd w:val="clear" w:color="auto" w:fill="auto"/>
            <w:noWrap/>
            <w:vAlign w:val="center"/>
          </w:tcPr>
          <w:p w14:paraId="11D15FF5"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14</w:t>
            </w:r>
          </w:p>
        </w:tc>
        <w:tc>
          <w:tcPr>
            <w:tcW w:w="88" w:type="pct"/>
            <w:tcBorders>
              <w:top w:val="nil"/>
              <w:left w:val="nil"/>
              <w:bottom w:val="single" w:sz="4" w:space="0" w:color="auto"/>
              <w:right w:val="nil"/>
            </w:tcBorders>
            <w:shd w:val="clear" w:color="auto" w:fill="auto"/>
            <w:noWrap/>
            <w:vAlign w:val="center"/>
          </w:tcPr>
          <w:p w14:paraId="285AF93F"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07" w:type="pct"/>
            <w:tcBorders>
              <w:top w:val="nil"/>
              <w:left w:val="nil"/>
              <w:bottom w:val="single" w:sz="4" w:space="0" w:color="auto"/>
              <w:right w:val="nil"/>
            </w:tcBorders>
            <w:shd w:val="clear" w:color="auto" w:fill="auto"/>
            <w:noWrap/>
            <w:vAlign w:val="center"/>
          </w:tcPr>
          <w:p w14:paraId="4518A50D" w14:textId="7A6C6F6B"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33</w:t>
            </w:r>
          </w:p>
        </w:tc>
        <w:tc>
          <w:tcPr>
            <w:tcW w:w="459" w:type="pct"/>
            <w:tcBorders>
              <w:top w:val="nil"/>
              <w:left w:val="nil"/>
              <w:bottom w:val="single" w:sz="4" w:space="0" w:color="auto"/>
              <w:right w:val="nil"/>
            </w:tcBorders>
            <w:shd w:val="clear" w:color="auto" w:fill="auto"/>
            <w:noWrap/>
            <w:vAlign w:val="center"/>
          </w:tcPr>
          <w:p w14:paraId="5D80C248" w14:textId="2CFB4DEA"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35</w:t>
            </w:r>
          </w:p>
        </w:tc>
        <w:tc>
          <w:tcPr>
            <w:tcW w:w="421" w:type="pct"/>
            <w:tcBorders>
              <w:top w:val="nil"/>
              <w:left w:val="nil"/>
              <w:bottom w:val="single" w:sz="4" w:space="0" w:color="auto"/>
              <w:right w:val="nil"/>
            </w:tcBorders>
            <w:shd w:val="clear" w:color="auto" w:fill="auto"/>
            <w:noWrap/>
            <w:vAlign w:val="center"/>
          </w:tcPr>
          <w:p w14:paraId="2FAA26D7" w14:textId="3FE8CF2B"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hAnsi="Times New Roman" w:cs="Times New Roman"/>
                <w:color w:val="000000"/>
                <w:sz w:val="18"/>
                <w:szCs w:val="18"/>
              </w:rPr>
              <w:t>28</w:t>
            </w:r>
          </w:p>
        </w:tc>
        <w:tc>
          <w:tcPr>
            <w:tcW w:w="85" w:type="pct"/>
            <w:tcBorders>
              <w:top w:val="nil"/>
              <w:left w:val="nil"/>
              <w:bottom w:val="single" w:sz="4" w:space="0" w:color="auto"/>
              <w:right w:val="nil"/>
            </w:tcBorders>
            <w:shd w:val="clear" w:color="auto" w:fill="auto"/>
            <w:noWrap/>
            <w:vAlign w:val="center"/>
          </w:tcPr>
          <w:p w14:paraId="2DA0C20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p>
        </w:tc>
        <w:tc>
          <w:tcPr>
            <w:tcW w:w="411" w:type="pct"/>
            <w:tcBorders>
              <w:top w:val="nil"/>
              <w:left w:val="nil"/>
              <w:bottom w:val="single" w:sz="4" w:space="0" w:color="auto"/>
              <w:right w:val="nil"/>
            </w:tcBorders>
            <w:shd w:val="clear" w:color="auto" w:fill="auto"/>
            <w:noWrap/>
            <w:vAlign w:val="center"/>
          </w:tcPr>
          <w:p w14:paraId="0B412C3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23</w:t>
            </w:r>
          </w:p>
        </w:tc>
        <w:tc>
          <w:tcPr>
            <w:tcW w:w="489" w:type="pct"/>
            <w:tcBorders>
              <w:top w:val="nil"/>
              <w:left w:val="nil"/>
              <w:bottom w:val="single" w:sz="4" w:space="0" w:color="auto"/>
              <w:right w:val="nil"/>
            </w:tcBorders>
            <w:shd w:val="clear" w:color="auto" w:fill="auto"/>
            <w:noWrap/>
            <w:vAlign w:val="center"/>
          </w:tcPr>
          <w:p w14:paraId="5E490181"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17</w:t>
            </w:r>
          </w:p>
        </w:tc>
        <w:tc>
          <w:tcPr>
            <w:tcW w:w="532" w:type="pct"/>
            <w:tcBorders>
              <w:top w:val="nil"/>
              <w:left w:val="nil"/>
              <w:bottom w:val="single" w:sz="4" w:space="0" w:color="auto"/>
              <w:right w:val="nil"/>
            </w:tcBorders>
            <w:shd w:val="clear" w:color="auto" w:fill="auto"/>
            <w:noWrap/>
            <w:vAlign w:val="center"/>
          </w:tcPr>
          <w:p w14:paraId="31CBAA6D" w14:textId="77777777" w:rsidR="008F4F29" w:rsidRPr="00357722" w:rsidRDefault="008F4F29" w:rsidP="008F4F29">
            <w:pPr>
              <w:spacing w:after="0" w:line="360" w:lineRule="auto"/>
              <w:jc w:val="both"/>
              <w:rPr>
                <w:rFonts w:ascii="Times New Roman" w:eastAsia="Times New Roman" w:hAnsi="Times New Roman" w:cs="Times New Roman"/>
                <w:color w:val="000000"/>
                <w:sz w:val="18"/>
                <w:szCs w:val="18"/>
              </w:rPr>
            </w:pPr>
            <w:r w:rsidRPr="00357722">
              <w:rPr>
                <w:rFonts w:ascii="Times New Roman" w:eastAsia="Times New Roman" w:hAnsi="Times New Roman" w:cs="Times New Roman"/>
                <w:color w:val="000000"/>
                <w:sz w:val="18"/>
                <w:szCs w:val="18"/>
              </w:rPr>
              <w:t>14</w:t>
            </w:r>
          </w:p>
        </w:tc>
      </w:tr>
    </w:tbl>
    <w:p w14:paraId="7B495769" w14:textId="6CBC20D6" w:rsidR="00FD1839" w:rsidRPr="00357722" w:rsidRDefault="00344471" w:rsidP="00FD1839">
      <w:pPr>
        <w:suppressAutoHyphens/>
        <w:spacing w:after="0"/>
        <w:jc w:val="both"/>
        <w:rPr>
          <w:rFonts w:ascii="Times New Roman" w:eastAsia="Calibri" w:hAnsi="Times New Roman" w:cs="Times New Roman"/>
          <w:sz w:val="18"/>
          <w:szCs w:val="18"/>
          <w:lang w:eastAsia="en-US"/>
        </w:rPr>
      </w:pPr>
      <w:r w:rsidRPr="00357722">
        <w:rPr>
          <w:rFonts w:ascii="Times New Roman" w:eastAsia="Calibri" w:hAnsi="Times New Roman" w:cs="Times New Roman"/>
          <w:sz w:val="18"/>
          <w:szCs w:val="18"/>
          <w:lang w:eastAsia="en-US"/>
        </w:rPr>
        <w:t xml:space="preserve">Notes: All variables are as defined in Appendix A1. </w:t>
      </w:r>
      <w:r w:rsidR="00B8770C" w:rsidRPr="00357722">
        <w:rPr>
          <w:rFonts w:ascii="Times New Roman" w:eastAsia="Calibri" w:hAnsi="Times New Roman" w:cs="Times New Roman"/>
          <w:sz w:val="18"/>
          <w:szCs w:val="18"/>
          <w:lang w:eastAsia="en-US"/>
        </w:rPr>
        <w:t>Lagged FD is the lagged values of the three financial development measures (</w:t>
      </w:r>
      <w:r w:rsidR="00B8770C" w:rsidRPr="00492C03">
        <w:rPr>
          <w:rFonts w:ascii="Times New Roman" w:eastAsia="Calibri" w:hAnsi="Times New Roman" w:cs="Times New Roman"/>
          <w:i/>
          <w:sz w:val="18"/>
          <w:szCs w:val="18"/>
          <w:lang w:eastAsia="en-US"/>
        </w:rPr>
        <w:t>MCGDP</w:t>
      </w:r>
      <w:r w:rsidR="00B8770C" w:rsidRPr="00357722">
        <w:rPr>
          <w:rFonts w:ascii="Times New Roman" w:eastAsia="Calibri" w:hAnsi="Times New Roman" w:cs="Times New Roman"/>
          <w:sz w:val="18"/>
          <w:szCs w:val="18"/>
          <w:lang w:eastAsia="en-US"/>
        </w:rPr>
        <w:t xml:space="preserve">, </w:t>
      </w:r>
      <w:r w:rsidR="00B8770C" w:rsidRPr="00492C03">
        <w:rPr>
          <w:rFonts w:ascii="Times New Roman" w:eastAsia="Calibri" w:hAnsi="Times New Roman" w:cs="Times New Roman"/>
          <w:i/>
          <w:sz w:val="18"/>
          <w:szCs w:val="18"/>
          <w:lang w:eastAsia="en-US"/>
        </w:rPr>
        <w:t>PSCGDP</w:t>
      </w:r>
      <w:r w:rsidR="00B8770C" w:rsidRPr="00357722">
        <w:rPr>
          <w:rFonts w:ascii="Times New Roman" w:eastAsia="Calibri" w:hAnsi="Times New Roman" w:cs="Times New Roman"/>
          <w:sz w:val="18"/>
          <w:szCs w:val="18"/>
          <w:lang w:eastAsia="en-US"/>
        </w:rPr>
        <w:t xml:space="preserve">, and </w:t>
      </w:r>
      <w:r w:rsidR="00B8770C" w:rsidRPr="00492C03">
        <w:rPr>
          <w:rFonts w:ascii="Times New Roman" w:eastAsia="Calibri" w:hAnsi="Times New Roman" w:cs="Times New Roman"/>
          <w:i/>
          <w:sz w:val="18"/>
          <w:szCs w:val="18"/>
          <w:lang w:eastAsia="en-US"/>
        </w:rPr>
        <w:t>DCPGDP</w:t>
      </w:r>
      <w:r w:rsidR="00B8770C" w:rsidRPr="00357722">
        <w:rPr>
          <w:rFonts w:ascii="Times New Roman" w:eastAsia="Calibri" w:hAnsi="Times New Roman" w:cs="Times New Roman"/>
          <w:sz w:val="18"/>
          <w:szCs w:val="18"/>
          <w:lang w:eastAsia="en-US"/>
        </w:rPr>
        <w:t xml:space="preserve">). </w:t>
      </w:r>
      <w:r w:rsidR="00FD1839" w:rsidRPr="00357722">
        <w:rPr>
          <w:rFonts w:ascii="Times New Roman" w:eastAsia="DFKai-SB" w:hAnsi="Times New Roman" w:cs="Times New Roman"/>
          <w:sz w:val="18"/>
          <w:szCs w:val="18"/>
          <w:lang w:eastAsia="en-US"/>
        </w:rPr>
        <w:t xml:space="preserve">The </w:t>
      </w:r>
      <w:r w:rsidR="00FD1839" w:rsidRPr="00357722">
        <w:rPr>
          <w:rFonts w:ascii="Times New Roman" w:eastAsia="DFKai-SB" w:hAnsi="Times New Roman" w:cs="Times New Roman"/>
          <w:i/>
          <w:sz w:val="18"/>
          <w:szCs w:val="18"/>
          <w:lang w:eastAsia="en-US"/>
        </w:rPr>
        <w:t>t</w:t>
      </w:r>
      <w:r w:rsidR="00FD1839" w:rsidRPr="00357722">
        <w:rPr>
          <w:rFonts w:ascii="Times New Roman" w:eastAsia="DFKai-SB" w:hAnsi="Times New Roman" w:cs="Times New Roman"/>
          <w:sz w:val="18"/>
          <w:szCs w:val="18"/>
          <w:lang w:eastAsia="en-US"/>
        </w:rPr>
        <w:t xml:space="preserve">-statistics are robust to heteroscedasticity reported in parentheses, are based on double clustered standard errors (clustering done at the country and year levels). </w:t>
      </w:r>
      <w:r w:rsidR="00FD1839" w:rsidRPr="00357722">
        <w:rPr>
          <w:rFonts w:ascii="Times New Roman" w:eastAsia="Calibri" w:hAnsi="Times New Roman" w:cs="Times New Roman"/>
          <w:sz w:val="18"/>
          <w:szCs w:val="18"/>
          <w:lang w:eastAsia="en-US"/>
        </w:rPr>
        <w:t>For tractable interpretation, all the coefficients are reported as elasticity</w:t>
      </w:r>
      <w:r w:rsidR="00EB60C4">
        <w:rPr>
          <w:rFonts w:ascii="Times New Roman" w:eastAsia="Calibri" w:hAnsi="Times New Roman" w:cs="Times New Roman"/>
          <w:sz w:val="18"/>
          <w:szCs w:val="18"/>
          <w:lang w:eastAsia="en-US"/>
        </w:rPr>
        <w:t>,</w:t>
      </w:r>
      <w:r w:rsidR="00FD1839" w:rsidRPr="00357722">
        <w:rPr>
          <w:rFonts w:ascii="Times New Roman" w:eastAsia="Calibri" w:hAnsi="Times New Roman" w:cs="Times New Roman"/>
          <w:sz w:val="18"/>
          <w:szCs w:val="18"/>
          <w:lang w:eastAsia="en-US"/>
        </w:rPr>
        <w:t xml:space="preserve"> and the statistical significance is reported against 10% (*), 5% (**)</w:t>
      </w:r>
      <w:r w:rsidR="00EB60C4">
        <w:rPr>
          <w:rFonts w:ascii="Times New Roman" w:eastAsia="Calibri" w:hAnsi="Times New Roman" w:cs="Times New Roman"/>
          <w:sz w:val="18"/>
          <w:szCs w:val="18"/>
          <w:lang w:eastAsia="en-US"/>
        </w:rPr>
        <w:t>,</w:t>
      </w:r>
      <w:r w:rsidR="00FD1839" w:rsidRPr="00357722">
        <w:rPr>
          <w:rFonts w:ascii="Times New Roman" w:eastAsia="Calibri" w:hAnsi="Times New Roman" w:cs="Times New Roman"/>
          <w:sz w:val="18"/>
          <w:szCs w:val="18"/>
          <w:lang w:eastAsia="en-US"/>
        </w:rPr>
        <w:t xml:space="preserve"> and 1% (***) significance levels respectively. </w:t>
      </w:r>
    </w:p>
    <w:p w14:paraId="0B4008DE" w14:textId="77777777" w:rsidR="00FD1839" w:rsidRPr="00357722" w:rsidRDefault="00FD1839" w:rsidP="00403D2E">
      <w:pPr>
        <w:spacing w:line="480" w:lineRule="auto"/>
        <w:jc w:val="both"/>
        <w:rPr>
          <w:rFonts w:ascii="Times New Roman" w:hAnsi="Times New Roman" w:cs="Times New Roman"/>
          <w:color w:val="000000" w:themeColor="text1"/>
          <w:sz w:val="24"/>
          <w:szCs w:val="24"/>
        </w:rPr>
      </w:pPr>
    </w:p>
    <w:p w14:paraId="32A0F016" w14:textId="77777777" w:rsidR="00FD1839" w:rsidRPr="00357722" w:rsidRDefault="00FD1839" w:rsidP="00403D2E">
      <w:pPr>
        <w:spacing w:line="480" w:lineRule="auto"/>
        <w:jc w:val="both"/>
        <w:rPr>
          <w:rFonts w:ascii="Times New Roman" w:hAnsi="Times New Roman" w:cs="Times New Roman"/>
          <w:color w:val="000000" w:themeColor="text1"/>
          <w:sz w:val="24"/>
          <w:szCs w:val="24"/>
        </w:rPr>
        <w:sectPr w:rsidR="00FD1839" w:rsidRPr="00357722" w:rsidSect="00C34896">
          <w:pgSz w:w="16838" w:h="11906" w:orient="landscape"/>
          <w:pgMar w:top="993" w:right="1440" w:bottom="1440" w:left="1440" w:header="708" w:footer="708" w:gutter="0"/>
          <w:cols w:space="708"/>
          <w:docGrid w:linePitch="360"/>
        </w:sectPr>
      </w:pPr>
    </w:p>
    <w:p w14:paraId="14CA9766" w14:textId="7CA96673" w:rsidR="00621E51" w:rsidRPr="00357722" w:rsidRDefault="00621E51" w:rsidP="00EF3A3D">
      <w:pPr>
        <w:spacing w:after="0" w:line="360" w:lineRule="auto"/>
        <w:jc w:val="both"/>
        <w:rPr>
          <w:rFonts w:ascii="Times New Roman" w:eastAsia="SimSun" w:hAnsi="Times New Roman" w:cs="Times New Roman"/>
          <w:color w:val="000000" w:themeColor="text1"/>
          <w:sz w:val="20"/>
          <w:szCs w:val="20"/>
          <w:lang w:eastAsia="zh-CN"/>
        </w:rPr>
      </w:pPr>
      <w:r w:rsidRPr="00357722">
        <w:rPr>
          <w:rFonts w:ascii="Times New Roman" w:eastAsia="SimSun" w:hAnsi="Times New Roman" w:cs="Times New Roman"/>
          <w:b/>
          <w:color w:val="000000" w:themeColor="text1"/>
          <w:sz w:val="20"/>
          <w:szCs w:val="20"/>
          <w:lang w:eastAsia="zh-CN"/>
        </w:rPr>
        <w:lastRenderedPageBreak/>
        <w:t xml:space="preserve">Table </w:t>
      </w:r>
      <w:r w:rsidR="00403D2E" w:rsidRPr="00357722">
        <w:rPr>
          <w:rFonts w:ascii="Times New Roman" w:eastAsia="SimSun" w:hAnsi="Times New Roman" w:cs="Times New Roman"/>
          <w:b/>
          <w:color w:val="000000" w:themeColor="text1"/>
          <w:sz w:val="20"/>
          <w:szCs w:val="20"/>
          <w:lang w:eastAsia="zh-CN"/>
        </w:rPr>
        <w:t>8</w:t>
      </w:r>
      <w:r w:rsidRPr="00357722">
        <w:rPr>
          <w:rFonts w:ascii="Times New Roman" w:eastAsia="SimSun" w:hAnsi="Times New Roman" w:cs="Times New Roman"/>
          <w:b/>
          <w:color w:val="000000" w:themeColor="text1"/>
          <w:sz w:val="20"/>
          <w:szCs w:val="20"/>
          <w:lang w:eastAsia="zh-CN"/>
        </w:rPr>
        <w:t>:</w:t>
      </w:r>
      <w:r w:rsidRPr="00357722">
        <w:rPr>
          <w:rFonts w:ascii="Times New Roman" w:eastAsia="SimSun" w:hAnsi="Times New Roman" w:cs="Times New Roman"/>
          <w:color w:val="000000" w:themeColor="text1"/>
          <w:sz w:val="20"/>
          <w:szCs w:val="20"/>
          <w:lang w:eastAsia="zh-CN"/>
        </w:rPr>
        <w:t xml:space="preserve"> </w:t>
      </w:r>
      <w:r w:rsidR="00CE3D62" w:rsidRPr="00357722">
        <w:rPr>
          <w:rFonts w:ascii="Times New Roman" w:eastAsia="SimSun" w:hAnsi="Times New Roman" w:cs="Times New Roman"/>
          <w:color w:val="000000" w:themeColor="text1"/>
          <w:sz w:val="20"/>
          <w:szCs w:val="20"/>
          <w:lang w:eastAsia="zh-CN"/>
        </w:rPr>
        <w:t>T</w:t>
      </w:r>
      <w:r w:rsidRPr="00357722">
        <w:rPr>
          <w:rFonts w:ascii="Times New Roman" w:hAnsi="Times New Roman" w:cs="Times New Roman"/>
          <w:b/>
          <w:color w:val="000000" w:themeColor="text1"/>
          <w:sz w:val="20"/>
          <w:szCs w:val="20"/>
        </w:rPr>
        <w:t xml:space="preserve">he </w:t>
      </w:r>
      <w:r w:rsidR="00CE3D62" w:rsidRPr="00357722">
        <w:rPr>
          <w:rFonts w:ascii="Times New Roman" w:hAnsi="Times New Roman" w:cs="Times New Roman"/>
          <w:b/>
          <w:color w:val="000000" w:themeColor="text1"/>
          <w:sz w:val="20"/>
          <w:szCs w:val="20"/>
        </w:rPr>
        <w:t>Fix</w:t>
      </w:r>
      <w:r w:rsidR="0062735A" w:rsidRPr="00357722">
        <w:rPr>
          <w:rFonts w:ascii="Times New Roman" w:hAnsi="Times New Roman" w:cs="Times New Roman"/>
          <w:b/>
          <w:color w:val="000000" w:themeColor="text1"/>
          <w:sz w:val="20"/>
          <w:szCs w:val="20"/>
        </w:rPr>
        <w:t>ed effects estimation model</w:t>
      </w:r>
    </w:p>
    <w:tbl>
      <w:tblPr>
        <w:tblW w:w="4943" w:type="pct"/>
        <w:tblLayout w:type="fixed"/>
        <w:tblLook w:val="04A0" w:firstRow="1" w:lastRow="0" w:firstColumn="1" w:lastColumn="0" w:noHBand="0" w:noVBand="1"/>
      </w:tblPr>
      <w:tblGrid>
        <w:gridCol w:w="2265"/>
        <w:gridCol w:w="1415"/>
        <w:gridCol w:w="1427"/>
        <w:gridCol w:w="1173"/>
        <w:gridCol w:w="243"/>
        <w:gridCol w:w="1132"/>
        <w:gridCol w:w="1419"/>
        <w:gridCol w:w="1173"/>
        <w:gridCol w:w="237"/>
        <w:gridCol w:w="1281"/>
        <w:gridCol w:w="1046"/>
        <w:gridCol w:w="988"/>
      </w:tblGrid>
      <w:tr w:rsidR="00D06000" w:rsidRPr="00357722" w14:paraId="090D0276" w14:textId="77777777" w:rsidTr="00543F90">
        <w:trPr>
          <w:trHeight w:val="20"/>
        </w:trPr>
        <w:tc>
          <w:tcPr>
            <w:tcW w:w="821" w:type="pct"/>
            <w:tcBorders>
              <w:top w:val="single" w:sz="4" w:space="0" w:color="auto"/>
              <w:left w:val="nil"/>
              <w:right w:val="nil"/>
            </w:tcBorders>
            <w:shd w:val="clear" w:color="auto" w:fill="auto"/>
            <w:noWrap/>
            <w:vAlign w:val="bottom"/>
            <w:hideMark/>
          </w:tcPr>
          <w:p w14:paraId="1BA938C8"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p>
        </w:tc>
        <w:tc>
          <w:tcPr>
            <w:tcW w:w="513" w:type="pct"/>
            <w:tcBorders>
              <w:top w:val="single" w:sz="4" w:space="0" w:color="auto"/>
              <w:left w:val="nil"/>
              <w:right w:val="nil"/>
            </w:tcBorders>
            <w:shd w:val="clear" w:color="auto" w:fill="auto"/>
            <w:noWrap/>
            <w:vAlign w:val="center"/>
            <w:hideMark/>
          </w:tcPr>
          <w:p w14:paraId="45F4033C"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(1)</w:t>
            </w:r>
          </w:p>
        </w:tc>
        <w:tc>
          <w:tcPr>
            <w:tcW w:w="517" w:type="pct"/>
            <w:tcBorders>
              <w:top w:val="single" w:sz="4" w:space="0" w:color="auto"/>
              <w:left w:val="nil"/>
              <w:right w:val="nil"/>
            </w:tcBorders>
            <w:shd w:val="clear" w:color="auto" w:fill="auto"/>
            <w:noWrap/>
            <w:vAlign w:val="center"/>
            <w:hideMark/>
          </w:tcPr>
          <w:p w14:paraId="3D2CDF93"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(2)</w:t>
            </w:r>
          </w:p>
        </w:tc>
        <w:tc>
          <w:tcPr>
            <w:tcW w:w="425" w:type="pct"/>
            <w:tcBorders>
              <w:top w:val="single" w:sz="4" w:space="0" w:color="auto"/>
              <w:left w:val="nil"/>
              <w:right w:val="nil"/>
            </w:tcBorders>
            <w:shd w:val="clear" w:color="auto" w:fill="auto"/>
            <w:noWrap/>
            <w:vAlign w:val="center"/>
            <w:hideMark/>
          </w:tcPr>
          <w:p w14:paraId="7D89EEE1"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(3)</w:t>
            </w:r>
          </w:p>
        </w:tc>
        <w:tc>
          <w:tcPr>
            <w:tcW w:w="88" w:type="pct"/>
            <w:tcBorders>
              <w:top w:val="single" w:sz="4" w:space="0" w:color="auto"/>
              <w:left w:val="nil"/>
              <w:right w:val="nil"/>
            </w:tcBorders>
            <w:shd w:val="clear" w:color="auto" w:fill="auto"/>
            <w:noWrap/>
            <w:vAlign w:val="center"/>
            <w:hideMark/>
          </w:tcPr>
          <w:p w14:paraId="2F9E1DD5"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single" w:sz="4" w:space="0" w:color="auto"/>
              <w:left w:val="nil"/>
              <w:right w:val="nil"/>
            </w:tcBorders>
            <w:shd w:val="clear" w:color="auto" w:fill="auto"/>
            <w:noWrap/>
            <w:vAlign w:val="center"/>
            <w:hideMark/>
          </w:tcPr>
          <w:p w14:paraId="5FEB4407"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(4)</w:t>
            </w:r>
          </w:p>
        </w:tc>
        <w:tc>
          <w:tcPr>
            <w:tcW w:w="514" w:type="pct"/>
            <w:tcBorders>
              <w:top w:val="single" w:sz="4" w:space="0" w:color="auto"/>
              <w:left w:val="nil"/>
              <w:right w:val="nil"/>
            </w:tcBorders>
            <w:shd w:val="clear" w:color="auto" w:fill="auto"/>
            <w:noWrap/>
            <w:vAlign w:val="center"/>
            <w:hideMark/>
          </w:tcPr>
          <w:p w14:paraId="5F9D9D9A"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(5)</w:t>
            </w:r>
          </w:p>
        </w:tc>
        <w:tc>
          <w:tcPr>
            <w:tcW w:w="425" w:type="pct"/>
            <w:tcBorders>
              <w:top w:val="single" w:sz="4" w:space="0" w:color="auto"/>
              <w:left w:val="nil"/>
              <w:right w:val="nil"/>
            </w:tcBorders>
            <w:shd w:val="clear" w:color="auto" w:fill="auto"/>
            <w:noWrap/>
            <w:vAlign w:val="center"/>
            <w:hideMark/>
          </w:tcPr>
          <w:p w14:paraId="3CB40DB7"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(6)</w:t>
            </w:r>
          </w:p>
        </w:tc>
        <w:tc>
          <w:tcPr>
            <w:tcW w:w="86" w:type="pct"/>
            <w:tcBorders>
              <w:top w:val="single" w:sz="4" w:space="0" w:color="auto"/>
              <w:left w:val="nil"/>
              <w:right w:val="nil"/>
            </w:tcBorders>
            <w:shd w:val="clear" w:color="auto" w:fill="auto"/>
            <w:noWrap/>
            <w:vAlign w:val="center"/>
            <w:hideMark/>
          </w:tcPr>
          <w:p w14:paraId="627EE71E"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single" w:sz="4" w:space="0" w:color="auto"/>
              <w:left w:val="nil"/>
              <w:right w:val="nil"/>
            </w:tcBorders>
            <w:shd w:val="clear" w:color="auto" w:fill="auto"/>
            <w:noWrap/>
            <w:vAlign w:val="center"/>
            <w:hideMark/>
          </w:tcPr>
          <w:p w14:paraId="3975483C"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(7)</w:t>
            </w:r>
          </w:p>
        </w:tc>
        <w:tc>
          <w:tcPr>
            <w:tcW w:w="379" w:type="pct"/>
            <w:tcBorders>
              <w:top w:val="single" w:sz="4" w:space="0" w:color="auto"/>
              <w:left w:val="nil"/>
              <w:right w:val="nil"/>
            </w:tcBorders>
            <w:shd w:val="clear" w:color="auto" w:fill="auto"/>
            <w:noWrap/>
            <w:vAlign w:val="center"/>
            <w:hideMark/>
          </w:tcPr>
          <w:p w14:paraId="6360F392"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(8)</w:t>
            </w:r>
          </w:p>
        </w:tc>
        <w:tc>
          <w:tcPr>
            <w:tcW w:w="358" w:type="pct"/>
            <w:tcBorders>
              <w:top w:val="single" w:sz="4" w:space="0" w:color="auto"/>
              <w:left w:val="nil"/>
              <w:right w:val="nil"/>
            </w:tcBorders>
            <w:shd w:val="clear" w:color="auto" w:fill="auto"/>
            <w:noWrap/>
            <w:vAlign w:val="center"/>
            <w:hideMark/>
          </w:tcPr>
          <w:p w14:paraId="196D16B6"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Model (9)</w:t>
            </w:r>
          </w:p>
        </w:tc>
      </w:tr>
      <w:tr w:rsidR="00D06000" w:rsidRPr="00357722" w14:paraId="0DA10DBF" w14:textId="77777777" w:rsidTr="00543F90">
        <w:trPr>
          <w:trHeight w:val="20"/>
        </w:trPr>
        <w:tc>
          <w:tcPr>
            <w:tcW w:w="821" w:type="pct"/>
            <w:tcBorders>
              <w:left w:val="nil"/>
              <w:bottom w:val="single" w:sz="4" w:space="0" w:color="auto"/>
              <w:right w:val="nil"/>
            </w:tcBorders>
            <w:shd w:val="clear" w:color="auto" w:fill="auto"/>
            <w:noWrap/>
            <w:vAlign w:val="bottom"/>
            <w:hideMark/>
          </w:tcPr>
          <w:p w14:paraId="53242123" w14:textId="403E1D6D"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 </w:t>
            </w:r>
            <w:r w:rsidR="00CE7BB1" w:rsidRPr="00357722">
              <w:rPr>
                <w:rFonts w:ascii="Times New Roman" w:eastAsia="Times New Roman" w:hAnsi="Times New Roman" w:cs="Times New Roman"/>
                <w:color w:val="000000"/>
                <w:sz w:val="18"/>
                <w:szCs w:val="18"/>
              </w:rPr>
              <w:t> Variable</w:t>
            </w:r>
          </w:p>
        </w:tc>
        <w:tc>
          <w:tcPr>
            <w:tcW w:w="513" w:type="pct"/>
            <w:tcBorders>
              <w:left w:val="nil"/>
              <w:bottom w:val="single" w:sz="4" w:space="0" w:color="auto"/>
              <w:right w:val="nil"/>
            </w:tcBorders>
            <w:shd w:val="clear" w:color="auto" w:fill="auto"/>
            <w:noWrap/>
            <w:vAlign w:val="center"/>
            <w:hideMark/>
          </w:tcPr>
          <w:p w14:paraId="2C18255E" w14:textId="6669A141"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MCGDP</w:t>
            </w:r>
          </w:p>
        </w:tc>
        <w:tc>
          <w:tcPr>
            <w:tcW w:w="517" w:type="pct"/>
            <w:tcBorders>
              <w:left w:val="nil"/>
              <w:bottom w:val="single" w:sz="4" w:space="0" w:color="auto"/>
              <w:right w:val="nil"/>
            </w:tcBorders>
            <w:shd w:val="clear" w:color="auto" w:fill="auto"/>
            <w:noWrap/>
            <w:vAlign w:val="center"/>
            <w:hideMark/>
          </w:tcPr>
          <w:p w14:paraId="355E3EF9" w14:textId="43E721F6"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PSCGDP</w:t>
            </w:r>
          </w:p>
        </w:tc>
        <w:tc>
          <w:tcPr>
            <w:tcW w:w="425" w:type="pct"/>
            <w:tcBorders>
              <w:left w:val="nil"/>
              <w:bottom w:val="single" w:sz="4" w:space="0" w:color="auto"/>
              <w:right w:val="nil"/>
            </w:tcBorders>
            <w:shd w:val="clear" w:color="auto" w:fill="auto"/>
            <w:noWrap/>
            <w:vAlign w:val="center"/>
            <w:hideMark/>
          </w:tcPr>
          <w:p w14:paraId="7BA2964B" w14:textId="7E6F2DF6"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DCPGDP</w:t>
            </w:r>
          </w:p>
        </w:tc>
        <w:tc>
          <w:tcPr>
            <w:tcW w:w="88" w:type="pct"/>
            <w:tcBorders>
              <w:left w:val="nil"/>
              <w:bottom w:val="single" w:sz="4" w:space="0" w:color="auto"/>
              <w:right w:val="nil"/>
            </w:tcBorders>
            <w:shd w:val="clear" w:color="auto" w:fill="auto"/>
            <w:noWrap/>
            <w:vAlign w:val="center"/>
            <w:hideMark/>
          </w:tcPr>
          <w:p w14:paraId="276CB229"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 </w:t>
            </w:r>
          </w:p>
        </w:tc>
        <w:tc>
          <w:tcPr>
            <w:tcW w:w="410" w:type="pct"/>
            <w:tcBorders>
              <w:left w:val="nil"/>
              <w:bottom w:val="single" w:sz="4" w:space="0" w:color="auto"/>
              <w:right w:val="nil"/>
            </w:tcBorders>
            <w:shd w:val="clear" w:color="auto" w:fill="auto"/>
            <w:noWrap/>
            <w:vAlign w:val="center"/>
            <w:hideMark/>
          </w:tcPr>
          <w:p w14:paraId="0FFB8C90" w14:textId="459DAA54"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MCGDP</w:t>
            </w:r>
          </w:p>
        </w:tc>
        <w:tc>
          <w:tcPr>
            <w:tcW w:w="514" w:type="pct"/>
            <w:tcBorders>
              <w:left w:val="nil"/>
              <w:bottom w:val="single" w:sz="4" w:space="0" w:color="auto"/>
              <w:right w:val="nil"/>
            </w:tcBorders>
            <w:shd w:val="clear" w:color="auto" w:fill="auto"/>
            <w:noWrap/>
            <w:vAlign w:val="center"/>
            <w:hideMark/>
          </w:tcPr>
          <w:p w14:paraId="404C3698" w14:textId="728B4B3F"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PSCGDP</w:t>
            </w:r>
          </w:p>
        </w:tc>
        <w:tc>
          <w:tcPr>
            <w:tcW w:w="425" w:type="pct"/>
            <w:tcBorders>
              <w:left w:val="nil"/>
              <w:bottom w:val="single" w:sz="4" w:space="0" w:color="auto"/>
              <w:right w:val="nil"/>
            </w:tcBorders>
            <w:shd w:val="clear" w:color="auto" w:fill="auto"/>
            <w:noWrap/>
            <w:vAlign w:val="center"/>
            <w:hideMark/>
          </w:tcPr>
          <w:p w14:paraId="46D74D98" w14:textId="4DAE6683"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DCPGDP</w:t>
            </w:r>
          </w:p>
        </w:tc>
        <w:tc>
          <w:tcPr>
            <w:tcW w:w="86" w:type="pct"/>
            <w:tcBorders>
              <w:left w:val="nil"/>
              <w:bottom w:val="single" w:sz="4" w:space="0" w:color="auto"/>
              <w:right w:val="nil"/>
            </w:tcBorders>
            <w:shd w:val="clear" w:color="auto" w:fill="auto"/>
            <w:noWrap/>
            <w:vAlign w:val="center"/>
            <w:hideMark/>
          </w:tcPr>
          <w:p w14:paraId="4CC89B08" w14:textId="77777777" w:rsidR="00D15C4A" w:rsidRPr="00357722" w:rsidRDefault="00D15C4A"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eastAsia="Times New Roman" w:hAnsi="Times New Roman" w:cs="Times New Roman"/>
                <w:color w:val="000000" w:themeColor="text1"/>
                <w:sz w:val="18"/>
                <w:szCs w:val="18"/>
              </w:rPr>
              <w:t> </w:t>
            </w:r>
          </w:p>
        </w:tc>
        <w:tc>
          <w:tcPr>
            <w:tcW w:w="464" w:type="pct"/>
            <w:tcBorders>
              <w:left w:val="nil"/>
              <w:bottom w:val="single" w:sz="4" w:space="0" w:color="auto"/>
              <w:right w:val="nil"/>
            </w:tcBorders>
            <w:shd w:val="clear" w:color="auto" w:fill="auto"/>
            <w:noWrap/>
            <w:vAlign w:val="center"/>
            <w:hideMark/>
          </w:tcPr>
          <w:p w14:paraId="46F06171" w14:textId="1D05B899"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MCGDP</w:t>
            </w:r>
          </w:p>
        </w:tc>
        <w:tc>
          <w:tcPr>
            <w:tcW w:w="379" w:type="pct"/>
            <w:tcBorders>
              <w:left w:val="nil"/>
              <w:bottom w:val="single" w:sz="4" w:space="0" w:color="auto"/>
              <w:right w:val="nil"/>
            </w:tcBorders>
            <w:shd w:val="clear" w:color="auto" w:fill="auto"/>
            <w:noWrap/>
            <w:vAlign w:val="center"/>
            <w:hideMark/>
          </w:tcPr>
          <w:p w14:paraId="0ED6F63C" w14:textId="01BA341B"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PSCGDP</w:t>
            </w:r>
          </w:p>
        </w:tc>
        <w:tc>
          <w:tcPr>
            <w:tcW w:w="358" w:type="pct"/>
            <w:tcBorders>
              <w:left w:val="nil"/>
              <w:bottom w:val="single" w:sz="4" w:space="0" w:color="auto"/>
              <w:right w:val="nil"/>
            </w:tcBorders>
            <w:shd w:val="clear" w:color="auto" w:fill="auto"/>
            <w:noWrap/>
            <w:vAlign w:val="center"/>
            <w:hideMark/>
          </w:tcPr>
          <w:p w14:paraId="67B10887" w14:textId="22A72448" w:rsidR="00D15C4A" w:rsidRPr="00357722" w:rsidRDefault="00BF6160" w:rsidP="00543F90">
            <w:pPr>
              <w:spacing w:after="0" w:line="360" w:lineRule="auto"/>
              <w:jc w:val="both"/>
              <w:rPr>
                <w:rFonts w:ascii="Times New Roman" w:eastAsia="Times New Roman" w:hAnsi="Times New Roman" w:cs="Times New Roman"/>
                <w:i/>
                <w:color w:val="000000" w:themeColor="text1"/>
                <w:sz w:val="18"/>
                <w:szCs w:val="18"/>
              </w:rPr>
            </w:pPr>
            <w:r w:rsidRPr="00357722">
              <w:rPr>
                <w:rFonts w:ascii="Times New Roman" w:eastAsia="Times New Roman" w:hAnsi="Times New Roman" w:cs="Times New Roman"/>
                <w:color w:val="000000"/>
                <w:sz w:val="18"/>
                <w:szCs w:val="18"/>
                <w:lang w:val="en-US"/>
              </w:rPr>
              <w:t>DCPGDP</w:t>
            </w:r>
          </w:p>
        </w:tc>
      </w:tr>
      <w:tr w:rsidR="00B44DCB" w:rsidRPr="00357722" w14:paraId="675CE333" w14:textId="77777777" w:rsidTr="00D06000">
        <w:trPr>
          <w:trHeight w:val="20"/>
        </w:trPr>
        <w:tc>
          <w:tcPr>
            <w:tcW w:w="821" w:type="pct"/>
            <w:tcBorders>
              <w:top w:val="nil"/>
              <w:left w:val="nil"/>
              <w:bottom w:val="nil"/>
              <w:right w:val="nil"/>
            </w:tcBorders>
            <w:shd w:val="clear" w:color="auto" w:fill="auto"/>
            <w:noWrap/>
            <w:vAlign w:val="center"/>
            <w:hideMark/>
          </w:tcPr>
          <w:p w14:paraId="7698FEAC" w14:textId="482F4794"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IEPD</w:t>
            </w:r>
          </w:p>
        </w:tc>
        <w:tc>
          <w:tcPr>
            <w:tcW w:w="513" w:type="pct"/>
            <w:tcBorders>
              <w:top w:val="nil"/>
              <w:left w:val="nil"/>
              <w:bottom w:val="nil"/>
              <w:right w:val="nil"/>
            </w:tcBorders>
            <w:shd w:val="clear" w:color="auto" w:fill="auto"/>
            <w:noWrap/>
            <w:vAlign w:val="center"/>
          </w:tcPr>
          <w:p w14:paraId="666F05B7" w14:textId="6AABBA4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0.364***</w:t>
            </w:r>
          </w:p>
        </w:tc>
        <w:tc>
          <w:tcPr>
            <w:tcW w:w="517" w:type="pct"/>
            <w:tcBorders>
              <w:top w:val="nil"/>
              <w:left w:val="nil"/>
              <w:bottom w:val="nil"/>
              <w:right w:val="nil"/>
            </w:tcBorders>
            <w:shd w:val="clear" w:color="auto" w:fill="auto"/>
            <w:noWrap/>
            <w:vAlign w:val="center"/>
          </w:tcPr>
          <w:p w14:paraId="4C3B39C9" w14:textId="3A12BD2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0.205***</w:t>
            </w:r>
          </w:p>
        </w:tc>
        <w:tc>
          <w:tcPr>
            <w:tcW w:w="425" w:type="pct"/>
            <w:tcBorders>
              <w:top w:val="nil"/>
              <w:left w:val="nil"/>
              <w:bottom w:val="nil"/>
              <w:right w:val="nil"/>
            </w:tcBorders>
            <w:shd w:val="clear" w:color="auto" w:fill="auto"/>
            <w:noWrap/>
            <w:vAlign w:val="center"/>
          </w:tcPr>
          <w:p w14:paraId="1724BAF9" w14:textId="57DFCBE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0.150**</w:t>
            </w:r>
          </w:p>
        </w:tc>
        <w:tc>
          <w:tcPr>
            <w:tcW w:w="88" w:type="pct"/>
            <w:tcBorders>
              <w:top w:val="nil"/>
              <w:left w:val="nil"/>
              <w:bottom w:val="nil"/>
              <w:right w:val="nil"/>
            </w:tcBorders>
            <w:shd w:val="clear" w:color="auto" w:fill="auto"/>
            <w:noWrap/>
            <w:vAlign w:val="center"/>
          </w:tcPr>
          <w:p w14:paraId="7725ABF5"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B42DD79" w14:textId="6160713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0.335***</w:t>
            </w:r>
          </w:p>
        </w:tc>
        <w:tc>
          <w:tcPr>
            <w:tcW w:w="514" w:type="pct"/>
            <w:tcBorders>
              <w:top w:val="nil"/>
              <w:left w:val="nil"/>
              <w:bottom w:val="nil"/>
              <w:right w:val="nil"/>
            </w:tcBorders>
            <w:shd w:val="clear" w:color="auto" w:fill="auto"/>
            <w:noWrap/>
            <w:vAlign w:val="center"/>
          </w:tcPr>
          <w:p w14:paraId="4F375461" w14:textId="4BE37D6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0.198***</w:t>
            </w:r>
          </w:p>
        </w:tc>
        <w:tc>
          <w:tcPr>
            <w:tcW w:w="425" w:type="pct"/>
            <w:tcBorders>
              <w:top w:val="nil"/>
              <w:left w:val="nil"/>
              <w:bottom w:val="nil"/>
              <w:right w:val="nil"/>
            </w:tcBorders>
            <w:shd w:val="clear" w:color="auto" w:fill="auto"/>
            <w:noWrap/>
            <w:vAlign w:val="center"/>
          </w:tcPr>
          <w:p w14:paraId="18ACFCF6" w14:textId="714FBED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0.205***</w:t>
            </w:r>
          </w:p>
        </w:tc>
        <w:tc>
          <w:tcPr>
            <w:tcW w:w="86" w:type="pct"/>
            <w:tcBorders>
              <w:top w:val="nil"/>
              <w:left w:val="nil"/>
              <w:bottom w:val="nil"/>
              <w:right w:val="nil"/>
            </w:tcBorders>
            <w:shd w:val="clear" w:color="auto" w:fill="auto"/>
            <w:noWrap/>
            <w:vAlign w:val="center"/>
          </w:tcPr>
          <w:p w14:paraId="3F71162D"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706C87A6" w14:textId="3BA2ED6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0.790***</w:t>
            </w:r>
          </w:p>
        </w:tc>
        <w:tc>
          <w:tcPr>
            <w:tcW w:w="379" w:type="pct"/>
            <w:tcBorders>
              <w:top w:val="nil"/>
              <w:left w:val="nil"/>
              <w:bottom w:val="nil"/>
              <w:right w:val="nil"/>
            </w:tcBorders>
            <w:shd w:val="clear" w:color="auto" w:fill="auto"/>
            <w:noWrap/>
            <w:vAlign w:val="center"/>
          </w:tcPr>
          <w:p w14:paraId="0E9CDA34" w14:textId="7479D59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0.401***</w:t>
            </w:r>
          </w:p>
        </w:tc>
        <w:tc>
          <w:tcPr>
            <w:tcW w:w="358" w:type="pct"/>
            <w:tcBorders>
              <w:top w:val="nil"/>
              <w:left w:val="nil"/>
              <w:bottom w:val="nil"/>
              <w:right w:val="nil"/>
            </w:tcBorders>
            <w:shd w:val="clear" w:color="auto" w:fill="auto"/>
            <w:noWrap/>
            <w:vAlign w:val="center"/>
          </w:tcPr>
          <w:p w14:paraId="326BA9C6" w14:textId="0104E26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0.353***</w:t>
            </w:r>
          </w:p>
        </w:tc>
      </w:tr>
      <w:tr w:rsidR="00B44DCB" w:rsidRPr="00357722" w14:paraId="3E89E601" w14:textId="77777777" w:rsidTr="00D06000">
        <w:trPr>
          <w:trHeight w:val="20"/>
        </w:trPr>
        <w:tc>
          <w:tcPr>
            <w:tcW w:w="821" w:type="pct"/>
            <w:tcBorders>
              <w:top w:val="nil"/>
              <w:left w:val="nil"/>
              <w:bottom w:val="nil"/>
              <w:right w:val="nil"/>
            </w:tcBorders>
            <w:shd w:val="clear" w:color="auto" w:fill="auto"/>
            <w:noWrap/>
            <w:vAlign w:val="bottom"/>
            <w:hideMark/>
          </w:tcPr>
          <w:p w14:paraId="7185064C"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174F8B98" w14:textId="32FB09E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(3.76)</w:t>
            </w:r>
          </w:p>
        </w:tc>
        <w:tc>
          <w:tcPr>
            <w:tcW w:w="517" w:type="pct"/>
            <w:tcBorders>
              <w:top w:val="nil"/>
              <w:left w:val="nil"/>
              <w:bottom w:val="nil"/>
              <w:right w:val="nil"/>
            </w:tcBorders>
            <w:shd w:val="clear" w:color="auto" w:fill="auto"/>
            <w:noWrap/>
            <w:vAlign w:val="center"/>
          </w:tcPr>
          <w:p w14:paraId="61AB14F7" w14:textId="230F113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(3.32)</w:t>
            </w:r>
          </w:p>
        </w:tc>
        <w:tc>
          <w:tcPr>
            <w:tcW w:w="425" w:type="pct"/>
            <w:tcBorders>
              <w:top w:val="nil"/>
              <w:left w:val="nil"/>
              <w:bottom w:val="nil"/>
              <w:right w:val="nil"/>
            </w:tcBorders>
            <w:shd w:val="clear" w:color="auto" w:fill="auto"/>
            <w:noWrap/>
            <w:vAlign w:val="center"/>
          </w:tcPr>
          <w:p w14:paraId="7B504442" w14:textId="74EF703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(2.28)</w:t>
            </w:r>
          </w:p>
        </w:tc>
        <w:tc>
          <w:tcPr>
            <w:tcW w:w="88" w:type="pct"/>
            <w:tcBorders>
              <w:top w:val="nil"/>
              <w:left w:val="nil"/>
              <w:bottom w:val="nil"/>
              <w:right w:val="nil"/>
            </w:tcBorders>
            <w:shd w:val="clear" w:color="auto" w:fill="auto"/>
            <w:noWrap/>
            <w:vAlign w:val="center"/>
          </w:tcPr>
          <w:p w14:paraId="515793D5"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27CF35F6" w14:textId="1B5A700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(4.95)</w:t>
            </w:r>
          </w:p>
        </w:tc>
        <w:tc>
          <w:tcPr>
            <w:tcW w:w="514" w:type="pct"/>
            <w:tcBorders>
              <w:top w:val="nil"/>
              <w:left w:val="nil"/>
              <w:bottom w:val="nil"/>
              <w:right w:val="nil"/>
            </w:tcBorders>
            <w:shd w:val="clear" w:color="auto" w:fill="auto"/>
            <w:noWrap/>
            <w:vAlign w:val="center"/>
          </w:tcPr>
          <w:p w14:paraId="5355E134" w14:textId="77881EC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(4.71)</w:t>
            </w:r>
          </w:p>
        </w:tc>
        <w:tc>
          <w:tcPr>
            <w:tcW w:w="425" w:type="pct"/>
            <w:tcBorders>
              <w:top w:val="nil"/>
              <w:left w:val="nil"/>
              <w:bottom w:val="nil"/>
              <w:right w:val="nil"/>
            </w:tcBorders>
            <w:shd w:val="clear" w:color="auto" w:fill="auto"/>
            <w:noWrap/>
            <w:vAlign w:val="center"/>
          </w:tcPr>
          <w:p w14:paraId="20AD62A2" w14:textId="3C124DA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(4.24)</w:t>
            </w:r>
          </w:p>
        </w:tc>
        <w:tc>
          <w:tcPr>
            <w:tcW w:w="86" w:type="pct"/>
            <w:tcBorders>
              <w:top w:val="nil"/>
              <w:left w:val="nil"/>
              <w:bottom w:val="nil"/>
              <w:right w:val="nil"/>
            </w:tcBorders>
            <w:shd w:val="clear" w:color="auto" w:fill="auto"/>
            <w:noWrap/>
            <w:vAlign w:val="center"/>
          </w:tcPr>
          <w:p w14:paraId="36AD930E"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3BEF4E63" w14:textId="351E0BC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(4.33)</w:t>
            </w:r>
          </w:p>
        </w:tc>
        <w:tc>
          <w:tcPr>
            <w:tcW w:w="379" w:type="pct"/>
            <w:tcBorders>
              <w:top w:val="nil"/>
              <w:left w:val="nil"/>
              <w:bottom w:val="nil"/>
              <w:right w:val="nil"/>
            </w:tcBorders>
            <w:shd w:val="clear" w:color="auto" w:fill="auto"/>
            <w:noWrap/>
            <w:vAlign w:val="center"/>
          </w:tcPr>
          <w:p w14:paraId="669EFEAF" w14:textId="5CB5E98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(3.81)</w:t>
            </w:r>
          </w:p>
        </w:tc>
        <w:tc>
          <w:tcPr>
            <w:tcW w:w="358" w:type="pct"/>
            <w:tcBorders>
              <w:top w:val="nil"/>
              <w:left w:val="nil"/>
              <w:bottom w:val="nil"/>
              <w:right w:val="nil"/>
            </w:tcBorders>
            <w:shd w:val="clear" w:color="auto" w:fill="auto"/>
            <w:noWrap/>
            <w:vAlign w:val="center"/>
          </w:tcPr>
          <w:p w14:paraId="7C9D6DCA" w14:textId="49CC573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(3.24)</w:t>
            </w:r>
          </w:p>
        </w:tc>
      </w:tr>
      <w:tr w:rsidR="00A42552" w:rsidRPr="00357722" w14:paraId="0B5DC754" w14:textId="77777777" w:rsidTr="00D06000">
        <w:trPr>
          <w:trHeight w:val="20"/>
        </w:trPr>
        <w:tc>
          <w:tcPr>
            <w:tcW w:w="821" w:type="pct"/>
            <w:tcBorders>
              <w:top w:val="nil"/>
              <w:left w:val="nil"/>
              <w:bottom w:val="nil"/>
              <w:right w:val="nil"/>
            </w:tcBorders>
            <w:shd w:val="clear" w:color="auto" w:fill="auto"/>
            <w:vAlign w:val="center"/>
            <w:hideMark/>
          </w:tcPr>
          <w:p w14:paraId="4B498583" w14:textId="253AD079" w:rsidR="00A42552" w:rsidRPr="00357722" w:rsidRDefault="00A42552" w:rsidP="00A42552">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lang w:val="en-US"/>
              </w:rPr>
              <w:t>EF</w:t>
            </w:r>
          </w:p>
        </w:tc>
        <w:tc>
          <w:tcPr>
            <w:tcW w:w="513" w:type="pct"/>
            <w:tcBorders>
              <w:top w:val="nil"/>
              <w:left w:val="nil"/>
              <w:bottom w:val="nil"/>
              <w:right w:val="nil"/>
            </w:tcBorders>
            <w:shd w:val="clear" w:color="auto" w:fill="auto"/>
            <w:noWrap/>
            <w:vAlign w:val="center"/>
          </w:tcPr>
          <w:p w14:paraId="5E93C190" w14:textId="77777777" w:rsidR="00A42552" w:rsidRPr="00357722" w:rsidRDefault="00A42552" w:rsidP="00A42552">
            <w:pPr>
              <w:spacing w:after="0" w:line="360" w:lineRule="auto"/>
              <w:jc w:val="both"/>
              <w:rPr>
                <w:rFonts w:ascii="Times New Roman" w:eastAsia="Times New Roman" w:hAnsi="Times New Roman" w:cs="Times New Roman"/>
                <w:i/>
                <w:iCs/>
                <w:color w:val="000000" w:themeColor="text1"/>
                <w:sz w:val="18"/>
                <w:szCs w:val="18"/>
              </w:rPr>
            </w:pPr>
          </w:p>
        </w:tc>
        <w:tc>
          <w:tcPr>
            <w:tcW w:w="517" w:type="pct"/>
            <w:tcBorders>
              <w:top w:val="nil"/>
              <w:left w:val="nil"/>
              <w:bottom w:val="nil"/>
              <w:right w:val="nil"/>
            </w:tcBorders>
            <w:shd w:val="clear" w:color="auto" w:fill="auto"/>
            <w:noWrap/>
            <w:vAlign w:val="center"/>
          </w:tcPr>
          <w:p w14:paraId="65759C62"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6BFD4B18"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6F36BC58"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21E47A13" w14:textId="5C5C77A4"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0.182***</w:t>
            </w:r>
          </w:p>
        </w:tc>
        <w:tc>
          <w:tcPr>
            <w:tcW w:w="514" w:type="pct"/>
            <w:tcBorders>
              <w:top w:val="nil"/>
              <w:left w:val="nil"/>
              <w:bottom w:val="nil"/>
              <w:right w:val="nil"/>
            </w:tcBorders>
            <w:shd w:val="clear" w:color="auto" w:fill="auto"/>
            <w:noWrap/>
            <w:vAlign w:val="center"/>
          </w:tcPr>
          <w:p w14:paraId="552BF95A" w14:textId="6266A591"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0.155***</w:t>
            </w:r>
          </w:p>
        </w:tc>
        <w:tc>
          <w:tcPr>
            <w:tcW w:w="425" w:type="pct"/>
            <w:tcBorders>
              <w:top w:val="nil"/>
              <w:left w:val="nil"/>
              <w:bottom w:val="nil"/>
              <w:right w:val="nil"/>
            </w:tcBorders>
            <w:shd w:val="clear" w:color="auto" w:fill="auto"/>
            <w:noWrap/>
            <w:vAlign w:val="center"/>
          </w:tcPr>
          <w:p w14:paraId="1309D25B" w14:textId="16EAA776"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0.134***</w:t>
            </w:r>
          </w:p>
        </w:tc>
        <w:tc>
          <w:tcPr>
            <w:tcW w:w="86" w:type="pct"/>
            <w:tcBorders>
              <w:top w:val="nil"/>
              <w:left w:val="nil"/>
              <w:bottom w:val="nil"/>
              <w:right w:val="nil"/>
            </w:tcBorders>
            <w:shd w:val="clear" w:color="auto" w:fill="auto"/>
            <w:noWrap/>
            <w:vAlign w:val="center"/>
          </w:tcPr>
          <w:p w14:paraId="7AD7ACAB"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3F08247E"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79" w:type="pct"/>
            <w:tcBorders>
              <w:top w:val="nil"/>
              <w:left w:val="nil"/>
              <w:bottom w:val="nil"/>
              <w:right w:val="nil"/>
            </w:tcBorders>
            <w:shd w:val="clear" w:color="auto" w:fill="auto"/>
            <w:noWrap/>
            <w:vAlign w:val="center"/>
          </w:tcPr>
          <w:p w14:paraId="366CBFBB"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58" w:type="pct"/>
            <w:tcBorders>
              <w:top w:val="nil"/>
              <w:left w:val="nil"/>
              <w:bottom w:val="nil"/>
              <w:right w:val="nil"/>
            </w:tcBorders>
            <w:shd w:val="clear" w:color="auto" w:fill="auto"/>
            <w:noWrap/>
            <w:vAlign w:val="center"/>
          </w:tcPr>
          <w:p w14:paraId="05042721"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r>
      <w:tr w:rsidR="00A42552" w:rsidRPr="00357722" w14:paraId="2A3024B5" w14:textId="77777777" w:rsidTr="00D06000">
        <w:trPr>
          <w:trHeight w:val="20"/>
        </w:trPr>
        <w:tc>
          <w:tcPr>
            <w:tcW w:w="821" w:type="pct"/>
            <w:tcBorders>
              <w:top w:val="nil"/>
              <w:left w:val="nil"/>
              <w:bottom w:val="nil"/>
              <w:right w:val="nil"/>
            </w:tcBorders>
            <w:shd w:val="clear" w:color="auto" w:fill="auto"/>
            <w:vAlign w:val="center"/>
            <w:hideMark/>
          </w:tcPr>
          <w:p w14:paraId="27B486AF"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539F9EA5"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517" w:type="pct"/>
            <w:tcBorders>
              <w:top w:val="nil"/>
              <w:left w:val="nil"/>
              <w:bottom w:val="nil"/>
              <w:right w:val="nil"/>
            </w:tcBorders>
            <w:shd w:val="clear" w:color="auto" w:fill="auto"/>
            <w:noWrap/>
            <w:vAlign w:val="center"/>
          </w:tcPr>
          <w:p w14:paraId="2D960D30"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7084BDD4"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2F737497"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B4C8105" w14:textId="4327100A"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(2.98)</w:t>
            </w:r>
          </w:p>
        </w:tc>
        <w:tc>
          <w:tcPr>
            <w:tcW w:w="514" w:type="pct"/>
            <w:tcBorders>
              <w:top w:val="nil"/>
              <w:left w:val="nil"/>
              <w:bottom w:val="nil"/>
              <w:right w:val="nil"/>
            </w:tcBorders>
            <w:shd w:val="clear" w:color="auto" w:fill="auto"/>
            <w:noWrap/>
            <w:vAlign w:val="center"/>
          </w:tcPr>
          <w:p w14:paraId="40FE978D" w14:textId="4C9F35FC"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(3.80)</w:t>
            </w:r>
          </w:p>
        </w:tc>
        <w:tc>
          <w:tcPr>
            <w:tcW w:w="425" w:type="pct"/>
            <w:tcBorders>
              <w:top w:val="nil"/>
              <w:left w:val="nil"/>
              <w:bottom w:val="nil"/>
              <w:right w:val="nil"/>
            </w:tcBorders>
            <w:shd w:val="clear" w:color="auto" w:fill="auto"/>
            <w:noWrap/>
            <w:vAlign w:val="center"/>
          </w:tcPr>
          <w:p w14:paraId="0208C415" w14:textId="12E6E309"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(3.40)</w:t>
            </w:r>
          </w:p>
        </w:tc>
        <w:tc>
          <w:tcPr>
            <w:tcW w:w="86" w:type="pct"/>
            <w:tcBorders>
              <w:top w:val="nil"/>
              <w:left w:val="nil"/>
              <w:bottom w:val="nil"/>
              <w:right w:val="nil"/>
            </w:tcBorders>
            <w:shd w:val="clear" w:color="auto" w:fill="auto"/>
            <w:noWrap/>
            <w:vAlign w:val="center"/>
          </w:tcPr>
          <w:p w14:paraId="25571486"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18BB29AF"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79" w:type="pct"/>
            <w:tcBorders>
              <w:top w:val="nil"/>
              <w:left w:val="nil"/>
              <w:bottom w:val="nil"/>
              <w:right w:val="nil"/>
            </w:tcBorders>
            <w:shd w:val="clear" w:color="auto" w:fill="auto"/>
            <w:noWrap/>
            <w:vAlign w:val="center"/>
          </w:tcPr>
          <w:p w14:paraId="5F3AD040"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58" w:type="pct"/>
            <w:tcBorders>
              <w:top w:val="nil"/>
              <w:left w:val="nil"/>
              <w:bottom w:val="nil"/>
              <w:right w:val="nil"/>
            </w:tcBorders>
            <w:shd w:val="clear" w:color="auto" w:fill="auto"/>
            <w:noWrap/>
            <w:vAlign w:val="center"/>
          </w:tcPr>
          <w:p w14:paraId="6E54117F"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r>
      <w:tr w:rsidR="00A42552" w:rsidRPr="00357722" w14:paraId="2530F586" w14:textId="77777777" w:rsidTr="00D06000">
        <w:trPr>
          <w:trHeight w:val="20"/>
        </w:trPr>
        <w:tc>
          <w:tcPr>
            <w:tcW w:w="821" w:type="pct"/>
            <w:tcBorders>
              <w:top w:val="nil"/>
              <w:left w:val="nil"/>
              <w:bottom w:val="nil"/>
              <w:right w:val="nil"/>
            </w:tcBorders>
            <w:shd w:val="clear" w:color="auto" w:fill="auto"/>
            <w:vAlign w:val="center"/>
            <w:hideMark/>
          </w:tcPr>
          <w:p w14:paraId="13FCF911" w14:textId="3EA0859E" w:rsidR="00A42552" w:rsidRPr="00357722" w:rsidRDefault="00A42552" w:rsidP="00A42552">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 xml:space="preserve">IEPD </w:t>
            </w:r>
            <w:r w:rsidRPr="00357722">
              <w:rPr>
                <w:rFonts w:ascii="Times New Roman" w:eastAsia="Times New Roman" w:hAnsi="Times New Roman" w:cs="Times New Roman"/>
                <w:color w:val="000000" w:themeColor="text1"/>
                <w:sz w:val="20"/>
                <w:szCs w:val="20"/>
              </w:rPr>
              <w:t>x</w:t>
            </w:r>
            <w:r w:rsidRPr="00357722">
              <w:rPr>
                <w:rFonts w:ascii="Times New Roman" w:eastAsia="Times New Roman" w:hAnsi="Times New Roman" w:cs="Times New Roman"/>
                <w:i/>
                <w:iCs/>
                <w:color w:val="000000" w:themeColor="text1"/>
                <w:sz w:val="20"/>
                <w:szCs w:val="20"/>
              </w:rPr>
              <w:t xml:space="preserve"> EF</w:t>
            </w:r>
          </w:p>
        </w:tc>
        <w:tc>
          <w:tcPr>
            <w:tcW w:w="513" w:type="pct"/>
            <w:tcBorders>
              <w:top w:val="nil"/>
              <w:left w:val="nil"/>
              <w:bottom w:val="nil"/>
              <w:right w:val="nil"/>
            </w:tcBorders>
            <w:shd w:val="clear" w:color="auto" w:fill="auto"/>
            <w:noWrap/>
            <w:vAlign w:val="center"/>
          </w:tcPr>
          <w:p w14:paraId="6AEBB553" w14:textId="77777777" w:rsidR="00A42552" w:rsidRPr="00357722" w:rsidRDefault="00A42552" w:rsidP="00A42552">
            <w:pPr>
              <w:spacing w:after="0" w:line="360" w:lineRule="auto"/>
              <w:jc w:val="both"/>
              <w:rPr>
                <w:rFonts w:ascii="Times New Roman" w:eastAsia="Times New Roman" w:hAnsi="Times New Roman" w:cs="Times New Roman"/>
                <w:i/>
                <w:iCs/>
                <w:color w:val="000000" w:themeColor="text1"/>
                <w:sz w:val="18"/>
                <w:szCs w:val="18"/>
              </w:rPr>
            </w:pPr>
          </w:p>
        </w:tc>
        <w:tc>
          <w:tcPr>
            <w:tcW w:w="517" w:type="pct"/>
            <w:tcBorders>
              <w:top w:val="nil"/>
              <w:left w:val="nil"/>
              <w:bottom w:val="nil"/>
              <w:right w:val="nil"/>
            </w:tcBorders>
            <w:shd w:val="clear" w:color="auto" w:fill="auto"/>
            <w:noWrap/>
            <w:vAlign w:val="center"/>
          </w:tcPr>
          <w:p w14:paraId="6F981B2C"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39576816"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6940ECA1"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AC2D81E" w14:textId="2F32E4D4"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0.061**</w:t>
            </w:r>
          </w:p>
        </w:tc>
        <w:tc>
          <w:tcPr>
            <w:tcW w:w="514" w:type="pct"/>
            <w:tcBorders>
              <w:top w:val="nil"/>
              <w:left w:val="nil"/>
              <w:bottom w:val="nil"/>
              <w:right w:val="nil"/>
            </w:tcBorders>
            <w:shd w:val="clear" w:color="auto" w:fill="auto"/>
            <w:noWrap/>
            <w:vAlign w:val="center"/>
          </w:tcPr>
          <w:p w14:paraId="1FE9EBDD" w14:textId="4E81581B"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0.044***</w:t>
            </w:r>
          </w:p>
        </w:tc>
        <w:tc>
          <w:tcPr>
            <w:tcW w:w="425" w:type="pct"/>
            <w:tcBorders>
              <w:top w:val="nil"/>
              <w:left w:val="nil"/>
              <w:bottom w:val="nil"/>
              <w:right w:val="nil"/>
            </w:tcBorders>
            <w:shd w:val="clear" w:color="auto" w:fill="auto"/>
            <w:noWrap/>
            <w:vAlign w:val="center"/>
          </w:tcPr>
          <w:p w14:paraId="6C0A4597" w14:textId="531DDB66"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0.032**</w:t>
            </w:r>
          </w:p>
        </w:tc>
        <w:tc>
          <w:tcPr>
            <w:tcW w:w="86" w:type="pct"/>
            <w:tcBorders>
              <w:top w:val="nil"/>
              <w:left w:val="nil"/>
              <w:bottom w:val="nil"/>
              <w:right w:val="nil"/>
            </w:tcBorders>
            <w:shd w:val="clear" w:color="auto" w:fill="auto"/>
            <w:noWrap/>
            <w:vAlign w:val="center"/>
          </w:tcPr>
          <w:p w14:paraId="611C968F"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20C8CA96"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79" w:type="pct"/>
            <w:tcBorders>
              <w:top w:val="nil"/>
              <w:left w:val="nil"/>
              <w:bottom w:val="nil"/>
              <w:right w:val="nil"/>
            </w:tcBorders>
            <w:shd w:val="clear" w:color="auto" w:fill="auto"/>
            <w:noWrap/>
            <w:vAlign w:val="center"/>
          </w:tcPr>
          <w:p w14:paraId="52109FC7"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58" w:type="pct"/>
            <w:tcBorders>
              <w:top w:val="nil"/>
              <w:left w:val="nil"/>
              <w:bottom w:val="nil"/>
              <w:right w:val="nil"/>
            </w:tcBorders>
            <w:shd w:val="clear" w:color="auto" w:fill="auto"/>
            <w:noWrap/>
            <w:vAlign w:val="center"/>
          </w:tcPr>
          <w:p w14:paraId="62CE737A"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r>
      <w:tr w:rsidR="00A42552" w:rsidRPr="00357722" w14:paraId="5916C2EB" w14:textId="77777777" w:rsidTr="00D06000">
        <w:trPr>
          <w:trHeight w:val="20"/>
        </w:trPr>
        <w:tc>
          <w:tcPr>
            <w:tcW w:w="821" w:type="pct"/>
            <w:tcBorders>
              <w:top w:val="nil"/>
              <w:left w:val="nil"/>
              <w:bottom w:val="nil"/>
              <w:right w:val="nil"/>
            </w:tcBorders>
            <w:shd w:val="clear" w:color="auto" w:fill="auto"/>
            <w:noWrap/>
            <w:vAlign w:val="bottom"/>
            <w:hideMark/>
          </w:tcPr>
          <w:p w14:paraId="6247E63A"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7B582305"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517" w:type="pct"/>
            <w:tcBorders>
              <w:top w:val="nil"/>
              <w:left w:val="nil"/>
              <w:bottom w:val="nil"/>
              <w:right w:val="nil"/>
            </w:tcBorders>
            <w:shd w:val="clear" w:color="auto" w:fill="auto"/>
            <w:noWrap/>
            <w:vAlign w:val="center"/>
          </w:tcPr>
          <w:p w14:paraId="7F4482DB"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025CF822"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43A7EB78"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1C014080" w14:textId="3B76BEDB"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(2.58)</w:t>
            </w:r>
          </w:p>
        </w:tc>
        <w:tc>
          <w:tcPr>
            <w:tcW w:w="514" w:type="pct"/>
            <w:tcBorders>
              <w:top w:val="nil"/>
              <w:left w:val="nil"/>
              <w:bottom w:val="nil"/>
              <w:right w:val="nil"/>
            </w:tcBorders>
            <w:shd w:val="clear" w:color="auto" w:fill="auto"/>
            <w:noWrap/>
            <w:vAlign w:val="center"/>
          </w:tcPr>
          <w:p w14:paraId="77143A2D" w14:textId="5584B97D"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(2.99)</w:t>
            </w:r>
          </w:p>
        </w:tc>
        <w:tc>
          <w:tcPr>
            <w:tcW w:w="425" w:type="pct"/>
            <w:tcBorders>
              <w:top w:val="nil"/>
              <w:left w:val="nil"/>
              <w:bottom w:val="nil"/>
              <w:right w:val="nil"/>
            </w:tcBorders>
            <w:shd w:val="clear" w:color="auto" w:fill="auto"/>
            <w:noWrap/>
            <w:vAlign w:val="center"/>
          </w:tcPr>
          <w:p w14:paraId="5E08BBB8" w14:textId="5FCCD9C2"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(2.23)</w:t>
            </w:r>
          </w:p>
        </w:tc>
        <w:tc>
          <w:tcPr>
            <w:tcW w:w="86" w:type="pct"/>
            <w:tcBorders>
              <w:top w:val="nil"/>
              <w:left w:val="nil"/>
              <w:bottom w:val="nil"/>
              <w:right w:val="nil"/>
            </w:tcBorders>
            <w:shd w:val="clear" w:color="auto" w:fill="auto"/>
            <w:noWrap/>
            <w:vAlign w:val="center"/>
          </w:tcPr>
          <w:p w14:paraId="101666ED"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467746D9"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79" w:type="pct"/>
            <w:tcBorders>
              <w:top w:val="nil"/>
              <w:left w:val="nil"/>
              <w:bottom w:val="nil"/>
              <w:right w:val="nil"/>
            </w:tcBorders>
            <w:shd w:val="clear" w:color="auto" w:fill="auto"/>
            <w:noWrap/>
            <w:vAlign w:val="center"/>
          </w:tcPr>
          <w:p w14:paraId="68E5C7E0"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c>
          <w:tcPr>
            <w:tcW w:w="358" w:type="pct"/>
            <w:tcBorders>
              <w:top w:val="nil"/>
              <w:left w:val="nil"/>
              <w:bottom w:val="nil"/>
              <w:right w:val="nil"/>
            </w:tcBorders>
            <w:shd w:val="clear" w:color="auto" w:fill="auto"/>
            <w:noWrap/>
            <w:vAlign w:val="center"/>
          </w:tcPr>
          <w:p w14:paraId="5231BC6F" w14:textId="77777777" w:rsidR="00A42552" w:rsidRPr="00357722" w:rsidRDefault="00A42552" w:rsidP="00A42552">
            <w:pPr>
              <w:spacing w:after="0" w:line="360" w:lineRule="auto"/>
              <w:jc w:val="both"/>
              <w:rPr>
                <w:rFonts w:ascii="Times New Roman" w:eastAsia="Times New Roman" w:hAnsi="Times New Roman" w:cs="Times New Roman"/>
                <w:color w:val="000000" w:themeColor="text1"/>
                <w:sz w:val="18"/>
                <w:szCs w:val="18"/>
              </w:rPr>
            </w:pPr>
          </w:p>
        </w:tc>
      </w:tr>
      <w:tr w:rsidR="00D06000" w:rsidRPr="00357722" w14:paraId="0F315E77" w14:textId="77777777" w:rsidTr="00D06000">
        <w:trPr>
          <w:trHeight w:val="20"/>
        </w:trPr>
        <w:tc>
          <w:tcPr>
            <w:tcW w:w="821" w:type="pct"/>
            <w:tcBorders>
              <w:top w:val="nil"/>
              <w:left w:val="nil"/>
              <w:bottom w:val="nil"/>
              <w:right w:val="nil"/>
            </w:tcBorders>
            <w:shd w:val="clear" w:color="auto" w:fill="auto"/>
            <w:noWrap/>
            <w:vAlign w:val="center"/>
            <w:hideMark/>
          </w:tcPr>
          <w:p w14:paraId="59408DFB" w14:textId="77777777" w:rsidR="00764F8B" w:rsidRPr="00357722" w:rsidRDefault="00764F8B" w:rsidP="00543F90">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lang w:val="en-US"/>
              </w:rPr>
              <w:t>CBT</w:t>
            </w:r>
          </w:p>
        </w:tc>
        <w:tc>
          <w:tcPr>
            <w:tcW w:w="513" w:type="pct"/>
            <w:tcBorders>
              <w:top w:val="nil"/>
              <w:left w:val="nil"/>
              <w:bottom w:val="nil"/>
              <w:right w:val="nil"/>
            </w:tcBorders>
            <w:shd w:val="clear" w:color="auto" w:fill="auto"/>
            <w:noWrap/>
            <w:vAlign w:val="center"/>
          </w:tcPr>
          <w:p w14:paraId="1C93C382" w14:textId="77777777" w:rsidR="00764F8B" w:rsidRPr="00357722" w:rsidRDefault="00764F8B" w:rsidP="00543F90">
            <w:pPr>
              <w:spacing w:after="0" w:line="360" w:lineRule="auto"/>
              <w:jc w:val="both"/>
              <w:rPr>
                <w:rFonts w:ascii="Times New Roman" w:eastAsia="Times New Roman" w:hAnsi="Times New Roman" w:cs="Times New Roman"/>
                <w:i/>
                <w:iCs/>
                <w:color w:val="000000" w:themeColor="text1"/>
                <w:sz w:val="18"/>
                <w:szCs w:val="18"/>
              </w:rPr>
            </w:pPr>
          </w:p>
        </w:tc>
        <w:tc>
          <w:tcPr>
            <w:tcW w:w="517" w:type="pct"/>
            <w:tcBorders>
              <w:top w:val="nil"/>
              <w:left w:val="nil"/>
              <w:bottom w:val="nil"/>
              <w:right w:val="nil"/>
            </w:tcBorders>
            <w:shd w:val="clear" w:color="auto" w:fill="auto"/>
            <w:noWrap/>
            <w:vAlign w:val="center"/>
          </w:tcPr>
          <w:p w14:paraId="6BC00639"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40BBBB28"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7D07D082"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2FD70968"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514" w:type="pct"/>
            <w:tcBorders>
              <w:top w:val="nil"/>
              <w:left w:val="nil"/>
              <w:bottom w:val="nil"/>
              <w:right w:val="nil"/>
            </w:tcBorders>
            <w:shd w:val="clear" w:color="auto" w:fill="auto"/>
            <w:noWrap/>
            <w:vAlign w:val="center"/>
          </w:tcPr>
          <w:p w14:paraId="6790B01F"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34C19132"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6" w:type="pct"/>
            <w:tcBorders>
              <w:top w:val="nil"/>
              <w:left w:val="nil"/>
              <w:bottom w:val="nil"/>
              <w:right w:val="nil"/>
            </w:tcBorders>
            <w:shd w:val="clear" w:color="auto" w:fill="auto"/>
            <w:noWrap/>
            <w:vAlign w:val="center"/>
          </w:tcPr>
          <w:p w14:paraId="00EBEF4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76472E89" w14:textId="470FC5A1"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0.365***</w:t>
            </w:r>
          </w:p>
        </w:tc>
        <w:tc>
          <w:tcPr>
            <w:tcW w:w="379" w:type="pct"/>
            <w:tcBorders>
              <w:top w:val="nil"/>
              <w:left w:val="nil"/>
              <w:bottom w:val="nil"/>
              <w:right w:val="nil"/>
            </w:tcBorders>
            <w:shd w:val="clear" w:color="auto" w:fill="auto"/>
            <w:noWrap/>
            <w:vAlign w:val="center"/>
          </w:tcPr>
          <w:p w14:paraId="23D1435F" w14:textId="431D91EC"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0.191**</w:t>
            </w:r>
          </w:p>
        </w:tc>
        <w:tc>
          <w:tcPr>
            <w:tcW w:w="358" w:type="pct"/>
            <w:tcBorders>
              <w:top w:val="nil"/>
              <w:left w:val="nil"/>
              <w:bottom w:val="nil"/>
              <w:right w:val="nil"/>
            </w:tcBorders>
            <w:shd w:val="clear" w:color="auto" w:fill="auto"/>
            <w:noWrap/>
            <w:vAlign w:val="center"/>
          </w:tcPr>
          <w:p w14:paraId="2E124D6F" w14:textId="6073DBCE"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0.186**</w:t>
            </w:r>
          </w:p>
        </w:tc>
      </w:tr>
      <w:tr w:rsidR="00D06000" w:rsidRPr="00357722" w14:paraId="40B7A8F6" w14:textId="77777777" w:rsidTr="00D06000">
        <w:trPr>
          <w:trHeight w:val="20"/>
        </w:trPr>
        <w:tc>
          <w:tcPr>
            <w:tcW w:w="821" w:type="pct"/>
            <w:tcBorders>
              <w:top w:val="nil"/>
              <w:left w:val="nil"/>
              <w:bottom w:val="nil"/>
              <w:right w:val="nil"/>
            </w:tcBorders>
            <w:shd w:val="clear" w:color="auto" w:fill="auto"/>
            <w:noWrap/>
            <w:hideMark/>
          </w:tcPr>
          <w:p w14:paraId="7401A51D"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7E2837FA"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517" w:type="pct"/>
            <w:tcBorders>
              <w:top w:val="nil"/>
              <w:left w:val="nil"/>
              <w:bottom w:val="nil"/>
              <w:right w:val="nil"/>
            </w:tcBorders>
            <w:shd w:val="clear" w:color="auto" w:fill="auto"/>
            <w:noWrap/>
            <w:vAlign w:val="center"/>
          </w:tcPr>
          <w:p w14:paraId="67F86821"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3FBFB2FF"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3842C7E4"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4FB34D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514" w:type="pct"/>
            <w:tcBorders>
              <w:top w:val="nil"/>
              <w:left w:val="nil"/>
              <w:bottom w:val="nil"/>
              <w:right w:val="nil"/>
            </w:tcBorders>
            <w:shd w:val="clear" w:color="auto" w:fill="auto"/>
            <w:noWrap/>
            <w:vAlign w:val="center"/>
          </w:tcPr>
          <w:p w14:paraId="6427131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4A14444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6" w:type="pct"/>
            <w:tcBorders>
              <w:top w:val="nil"/>
              <w:left w:val="nil"/>
              <w:bottom w:val="nil"/>
              <w:right w:val="nil"/>
            </w:tcBorders>
            <w:shd w:val="clear" w:color="auto" w:fill="auto"/>
            <w:noWrap/>
            <w:vAlign w:val="center"/>
          </w:tcPr>
          <w:p w14:paraId="068C395A"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4C80F834" w14:textId="57C45C34"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(3.20)</w:t>
            </w:r>
          </w:p>
        </w:tc>
        <w:tc>
          <w:tcPr>
            <w:tcW w:w="379" w:type="pct"/>
            <w:tcBorders>
              <w:top w:val="nil"/>
              <w:left w:val="nil"/>
              <w:bottom w:val="nil"/>
              <w:right w:val="nil"/>
            </w:tcBorders>
            <w:shd w:val="clear" w:color="auto" w:fill="auto"/>
            <w:noWrap/>
            <w:vAlign w:val="center"/>
          </w:tcPr>
          <w:p w14:paraId="0ABEB9D0" w14:textId="23122616"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(2.50)</w:t>
            </w:r>
          </w:p>
        </w:tc>
        <w:tc>
          <w:tcPr>
            <w:tcW w:w="358" w:type="pct"/>
            <w:tcBorders>
              <w:top w:val="nil"/>
              <w:left w:val="nil"/>
              <w:bottom w:val="nil"/>
              <w:right w:val="nil"/>
            </w:tcBorders>
            <w:shd w:val="clear" w:color="auto" w:fill="auto"/>
            <w:noWrap/>
            <w:vAlign w:val="center"/>
          </w:tcPr>
          <w:p w14:paraId="51EB08A6" w14:textId="0A4BE2C0"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(2.38)</w:t>
            </w:r>
          </w:p>
        </w:tc>
      </w:tr>
      <w:tr w:rsidR="00D06000" w:rsidRPr="00357722" w14:paraId="20B483C0" w14:textId="77777777" w:rsidTr="00D06000">
        <w:trPr>
          <w:trHeight w:val="20"/>
        </w:trPr>
        <w:tc>
          <w:tcPr>
            <w:tcW w:w="821" w:type="pct"/>
            <w:tcBorders>
              <w:top w:val="nil"/>
              <w:left w:val="nil"/>
              <w:bottom w:val="nil"/>
              <w:right w:val="nil"/>
            </w:tcBorders>
            <w:shd w:val="clear" w:color="auto" w:fill="auto"/>
            <w:noWrap/>
            <w:vAlign w:val="center"/>
            <w:hideMark/>
          </w:tcPr>
          <w:p w14:paraId="60D9CB58" w14:textId="18260A00" w:rsidR="00764F8B" w:rsidRPr="00357722" w:rsidRDefault="00005414" w:rsidP="00543F90">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lang w:val="en-US"/>
              </w:rPr>
              <w:t>IEPD</w:t>
            </w:r>
            <w:r w:rsidR="00764F8B" w:rsidRPr="00357722">
              <w:rPr>
                <w:rFonts w:ascii="Times New Roman" w:eastAsia="Times New Roman" w:hAnsi="Times New Roman" w:cs="Times New Roman"/>
                <w:i/>
                <w:iCs/>
                <w:color w:val="000000" w:themeColor="text1"/>
                <w:sz w:val="20"/>
                <w:szCs w:val="20"/>
                <w:lang w:val="en-US"/>
              </w:rPr>
              <w:t xml:space="preserve"> </w:t>
            </w:r>
            <w:r w:rsidR="00764F8B" w:rsidRPr="00357722">
              <w:rPr>
                <w:rFonts w:ascii="Times New Roman" w:eastAsia="Times New Roman" w:hAnsi="Times New Roman" w:cs="Times New Roman"/>
                <w:color w:val="000000" w:themeColor="text1"/>
                <w:sz w:val="20"/>
                <w:szCs w:val="20"/>
                <w:lang w:val="en-US"/>
              </w:rPr>
              <w:t>x</w:t>
            </w:r>
            <w:r w:rsidR="00764F8B" w:rsidRPr="00357722">
              <w:rPr>
                <w:rFonts w:ascii="Times New Roman" w:eastAsia="Times New Roman" w:hAnsi="Times New Roman" w:cs="Times New Roman"/>
                <w:i/>
                <w:iCs/>
                <w:color w:val="000000" w:themeColor="text1"/>
                <w:sz w:val="20"/>
                <w:szCs w:val="20"/>
                <w:lang w:val="en-US"/>
              </w:rPr>
              <w:t xml:space="preserve"> CBT</w:t>
            </w:r>
          </w:p>
        </w:tc>
        <w:tc>
          <w:tcPr>
            <w:tcW w:w="513" w:type="pct"/>
            <w:tcBorders>
              <w:top w:val="nil"/>
              <w:left w:val="nil"/>
              <w:bottom w:val="nil"/>
              <w:right w:val="nil"/>
            </w:tcBorders>
            <w:shd w:val="clear" w:color="auto" w:fill="auto"/>
            <w:noWrap/>
            <w:vAlign w:val="center"/>
          </w:tcPr>
          <w:p w14:paraId="1E5AD0FA" w14:textId="77777777" w:rsidR="00764F8B" w:rsidRPr="00357722" w:rsidRDefault="00764F8B" w:rsidP="00543F90">
            <w:pPr>
              <w:spacing w:after="0" w:line="360" w:lineRule="auto"/>
              <w:jc w:val="both"/>
              <w:rPr>
                <w:rFonts w:ascii="Times New Roman" w:eastAsia="Times New Roman" w:hAnsi="Times New Roman" w:cs="Times New Roman"/>
                <w:i/>
                <w:iCs/>
                <w:color w:val="000000" w:themeColor="text1"/>
                <w:sz w:val="18"/>
                <w:szCs w:val="18"/>
              </w:rPr>
            </w:pPr>
          </w:p>
        </w:tc>
        <w:tc>
          <w:tcPr>
            <w:tcW w:w="517" w:type="pct"/>
            <w:tcBorders>
              <w:top w:val="nil"/>
              <w:left w:val="nil"/>
              <w:bottom w:val="nil"/>
              <w:right w:val="nil"/>
            </w:tcBorders>
            <w:shd w:val="clear" w:color="auto" w:fill="auto"/>
            <w:noWrap/>
            <w:vAlign w:val="center"/>
          </w:tcPr>
          <w:p w14:paraId="1D0FD0C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02C9207D"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78F005BE"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2B193BEB"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514" w:type="pct"/>
            <w:tcBorders>
              <w:top w:val="nil"/>
              <w:left w:val="nil"/>
              <w:bottom w:val="nil"/>
              <w:right w:val="nil"/>
            </w:tcBorders>
            <w:shd w:val="clear" w:color="auto" w:fill="auto"/>
            <w:noWrap/>
            <w:vAlign w:val="center"/>
          </w:tcPr>
          <w:p w14:paraId="021C748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18AEFD7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6" w:type="pct"/>
            <w:tcBorders>
              <w:top w:val="nil"/>
              <w:left w:val="nil"/>
              <w:bottom w:val="nil"/>
              <w:right w:val="nil"/>
            </w:tcBorders>
            <w:shd w:val="clear" w:color="auto" w:fill="auto"/>
            <w:noWrap/>
            <w:vAlign w:val="center"/>
          </w:tcPr>
          <w:p w14:paraId="0C3E8E56"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56E72406" w14:textId="1C46A18A"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0.085***</w:t>
            </w:r>
          </w:p>
        </w:tc>
        <w:tc>
          <w:tcPr>
            <w:tcW w:w="379" w:type="pct"/>
            <w:tcBorders>
              <w:top w:val="nil"/>
              <w:left w:val="nil"/>
              <w:bottom w:val="nil"/>
              <w:right w:val="nil"/>
            </w:tcBorders>
            <w:shd w:val="clear" w:color="auto" w:fill="auto"/>
            <w:noWrap/>
            <w:vAlign w:val="center"/>
          </w:tcPr>
          <w:p w14:paraId="7C5DEF84" w14:textId="5CAFF10A"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0.044**</w:t>
            </w:r>
          </w:p>
        </w:tc>
        <w:tc>
          <w:tcPr>
            <w:tcW w:w="358" w:type="pct"/>
            <w:tcBorders>
              <w:top w:val="nil"/>
              <w:left w:val="nil"/>
              <w:bottom w:val="nil"/>
              <w:right w:val="nil"/>
            </w:tcBorders>
            <w:shd w:val="clear" w:color="auto" w:fill="auto"/>
            <w:noWrap/>
            <w:vAlign w:val="center"/>
          </w:tcPr>
          <w:p w14:paraId="3ABA8607" w14:textId="64BEF88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0.044**</w:t>
            </w:r>
          </w:p>
        </w:tc>
      </w:tr>
      <w:tr w:rsidR="00D06000" w:rsidRPr="00357722" w14:paraId="7F759E01" w14:textId="77777777" w:rsidTr="00D06000">
        <w:trPr>
          <w:trHeight w:val="20"/>
        </w:trPr>
        <w:tc>
          <w:tcPr>
            <w:tcW w:w="821" w:type="pct"/>
            <w:tcBorders>
              <w:top w:val="nil"/>
              <w:left w:val="nil"/>
              <w:bottom w:val="nil"/>
              <w:right w:val="nil"/>
            </w:tcBorders>
            <w:shd w:val="clear" w:color="auto" w:fill="auto"/>
            <w:noWrap/>
            <w:vAlign w:val="bottom"/>
            <w:hideMark/>
          </w:tcPr>
          <w:p w14:paraId="482F21FC"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53379417"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517" w:type="pct"/>
            <w:tcBorders>
              <w:top w:val="nil"/>
              <w:left w:val="nil"/>
              <w:bottom w:val="nil"/>
              <w:right w:val="nil"/>
            </w:tcBorders>
            <w:shd w:val="clear" w:color="auto" w:fill="auto"/>
            <w:noWrap/>
            <w:vAlign w:val="center"/>
          </w:tcPr>
          <w:p w14:paraId="16392481"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293A1CCA"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8" w:type="pct"/>
            <w:tcBorders>
              <w:top w:val="nil"/>
              <w:left w:val="nil"/>
              <w:bottom w:val="nil"/>
              <w:right w:val="nil"/>
            </w:tcBorders>
            <w:shd w:val="clear" w:color="auto" w:fill="auto"/>
            <w:noWrap/>
            <w:vAlign w:val="center"/>
          </w:tcPr>
          <w:p w14:paraId="356F4681"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08F08388"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514" w:type="pct"/>
            <w:tcBorders>
              <w:top w:val="nil"/>
              <w:left w:val="nil"/>
              <w:bottom w:val="nil"/>
              <w:right w:val="nil"/>
            </w:tcBorders>
            <w:shd w:val="clear" w:color="auto" w:fill="auto"/>
            <w:noWrap/>
            <w:vAlign w:val="center"/>
          </w:tcPr>
          <w:p w14:paraId="0DF2A285"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25" w:type="pct"/>
            <w:tcBorders>
              <w:top w:val="nil"/>
              <w:left w:val="nil"/>
              <w:bottom w:val="nil"/>
              <w:right w:val="nil"/>
            </w:tcBorders>
            <w:shd w:val="clear" w:color="auto" w:fill="auto"/>
            <w:noWrap/>
            <w:vAlign w:val="center"/>
          </w:tcPr>
          <w:p w14:paraId="30517EF1"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86" w:type="pct"/>
            <w:tcBorders>
              <w:top w:val="nil"/>
              <w:left w:val="nil"/>
              <w:bottom w:val="nil"/>
              <w:right w:val="nil"/>
            </w:tcBorders>
            <w:shd w:val="clear" w:color="auto" w:fill="auto"/>
            <w:noWrap/>
            <w:vAlign w:val="center"/>
          </w:tcPr>
          <w:p w14:paraId="417FA6FD"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5935FDAB" w14:textId="0D514277"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(3.40)</w:t>
            </w:r>
          </w:p>
        </w:tc>
        <w:tc>
          <w:tcPr>
            <w:tcW w:w="379" w:type="pct"/>
            <w:tcBorders>
              <w:top w:val="nil"/>
              <w:left w:val="nil"/>
              <w:bottom w:val="nil"/>
              <w:right w:val="nil"/>
            </w:tcBorders>
            <w:shd w:val="clear" w:color="auto" w:fill="auto"/>
            <w:noWrap/>
            <w:vAlign w:val="center"/>
          </w:tcPr>
          <w:p w14:paraId="07516716" w14:textId="016F8688"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(2.52)</w:t>
            </w:r>
          </w:p>
        </w:tc>
        <w:tc>
          <w:tcPr>
            <w:tcW w:w="358" w:type="pct"/>
            <w:tcBorders>
              <w:top w:val="nil"/>
              <w:left w:val="nil"/>
              <w:bottom w:val="nil"/>
              <w:right w:val="nil"/>
            </w:tcBorders>
            <w:shd w:val="clear" w:color="auto" w:fill="auto"/>
            <w:noWrap/>
            <w:vAlign w:val="center"/>
          </w:tcPr>
          <w:p w14:paraId="58EC61ED" w14:textId="2E88C4D5" w:rsidR="00764F8B" w:rsidRPr="00357722" w:rsidRDefault="00764F8B" w:rsidP="00543F90">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(2.38)</w:t>
            </w:r>
          </w:p>
        </w:tc>
      </w:tr>
      <w:tr w:rsidR="00B44DCB" w:rsidRPr="00357722" w14:paraId="67D4FF48" w14:textId="77777777" w:rsidTr="00D06000">
        <w:trPr>
          <w:trHeight w:val="20"/>
        </w:trPr>
        <w:tc>
          <w:tcPr>
            <w:tcW w:w="821" w:type="pct"/>
            <w:tcBorders>
              <w:top w:val="nil"/>
              <w:left w:val="nil"/>
              <w:bottom w:val="nil"/>
              <w:right w:val="nil"/>
            </w:tcBorders>
            <w:shd w:val="clear" w:color="auto" w:fill="auto"/>
            <w:noWrap/>
            <w:vAlign w:val="center"/>
            <w:hideMark/>
          </w:tcPr>
          <w:p w14:paraId="5E3B958E" w14:textId="50CAD027" w:rsidR="00B44DCB" w:rsidRPr="00357722" w:rsidRDefault="008857A2"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FSDGDP</w:t>
            </w:r>
          </w:p>
        </w:tc>
        <w:tc>
          <w:tcPr>
            <w:tcW w:w="513" w:type="pct"/>
            <w:tcBorders>
              <w:top w:val="nil"/>
              <w:left w:val="nil"/>
              <w:bottom w:val="nil"/>
              <w:right w:val="nil"/>
            </w:tcBorders>
            <w:shd w:val="clear" w:color="auto" w:fill="auto"/>
            <w:noWrap/>
            <w:vAlign w:val="center"/>
          </w:tcPr>
          <w:p w14:paraId="2EE558E8" w14:textId="3F47639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0.003</w:t>
            </w:r>
          </w:p>
        </w:tc>
        <w:tc>
          <w:tcPr>
            <w:tcW w:w="517" w:type="pct"/>
            <w:tcBorders>
              <w:top w:val="nil"/>
              <w:left w:val="nil"/>
              <w:bottom w:val="nil"/>
              <w:right w:val="nil"/>
            </w:tcBorders>
            <w:shd w:val="clear" w:color="auto" w:fill="auto"/>
            <w:noWrap/>
            <w:vAlign w:val="center"/>
          </w:tcPr>
          <w:p w14:paraId="2F907A79" w14:textId="1A1468B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0.005***</w:t>
            </w:r>
          </w:p>
        </w:tc>
        <w:tc>
          <w:tcPr>
            <w:tcW w:w="425" w:type="pct"/>
            <w:tcBorders>
              <w:top w:val="nil"/>
              <w:left w:val="nil"/>
              <w:bottom w:val="nil"/>
              <w:right w:val="nil"/>
            </w:tcBorders>
            <w:shd w:val="clear" w:color="auto" w:fill="auto"/>
            <w:noWrap/>
            <w:vAlign w:val="center"/>
          </w:tcPr>
          <w:p w14:paraId="54B744A7" w14:textId="23EF901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0.004**</w:t>
            </w:r>
          </w:p>
        </w:tc>
        <w:tc>
          <w:tcPr>
            <w:tcW w:w="88" w:type="pct"/>
            <w:tcBorders>
              <w:top w:val="nil"/>
              <w:left w:val="nil"/>
              <w:bottom w:val="nil"/>
              <w:right w:val="nil"/>
            </w:tcBorders>
            <w:shd w:val="clear" w:color="auto" w:fill="auto"/>
            <w:noWrap/>
            <w:vAlign w:val="center"/>
          </w:tcPr>
          <w:p w14:paraId="15D1AC90"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27D5C763" w14:textId="0FA0387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0.005**</w:t>
            </w:r>
          </w:p>
        </w:tc>
        <w:tc>
          <w:tcPr>
            <w:tcW w:w="514" w:type="pct"/>
            <w:tcBorders>
              <w:top w:val="nil"/>
              <w:left w:val="nil"/>
              <w:bottom w:val="nil"/>
              <w:right w:val="nil"/>
            </w:tcBorders>
            <w:shd w:val="clear" w:color="auto" w:fill="auto"/>
            <w:noWrap/>
            <w:vAlign w:val="center"/>
          </w:tcPr>
          <w:p w14:paraId="4F4EE7D9" w14:textId="10A408D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0.006***</w:t>
            </w:r>
          </w:p>
        </w:tc>
        <w:tc>
          <w:tcPr>
            <w:tcW w:w="425" w:type="pct"/>
            <w:tcBorders>
              <w:top w:val="nil"/>
              <w:left w:val="nil"/>
              <w:bottom w:val="nil"/>
              <w:right w:val="nil"/>
            </w:tcBorders>
            <w:shd w:val="clear" w:color="auto" w:fill="auto"/>
            <w:noWrap/>
            <w:vAlign w:val="center"/>
          </w:tcPr>
          <w:p w14:paraId="2121433B" w14:textId="7FF3525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0.005***</w:t>
            </w:r>
          </w:p>
        </w:tc>
        <w:tc>
          <w:tcPr>
            <w:tcW w:w="86" w:type="pct"/>
            <w:tcBorders>
              <w:top w:val="nil"/>
              <w:left w:val="nil"/>
              <w:bottom w:val="nil"/>
              <w:right w:val="nil"/>
            </w:tcBorders>
            <w:shd w:val="clear" w:color="auto" w:fill="auto"/>
            <w:noWrap/>
            <w:vAlign w:val="center"/>
          </w:tcPr>
          <w:p w14:paraId="141CE848"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3407CE53" w14:textId="0E8501C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0.005</w:t>
            </w:r>
          </w:p>
        </w:tc>
        <w:tc>
          <w:tcPr>
            <w:tcW w:w="379" w:type="pct"/>
            <w:tcBorders>
              <w:top w:val="nil"/>
              <w:left w:val="nil"/>
              <w:bottom w:val="nil"/>
              <w:right w:val="nil"/>
            </w:tcBorders>
            <w:shd w:val="clear" w:color="auto" w:fill="auto"/>
            <w:noWrap/>
            <w:vAlign w:val="center"/>
          </w:tcPr>
          <w:p w14:paraId="2A831A86" w14:textId="1FA1B4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0.006***</w:t>
            </w:r>
          </w:p>
        </w:tc>
        <w:tc>
          <w:tcPr>
            <w:tcW w:w="358" w:type="pct"/>
            <w:tcBorders>
              <w:top w:val="nil"/>
              <w:left w:val="nil"/>
              <w:bottom w:val="nil"/>
              <w:right w:val="nil"/>
            </w:tcBorders>
            <w:shd w:val="clear" w:color="auto" w:fill="auto"/>
            <w:noWrap/>
            <w:vAlign w:val="center"/>
          </w:tcPr>
          <w:p w14:paraId="029D4E64" w14:textId="1995012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0.005**</w:t>
            </w:r>
          </w:p>
        </w:tc>
      </w:tr>
      <w:tr w:rsidR="00B44DCB" w:rsidRPr="00357722" w14:paraId="490BED02" w14:textId="77777777" w:rsidTr="00D06000">
        <w:trPr>
          <w:trHeight w:val="20"/>
        </w:trPr>
        <w:tc>
          <w:tcPr>
            <w:tcW w:w="821" w:type="pct"/>
            <w:tcBorders>
              <w:top w:val="nil"/>
              <w:left w:val="nil"/>
              <w:bottom w:val="nil"/>
              <w:right w:val="nil"/>
            </w:tcBorders>
            <w:shd w:val="clear" w:color="auto" w:fill="auto"/>
            <w:noWrap/>
            <w:vAlign w:val="bottom"/>
            <w:hideMark/>
          </w:tcPr>
          <w:p w14:paraId="71526CC2"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02234C23" w14:textId="37049041"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(1.46)</w:t>
            </w:r>
          </w:p>
        </w:tc>
        <w:tc>
          <w:tcPr>
            <w:tcW w:w="517" w:type="pct"/>
            <w:tcBorders>
              <w:top w:val="nil"/>
              <w:left w:val="nil"/>
              <w:bottom w:val="nil"/>
              <w:right w:val="nil"/>
            </w:tcBorders>
            <w:shd w:val="clear" w:color="auto" w:fill="auto"/>
            <w:noWrap/>
            <w:vAlign w:val="center"/>
          </w:tcPr>
          <w:p w14:paraId="1F2C7F5B" w14:textId="4E099A2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(3.75)</w:t>
            </w:r>
          </w:p>
        </w:tc>
        <w:tc>
          <w:tcPr>
            <w:tcW w:w="425" w:type="pct"/>
            <w:tcBorders>
              <w:top w:val="nil"/>
              <w:left w:val="nil"/>
              <w:bottom w:val="nil"/>
              <w:right w:val="nil"/>
            </w:tcBorders>
            <w:shd w:val="clear" w:color="auto" w:fill="auto"/>
            <w:noWrap/>
            <w:vAlign w:val="center"/>
          </w:tcPr>
          <w:p w14:paraId="091E9916" w14:textId="7FF1A82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(2.54)</w:t>
            </w:r>
          </w:p>
        </w:tc>
        <w:tc>
          <w:tcPr>
            <w:tcW w:w="88" w:type="pct"/>
            <w:tcBorders>
              <w:top w:val="nil"/>
              <w:left w:val="nil"/>
              <w:bottom w:val="nil"/>
              <w:right w:val="nil"/>
            </w:tcBorders>
            <w:shd w:val="clear" w:color="auto" w:fill="auto"/>
            <w:noWrap/>
            <w:vAlign w:val="center"/>
          </w:tcPr>
          <w:p w14:paraId="75E38EFF"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35F1BAB5" w14:textId="34AA4BE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(2.19)</w:t>
            </w:r>
          </w:p>
        </w:tc>
        <w:tc>
          <w:tcPr>
            <w:tcW w:w="514" w:type="pct"/>
            <w:tcBorders>
              <w:top w:val="nil"/>
              <w:left w:val="nil"/>
              <w:bottom w:val="nil"/>
              <w:right w:val="nil"/>
            </w:tcBorders>
            <w:shd w:val="clear" w:color="auto" w:fill="auto"/>
            <w:noWrap/>
            <w:vAlign w:val="center"/>
          </w:tcPr>
          <w:p w14:paraId="15948527" w14:textId="042E288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(4.39)</w:t>
            </w:r>
          </w:p>
        </w:tc>
        <w:tc>
          <w:tcPr>
            <w:tcW w:w="425" w:type="pct"/>
            <w:tcBorders>
              <w:top w:val="nil"/>
              <w:left w:val="nil"/>
              <w:bottom w:val="nil"/>
              <w:right w:val="nil"/>
            </w:tcBorders>
            <w:shd w:val="clear" w:color="auto" w:fill="auto"/>
            <w:noWrap/>
            <w:vAlign w:val="center"/>
          </w:tcPr>
          <w:p w14:paraId="7DC4E302" w14:textId="79D6379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(3.24)</w:t>
            </w:r>
          </w:p>
        </w:tc>
        <w:tc>
          <w:tcPr>
            <w:tcW w:w="86" w:type="pct"/>
            <w:tcBorders>
              <w:top w:val="nil"/>
              <w:left w:val="nil"/>
              <w:bottom w:val="nil"/>
              <w:right w:val="nil"/>
            </w:tcBorders>
            <w:shd w:val="clear" w:color="auto" w:fill="auto"/>
            <w:noWrap/>
            <w:vAlign w:val="center"/>
          </w:tcPr>
          <w:p w14:paraId="0545CCA0"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61C7C434" w14:textId="4B6ADB6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(1.57)</w:t>
            </w:r>
          </w:p>
        </w:tc>
        <w:tc>
          <w:tcPr>
            <w:tcW w:w="379" w:type="pct"/>
            <w:tcBorders>
              <w:top w:val="nil"/>
              <w:left w:val="nil"/>
              <w:bottom w:val="nil"/>
              <w:right w:val="nil"/>
            </w:tcBorders>
            <w:shd w:val="clear" w:color="auto" w:fill="auto"/>
            <w:noWrap/>
            <w:vAlign w:val="center"/>
          </w:tcPr>
          <w:p w14:paraId="47BEF3EE" w14:textId="5D7028C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(2.75)</w:t>
            </w:r>
          </w:p>
        </w:tc>
        <w:tc>
          <w:tcPr>
            <w:tcW w:w="358" w:type="pct"/>
            <w:tcBorders>
              <w:top w:val="nil"/>
              <w:left w:val="nil"/>
              <w:bottom w:val="nil"/>
              <w:right w:val="nil"/>
            </w:tcBorders>
            <w:shd w:val="clear" w:color="auto" w:fill="auto"/>
            <w:noWrap/>
            <w:vAlign w:val="center"/>
          </w:tcPr>
          <w:p w14:paraId="03A0C0AA" w14:textId="32DA42A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(2.25)</w:t>
            </w:r>
          </w:p>
        </w:tc>
      </w:tr>
      <w:tr w:rsidR="00B44DCB" w:rsidRPr="00357722" w14:paraId="476F8844" w14:textId="77777777" w:rsidTr="00D06000">
        <w:trPr>
          <w:trHeight w:val="20"/>
        </w:trPr>
        <w:tc>
          <w:tcPr>
            <w:tcW w:w="821" w:type="pct"/>
            <w:tcBorders>
              <w:top w:val="nil"/>
              <w:left w:val="nil"/>
              <w:bottom w:val="nil"/>
              <w:right w:val="nil"/>
            </w:tcBorders>
            <w:shd w:val="clear" w:color="auto" w:fill="auto"/>
            <w:noWrap/>
            <w:vAlign w:val="center"/>
            <w:hideMark/>
          </w:tcPr>
          <w:p w14:paraId="699048DB" w14:textId="77777777"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FINOPEN</w:t>
            </w:r>
          </w:p>
        </w:tc>
        <w:tc>
          <w:tcPr>
            <w:tcW w:w="513" w:type="pct"/>
            <w:tcBorders>
              <w:top w:val="nil"/>
              <w:left w:val="nil"/>
              <w:bottom w:val="nil"/>
              <w:right w:val="nil"/>
            </w:tcBorders>
            <w:shd w:val="clear" w:color="auto" w:fill="auto"/>
            <w:noWrap/>
            <w:vAlign w:val="center"/>
          </w:tcPr>
          <w:p w14:paraId="5F47DF4F" w14:textId="002AD41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0.120**</w:t>
            </w:r>
          </w:p>
        </w:tc>
        <w:tc>
          <w:tcPr>
            <w:tcW w:w="517" w:type="pct"/>
            <w:tcBorders>
              <w:top w:val="nil"/>
              <w:left w:val="nil"/>
              <w:bottom w:val="nil"/>
              <w:right w:val="nil"/>
            </w:tcBorders>
            <w:shd w:val="clear" w:color="auto" w:fill="auto"/>
            <w:noWrap/>
            <w:vAlign w:val="center"/>
          </w:tcPr>
          <w:p w14:paraId="634ECD29" w14:textId="596390E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0.108***</w:t>
            </w:r>
          </w:p>
        </w:tc>
        <w:tc>
          <w:tcPr>
            <w:tcW w:w="425" w:type="pct"/>
            <w:tcBorders>
              <w:top w:val="nil"/>
              <w:left w:val="nil"/>
              <w:bottom w:val="nil"/>
              <w:right w:val="nil"/>
            </w:tcBorders>
            <w:shd w:val="clear" w:color="auto" w:fill="auto"/>
            <w:noWrap/>
            <w:vAlign w:val="center"/>
          </w:tcPr>
          <w:p w14:paraId="61219A93" w14:textId="3B9B7E3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0.087***</w:t>
            </w:r>
          </w:p>
        </w:tc>
        <w:tc>
          <w:tcPr>
            <w:tcW w:w="88" w:type="pct"/>
            <w:tcBorders>
              <w:top w:val="nil"/>
              <w:left w:val="nil"/>
              <w:bottom w:val="nil"/>
              <w:right w:val="nil"/>
            </w:tcBorders>
            <w:shd w:val="clear" w:color="auto" w:fill="auto"/>
            <w:noWrap/>
            <w:vAlign w:val="center"/>
          </w:tcPr>
          <w:p w14:paraId="6133DCD5"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1DABB2A5" w14:textId="2A2030B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0.060</w:t>
            </w:r>
          </w:p>
        </w:tc>
        <w:tc>
          <w:tcPr>
            <w:tcW w:w="514" w:type="pct"/>
            <w:tcBorders>
              <w:top w:val="nil"/>
              <w:left w:val="nil"/>
              <w:bottom w:val="nil"/>
              <w:right w:val="nil"/>
            </w:tcBorders>
            <w:shd w:val="clear" w:color="auto" w:fill="auto"/>
            <w:noWrap/>
            <w:vAlign w:val="center"/>
          </w:tcPr>
          <w:p w14:paraId="5EF1208F" w14:textId="2FF9BC9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0.065***</w:t>
            </w:r>
          </w:p>
        </w:tc>
        <w:tc>
          <w:tcPr>
            <w:tcW w:w="425" w:type="pct"/>
            <w:tcBorders>
              <w:top w:val="nil"/>
              <w:left w:val="nil"/>
              <w:bottom w:val="nil"/>
              <w:right w:val="nil"/>
            </w:tcBorders>
            <w:shd w:val="clear" w:color="auto" w:fill="auto"/>
            <w:noWrap/>
            <w:vAlign w:val="center"/>
          </w:tcPr>
          <w:p w14:paraId="637AE5C3" w14:textId="1AC5AE9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0.043*</w:t>
            </w:r>
          </w:p>
        </w:tc>
        <w:tc>
          <w:tcPr>
            <w:tcW w:w="86" w:type="pct"/>
            <w:tcBorders>
              <w:top w:val="nil"/>
              <w:left w:val="nil"/>
              <w:bottom w:val="nil"/>
              <w:right w:val="nil"/>
            </w:tcBorders>
            <w:shd w:val="clear" w:color="auto" w:fill="auto"/>
            <w:noWrap/>
            <w:vAlign w:val="center"/>
          </w:tcPr>
          <w:p w14:paraId="7CCD658B"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6EBD816D" w14:textId="118545F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0.049</w:t>
            </w:r>
          </w:p>
        </w:tc>
        <w:tc>
          <w:tcPr>
            <w:tcW w:w="379" w:type="pct"/>
            <w:tcBorders>
              <w:top w:val="nil"/>
              <w:left w:val="nil"/>
              <w:bottom w:val="nil"/>
              <w:right w:val="nil"/>
            </w:tcBorders>
            <w:shd w:val="clear" w:color="auto" w:fill="auto"/>
            <w:noWrap/>
            <w:vAlign w:val="center"/>
          </w:tcPr>
          <w:p w14:paraId="771B1D38" w14:textId="40DA02F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0.105***</w:t>
            </w:r>
          </w:p>
        </w:tc>
        <w:tc>
          <w:tcPr>
            <w:tcW w:w="358" w:type="pct"/>
            <w:tcBorders>
              <w:top w:val="nil"/>
              <w:left w:val="nil"/>
              <w:bottom w:val="nil"/>
              <w:right w:val="nil"/>
            </w:tcBorders>
            <w:shd w:val="clear" w:color="auto" w:fill="auto"/>
            <w:noWrap/>
            <w:vAlign w:val="center"/>
          </w:tcPr>
          <w:p w14:paraId="663CD977" w14:textId="06B0058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0.083**</w:t>
            </w:r>
          </w:p>
        </w:tc>
      </w:tr>
      <w:tr w:rsidR="00B44DCB" w:rsidRPr="00357722" w14:paraId="5540C09D" w14:textId="77777777" w:rsidTr="00D06000">
        <w:trPr>
          <w:trHeight w:val="20"/>
        </w:trPr>
        <w:tc>
          <w:tcPr>
            <w:tcW w:w="821" w:type="pct"/>
            <w:tcBorders>
              <w:top w:val="nil"/>
              <w:left w:val="nil"/>
              <w:bottom w:val="nil"/>
              <w:right w:val="nil"/>
            </w:tcBorders>
            <w:shd w:val="clear" w:color="auto" w:fill="auto"/>
            <w:noWrap/>
            <w:vAlign w:val="bottom"/>
            <w:hideMark/>
          </w:tcPr>
          <w:p w14:paraId="1CCB70F9"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43B9B2E2" w14:textId="43D0BBD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(2.53)</w:t>
            </w:r>
          </w:p>
        </w:tc>
        <w:tc>
          <w:tcPr>
            <w:tcW w:w="517" w:type="pct"/>
            <w:tcBorders>
              <w:top w:val="nil"/>
              <w:left w:val="nil"/>
              <w:bottom w:val="nil"/>
              <w:right w:val="nil"/>
            </w:tcBorders>
            <w:shd w:val="clear" w:color="auto" w:fill="auto"/>
            <w:noWrap/>
            <w:vAlign w:val="center"/>
          </w:tcPr>
          <w:p w14:paraId="46106B4E" w14:textId="6A97543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(4.35)</w:t>
            </w:r>
          </w:p>
        </w:tc>
        <w:tc>
          <w:tcPr>
            <w:tcW w:w="425" w:type="pct"/>
            <w:tcBorders>
              <w:top w:val="nil"/>
              <w:left w:val="nil"/>
              <w:bottom w:val="nil"/>
              <w:right w:val="nil"/>
            </w:tcBorders>
            <w:shd w:val="clear" w:color="auto" w:fill="auto"/>
            <w:noWrap/>
            <w:vAlign w:val="center"/>
          </w:tcPr>
          <w:p w14:paraId="7EF17C0E" w14:textId="0209FAA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(3.34)</w:t>
            </w:r>
          </w:p>
        </w:tc>
        <w:tc>
          <w:tcPr>
            <w:tcW w:w="88" w:type="pct"/>
            <w:tcBorders>
              <w:top w:val="nil"/>
              <w:left w:val="nil"/>
              <w:bottom w:val="nil"/>
              <w:right w:val="nil"/>
            </w:tcBorders>
            <w:shd w:val="clear" w:color="auto" w:fill="auto"/>
            <w:noWrap/>
            <w:vAlign w:val="center"/>
          </w:tcPr>
          <w:p w14:paraId="1131146F"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22E996CE" w14:textId="2CC7FC1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(1.43)</w:t>
            </w:r>
          </w:p>
        </w:tc>
        <w:tc>
          <w:tcPr>
            <w:tcW w:w="514" w:type="pct"/>
            <w:tcBorders>
              <w:top w:val="nil"/>
              <w:left w:val="nil"/>
              <w:bottom w:val="nil"/>
              <w:right w:val="nil"/>
            </w:tcBorders>
            <w:shd w:val="clear" w:color="auto" w:fill="auto"/>
            <w:noWrap/>
            <w:vAlign w:val="center"/>
          </w:tcPr>
          <w:p w14:paraId="764B2451" w14:textId="0F1E2C3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(2.59)</w:t>
            </w:r>
          </w:p>
        </w:tc>
        <w:tc>
          <w:tcPr>
            <w:tcW w:w="425" w:type="pct"/>
            <w:tcBorders>
              <w:top w:val="nil"/>
              <w:left w:val="nil"/>
              <w:bottom w:val="nil"/>
              <w:right w:val="nil"/>
            </w:tcBorders>
            <w:shd w:val="clear" w:color="auto" w:fill="auto"/>
            <w:noWrap/>
            <w:vAlign w:val="center"/>
          </w:tcPr>
          <w:p w14:paraId="3BBD1C34" w14:textId="1393D0A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(1.73)</w:t>
            </w:r>
          </w:p>
        </w:tc>
        <w:tc>
          <w:tcPr>
            <w:tcW w:w="86" w:type="pct"/>
            <w:tcBorders>
              <w:top w:val="nil"/>
              <w:left w:val="nil"/>
              <w:bottom w:val="nil"/>
              <w:right w:val="nil"/>
            </w:tcBorders>
            <w:shd w:val="clear" w:color="auto" w:fill="auto"/>
            <w:noWrap/>
            <w:vAlign w:val="center"/>
          </w:tcPr>
          <w:p w14:paraId="60EFDC91"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6CED932B" w14:textId="19DB274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(0.70)</w:t>
            </w:r>
          </w:p>
        </w:tc>
        <w:tc>
          <w:tcPr>
            <w:tcW w:w="379" w:type="pct"/>
            <w:tcBorders>
              <w:top w:val="nil"/>
              <w:left w:val="nil"/>
              <w:bottom w:val="nil"/>
              <w:right w:val="nil"/>
            </w:tcBorders>
            <w:shd w:val="clear" w:color="auto" w:fill="auto"/>
            <w:noWrap/>
            <w:vAlign w:val="center"/>
          </w:tcPr>
          <w:p w14:paraId="7133D96C" w14:textId="077DC34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(2.98)</w:t>
            </w:r>
          </w:p>
        </w:tc>
        <w:tc>
          <w:tcPr>
            <w:tcW w:w="358" w:type="pct"/>
            <w:tcBorders>
              <w:top w:val="nil"/>
              <w:left w:val="nil"/>
              <w:bottom w:val="nil"/>
              <w:right w:val="nil"/>
            </w:tcBorders>
            <w:shd w:val="clear" w:color="auto" w:fill="auto"/>
            <w:noWrap/>
            <w:vAlign w:val="center"/>
          </w:tcPr>
          <w:p w14:paraId="6D28E75D" w14:textId="7EB94C6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(2.28)</w:t>
            </w:r>
          </w:p>
        </w:tc>
      </w:tr>
      <w:tr w:rsidR="00B44DCB" w:rsidRPr="00357722" w14:paraId="00A65430" w14:textId="77777777" w:rsidTr="00D06000">
        <w:trPr>
          <w:trHeight w:val="20"/>
        </w:trPr>
        <w:tc>
          <w:tcPr>
            <w:tcW w:w="821" w:type="pct"/>
            <w:tcBorders>
              <w:top w:val="nil"/>
              <w:left w:val="nil"/>
              <w:bottom w:val="nil"/>
              <w:right w:val="nil"/>
            </w:tcBorders>
            <w:shd w:val="clear" w:color="auto" w:fill="auto"/>
            <w:noWrap/>
            <w:vAlign w:val="center"/>
            <w:hideMark/>
          </w:tcPr>
          <w:p w14:paraId="302A1B2E" w14:textId="77777777"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LAWNO</w:t>
            </w:r>
          </w:p>
        </w:tc>
        <w:tc>
          <w:tcPr>
            <w:tcW w:w="513" w:type="pct"/>
            <w:tcBorders>
              <w:top w:val="nil"/>
              <w:left w:val="nil"/>
              <w:bottom w:val="nil"/>
              <w:right w:val="nil"/>
            </w:tcBorders>
            <w:shd w:val="clear" w:color="auto" w:fill="auto"/>
            <w:noWrap/>
            <w:vAlign w:val="center"/>
          </w:tcPr>
          <w:p w14:paraId="5A618CE0" w14:textId="6F2305A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0.060</w:t>
            </w:r>
          </w:p>
        </w:tc>
        <w:tc>
          <w:tcPr>
            <w:tcW w:w="517" w:type="pct"/>
            <w:tcBorders>
              <w:top w:val="nil"/>
              <w:left w:val="nil"/>
              <w:bottom w:val="nil"/>
              <w:right w:val="nil"/>
            </w:tcBorders>
            <w:shd w:val="clear" w:color="auto" w:fill="auto"/>
            <w:noWrap/>
            <w:vAlign w:val="center"/>
          </w:tcPr>
          <w:p w14:paraId="6B664D0E" w14:textId="1FAC2D1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-0.007</w:t>
            </w:r>
          </w:p>
        </w:tc>
        <w:tc>
          <w:tcPr>
            <w:tcW w:w="425" w:type="pct"/>
            <w:tcBorders>
              <w:top w:val="nil"/>
              <w:left w:val="nil"/>
              <w:bottom w:val="nil"/>
              <w:right w:val="nil"/>
            </w:tcBorders>
            <w:shd w:val="clear" w:color="auto" w:fill="auto"/>
            <w:noWrap/>
            <w:vAlign w:val="center"/>
          </w:tcPr>
          <w:p w14:paraId="4EA71090" w14:textId="72F3B62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-0.004</w:t>
            </w:r>
          </w:p>
        </w:tc>
        <w:tc>
          <w:tcPr>
            <w:tcW w:w="88" w:type="pct"/>
            <w:tcBorders>
              <w:top w:val="nil"/>
              <w:left w:val="nil"/>
              <w:bottom w:val="nil"/>
              <w:right w:val="nil"/>
            </w:tcBorders>
            <w:shd w:val="clear" w:color="auto" w:fill="auto"/>
            <w:noWrap/>
            <w:vAlign w:val="center"/>
          </w:tcPr>
          <w:p w14:paraId="7A335587"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1E65077E" w14:textId="28B7EB1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0.113**</w:t>
            </w:r>
          </w:p>
        </w:tc>
        <w:tc>
          <w:tcPr>
            <w:tcW w:w="514" w:type="pct"/>
            <w:tcBorders>
              <w:top w:val="nil"/>
              <w:left w:val="nil"/>
              <w:bottom w:val="nil"/>
              <w:right w:val="nil"/>
            </w:tcBorders>
            <w:shd w:val="clear" w:color="auto" w:fill="auto"/>
            <w:noWrap/>
            <w:vAlign w:val="center"/>
          </w:tcPr>
          <w:p w14:paraId="24DD3289" w14:textId="32C1833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0.026</w:t>
            </w:r>
          </w:p>
        </w:tc>
        <w:tc>
          <w:tcPr>
            <w:tcW w:w="425" w:type="pct"/>
            <w:tcBorders>
              <w:top w:val="nil"/>
              <w:left w:val="nil"/>
              <w:bottom w:val="nil"/>
              <w:right w:val="nil"/>
            </w:tcBorders>
            <w:shd w:val="clear" w:color="auto" w:fill="auto"/>
            <w:noWrap/>
            <w:vAlign w:val="center"/>
          </w:tcPr>
          <w:p w14:paraId="54E8695E" w14:textId="44D42DA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0.023</w:t>
            </w:r>
          </w:p>
        </w:tc>
        <w:tc>
          <w:tcPr>
            <w:tcW w:w="86" w:type="pct"/>
            <w:tcBorders>
              <w:top w:val="nil"/>
              <w:left w:val="nil"/>
              <w:bottom w:val="nil"/>
              <w:right w:val="nil"/>
            </w:tcBorders>
            <w:shd w:val="clear" w:color="auto" w:fill="auto"/>
            <w:noWrap/>
            <w:vAlign w:val="center"/>
          </w:tcPr>
          <w:p w14:paraId="731F0C71"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092D4E54" w14:textId="7285CF2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0.083</w:t>
            </w:r>
          </w:p>
        </w:tc>
        <w:tc>
          <w:tcPr>
            <w:tcW w:w="379" w:type="pct"/>
            <w:tcBorders>
              <w:top w:val="nil"/>
              <w:left w:val="nil"/>
              <w:bottom w:val="nil"/>
              <w:right w:val="nil"/>
            </w:tcBorders>
            <w:shd w:val="clear" w:color="auto" w:fill="auto"/>
            <w:noWrap/>
            <w:vAlign w:val="center"/>
          </w:tcPr>
          <w:p w14:paraId="2A22A8FC" w14:textId="1268F08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0.009</w:t>
            </w:r>
          </w:p>
        </w:tc>
        <w:tc>
          <w:tcPr>
            <w:tcW w:w="358" w:type="pct"/>
            <w:tcBorders>
              <w:top w:val="nil"/>
              <w:left w:val="nil"/>
              <w:bottom w:val="nil"/>
              <w:right w:val="nil"/>
            </w:tcBorders>
            <w:shd w:val="clear" w:color="auto" w:fill="auto"/>
            <w:noWrap/>
            <w:vAlign w:val="center"/>
          </w:tcPr>
          <w:p w14:paraId="0EB9956E" w14:textId="5EE0FB8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0.020</w:t>
            </w:r>
          </w:p>
        </w:tc>
      </w:tr>
      <w:tr w:rsidR="00B44DCB" w:rsidRPr="00357722" w14:paraId="32389982" w14:textId="77777777" w:rsidTr="00D06000">
        <w:trPr>
          <w:trHeight w:val="20"/>
        </w:trPr>
        <w:tc>
          <w:tcPr>
            <w:tcW w:w="821" w:type="pct"/>
            <w:tcBorders>
              <w:top w:val="nil"/>
              <w:left w:val="nil"/>
              <w:bottom w:val="nil"/>
              <w:right w:val="nil"/>
            </w:tcBorders>
            <w:shd w:val="clear" w:color="auto" w:fill="auto"/>
            <w:noWrap/>
            <w:vAlign w:val="bottom"/>
            <w:hideMark/>
          </w:tcPr>
          <w:p w14:paraId="07F863E6"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5F1D1358" w14:textId="20D5FD0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(1.00)</w:t>
            </w:r>
          </w:p>
        </w:tc>
        <w:tc>
          <w:tcPr>
            <w:tcW w:w="517" w:type="pct"/>
            <w:tcBorders>
              <w:top w:val="nil"/>
              <w:left w:val="nil"/>
              <w:bottom w:val="nil"/>
              <w:right w:val="nil"/>
            </w:tcBorders>
            <w:shd w:val="clear" w:color="auto" w:fill="auto"/>
            <w:noWrap/>
            <w:vAlign w:val="center"/>
          </w:tcPr>
          <w:p w14:paraId="797C036D" w14:textId="6ADE0DE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(-0.27)</w:t>
            </w:r>
          </w:p>
        </w:tc>
        <w:tc>
          <w:tcPr>
            <w:tcW w:w="425" w:type="pct"/>
            <w:tcBorders>
              <w:top w:val="nil"/>
              <w:left w:val="nil"/>
              <w:bottom w:val="nil"/>
              <w:right w:val="nil"/>
            </w:tcBorders>
            <w:shd w:val="clear" w:color="auto" w:fill="auto"/>
            <w:noWrap/>
            <w:vAlign w:val="center"/>
          </w:tcPr>
          <w:p w14:paraId="259C56B3" w14:textId="7DD01CC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(-0.14)</w:t>
            </w:r>
          </w:p>
        </w:tc>
        <w:tc>
          <w:tcPr>
            <w:tcW w:w="88" w:type="pct"/>
            <w:tcBorders>
              <w:top w:val="nil"/>
              <w:left w:val="nil"/>
              <w:bottom w:val="nil"/>
              <w:right w:val="nil"/>
            </w:tcBorders>
            <w:shd w:val="clear" w:color="auto" w:fill="auto"/>
            <w:noWrap/>
            <w:vAlign w:val="center"/>
          </w:tcPr>
          <w:p w14:paraId="79B6CC4B"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4C84D15" w14:textId="1AE9050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(2.11)</w:t>
            </w:r>
          </w:p>
        </w:tc>
        <w:tc>
          <w:tcPr>
            <w:tcW w:w="514" w:type="pct"/>
            <w:tcBorders>
              <w:top w:val="nil"/>
              <w:left w:val="nil"/>
              <w:bottom w:val="nil"/>
              <w:right w:val="nil"/>
            </w:tcBorders>
            <w:shd w:val="clear" w:color="auto" w:fill="auto"/>
            <w:noWrap/>
            <w:vAlign w:val="center"/>
          </w:tcPr>
          <w:p w14:paraId="434217F0" w14:textId="787222A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(0.92)</w:t>
            </w:r>
          </w:p>
        </w:tc>
        <w:tc>
          <w:tcPr>
            <w:tcW w:w="425" w:type="pct"/>
            <w:tcBorders>
              <w:top w:val="nil"/>
              <w:left w:val="nil"/>
              <w:bottom w:val="nil"/>
              <w:right w:val="nil"/>
            </w:tcBorders>
            <w:shd w:val="clear" w:color="auto" w:fill="auto"/>
            <w:noWrap/>
            <w:vAlign w:val="center"/>
          </w:tcPr>
          <w:p w14:paraId="599D2F06" w14:textId="4DA81CF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(0.86)</w:t>
            </w:r>
          </w:p>
        </w:tc>
        <w:tc>
          <w:tcPr>
            <w:tcW w:w="86" w:type="pct"/>
            <w:tcBorders>
              <w:top w:val="nil"/>
              <w:left w:val="nil"/>
              <w:bottom w:val="nil"/>
              <w:right w:val="nil"/>
            </w:tcBorders>
            <w:shd w:val="clear" w:color="auto" w:fill="auto"/>
            <w:noWrap/>
            <w:vAlign w:val="center"/>
          </w:tcPr>
          <w:p w14:paraId="7E21D50A"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72F6D4FE" w14:textId="58813BD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(1.13)</w:t>
            </w:r>
          </w:p>
        </w:tc>
        <w:tc>
          <w:tcPr>
            <w:tcW w:w="379" w:type="pct"/>
            <w:tcBorders>
              <w:top w:val="nil"/>
              <w:left w:val="nil"/>
              <w:bottom w:val="nil"/>
              <w:right w:val="nil"/>
            </w:tcBorders>
            <w:shd w:val="clear" w:color="auto" w:fill="auto"/>
            <w:noWrap/>
            <w:vAlign w:val="center"/>
          </w:tcPr>
          <w:p w14:paraId="025617ED" w14:textId="70E18091"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(0.23)</w:t>
            </w:r>
          </w:p>
        </w:tc>
        <w:tc>
          <w:tcPr>
            <w:tcW w:w="358" w:type="pct"/>
            <w:tcBorders>
              <w:top w:val="nil"/>
              <w:left w:val="nil"/>
              <w:bottom w:val="nil"/>
              <w:right w:val="nil"/>
            </w:tcBorders>
            <w:shd w:val="clear" w:color="auto" w:fill="auto"/>
            <w:noWrap/>
            <w:vAlign w:val="center"/>
          </w:tcPr>
          <w:p w14:paraId="3BE0981E" w14:textId="160E363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(0.49)</w:t>
            </w:r>
          </w:p>
        </w:tc>
      </w:tr>
      <w:tr w:rsidR="00B44DCB" w:rsidRPr="00357722" w14:paraId="6D952291" w14:textId="77777777" w:rsidTr="00D06000">
        <w:trPr>
          <w:trHeight w:val="20"/>
        </w:trPr>
        <w:tc>
          <w:tcPr>
            <w:tcW w:w="821" w:type="pct"/>
            <w:tcBorders>
              <w:top w:val="nil"/>
              <w:left w:val="nil"/>
              <w:bottom w:val="nil"/>
              <w:right w:val="nil"/>
            </w:tcBorders>
            <w:shd w:val="clear" w:color="auto" w:fill="auto"/>
            <w:noWrap/>
            <w:vAlign w:val="center"/>
            <w:hideMark/>
          </w:tcPr>
          <w:p w14:paraId="4065DC34" w14:textId="77777777"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POPG</w:t>
            </w:r>
          </w:p>
        </w:tc>
        <w:tc>
          <w:tcPr>
            <w:tcW w:w="513" w:type="pct"/>
            <w:tcBorders>
              <w:top w:val="nil"/>
              <w:left w:val="nil"/>
              <w:bottom w:val="nil"/>
              <w:right w:val="nil"/>
            </w:tcBorders>
            <w:shd w:val="clear" w:color="auto" w:fill="auto"/>
            <w:noWrap/>
            <w:vAlign w:val="center"/>
          </w:tcPr>
          <w:p w14:paraId="1EBD97C6" w14:textId="49CC22C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0.053</w:t>
            </w:r>
          </w:p>
        </w:tc>
        <w:tc>
          <w:tcPr>
            <w:tcW w:w="517" w:type="pct"/>
            <w:tcBorders>
              <w:top w:val="nil"/>
              <w:left w:val="nil"/>
              <w:bottom w:val="nil"/>
              <w:right w:val="nil"/>
            </w:tcBorders>
            <w:shd w:val="clear" w:color="auto" w:fill="auto"/>
            <w:noWrap/>
            <w:vAlign w:val="center"/>
          </w:tcPr>
          <w:p w14:paraId="6A745B72" w14:textId="3D4837B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0.086***</w:t>
            </w:r>
          </w:p>
        </w:tc>
        <w:tc>
          <w:tcPr>
            <w:tcW w:w="425" w:type="pct"/>
            <w:tcBorders>
              <w:top w:val="nil"/>
              <w:left w:val="nil"/>
              <w:bottom w:val="nil"/>
              <w:right w:val="nil"/>
            </w:tcBorders>
            <w:shd w:val="clear" w:color="auto" w:fill="auto"/>
            <w:noWrap/>
            <w:vAlign w:val="center"/>
          </w:tcPr>
          <w:p w14:paraId="0CE5206C" w14:textId="5581896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0.084***</w:t>
            </w:r>
          </w:p>
        </w:tc>
        <w:tc>
          <w:tcPr>
            <w:tcW w:w="88" w:type="pct"/>
            <w:tcBorders>
              <w:top w:val="nil"/>
              <w:left w:val="nil"/>
              <w:bottom w:val="nil"/>
              <w:right w:val="nil"/>
            </w:tcBorders>
            <w:shd w:val="clear" w:color="auto" w:fill="auto"/>
            <w:noWrap/>
            <w:vAlign w:val="center"/>
          </w:tcPr>
          <w:p w14:paraId="4D199A50"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6A41C90D" w14:textId="456CD1E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0.052</w:t>
            </w:r>
          </w:p>
        </w:tc>
        <w:tc>
          <w:tcPr>
            <w:tcW w:w="514" w:type="pct"/>
            <w:tcBorders>
              <w:top w:val="nil"/>
              <w:left w:val="nil"/>
              <w:bottom w:val="nil"/>
              <w:right w:val="nil"/>
            </w:tcBorders>
            <w:shd w:val="clear" w:color="auto" w:fill="auto"/>
            <w:noWrap/>
            <w:vAlign w:val="center"/>
          </w:tcPr>
          <w:p w14:paraId="78CAD754" w14:textId="7ABE5DE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0.091***</w:t>
            </w:r>
          </w:p>
        </w:tc>
        <w:tc>
          <w:tcPr>
            <w:tcW w:w="425" w:type="pct"/>
            <w:tcBorders>
              <w:top w:val="nil"/>
              <w:left w:val="nil"/>
              <w:bottom w:val="nil"/>
              <w:right w:val="nil"/>
            </w:tcBorders>
            <w:shd w:val="clear" w:color="auto" w:fill="auto"/>
            <w:noWrap/>
            <w:vAlign w:val="center"/>
          </w:tcPr>
          <w:p w14:paraId="18B3A907" w14:textId="7424EA2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0.089***</w:t>
            </w:r>
          </w:p>
        </w:tc>
        <w:tc>
          <w:tcPr>
            <w:tcW w:w="86" w:type="pct"/>
            <w:tcBorders>
              <w:top w:val="nil"/>
              <w:left w:val="nil"/>
              <w:bottom w:val="nil"/>
              <w:right w:val="nil"/>
            </w:tcBorders>
            <w:shd w:val="clear" w:color="auto" w:fill="auto"/>
            <w:noWrap/>
            <w:vAlign w:val="center"/>
          </w:tcPr>
          <w:p w14:paraId="3F684098"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1D82D2E6" w14:textId="540F4FC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0.074</w:t>
            </w:r>
          </w:p>
        </w:tc>
        <w:tc>
          <w:tcPr>
            <w:tcW w:w="379" w:type="pct"/>
            <w:tcBorders>
              <w:top w:val="nil"/>
              <w:left w:val="nil"/>
              <w:bottom w:val="nil"/>
              <w:right w:val="nil"/>
            </w:tcBorders>
            <w:shd w:val="clear" w:color="auto" w:fill="auto"/>
            <w:noWrap/>
            <w:vAlign w:val="center"/>
          </w:tcPr>
          <w:p w14:paraId="3EE18690" w14:textId="6A74A96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0.119***</w:t>
            </w:r>
          </w:p>
        </w:tc>
        <w:tc>
          <w:tcPr>
            <w:tcW w:w="358" w:type="pct"/>
            <w:tcBorders>
              <w:top w:val="nil"/>
              <w:left w:val="nil"/>
              <w:bottom w:val="nil"/>
              <w:right w:val="nil"/>
            </w:tcBorders>
            <w:shd w:val="clear" w:color="auto" w:fill="auto"/>
            <w:noWrap/>
            <w:vAlign w:val="center"/>
          </w:tcPr>
          <w:p w14:paraId="6CF42750" w14:textId="18930CD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0.110**</w:t>
            </w:r>
          </w:p>
        </w:tc>
      </w:tr>
      <w:tr w:rsidR="00B44DCB" w:rsidRPr="00357722" w14:paraId="658C7EA0" w14:textId="77777777" w:rsidTr="00D06000">
        <w:trPr>
          <w:trHeight w:val="20"/>
        </w:trPr>
        <w:tc>
          <w:tcPr>
            <w:tcW w:w="821" w:type="pct"/>
            <w:tcBorders>
              <w:top w:val="nil"/>
              <w:left w:val="nil"/>
              <w:bottom w:val="nil"/>
              <w:right w:val="nil"/>
            </w:tcBorders>
            <w:shd w:val="clear" w:color="auto" w:fill="auto"/>
            <w:noWrap/>
            <w:vAlign w:val="bottom"/>
            <w:hideMark/>
          </w:tcPr>
          <w:p w14:paraId="0D5C1448"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2082CE86" w14:textId="1836E87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(0.99)</w:t>
            </w:r>
          </w:p>
        </w:tc>
        <w:tc>
          <w:tcPr>
            <w:tcW w:w="517" w:type="pct"/>
            <w:tcBorders>
              <w:top w:val="nil"/>
              <w:left w:val="nil"/>
              <w:bottom w:val="nil"/>
              <w:right w:val="nil"/>
            </w:tcBorders>
            <w:shd w:val="clear" w:color="auto" w:fill="auto"/>
            <w:noWrap/>
            <w:vAlign w:val="center"/>
          </w:tcPr>
          <w:p w14:paraId="55399F47" w14:textId="0E91BF3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(3.06)</w:t>
            </w:r>
          </w:p>
        </w:tc>
        <w:tc>
          <w:tcPr>
            <w:tcW w:w="425" w:type="pct"/>
            <w:tcBorders>
              <w:top w:val="nil"/>
              <w:left w:val="nil"/>
              <w:bottom w:val="nil"/>
              <w:right w:val="nil"/>
            </w:tcBorders>
            <w:shd w:val="clear" w:color="auto" w:fill="auto"/>
            <w:noWrap/>
            <w:vAlign w:val="center"/>
          </w:tcPr>
          <w:p w14:paraId="1EA05444" w14:textId="25B06B6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(2.76)</w:t>
            </w:r>
          </w:p>
        </w:tc>
        <w:tc>
          <w:tcPr>
            <w:tcW w:w="88" w:type="pct"/>
            <w:tcBorders>
              <w:top w:val="nil"/>
              <w:left w:val="nil"/>
              <w:bottom w:val="nil"/>
              <w:right w:val="nil"/>
            </w:tcBorders>
            <w:shd w:val="clear" w:color="auto" w:fill="auto"/>
            <w:noWrap/>
            <w:vAlign w:val="center"/>
          </w:tcPr>
          <w:p w14:paraId="07CD76A5"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04D456C" w14:textId="473739B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(1.18)</w:t>
            </w:r>
          </w:p>
        </w:tc>
        <w:tc>
          <w:tcPr>
            <w:tcW w:w="514" w:type="pct"/>
            <w:tcBorders>
              <w:top w:val="nil"/>
              <w:left w:val="nil"/>
              <w:bottom w:val="nil"/>
              <w:right w:val="nil"/>
            </w:tcBorders>
            <w:shd w:val="clear" w:color="auto" w:fill="auto"/>
            <w:noWrap/>
            <w:vAlign w:val="center"/>
          </w:tcPr>
          <w:p w14:paraId="5F6D23E3" w14:textId="2CAE558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(3.59)</w:t>
            </w:r>
          </w:p>
        </w:tc>
        <w:tc>
          <w:tcPr>
            <w:tcW w:w="425" w:type="pct"/>
            <w:tcBorders>
              <w:top w:val="nil"/>
              <w:left w:val="nil"/>
              <w:bottom w:val="nil"/>
              <w:right w:val="nil"/>
            </w:tcBorders>
            <w:shd w:val="clear" w:color="auto" w:fill="auto"/>
            <w:noWrap/>
            <w:vAlign w:val="center"/>
          </w:tcPr>
          <w:p w14:paraId="7906ABC7" w14:textId="37142EC1"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(3.39)</w:t>
            </w:r>
          </w:p>
        </w:tc>
        <w:tc>
          <w:tcPr>
            <w:tcW w:w="86" w:type="pct"/>
            <w:tcBorders>
              <w:top w:val="nil"/>
              <w:left w:val="nil"/>
              <w:bottom w:val="nil"/>
              <w:right w:val="nil"/>
            </w:tcBorders>
            <w:shd w:val="clear" w:color="auto" w:fill="auto"/>
            <w:noWrap/>
            <w:vAlign w:val="center"/>
          </w:tcPr>
          <w:p w14:paraId="0FF8FC37"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5DF07477" w14:textId="11EEDA7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(0.94)</w:t>
            </w:r>
          </w:p>
        </w:tc>
        <w:tc>
          <w:tcPr>
            <w:tcW w:w="379" w:type="pct"/>
            <w:tcBorders>
              <w:top w:val="nil"/>
              <w:left w:val="nil"/>
              <w:bottom w:val="nil"/>
              <w:right w:val="nil"/>
            </w:tcBorders>
            <w:shd w:val="clear" w:color="auto" w:fill="auto"/>
            <w:noWrap/>
            <w:vAlign w:val="center"/>
          </w:tcPr>
          <w:p w14:paraId="6CB0D2B1" w14:textId="133F836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(2.90)</w:t>
            </w:r>
          </w:p>
        </w:tc>
        <w:tc>
          <w:tcPr>
            <w:tcW w:w="358" w:type="pct"/>
            <w:tcBorders>
              <w:top w:val="nil"/>
              <w:left w:val="nil"/>
              <w:bottom w:val="nil"/>
              <w:right w:val="nil"/>
            </w:tcBorders>
            <w:shd w:val="clear" w:color="auto" w:fill="auto"/>
            <w:noWrap/>
            <w:vAlign w:val="center"/>
          </w:tcPr>
          <w:p w14:paraId="568FCBDB" w14:textId="06A122D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(2.49)</w:t>
            </w:r>
          </w:p>
        </w:tc>
      </w:tr>
      <w:tr w:rsidR="00B44DCB" w:rsidRPr="00357722" w14:paraId="6AF9320E" w14:textId="77777777" w:rsidTr="00D06000">
        <w:trPr>
          <w:trHeight w:val="20"/>
        </w:trPr>
        <w:tc>
          <w:tcPr>
            <w:tcW w:w="821" w:type="pct"/>
            <w:tcBorders>
              <w:top w:val="nil"/>
              <w:left w:val="nil"/>
              <w:bottom w:val="nil"/>
              <w:right w:val="nil"/>
            </w:tcBorders>
            <w:shd w:val="clear" w:color="auto" w:fill="auto"/>
            <w:noWrap/>
            <w:vAlign w:val="center"/>
            <w:hideMark/>
          </w:tcPr>
          <w:p w14:paraId="59E2B9CF" w14:textId="77777777"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GDPG</w:t>
            </w:r>
          </w:p>
        </w:tc>
        <w:tc>
          <w:tcPr>
            <w:tcW w:w="513" w:type="pct"/>
            <w:tcBorders>
              <w:top w:val="nil"/>
              <w:left w:val="nil"/>
              <w:bottom w:val="nil"/>
              <w:right w:val="nil"/>
            </w:tcBorders>
            <w:shd w:val="clear" w:color="auto" w:fill="auto"/>
            <w:noWrap/>
            <w:vAlign w:val="center"/>
          </w:tcPr>
          <w:p w14:paraId="69FF1370" w14:textId="41D5E00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0.022**</w:t>
            </w:r>
          </w:p>
        </w:tc>
        <w:tc>
          <w:tcPr>
            <w:tcW w:w="517" w:type="pct"/>
            <w:tcBorders>
              <w:top w:val="nil"/>
              <w:left w:val="nil"/>
              <w:bottom w:val="nil"/>
              <w:right w:val="nil"/>
            </w:tcBorders>
            <w:shd w:val="clear" w:color="auto" w:fill="auto"/>
            <w:noWrap/>
            <w:vAlign w:val="center"/>
          </w:tcPr>
          <w:p w14:paraId="79999656" w14:textId="33689401"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-0.035***</w:t>
            </w:r>
          </w:p>
        </w:tc>
        <w:tc>
          <w:tcPr>
            <w:tcW w:w="425" w:type="pct"/>
            <w:tcBorders>
              <w:top w:val="nil"/>
              <w:left w:val="nil"/>
              <w:bottom w:val="nil"/>
              <w:right w:val="nil"/>
            </w:tcBorders>
            <w:shd w:val="clear" w:color="auto" w:fill="auto"/>
            <w:noWrap/>
            <w:vAlign w:val="center"/>
          </w:tcPr>
          <w:p w14:paraId="14295B9A" w14:textId="584831E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-0.030***</w:t>
            </w:r>
          </w:p>
        </w:tc>
        <w:tc>
          <w:tcPr>
            <w:tcW w:w="88" w:type="pct"/>
            <w:tcBorders>
              <w:top w:val="nil"/>
              <w:left w:val="nil"/>
              <w:bottom w:val="nil"/>
              <w:right w:val="nil"/>
            </w:tcBorders>
            <w:shd w:val="clear" w:color="auto" w:fill="auto"/>
            <w:noWrap/>
            <w:vAlign w:val="center"/>
          </w:tcPr>
          <w:p w14:paraId="11ABEE40"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0BDFD5C9" w14:textId="1C526E9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0.027***</w:t>
            </w:r>
          </w:p>
        </w:tc>
        <w:tc>
          <w:tcPr>
            <w:tcW w:w="514" w:type="pct"/>
            <w:tcBorders>
              <w:top w:val="nil"/>
              <w:left w:val="nil"/>
              <w:bottom w:val="nil"/>
              <w:right w:val="nil"/>
            </w:tcBorders>
            <w:shd w:val="clear" w:color="auto" w:fill="auto"/>
            <w:noWrap/>
            <w:vAlign w:val="center"/>
          </w:tcPr>
          <w:p w14:paraId="25192CE7" w14:textId="216A685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-0.031***</w:t>
            </w:r>
          </w:p>
        </w:tc>
        <w:tc>
          <w:tcPr>
            <w:tcW w:w="425" w:type="pct"/>
            <w:tcBorders>
              <w:top w:val="nil"/>
              <w:left w:val="nil"/>
              <w:bottom w:val="nil"/>
              <w:right w:val="nil"/>
            </w:tcBorders>
            <w:shd w:val="clear" w:color="auto" w:fill="auto"/>
            <w:noWrap/>
            <w:vAlign w:val="center"/>
          </w:tcPr>
          <w:p w14:paraId="51DC6C30" w14:textId="0A3162E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-0.027***</w:t>
            </w:r>
          </w:p>
        </w:tc>
        <w:tc>
          <w:tcPr>
            <w:tcW w:w="86" w:type="pct"/>
            <w:tcBorders>
              <w:top w:val="nil"/>
              <w:left w:val="nil"/>
              <w:bottom w:val="nil"/>
              <w:right w:val="nil"/>
            </w:tcBorders>
            <w:shd w:val="clear" w:color="auto" w:fill="auto"/>
            <w:noWrap/>
            <w:vAlign w:val="center"/>
          </w:tcPr>
          <w:p w14:paraId="102F5837"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0357E33E" w14:textId="7408203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0.029***</w:t>
            </w:r>
          </w:p>
        </w:tc>
        <w:tc>
          <w:tcPr>
            <w:tcW w:w="379" w:type="pct"/>
            <w:tcBorders>
              <w:top w:val="nil"/>
              <w:left w:val="nil"/>
              <w:bottom w:val="nil"/>
              <w:right w:val="nil"/>
            </w:tcBorders>
            <w:shd w:val="clear" w:color="auto" w:fill="auto"/>
            <w:noWrap/>
            <w:vAlign w:val="center"/>
          </w:tcPr>
          <w:p w14:paraId="5DB569E9" w14:textId="76C8060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-0.031***</w:t>
            </w:r>
          </w:p>
        </w:tc>
        <w:tc>
          <w:tcPr>
            <w:tcW w:w="358" w:type="pct"/>
            <w:tcBorders>
              <w:top w:val="nil"/>
              <w:left w:val="nil"/>
              <w:bottom w:val="nil"/>
              <w:right w:val="nil"/>
            </w:tcBorders>
            <w:shd w:val="clear" w:color="auto" w:fill="auto"/>
            <w:noWrap/>
            <w:vAlign w:val="center"/>
          </w:tcPr>
          <w:p w14:paraId="13ACE5D1" w14:textId="729B980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-0.025***</w:t>
            </w:r>
          </w:p>
        </w:tc>
      </w:tr>
      <w:tr w:rsidR="00B44DCB" w:rsidRPr="00357722" w14:paraId="01EDDB8E" w14:textId="77777777" w:rsidTr="00D06000">
        <w:trPr>
          <w:trHeight w:val="20"/>
        </w:trPr>
        <w:tc>
          <w:tcPr>
            <w:tcW w:w="821" w:type="pct"/>
            <w:tcBorders>
              <w:top w:val="nil"/>
              <w:left w:val="nil"/>
              <w:bottom w:val="nil"/>
              <w:right w:val="nil"/>
            </w:tcBorders>
            <w:shd w:val="clear" w:color="auto" w:fill="auto"/>
            <w:noWrap/>
            <w:vAlign w:val="bottom"/>
            <w:hideMark/>
          </w:tcPr>
          <w:p w14:paraId="75022696"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6E8F5115" w14:textId="5976DC4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(2.58)</w:t>
            </w:r>
          </w:p>
        </w:tc>
        <w:tc>
          <w:tcPr>
            <w:tcW w:w="517" w:type="pct"/>
            <w:tcBorders>
              <w:top w:val="nil"/>
              <w:left w:val="nil"/>
              <w:bottom w:val="nil"/>
              <w:right w:val="nil"/>
            </w:tcBorders>
            <w:shd w:val="clear" w:color="auto" w:fill="auto"/>
            <w:noWrap/>
            <w:vAlign w:val="center"/>
          </w:tcPr>
          <w:p w14:paraId="0B2697EE" w14:textId="364A5B4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(-8.17)</w:t>
            </w:r>
          </w:p>
        </w:tc>
        <w:tc>
          <w:tcPr>
            <w:tcW w:w="425" w:type="pct"/>
            <w:tcBorders>
              <w:top w:val="nil"/>
              <w:left w:val="nil"/>
              <w:bottom w:val="nil"/>
              <w:right w:val="nil"/>
            </w:tcBorders>
            <w:shd w:val="clear" w:color="auto" w:fill="auto"/>
            <w:noWrap/>
            <w:vAlign w:val="center"/>
          </w:tcPr>
          <w:p w14:paraId="629F3E54" w14:textId="62EA0B8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(-7.17)</w:t>
            </w:r>
          </w:p>
        </w:tc>
        <w:tc>
          <w:tcPr>
            <w:tcW w:w="88" w:type="pct"/>
            <w:tcBorders>
              <w:top w:val="nil"/>
              <w:left w:val="nil"/>
              <w:bottom w:val="nil"/>
              <w:right w:val="nil"/>
            </w:tcBorders>
            <w:shd w:val="clear" w:color="auto" w:fill="auto"/>
            <w:noWrap/>
            <w:vAlign w:val="center"/>
          </w:tcPr>
          <w:p w14:paraId="1227178D"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00BF3971" w14:textId="2C34ED3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(3.45)</w:t>
            </w:r>
          </w:p>
        </w:tc>
        <w:tc>
          <w:tcPr>
            <w:tcW w:w="514" w:type="pct"/>
            <w:tcBorders>
              <w:top w:val="nil"/>
              <w:left w:val="nil"/>
              <w:bottom w:val="nil"/>
              <w:right w:val="nil"/>
            </w:tcBorders>
            <w:shd w:val="clear" w:color="auto" w:fill="auto"/>
            <w:noWrap/>
            <w:vAlign w:val="center"/>
          </w:tcPr>
          <w:p w14:paraId="430B66E3" w14:textId="057D608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(-8.33)</w:t>
            </w:r>
          </w:p>
        </w:tc>
        <w:tc>
          <w:tcPr>
            <w:tcW w:w="425" w:type="pct"/>
            <w:tcBorders>
              <w:top w:val="nil"/>
              <w:left w:val="nil"/>
              <w:bottom w:val="nil"/>
              <w:right w:val="nil"/>
            </w:tcBorders>
            <w:shd w:val="clear" w:color="auto" w:fill="auto"/>
            <w:noWrap/>
            <w:vAlign w:val="center"/>
          </w:tcPr>
          <w:p w14:paraId="2776ED35" w14:textId="35EDC79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(-7.56)</w:t>
            </w:r>
          </w:p>
        </w:tc>
        <w:tc>
          <w:tcPr>
            <w:tcW w:w="86" w:type="pct"/>
            <w:tcBorders>
              <w:top w:val="nil"/>
              <w:left w:val="nil"/>
              <w:bottom w:val="nil"/>
              <w:right w:val="nil"/>
            </w:tcBorders>
            <w:shd w:val="clear" w:color="auto" w:fill="auto"/>
            <w:noWrap/>
            <w:vAlign w:val="center"/>
          </w:tcPr>
          <w:p w14:paraId="1876C7EC"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1FE06F05" w14:textId="4624380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(3.34)</w:t>
            </w:r>
          </w:p>
        </w:tc>
        <w:tc>
          <w:tcPr>
            <w:tcW w:w="379" w:type="pct"/>
            <w:tcBorders>
              <w:top w:val="nil"/>
              <w:left w:val="nil"/>
              <w:bottom w:val="nil"/>
              <w:right w:val="nil"/>
            </w:tcBorders>
            <w:shd w:val="clear" w:color="auto" w:fill="auto"/>
            <w:noWrap/>
            <w:vAlign w:val="center"/>
          </w:tcPr>
          <w:p w14:paraId="000FD4D5" w14:textId="7686EAF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(-6.99)</w:t>
            </w:r>
          </w:p>
        </w:tc>
        <w:tc>
          <w:tcPr>
            <w:tcW w:w="358" w:type="pct"/>
            <w:tcBorders>
              <w:top w:val="nil"/>
              <w:left w:val="nil"/>
              <w:bottom w:val="nil"/>
              <w:right w:val="nil"/>
            </w:tcBorders>
            <w:shd w:val="clear" w:color="auto" w:fill="auto"/>
            <w:noWrap/>
            <w:vAlign w:val="center"/>
          </w:tcPr>
          <w:p w14:paraId="7A64A3D3" w14:textId="30EFFD7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(-5.27)</w:t>
            </w:r>
          </w:p>
        </w:tc>
      </w:tr>
      <w:tr w:rsidR="00B44DCB" w:rsidRPr="00357722" w14:paraId="3FD64165" w14:textId="77777777" w:rsidTr="00D06000">
        <w:trPr>
          <w:trHeight w:val="20"/>
        </w:trPr>
        <w:tc>
          <w:tcPr>
            <w:tcW w:w="821" w:type="pct"/>
            <w:tcBorders>
              <w:top w:val="nil"/>
              <w:left w:val="nil"/>
              <w:bottom w:val="nil"/>
              <w:right w:val="nil"/>
            </w:tcBorders>
            <w:shd w:val="clear" w:color="auto" w:fill="auto"/>
            <w:noWrap/>
            <w:vAlign w:val="center"/>
            <w:hideMark/>
          </w:tcPr>
          <w:p w14:paraId="1D0C881E" w14:textId="77777777"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INFL</w:t>
            </w:r>
          </w:p>
        </w:tc>
        <w:tc>
          <w:tcPr>
            <w:tcW w:w="513" w:type="pct"/>
            <w:tcBorders>
              <w:top w:val="nil"/>
              <w:left w:val="nil"/>
              <w:bottom w:val="nil"/>
              <w:right w:val="nil"/>
            </w:tcBorders>
            <w:shd w:val="clear" w:color="auto" w:fill="auto"/>
            <w:noWrap/>
            <w:vAlign w:val="center"/>
          </w:tcPr>
          <w:p w14:paraId="04CE9CDA" w14:textId="6FAEEF6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0.008</w:t>
            </w:r>
          </w:p>
        </w:tc>
        <w:tc>
          <w:tcPr>
            <w:tcW w:w="517" w:type="pct"/>
            <w:tcBorders>
              <w:top w:val="nil"/>
              <w:left w:val="nil"/>
              <w:bottom w:val="nil"/>
              <w:right w:val="nil"/>
            </w:tcBorders>
            <w:shd w:val="clear" w:color="auto" w:fill="auto"/>
            <w:noWrap/>
            <w:vAlign w:val="center"/>
          </w:tcPr>
          <w:p w14:paraId="05641949" w14:textId="5B09571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-0.013***</w:t>
            </w:r>
          </w:p>
        </w:tc>
        <w:tc>
          <w:tcPr>
            <w:tcW w:w="425" w:type="pct"/>
            <w:tcBorders>
              <w:top w:val="nil"/>
              <w:left w:val="nil"/>
              <w:bottom w:val="nil"/>
              <w:right w:val="nil"/>
            </w:tcBorders>
            <w:shd w:val="clear" w:color="auto" w:fill="auto"/>
            <w:noWrap/>
            <w:vAlign w:val="center"/>
          </w:tcPr>
          <w:p w14:paraId="6C2AC0EF" w14:textId="1E2C9C2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-0.012***</w:t>
            </w:r>
          </w:p>
        </w:tc>
        <w:tc>
          <w:tcPr>
            <w:tcW w:w="88" w:type="pct"/>
            <w:tcBorders>
              <w:top w:val="nil"/>
              <w:left w:val="nil"/>
              <w:bottom w:val="nil"/>
              <w:right w:val="nil"/>
            </w:tcBorders>
            <w:shd w:val="clear" w:color="auto" w:fill="auto"/>
            <w:noWrap/>
            <w:vAlign w:val="center"/>
          </w:tcPr>
          <w:p w14:paraId="3F38929A"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85CE87F" w14:textId="7E0E681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0.008</w:t>
            </w:r>
          </w:p>
        </w:tc>
        <w:tc>
          <w:tcPr>
            <w:tcW w:w="514" w:type="pct"/>
            <w:tcBorders>
              <w:top w:val="nil"/>
              <w:left w:val="nil"/>
              <w:bottom w:val="nil"/>
              <w:right w:val="nil"/>
            </w:tcBorders>
            <w:shd w:val="clear" w:color="auto" w:fill="auto"/>
            <w:noWrap/>
            <w:vAlign w:val="center"/>
          </w:tcPr>
          <w:p w14:paraId="1F504614" w14:textId="09BCD0D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-0.013***</w:t>
            </w:r>
          </w:p>
        </w:tc>
        <w:tc>
          <w:tcPr>
            <w:tcW w:w="425" w:type="pct"/>
            <w:tcBorders>
              <w:top w:val="nil"/>
              <w:left w:val="nil"/>
              <w:bottom w:val="nil"/>
              <w:right w:val="nil"/>
            </w:tcBorders>
            <w:shd w:val="clear" w:color="auto" w:fill="auto"/>
            <w:noWrap/>
            <w:vAlign w:val="center"/>
          </w:tcPr>
          <w:p w14:paraId="659D1D25" w14:textId="2BA58E4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-0.012***</w:t>
            </w:r>
          </w:p>
        </w:tc>
        <w:tc>
          <w:tcPr>
            <w:tcW w:w="86" w:type="pct"/>
            <w:tcBorders>
              <w:top w:val="nil"/>
              <w:left w:val="nil"/>
              <w:bottom w:val="nil"/>
              <w:right w:val="nil"/>
            </w:tcBorders>
            <w:shd w:val="clear" w:color="auto" w:fill="auto"/>
            <w:noWrap/>
            <w:vAlign w:val="center"/>
          </w:tcPr>
          <w:p w14:paraId="5773F0E7"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15EDAD4E" w14:textId="667CE6D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0.021***</w:t>
            </w:r>
          </w:p>
        </w:tc>
        <w:tc>
          <w:tcPr>
            <w:tcW w:w="379" w:type="pct"/>
            <w:tcBorders>
              <w:top w:val="nil"/>
              <w:left w:val="nil"/>
              <w:bottom w:val="nil"/>
              <w:right w:val="nil"/>
            </w:tcBorders>
            <w:shd w:val="clear" w:color="auto" w:fill="auto"/>
            <w:noWrap/>
            <w:vAlign w:val="center"/>
          </w:tcPr>
          <w:p w14:paraId="5A1E4594" w14:textId="60B1689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-0.012**</w:t>
            </w:r>
          </w:p>
        </w:tc>
        <w:tc>
          <w:tcPr>
            <w:tcW w:w="358" w:type="pct"/>
            <w:tcBorders>
              <w:top w:val="nil"/>
              <w:left w:val="nil"/>
              <w:bottom w:val="nil"/>
              <w:right w:val="nil"/>
            </w:tcBorders>
            <w:shd w:val="clear" w:color="auto" w:fill="auto"/>
            <w:noWrap/>
            <w:vAlign w:val="center"/>
          </w:tcPr>
          <w:p w14:paraId="56601A1A" w14:textId="1106BE41"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-0.010*</w:t>
            </w:r>
          </w:p>
        </w:tc>
      </w:tr>
      <w:tr w:rsidR="00B44DCB" w:rsidRPr="00357722" w14:paraId="581A50AC" w14:textId="77777777" w:rsidTr="00D06000">
        <w:trPr>
          <w:trHeight w:val="20"/>
        </w:trPr>
        <w:tc>
          <w:tcPr>
            <w:tcW w:w="821" w:type="pct"/>
            <w:tcBorders>
              <w:top w:val="nil"/>
              <w:left w:val="nil"/>
              <w:bottom w:val="nil"/>
              <w:right w:val="nil"/>
            </w:tcBorders>
            <w:shd w:val="clear" w:color="auto" w:fill="auto"/>
            <w:noWrap/>
            <w:vAlign w:val="bottom"/>
            <w:hideMark/>
          </w:tcPr>
          <w:p w14:paraId="19979364"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66FE12AE" w14:textId="3152992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(1.58)</w:t>
            </w:r>
          </w:p>
        </w:tc>
        <w:tc>
          <w:tcPr>
            <w:tcW w:w="517" w:type="pct"/>
            <w:tcBorders>
              <w:top w:val="nil"/>
              <w:left w:val="nil"/>
              <w:bottom w:val="nil"/>
              <w:right w:val="nil"/>
            </w:tcBorders>
            <w:shd w:val="clear" w:color="auto" w:fill="auto"/>
            <w:noWrap/>
            <w:vAlign w:val="center"/>
          </w:tcPr>
          <w:p w14:paraId="3C1F959F" w14:textId="3B42BA8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(-2.92)</w:t>
            </w:r>
          </w:p>
        </w:tc>
        <w:tc>
          <w:tcPr>
            <w:tcW w:w="425" w:type="pct"/>
            <w:tcBorders>
              <w:top w:val="nil"/>
              <w:left w:val="nil"/>
              <w:bottom w:val="nil"/>
              <w:right w:val="nil"/>
            </w:tcBorders>
            <w:shd w:val="clear" w:color="auto" w:fill="auto"/>
            <w:noWrap/>
            <w:vAlign w:val="center"/>
          </w:tcPr>
          <w:p w14:paraId="22BBCAA2" w14:textId="0425745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(-2.86)</w:t>
            </w:r>
          </w:p>
        </w:tc>
        <w:tc>
          <w:tcPr>
            <w:tcW w:w="88" w:type="pct"/>
            <w:tcBorders>
              <w:top w:val="nil"/>
              <w:left w:val="nil"/>
              <w:bottom w:val="nil"/>
              <w:right w:val="nil"/>
            </w:tcBorders>
            <w:shd w:val="clear" w:color="auto" w:fill="auto"/>
            <w:noWrap/>
            <w:vAlign w:val="center"/>
          </w:tcPr>
          <w:p w14:paraId="19596279"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15238996" w14:textId="094FBAB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(1.56)</w:t>
            </w:r>
          </w:p>
        </w:tc>
        <w:tc>
          <w:tcPr>
            <w:tcW w:w="514" w:type="pct"/>
            <w:tcBorders>
              <w:top w:val="nil"/>
              <w:left w:val="nil"/>
              <w:bottom w:val="nil"/>
              <w:right w:val="nil"/>
            </w:tcBorders>
            <w:shd w:val="clear" w:color="auto" w:fill="auto"/>
            <w:noWrap/>
            <w:vAlign w:val="center"/>
          </w:tcPr>
          <w:p w14:paraId="0F61F9DD" w14:textId="52B9F90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(-3.31)</w:t>
            </w:r>
          </w:p>
        </w:tc>
        <w:tc>
          <w:tcPr>
            <w:tcW w:w="425" w:type="pct"/>
            <w:tcBorders>
              <w:top w:val="nil"/>
              <w:left w:val="nil"/>
              <w:bottom w:val="nil"/>
              <w:right w:val="nil"/>
            </w:tcBorders>
            <w:shd w:val="clear" w:color="auto" w:fill="auto"/>
            <w:noWrap/>
            <w:vAlign w:val="center"/>
          </w:tcPr>
          <w:p w14:paraId="3CBB59DE" w14:textId="439394D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(-3.25)</w:t>
            </w:r>
          </w:p>
        </w:tc>
        <w:tc>
          <w:tcPr>
            <w:tcW w:w="86" w:type="pct"/>
            <w:tcBorders>
              <w:top w:val="nil"/>
              <w:left w:val="nil"/>
              <w:bottom w:val="nil"/>
              <w:right w:val="nil"/>
            </w:tcBorders>
            <w:shd w:val="clear" w:color="auto" w:fill="auto"/>
            <w:noWrap/>
            <w:vAlign w:val="center"/>
          </w:tcPr>
          <w:p w14:paraId="7A737788"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3ABD8D19" w14:textId="0901723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(3.06)</w:t>
            </w:r>
          </w:p>
        </w:tc>
        <w:tc>
          <w:tcPr>
            <w:tcW w:w="379" w:type="pct"/>
            <w:tcBorders>
              <w:top w:val="nil"/>
              <w:left w:val="nil"/>
              <w:bottom w:val="nil"/>
              <w:right w:val="nil"/>
            </w:tcBorders>
            <w:shd w:val="clear" w:color="auto" w:fill="auto"/>
            <w:noWrap/>
            <w:vAlign w:val="center"/>
          </w:tcPr>
          <w:p w14:paraId="14DAD91E" w14:textId="17871EF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(-2.51)</w:t>
            </w:r>
          </w:p>
        </w:tc>
        <w:tc>
          <w:tcPr>
            <w:tcW w:w="358" w:type="pct"/>
            <w:tcBorders>
              <w:top w:val="nil"/>
              <w:left w:val="nil"/>
              <w:bottom w:val="nil"/>
              <w:right w:val="nil"/>
            </w:tcBorders>
            <w:shd w:val="clear" w:color="auto" w:fill="auto"/>
            <w:noWrap/>
            <w:vAlign w:val="center"/>
          </w:tcPr>
          <w:p w14:paraId="2AC80FFE" w14:textId="35BCB18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(-1.70)</w:t>
            </w:r>
          </w:p>
        </w:tc>
      </w:tr>
      <w:tr w:rsidR="00B44DCB" w:rsidRPr="00357722" w14:paraId="522C1D6A" w14:textId="77777777" w:rsidTr="00D06000">
        <w:trPr>
          <w:trHeight w:val="20"/>
        </w:trPr>
        <w:tc>
          <w:tcPr>
            <w:tcW w:w="821" w:type="pct"/>
            <w:tcBorders>
              <w:top w:val="nil"/>
              <w:left w:val="nil"/>
              <w:bottom w:val="nil"/>
              <w:right w:val="nil"/>
            </w:tcBorders>
            <w:shd w:val="clear" w:color="auto" w:fill="auto"/>
            <w:noWrap/>
            <w:vAlign w:val="center"/>
            <w:hideMark/>
          </w:tcPr>
          <w:p w14:paraId="0495C8AE" w14:textId="77777777"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TRDOPEN</w:t>
            </w:r>
          </w:p>
        </w:tc>
        <w:tc>
          <w:tcPr>
            <w:tcW w:w="513" w:type="pct"/>
            <w:tcBorders>
              <w:top w:val="nil"/>
              <w:left w:val="nil"/>
              <w:bottom w:val="nil"/>
              <w:right w:val="nil"/>
            </w:tcBorders>
            <w:shd w:val="clear" w:color="auto" w:fill="auto"/>
            <w:noWrap/>
            <w:vAlign w:val="center"/>
          </w:tcPr>
          <w:p w14:paraId="014067CC" w14:textId="3FCA8C0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0.001</w:t>
            </w:r>
          </w:p>
        </w:tc>
        <w:tc>
          <w:tcPr>
            <w:tcW w:w="517" w:type="pct"/>
            <w:tcBorders>
              <w:top w:val="nil"/>
              <w:left w:val="nil"/>
              <w:bottom w:val="nil"/>
              <w:right w:val="nil"/>
            </w:tcBorders>
            <w:shd w:val="clear" w:color="auto" w:fill="auto"/>
            <w:noWrap/>
            <w:vAlign w:val="center"/>
          </w:tcPr>
          <w:p w14:paraId="1EDAB382" w14:textId="75982A5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-0.002**</w:t>
            </w:r>
          </w:p>
        </w:tc>
        <w:tc>
          <w:tcPr>
            <w:tcW w:w="425" w:type="pct"/>
            <w:tcBorders>
              <w:top w:val="nil"/>
              <w:left w:val="nil"/>
              <w:bottom w:val="nil"/>
              <w:right w:val="nil"/>
            </w:tcBorders>
            <w:shd w:val="clear" w:color="auto" w:fill="auto"/>
            <w:noWrap/>
            <w:vAlign w:val="center"/>
          </w:tcPr>
          <w:p w14:paraId="4725571F" w14:textId="6585DA4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-0.001</w:t>
            </w:r>
          </w:p>
        </w:tc>
        <w:tc>
          <w:tcPr>
            <w:tcW w:w="88" w:type="pct"/>
            <w:tcBorders>
              <w:top w:val="nil"/>
              <w:left w:val="nil"/>
              <w:bottom w:val="nil"/>
              <w:right w:val="nil"/>
            </w:tcBorders>
            <w:shd w:val="clear" w:color="auto" w:fill="auto"/>
            <w:noWrap/>
            <w:vAlign w:val="center"/>
          </w:tcPr>
          <w:p w14:paraId="7E8C1DE2"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6063528C" w14:textId="0FC24D1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-0.001</w:t>
            </w:r>
          </w:p>
        </w:tc>
        <w:tc>
          <w:tcPr>
            <w:tcW w:w="514" w:type="pct"/>
            <w:tcBorders>
              <w:top w:val="nil"/>
              <w:left w:val="nil"/>
              <w:bottom w:val="nil"/>
              <w:right w:val="nil"/>
            </w:tcBorders>
            <w:shd w:val="clear" w:color="auto" w:fill="auto"/>
            <w:noWrap/>
            <w:vAlign w:val="center"/>
          </w:tcPr>
          <w:p w14:paraId="5D62B0FB" w14:textId="2C13E8F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-0.003***</w:t>
            </w:r>
          </w:p>
        </w:tc>
        <w:tc>
          <w:tcPr>
            <w:tcW w:w="425" w:type="pct"/>
            <w:tcBorders>
              <w:top w:val="nil"/>
              <w:left w:val="nil"/>
              <w:bottom w:val="nil"/>
              <w:right w:val="nil"/>
            </w:tcBorders>
            <w:shd w:val="clear" w:color="auto" w:fill="auto"/>
            <w:noWrap/>
            <w:vAlign w:val="center"/>
          </w:tcPr>
          <w:p w14:paraId="2E2C6B25" w14:textId="12DCE00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-0.002*</w:t>
            </w:r>
          </w:p>
        </w:tc>
        <w:tc>
          <w:tcPr>
            <w:tcW w:w="86" w:type="pct"/>
            <w:tcBorders>
              <w:top w:val="nil"/>
              <w:left w:val="nil"/>
              <w:bottom w:val="nil"/>
              <w:right w:val="nil"/>
            </w:tcBorders>
            <w:shd w:val="clear" w:color="auto" w:fill="auto"/>
            <w:noWrap/>
            <w:vAlign w:val="center"/>
          </w:tcPr>
          <w:p w14:paraId="79173BBC"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0B5B9E93" w14:textId="49D3255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0.003</w:t>
            </w:r>
          </w:p>
        </w:tc>
        <w:tc>
          <w:tcPr>
            <w:tcW w:w="379" w:type="pct"/>
            <w:tcBorders>
              <w:top w:val="nil"/>
              <w:left w:val="nil"/>
              <w:bottom w:val="nil"/>
              <w:right w:val="nil"/>
            </w:tcBorders>
            <w:shd w:val="clear" w:color="auto" w:fill="auto"/>
            <w:noWrap/>
            <w:vAlign w:val="center"/>
          </w:tcPr>
          <w:p w14:paraId="54DF29DE" w14:textId="444C529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-0.002</w:t>
            </w:r>
          </w:p>
        </w:tc>
        <w:tc>
          <w:tcPr>
            <w:tcW w:w="358" w:type="pct"/>
            <w:tcBorders>
              <w:top w:val="nil"/>
              <w:left w:val="nil"/>
              <w:bottom w:val="nil"/>
              <w:right w:val="nil"/>
            </w:tcBorders>
            <w:shd w:val="clear" w:color="auto" w:fill="auto"/>
            <w:noWrap/>
            <w:vAlign w:val="center"/>
          </w:tcPr>
          <w:p w14:paraId="105619E5" w14:textId="3F088E52"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-0.001</w:t>
            </w:r>
          </w:p>
        </w:tc>
      </w:tr>
      <w:tr w:rsidR="00B44DCB" w:rsidRPr="00357722" w14:paraId="7CACE281" w14:textId="77777777" w:rsidTr="00D06000">
        <w:trPr>
          <w:trHeight w:val="20"/>
        </w:trPr>
        <w:tc>
          <w:tcPr>
            <w:tcW w:w="821" w:type="pct"/>
            <w:tcBorders>
              <w:top w:val="nil"/>
              <w:left w:val="nil"/>
              <w:bottom w:val="nil"/>
              <w:right w:val="nil"/>
            </w:tcBorders>
            <w:shd w:val="clear" w:color="auto" w:fill="auto"/>
            <w:noWrap/>
            <w:vAlign w:val="bottom"/>
            <w:hideMark/>
          </w:tcPr>
          <w:p w14:paraId="01714055"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70BDA1AB" w14:textId="391B8AE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(0.55)</w:t>
            </w:r>
          </w:p>
        </w:tc>
        <w:tc>
          <w:tcPr>
            <w:tcW w:w="517" w:type="pct"/>
            <w:tcBorders>
              <w:top w:val="nil"/>
              <w:left w:val="nil"/>
              <w:bottom w:val="nil"/>
              <w:right w:val="nil"/>
            </w:tcBorders>
            <w:shd w:val="clear" w:color="auto" w:fill="auto"/>
            <w:noWrap/>
            <w:vAlign w:val="center"/>
          </w:tcPr>
          <w:p w14:paraId="35EFFE15" w14:textId="4948E06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(-2.14)</w:t>
            </w:r>
          </w:p>
        </w:tc>
        <w:tc>
          <w:tcPr>
            <w:tcW w:w="425" w:type="pct"/>
            <w:tcBorders>
              <w:top w:val="nil"/>
              <w:left w:val="nil"/>
              <w:bottom w:val="nil"/>
              <w:right w:val="nil"/>
            </w:tcBorders>
            <w:shd w:val="clear" w:color="auto" w:fill="auto"/>
            <w:noWrap/>
            <w:vAlign w:val="center"/>
          </w:tcPr>
          <w:p w14:paraId="52F32C4B" w14:textId="3BF14AEB"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(-0.88)</w:t>
            </w:r>
          </w:p>
        </w:tc>
        <w:tc>
          <w:tcPr>
            <w:tcW w:w="88" w:type="pct"/>
            <w:tcBorders>
              <w:top w:val="nil"/>
              <w:left w:val="nil"/>
              <w:bottom w:val="nil"/>
              <w:right w:val="nil"/>
            </w:tcBorders>
            <w:shd w:val="clear" w:color="auto" w:fill="auto"/>
            <w:noWrap/>
            <w:vAlign w:val="center"/>
          </w:tcPr>
          <w:p w14:paraId="55F709B8"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013CB4D5" w14:textId="3E8B9BB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(-0.53)</w:t>
            </w:r>
          </w:p>
        </w:tc>
        <w:tc>
          <w:tcPr>
            <w:tcW w:w="514" w:type="pct"/>
            <w:tcBorders>
              <w:top w:val="nil"/>
              <w:left w:val="nil"/>
              <w:bottom w:val="nil"/>
              <w:right w:val="nil"/>
            </w:tcBorders>
            <w:shd w:val="clear" w:color="auto" w:fill="auto"/>
            <w:noWrap/>
            <w:vAlign w:val="center"/>
          </w:tcPr>
          <w:p w14:paraId="10F212D1" w14:textId="0CE1FBF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(-3.19)</w:t>
            </w:r>
          </w:p>
        </w:tc>
        <w:tc>
          <w:tcPr>
            <w:tcW w:w="425" w:type="pct"/>
            <w:tcBorders>
              <w:top w:val="nil"/>
              <w:left w:val="nil"/>
              <w:bottom w:val="nil"/>
              <w:right w:val="nil"/>
            </w:tcBorders>
            <w:shd w:val="clear" w:color="auto" w:fill="auto"/>
            <w:noWrap/>
            <w:vAlign w:val="center"/>
          </w:tcPr>
          <w:p w14:paraId="31C8A1B0" w14:textId="548C4B4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(-1.78)</w:t>
            </w:r>
          </w:p>
        </w:tc>
        <w:tc>
          <w:tcPr>
            <w:tcW w:w="86" w:type="pct"/>
            <w:tcBorders>
              <w:top w:val="nil"/>
              <w:left w:val="nil"/>
              <w:bottom w:val="nil"/>
              <w:right w:val="nil"/>
            </w:tcBorders>
            <w:shd w:val="clear" w:color="auto" w:fill="auto"/>
            <w:noWrap/>
            <w:vAlign w:val="center"/>
          </w:tcPr>
          <w:p w14:paraId="78EFA008"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1BDB5938" w14:textId="1879FF5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(1.42)</w:t>
            </w:r>
          </w:p>
        </w:tc>
        <w:tc>
          <w:tcPr>
            <w:tcW w:w="379" w:type="pct"/>
            <w:tcBorders>
              <w:top w:val="nil"/>
              <w:left w:val="nil"/>
              <w:bottom w:val="nil"/>
              <w:right w:val="nil"/>
            </w:tcBorders>
            <w:shd w:val="clear" w:color="auto" w:fill="auto"/>
            <w:noWrap/>
            <w:vAlign w:val="center"/>
          </w:tcPr>
          <w:p w14:paraId="48FA706A" w14:textId="1B44CAF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(-1.59)</w:t>
            </w:r>
          </w:p>
        </w:tc>
        <w:tc>
          <w:tcPr>
            <w:tcW w:w="358" w:type="pct"/>
            <w:tcBorders>
              <w:top w:val="nil"/>
              <w:left w:val="nil"/>
              <w:bottom w:val="nil"/>
              <w:right w:val="nil"/>
            </w:tcBorders>
            <w:shd w:val="clear" w:color="auto" w:fill="auto"/>
            <w:noWrap/>
            <w:vAlign w:val="center"/>
          </w:tcPr>
          <w:p w14:paraId="4AB77FC1" w14:textId="392B98A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(-0.79)</w:t>
            </w:r>
          </w:p>
        </w:tc>
      </w:tr>
      <w:tr w:rsidR="00B44DCB" w:rsidRPr="00357722" w14:paraId="56B04709" w14:textId="77777777" w:rsidTr="00D06000">
        <w:trPr>
          <w:trHeight w:val="20"/>
        </w:trPr>
        <w:tc>
          <w:tcPr>
            <w:tcW w:w="821" w:type="pct"/>
            <w:tcBorders>
              <w:top w:val="nil"/>
              <w:left w:val="nil"/>
              <w:bottom w:val="nil"/>
              <w:right w:val="nil"/>
            </w:tcBorders>
            <w:shd w:val="clear" w:color="auto" w:fill="auto"/>
            <w:noWrap/>
            <w:vAlign w:val="center"/>
            <w:hideMark/>
          </w:tcPr>
          <w:p w14:paraId="0F7A7570" w14:textId="77777777" w:rsidR="00B44DCB" w:rsidRPr="00357722" w:rsidRDefault="00B44DCB"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REMITT</w:t>
            </w:r>
          </w:p>
        </w:tc>
        <w:tc>
          <w:tcPr>
            <w:tcW w:w="513" w:type="pct"/>
            <w:tcBorders>
              <w:top w:val="nil"/>
              <w:left w:val="nil"/>
              <w:bottom w:val="nil"/>
              <w:right w:val="nil"/>
            </w:tcBorders>
            <w:shd w:val="clear" w:color="auto" w:fill="auto"/>
            <w:noWrap/>
            <w:vAlign w:val="center"/>
          </w:tcPr>
          <w:p w14:paraId="67F805DA" w14:textId="08D8684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-0.113***</w:t>
            </w:r>
          </w:p>
        </w:tc>
        <w:tc>
          <w:tcPr>
            <w:tcW w:w="517" w:type="pct"/>
            <w:tcBorders>
              <w:top w:val="nil"/>
              <w:left w:val="nil"/>
              <w:bottom w:val="nil"/>
              <w:right w:val="nil"/>
            </w:tcBorders>
            <w:shd w:val="clear" w:color="auto" w:fill="auto"/>
            <w:noWrap/>
            <w:vAlign w:val="center"/>
          </w:tcPr>
          <w:p w14:paraId="310576EE" w14:textId="3450983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-0.035</w:t>
            </w:r>
          </w:p>
        </w:tc>
        <w:tc>
          <w:tcPr>
            <w:tcW w:w="425" w:type="pct"/>
            <w:tcBorders>
              <w:top w:val="nil"/>
              <w:left w:val="nil"/>
              <w:bottom w:val="nil"/>
              <w:right w:val="nil"/>
            </w:tcBorders>
            <w:shd w:val="clear" w:color="auto" w:fill="auto"/>
            <w:noWrap/>
            <w:vAlign w:val="center"/>
          </w:tcPr>
          <w:p w14:paraId="39B0502B" w14:textId="1FADB9F1"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-0.047*</w:t>
            </w:r>
          </w:p>
        </w:tc>
        <w:tc>
          <w:tcPr>
            <w:tcW w:w="88" w:type="pct"/>
            <w:tcBorders>
              <w:top w:val="nil"/>
              <w:left w:val="nil"/>
              <w:bottom w:val="nil"/>
              <w:right w:val="nil"/>
            </w:tcBorders>
            <w:shd w:val="clear" w:color="auto" w:fill="auto"/>
            <w:noWrap/>
            <w:vAlign w:val="center"/>
          </w:tcPr>
          <w:p w14:paraId="3C0054F1"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3C77ACA" w14:textId="25310278"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-0.057</w:t>
            </w:r>
          </w:p>
        </w:tc>
        <w:tc>
          <w:tcPr>
            <w:tcW w:w="514" w:type="pct"/>
            <w:tcBorders>
              <w:top w:val="nil"/>
              <w:left w:val="nil"/>
              <w:bottom w:val="nil"/>
              <w:right w:val="nil"/>
            </w:tcBorders>
            <w:shd w:val="clear" w:color="auto" w:fill="auto"/>
            <w:noWrap/>
            <w:vAlign w:val="center"/>
          </w:tcPr>
          <w:p w14:paraId="46BE7E09" w14:textId="64386BF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-0.005</w:t>
            </w:r>
          </w:p>
        </w:tc>
        <w:tc>
          <w:tcPr>
            <w:tcW w:w="425" w:type="pct"/>
            <w:tcBorders>
              <w:top w:val="nil"/>
              <w:left w:val="nil"/>
              <w:bottom w:val="nil"/>
              <w:right w:val="nil"/>
            </w:tcBorders>
            <w:shd w:val="clear" w:color="auto" w:fill="auto"/>
            <w:noWrap/>
            <w:vAlign w:val="center"/>
          </w:tcPr>
          <w:p w14:paraId="14F5F36B" w14:textId="6393C42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-0.022</w:t>
            </w:r>
          </w:p>
        </w:tc>
        <w:tc>
          <w:tcPr>
            <w:tcW w:w="86" w:type="pct"/>
            <w:tcBorders>
              <w:top w:val="nil"/>
              <w:left w:val="nil"/>
              <w:bottom w:val="nil"/>
              <w:right w:val="nil"/>
            </w:tcBorders>
            <w:shd w:val="clear" w:color="auto" w:fill="auto"/>
            <w:noWrap/>
            <w:vAlign w:val="center"/>
          </w:tcPr>
          <w:p w14:paraId="3A8802AC"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0EDB602C" w14:textId="2DE897F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-0.158***</w:t>
            </w:r>
          </w:p>
        </w:tc>
        <w:tc>
          <w:tcPr>
            <w:tcW w:w="379" w:type="pct"/>
            <w:tcBorders>
              <w:top w:val="nil"/>
              <w:left w:val="nil"/>
              <w:bottom w:val="nil"/>
              <w:right w:val="nil"/>
            </w:tcBorders>
            <w:shd w:val="clear" w:color="auto" w:fill="auto"/>
            <w:noWrap/>
            <w:vAlign w:val="center"/>
          </w:tcPr>
          <w:p w14:paraId="110529BD" w14:textId="4F1A3CF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-0.038</w:t>
            </w:r>
          </w:p>
        </w:tc>
        <w:tc>
          <w:tcPr>
            <w:tcW w:w="358" w:type="pct"/>
            <w:tcBorders>
              <w:top w:val="nil"/>
              <w:left w:val="nil"/>
              <w:bottom w:val="nil"/>
              <w:right w:val="nil"/>
            </w:tcBorders>
            <w:shd w:val="clear" w:color="auto" w:fill="auto"/>
            <w:noWrap/>
            <w:vAlign w:val="center"/>
          </w:tcPr>
          <w:p w14:paraId="0E1F0284" w14:textId="3CA0A01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-0.047</w:t>
            </w:r>
          </w:p>
        </w:tc>
      </w:tr>
      <w:tr w:rsidR="00B44DCB" w:rsidRPr="00357722" w14:paraId="060CDF3C" w14:textId="77777777" w:rsidTr="00D06000">
        <w:trPr>
          <w:trHeight w:val="20"/>
        </w:trPr>
        <w:tc>
          <w:tcPr>
            <w:tcW w:w="821" w:type="pct"/>
            <w:tcBorders>
              <w:top w:val="nil"/>
              <w:left w:val="nil"/>
              <w:bottom w:val="nil"/>
              <w:right w:val="nil"/>
            </w:tcBorders>
            <w:shd w:val="clear" w:color="auto" w:fill="auto"/>
            <w:noWrap/>
            <w:vAlign w:val="bottom"/>
            <w:hideMark/>
          </w:tcPr>
          <w:p w14:paraId="43A2103E"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3B55EA8C" w14:textId="62C54C7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(-2.66)</w:t>
            </w:r>
          </w:p>
        </w:tc>
        <w:tc>
          <w:tcPr>
            <w:tcW w:w="517" w:type="pct"/>
            <w:tcBorders>
              <w:top w:val="nil"/>
              <w:left w:val="nil"/>
              <w:bottom w:val="nil"/>
              <w:right w:val="nil"/>
            </w:tcBorders>
            <w:shd w:val="clear" w:color="auto" w:fill="auto"/>
            <w:noWrap/>
            <w:vAlign w:val="center"/>
          </w:tcPr>
          <w:p w14:paraId="6A13D665" w14:textId="79DE315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(-1.27)</w:t>
            </w:r>
          </w:p>
        </w:tc>
        <w:tc>
          <w:tcPr>
            <w:tcW w:w="425" w:type="pct"/>
            <w:tcBorders>
              <w:top w:val="nil"/>
              <w:left w:val="nil"/>
              <w:bottom w:val="nil"/>
              <w:right w:val="nil"/>
            </w:tcBorders>
            <w:shd w:val="clear" w:color="auto" w:fill="auto"/>
            <w:noWrap/>
            <w:vAlign w:val="center"/>
          </w:tcPr>
          <w:p w14:paraId="1614E338" w14:textId="074B27C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(-1.67)</w:t>
            </w:r>
          </w:p>
        </w:tc>
        <w:tc>
          <w:tcPr>
            <w:tcW w:w="88" w:type="pct"/>
            <w:tcBorders>
              <w:top w:val="nil"/>
              <w:left w:val="nil"/>
              <w:bottom w:val="nil"/>
              <w:right w:val="nil"/>
            </w:tcBorders>
            <w:shd w:val="clear" w:color="auto" w:fill="auto"/>
            <w:noWrap/>
            <w:vAlign w:val="center"/>
          </w:tcPr>
          <w:p w14:paraId="3A5D9EDB"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34A40449" w14:textId="36D977B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(-1.25)</w:t>
            </w:r>
          </w:p>
        </w:tc>
        <w:tc>
          <w:tcPr>
            <w:tcW w:w="514" w:type="pct"/>
            <w:tcBorders>
              <w:top w:val="nil"/>
              <w:left w:val="nil"/>
              <w:bottom w:val="nil"/>
              <w:right w:val="nil"/>
            </w:tcBorders>
            <w:shd w:val="clear" w:color="auto" w:fill="auto"/>
            <w:noWrap/>
            <w:vAlign w:val="center"/>
          </w:tcPr>
          <w:p w14:paraId="13453E5D" w14:textId="4FD390D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(-0.22)</w:t>
            </w:r>
          </w:p>
        </w:tc>
        <w:tc>
          <w:tcPr>
            <w:tcW w:w="425" w:type="pct"/>
            <w:tcBorders>
              <w:top w:val="nil"/>
              <w:left w:val="nil"/>
              <w:bottom w:val="nil"/>
              <w:right w:val="nil"/>
            </w:tcBorders>
            <w:shd w:val="clear" w:color="auto" w:fill="auto"/>
            <w:noWrap/>
            <w:vAlign w:val="center"/>
          </w:tcPr>
          <w:p w14:paraId="62762118" w14:textId="026923C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(-0.91)</w:t>
            </w:r>
          </w:p>
        </w:tc>
        <w:tc>
          <w:tcPr>
            <w:tcW w:w="86" w:type="pct"/>
            <w:tcBorders>
              <w:top w:val="nil"/>
              <w:left w:val="nil"/>
              <w:bottom w:val="nil"/>
              <w:right w:val="nil"/>
            </w:tcBorders>
            <w:shd w:val="clear" w:color="auto" w:fill="auto"/>
            <w:noWrap/>
            <w:vAlign w:val="center"/>
          </w:tcPr>
          <w:p w14:paraId="68E06F1B"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05135367" w14:textId="1C22E8C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(-2.82)</w:t>
            </w:r>
          </w:p>
        </w:tc>
        <w:tc>
          <w:tcPr>
            <w:tcW w:w="379" w:type="pct"/>
            <w:tcBorders>
              <w:top w:val="nil"/>
              <w:left w:val="nil"/>
              <w:bottom w:val="nil"/>
              <w:right w:val="nil"/>
            </w:tcBorders>
            <w:shd w:val="clear" w:color="auto" w:fill="auto"/>
            <w:noWrap/>
            <w:vAlign w:val="center"/>
          </w:tcPr>
          <w:p w14:paraId="51733BCE" w14:textId="024898B9"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(-1.07)</w:t>
            </w:r>
          </w:p>
        </w:tc>
        <w:tc>
          <w:tcPr>
            <w:tcW w:w="358" w:type="pct"/>
            <w:tcBorders>
              <w:top w:val="nil"/>
              <w:left w:val="nil"/>
              <w:bottom w:val="nil"/>
              <w:right w:val="nil"/>
            </w:tcBorders>
            <w:shd w:val="clear" w:color="auto" w:fill="auto"/>
            <w:noWrap/>
            <w:vAlign w:val="center"/>
          </w:tcPr>
          <w:p w14:paraId="4CCA402D" w14:textId="3617ABCD"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(-1.45)</w:t>
            </w:r>
          </w:p>
        </w:tc>
      </w:tr>
      <w:tr w:rsidR="00B44DCB" w:rsidRPr="00357722" w14:paraId="4DDC9252" w14:textId="77777777" w:rsidTr="00D06000">
        <w:trPr>
          <w:trHeight w:val="20"/>
        </w:trPr>
        <w:tc>
          <w:tcPr>
            <w:tcW w:w="821" w:type="pct"/>
            <w:tcBorders>
              <w:top w:val="nil"/>
              <w:left w:val="nil"/>
              <w:bottom w:val="nil"/>
              <w:right w:val="nil"/>
            </w:tcBorders>
            <w:shd w:val="clear" w:color="auto" w:fill="auto"/>
            <w:noWrap/>
            <w:vAlign w:val="center"/>
            <w:hideMark/>
          </w:tcPr>
          <w:p w14:paraId="36DCAEF4" w14:textId="168EA406" w:rsidR="00B44DCB" w:rsidRPr="00357722" w:rsidRDefault="008857A2" w:rsidP="00B44DCB">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OTIDSGDP</w:t>
            </w:r>
          </w:p>
        </w:tc>
        <w:tc>
          <w:tcPr>
            <w:tcW w:w="513" w:type="pct"/>
            <w:tcBorders>
              <w:top w:val="nil"/>
              <w:left w:val="nil"/>
              <w:bottom w:val="nil"/>
              <w:right w:val="nil"/>
            </w:tcBorders>
            <w:shd w:val="clear" w:color="auto" w:fill="auto"/>
            <w:noWrap/>
            <w:vAlign w:val="center"/>
          </w:tcPr>
          <w:p w14:paraId="4B309C49" w14:textId="7172E50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-0.005***</w:t>
            </w:r>
          </w:p>
        </w:tc>
        <w:tc>
          <w:tcPr>
            <w:tcW w:w="517" w:type="pct"/>
            <w:tcBorders>
              <w:top w:val="nil"/>
              <w:left w:val="nil"/>
              <w:bottom w:val="nil"/>
              <w:right w:val="nil"/>
            </w:tcBorders>
            <w:shd w:val="clear" w:color="auto" w:fill="auto"/>
            <w:noWrap/>
            <w:vAlign w:val="center"/>
          </w:tcPr>
          <w:p w14:paraId="22E8679A" w14:textId="3C62ACA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0.000</w:t>
            </w:r>
          </w:p>
        </w:tc>
        <w:tc>
          <w:tcPr>
            <w:tcW w:w="425" w:type="pct"/>
            <w:tcBorders>
              <w:top w:val="nil"/>
              <w:left w:val="nil"/>
              <w:bottom w:val="nil"/>
              <w:right w:val="nil"/>
            </w:tcBorders>
            <w:shd w:val="clear" w:color="auto" w:fill="auto"/>
            <w:noWrap/>
            <w:vAlign w:val="center"/>
          </w:tcPr>
          <w:p w14:paraId="48DB3292" w14:textId="3B8138AA"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-0.000</w:t>
            </w:r>
          </w:p>
        </w:tc>
        <w:tc>
          <w:tcPr>
            <w:tcW w:w="88" w:type="pct"/>
            <w:tcBorders>
              <w:top w:val="nil"/>
              <w:left w:val="nil"/>
              <w:bottom w:val="nil"/>
              <w:right w:val="nil"/>
            </w:tcBorders>
            <w:shd w:val="clear" w:color="auto" w:fill="auto"/>
            <w:noWrap/>
            <w:vAlign w:val="center"/>
          </w:tcPr>
          <w:p w14:paraId="1C2FEAA6"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7549B373" w14:textId="7937310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-0.003**</w:t>
            </w:r>
          </w:p>
        </w:tc>
        <w:tc>
          <w:tcPr>
            <w:tcW w:w="514" w:type="pct"/>
            <w:tcBorders>
              <w:top w:val="nil"/>
              <w:left w:val="nil"/>
              <w:bottom w:val="nil"/>
              <w:right w:val="nil"/>
            </w:tcBorders>
            <w:shd w:val="clear" w:color="auto" w:fill="auto"/>
            <w:noWrap/>
            <w:vAlign w:val="center"/>
          </w:tcPr>
          <w:p w14:paraId="2776381E" w14:textId="5560C8E3"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0.002***</w:t>
            </w:r>
          </w:p>
        </w:tc>
        <w:tc>
          <w:tcPr>
            <w:tcW w:w="425" w:type="pct"/>
            <w:tcBorders>
              <w:top w:val="nil"/>
              <w:left w:val="nil"/>
              <w:bottom w:val="nil"/>
              <w:right w:val="nil"/>
            </w:tcBorders>
            <w:shd w:val="clear" w:color="auto" w:fill="auto"/>
            <w:noWrap/>
            <w:vAlign w:val="center"/>
          </w:tcPr>
          <w:p w14:paraId="7D539BC1" w14:textId="7D07834E"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0.001***</w:t>
            </w:r>
          </w:p>
        </w:tc>
        <w:tc>
          <w:tcPr>
            <w:tcW w:w="86" w:type="pct"/>
            <w:tcBorders>
              <w:top w:val="nil"/>
              <w:left w:val="nil"/>
              <w:bottom w:val="nil"/>
              <w:right w:val="nil"/>
            </w:tcBorders>
            <w:shd w:val="clear" w:color="auto" w:fill="auto"/>
            <w:noWrap/>
            <w:vAlign w:val="center"/>
          </w:tcPr>
          <w:p w14:paraId="0B8B388C"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77050908" w14:textId="283EB93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-0.003</w:t>
            </w:r>
          </w:p>
        </w:tc>
        <w:tc>
          <w:tcPr>
            <w:tcW w:w="379" w:type="pct"/>
            <w:tcBorders>
              <w:top w:val="nil"/>
              <w:left w:val="nil"/>
              <w:bottom w:val="nil"/>
              <w:right w:val="nil"/>
            </w:tcBorders>
            <w:shd w:val="clear" w:color="auto" w:fill="auto"/>
            <w:noWrap/>
            <w:vAlign w:val="center"/>
          </w:tcPr>
          <w:p w14:paraId="17385E43" w14:textId="0954434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0.001*</w:t>
            </w:r>
          </w:p>
        </w:tc>
        <w:tc>
          <w:tcPr>
            <w:tcW w:w="358" w:type="pct"/>
            <w:tcBorders>
              <w:top w:val="nil"/>
              <w:left w:val="nil"/>
              <w:bottom w:val="nil"/>
              <w:right w:val="nil"/>
            </w:tcBorders>
            <w:shd w:val="clear" w:color="auto" w:fill="auto"/>
            <w:noWrap/>
            <w:vAlign w:val="center"/>
          </w:tcPr>
          <w:p w14:paraId="6884E89C" w14:textId="00A6D664"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0.001</w:t>
            </w:r>
          </w:p>
        </w:tc>
      </w:tr>
      <w:tr w:rsidR="00B44DCB" w:rsidRPr="00357722" w14:paraId="337E1EAF" w14:textId="77777777" w:rsidTr="00D06000">
        <w:trPr>
          <w:trHeight w:val="20"/>
        </w:trPr>
        <w:tc>
          <w:tcPr>
            <w:tcW w:w="821" w:type="pct"/>
            <w:tcBorders>
              <w:top w:val="nil"/>
              <w:left w:val="nil"/>
              <w:bottom w:val="nil"/>
              <w:right w:val="nil"/>
            </w:tcBorders>
            <w:shd w:val="clear" w:color="auto" w:fill="auto"/>
            <w:noWrap/>
            <w:vAlign w:val="bottom"/>
            <w:hideMark/>
          </w:tcPr>
          <w:p w14:paraId="21E631FA"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171803A9" w14:textId="0E90C55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(-3.45)</w:t>
            </w:r>
          </w:p>
        </w:tc>
        <w:tc>
          <w:tcPr>
            <w:tcW w:w="517" w:type="pct"/>
            <w:tcBorders>
              <w:top w:val="nil"/>
              <w:left w:val="nil"/>
              <w:bottom w:val="nil"/>
              <w:right w:val="nil"/>
            </w:tcBorders>
            <w:shd w:val="clear" w:color="auto" w:fill="auto"/>
            <w:noWrap/>
            <w:vAlign w:val="center"/>
          </w:tcPr>
          <w:p w14:paraId="0F513AF2" w14:textId="3EF8E27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(0.48)</w:t>
            </w:r>
          </w:p>
        </w:tc>
        <w:tc>
          <w:tcPr>
            <w:tcW w:w="425" w:type="pct"/>
            <w:tcBorders>
              <w:top w:val="nil"/>
              <w:left w:val="nil"/>
              <w:bottom w:val="nil"/>
              <w:right w:val="nil"/>
            </w:tcBorders>
            <w:shd w:val="clear" w:color="auto" w:fill="auto"/>
            <w:noWrap/>
            <w:vAlign w:val="center"/>
          </w:tcPr>
          <w:p w14:paraId="3A4F1381" w14:textId="275FCDCC"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(-0.22)</w:t>
            </w:r>
          </w:p>
        </w:tc>
        <w:tc>
          <w:tcPr>
            <w:tcW w:w="88" w:type="pct"/>
            <w:tcBorders>
              <w:top w:val="nil"/>
              <w:left w:val="nil"/>
              <w:bottom w:val="nil"/>
              <w:right w:val="nil"/>
            </w:tcBorders>
            <w:shd w:val="clear" w:color="auto" w:fill="auto"/>
            <w:noWrap/>
            <w:vAlign w:val="center"/>
          </w:tcPr>
          <w:p w14:paraId="06AC218B"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148F97A2" w14:textId="2445352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(-2.33)</w:t>
            </w:r>
          </w:p>
        </w:tc>
        <w:tc>
          <w:tcPr>
            <w:tcW w:w="514" w:type="pct"/>
            <w:tcBorders>
              <w:top w:val="nil"/>
              <w:left w:val="nil"/>
              <w:bottom w:val="nil"/>
              <w:right w:val="nil"/>
            </w:tcBorders>
            <w:shd w:val="clear" w:color="auto" w:fill="auto"/>
            <w:noWrap/>
            <w:vAlign w:val="center"/>
          </w:tcPr>
          <w:p w14:paraId="63B8D5ED" w14:textId="0E160AA5"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(3.86)</w:t>
            </w:r>
          </w:p>
        </w:tc>
        <w:tc>
          <w:tcPr>
            <w:tcW w:w="425" w:type="pct"/>
            <w:tcBorders>
              <w:top w:val="nil"/>
              <w:left w:val="nil"/>
              <w:bottom w:val="nil"/>
              <w:right w:val="nil"/>
            </w:tcBorders>
            <w:shd w:val="clear" w:color="auto" w:fill="auto"/>
            <w:noWrap/>
            <w:vAlign w:val="center"/>
          </w:tcPr>
          <w:p w14:paraId="44F3C827" w14:textId="7EA302C0"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(2.96)</w:t>
            </w:r>
          </w:p>
        </w:tc>
        <w:tc>
          <w:tcPr>
            <w:tcW w:w="86" w:type="pct"/>
            <w:tcBorders>
              <w:top w:val="nil"/>
              <w:left w:val="nil"/>
              <w:bottom w:val="nil"/>
              <w:right w:val="nil"/>
            </w:tcBorders>
            <w:shd w:val="clear" w:color="auto" w:fill="auto"/>
            <w:noWrap/>
            <w:vAlign w:val="center"/>
          </w:tcPr>
          <w:p w14:paraId="57525EF3" w14:textId="77777777"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0E1187DE" w14:textId="31973F36"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(-1.68)</w:t>
            </w:r>
          </w:p>
        </w:tc>
        <w:tc>
          <w:tcPr>
            <w:tcW w:w="379" w:type="pct"/>
            <w:tcBorders>
              <w:top w:val="nil"/>
              <w:left w:val="nil"/>
              <w:bottom w:val="nil"/>
              <w:right w:val="nil"/>
            </w:tcBorders>
            <w:shd w:val="clear" w:color="auto" w:fill="auto"/>
            <w:noWrap/>
            <w:vAlign w:val="center"/>
          </w:tcPr>
          <w:p w14:paraId="5195FF3A" w14:textId="1260C95F"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(1.91)</w:t>
            </w:r>
          </w:p>
        </w:tc>
        <w:tc>
          <w:tcPr>
            <w:tcW w:w="358" w:type="pct"/>
            <w:tcBorders>
              <w:top w:val="nil"/>
              <w:left w:val="nil"/>
              <w:bottom w:val="nil"/>
              <w:right w:val="nil"/>
            </w:tcBorders>
            <w:shd w:val="clear" w:color="auto" w:fill="auto"/>
            <w:noWrap/>
            <w:vAlign w:val="center"/>
          </w:tcPr>
          <w:p w14:paraId="026D3B07" w14:textId="2619F151" w:rsidR="00B44DCB" w:rsidRPr="00357722" w:rsidRDefault="00B44DCB" w:rsidP="00B44DCB">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(1.31)</w:t>
            </w:r>
          </w:p>
        </w:tc>
      </w:tr>
      <w:tr w:rsidR="00D65D72" w:rsidRPr="00357722" w14:paraId="131725B1" w14:textId="77777777" w:rsidTr="00D06000">
        <w:trPr>
          <w:trHeight w:val="20"/>
        </w:trPr>
        <w:tc>
          <w:tcPr>
            <w:tcW w:w="821" w:type="pct"/>
            <w:tcBorders>
              <w:top w:val="nil"/>
              <w:left w:val="nil"/>
              <w:bottom w:val="nil"/>
              <w:right w:val="nil"/>
            </w:tcBorders>
            <w:shd w:val="clear" w:color="auto" w:fill="auto"/>
            <w:noWrap/>
            <w:vAlign w:val="center"/>
            <w:hideMark/>
          </w:tcPr>
          <w:p w14:paraId="167D7E22" w14:textId="77777777" w:rsidR="00D65D72" w:rsidRPr="00357722" w:rsidRDefault="00D65D72" w:rsidP="00D65D72">
            <w:pPr>
              <w:spacing w:after="0" w:line="360" w:lineRule="auto"/>
              <w:jc w:val="both"/>
              <w:rPr>
                <w:rFonts w:ascii="Times New Roman" w:eastAsia="Times New Roman" w:hAnsi="Times New Roman" w:cs="Times New Roman"/>
                <w:i/>
                <w:iCs/>
                <w:color w:val="000000" w:themeColor="text1"/>
                <w:sz w:val="20"/>
                <w:szCs w:val="20"/>
              </w:rPr>
            </w:pPr>
            <w:r w:rsidRPr="00357722">
              <w:rPr>
                <w:rFonts w:ascii="Times New Roman" w:eastAsia="Times New Roman" w:hAnsi="Times New Roman" w:cs="Times New Roman"/>
                <w:i/>
                <w:iCs/>
                <w:color w:val="000000" w:themeColor="text1"/>
                <w:sz w:val="20"/>
                <w:szCs w:val="20"/>
              </w:rPr>
              <w:t>Constant</w:t>
            </w:r>
          </w:p>
        </w:tc>
        <w:tc>
          <w:tcPr>
            <w:tcW w:w="513" w:type="pct"/>
            <w:tcBorders>
              <w:top w:val="nil"/>
              <w:left w:val="nil"/>
              <w:bottom w:val="nil"/>
              <w:right w:val="nil"/>
            </w:tcBorders>
            <w:shd w:val="clear" w:color="auto" w:fill="auto"/>
            <w:noWrap/>
            <w:vAlign w:val="center"/>
          </w:tcPr>
          <w:p w14:paraId="675C9CEA" w14:textId="38143557"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4.684***</w:t>
            </w:r>
          </w:p>
        </w:tc>
        <w:tc>
          <w:tcPr>
            <w:tcW w:w="517" w:type="pct"/>
            <w:tcBorders>
              <w:top w:val="nil"/>
              <w:left w:val="nil"/>
              <w:bottom w:val="nil"/>
              <w:right w:val="nil"/>
            </w:tcBorders>
            <w:shd w:val="clear" w:color="auto" w:fill="auto"/>
            <w:noWrap/>
            <w:vAlign w:val="center"/>
          </w:tcPr>
          <w:p w14:paraId="66FCB08C" w14:textId="7A4F15FB"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4.776***</w:t>
            </w:r>
          </w:p>
        </w:tc>
        <w:tc>
          <w:tcPr>
            <w:tcW w:w="425" w:type="pct"/>
            <w:tcBorders>
              <w:top w:val="nil"/>
              <w:left w:val="nil"/>
              <w:bottom w:val="nil"/>
              <w:right w:val="nil"/>
            </w:tcBorders>
            <w:shd w:val="clear" w:color="auto" w:fill="auto"/>
            <w:noWrap/>
            <w:vAlign w:val="center"/>
          </w:tcPr>
          <w:p w14:paraId="070DC826" w14:textId="470B340C"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4.714***</w:t>
            </w:r>
          </w:p>
        </w:tc>
        <w:tc>
          <w:tcPr>
            <w:tcW w:w="88" w:type="pct"/>
            <w:tcBorders>
              <w:top w:val="nil"/>
              <w:left w:val="nil"/>
              <w:bottom w:val="nil"/>
              <w:right w:val="nil"/>
            </w:tcBorders>
            <w:shd w:val="clear" w:color="auto" w:fill="auto"/>
            <w:noWrap/>
            <w:vAlign w:val="center"/>
          </w:tcPr>
          <w:p w14:paraId="36C412C0" w14:textId="77777777"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1B102B64" w14:textId="4EAD8366"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4.769***</w:t>
            </w:r>
          </w:p>
        </w:tc>
        <w:tc>
          <w:tcPr>
            <w:tcW w:w="514" w:type="pct"/>
            <w:tcBorders>
              <w:top w:val="nil"/>
              <w:left w:val="nil"/>
              <w:bottom w:val="nil"/>
              <w:right w:val="nil"/>
            </w:tcBorders>
            <w:shd w:val="clear" w:color="auto" w:fill="auto"/>
            <w:noWrap/>
            <w:vAlign w:val="center"/>
          </w:tcPr>
          <w:p w14:paraId="565D546C" w14:textId="7196BF70"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6.305***</w:t>
            </w:r>
          </w:p>
        </w:tc>
        <w:tc>
          <w:tcPr>
            <w:tcW w:w="425" w:type="pct"/>
            <w:tcBorders>
              <w:top w:val="nil"/>
              <w:left w:val="nil"/>
              <w:bottom w:val="nil"/>
              <w:right w:val="nil"/>
            </w:tcBorders>
            <w:shd w:val="clear" w:color="auto" w:fill="auto"/>
            <w:noWrap/>
            <w:vAlign w:val="center"/>
          </w:tcPr>
          <w:p w14:paraId="557C9CCF" w14:textId="3F3B0E4B"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6.536***</w:t>
            </w:r>
          </w:p>
        </w:tc>
        <w:tc>
          <w:tcPr>
            <w:tcW w:w="86" w:type="pct"/>
            <w:tcBorders>
              <w:top w:val="nil"/>
              <w:left w:val="nil"/>
              <w:bottom w:val="nil"/>
              <w:right w:val="nil"/>
            </w:tcBorders>
            <w:shd w:val="clear" w:color="auto" w:fill="auto"/>
            <w:noWrap/>
            <w:vAlign w:val="center"/>
          </w:tcPr>
          <w:p w14:paraId="2898886B" w14:textId="77777777"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7EB634D4" w14:textId="5D1449E0"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6.255***</w:t>
            </w:r>
          </w:p>
        </w:tc>
        <w:tc>
          <w:tcPr>
            <w:tcW w:w="379" w:type="pct"/>
            <w:tcBorders>
              <w:top w:val="nil"/>
              <w:left w:val="nil"/>
              <w:bottom w:val="nil"/>
              <w:right w:val="nil"/>
            </w:tcBorders>
            <w:shd w:val="clear" w:color="auto" w:fill="auto"/>
            <w:noWrap/>
            <w:vAlign w:val="center"/>
          </w:tcPr>
          <w:p w14:paraId="2F159F8E" w14:textId="6E6310CE"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5.564***</w:t>
            </w:r>
          </w:p>
        </w:tc>
        <w:tc>
          <w:tcPr>
            <w:tcW w:w="358" w:type="pct"/>
            <w:tcBorders>
              <w:top w:val="nil"/>
              <w:left w:val="nil"/>
              <w:bottom w:val="nil"/>
              <w:right w:val="nil"/>
            </w:tcBorders>
            <w:shd w:val="clear" w:color="auto" w:fill="auto"/>
            <w:noWrap/>
            <w:vAlign w:val="center"/>
          </w:tcPr>
          <w:p w14:paraId="6B96CBD9" w14:textId="6988A765"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5.350***</w:t>
            </w:r>
          </w:p>
        </w:tc>
      </w:tr>
      <w:tr w:rsidR="00D65D72" w:rsidRPr="00357722" w14:paraId="494B4BBC" w14:textId="77777777" w:rsidTr="00D06000">
        <w:trPr>
          <w:trHeight w:val="20"/>
        </w:trPr>
        <w:tc>
          <w:tcPr>
            <w:tcW w:w="821" w:type="pct"/>
            <w:tcBorders>
              <w:top w:val="nil"/>
              <w:left w:val="nil"/>
              <w:bottom w:val="nil"/>
              <w:right w:val="nil"/>
            </w:tcBorders>
            <w:shd w:val="clear" w:color="auto" w:fill="auto"/>
            <w:noWrap/>
            <w:vAlign w:val="bottom"/>
            <w:hideMark/>
          </w:tcPr>
          <w:p w14:paraId="7A0DB377" w14:textId="77777777"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p>
        </w:tc>
        <w:tc>
          <w:tcPr>
            <w:tcW w:w="513" w:type="pct"/>
            <w:tcBorders>
              <w:top w:val="nil"/>
              <w:left w:val="nil"/>
              <w:bottom w:val="nil"/>
              <w:right w:val="nil"/>
            </w:tcBorders>
            <w:shd w:val="clear" w:color="auto" w:fill="auto"/>
            <w:noWrap/>
            <w:vAlign w:val="center"/>
          </w:tcPr>
          <w:p w14:paraId="7AAAD6F6" w14:textId="3A8AB192"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(6.58)</w:t>
            </w:r>
          </w:p>
        </w:tc>
        <w:tc>
          <w:tcPr>
            <w:tcW w:w="517" w:type="pct"/>
            <w:tcBorders>
              <w:top w:val="nil"/>
              <w:left w:val="nil"/>
              <w:bottom w:val="nil"/>
              <w:right w:val="nil"/>
            </w:tcBorders>
            <w:shd w:val="clear" w:color="auto" w:fill="auto"/>
            <w:noWrap/>
            <w:vAlign w:val="center"/>
          </w:tcPr>
          <w:p w14:paraId="07058997" w14:textId="75CB0CBF"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(9.75)</w:t>
            </w:r>
          </w:p>
        </w:tc>
        <w:tc>
          <w:tcPr>
            <w:tcW w:w="425" w:type="pct"/>
            <w:tcBorders>
              <w:top w:val="nil"/>
              <w:left w:val="nil"/>
              <w:bottom w:val="nil"/>
              <w:right w:val="nil"/>
            </w:tcBorders>
            <w:shd w:val="clear" w:color="auto" w:fill="auto"/>
            <w:noWrap/>
            <w:vAlign w:val="center"/>
          </w:tcPr>
          <w:p w14:paraId="7A7C20D2" w14:textId="09B4EC02"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(34.48)</w:t>
            </w:r>
          </w:p>
        </w:tc>
        <w:tc>
          <w:tcPr>
            <w:tcW w:w="88" w:type="pct"/>
            <w:tcBorders>
              <w:top w:val="nil"/>
              <w:left w:val="nil"/>
              <w:bottom w:val="nil"/>
              <w:right w:val="nil"/>
            </w:tcBorders>
            <w:shd w:val="clear" w:color="auto" w:fill="auto"/>
            <w:noWrap/>
            <w:vAlign w:val="center"/>
          </w:tcPr>
          <w:p w14:paraId="0704169F" w14:textId="77777777"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p>
        </w:tc>
        <w:tc>
          <w:tcPr>
            <w:tcW w:w="410" w:type="pct"/>
            <w:tcBorders>
              <w:top w:val="nil"/>
              <w:left w:val="nil"/>
              <w:bottom w:val="nil"/>
              <w:right w:val="nil"/>
            </w:tcBorders>
            <w:shd w:val="clear" w:color="auto" w:fill="auto"/>
            <w:noWrap/>
            <w:vAlign w:val="center"/>
          </w:tcPr>
          <w:p w14:paraId="42E48ED4" w14:textId="57A02E95"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(8.75)</w:t>
            </w:r>
          </w:p>
        </w:tc>
        <w:tc>
          <w:tcPr>
            <w:tcW w:w="514" w:type="pct"/>
            <w:tcBorders>
              <w:top w:val="nil"/>
              <w:left w:val="nil"/>
              <w:bottom w:val="nil"/>
              <w:right w:val="nil"/>
            </w:tcBorders>
            <w:shd w:val="clear" w:color="auto" w:fill="auto"/>
            <w:noWrap/>
            <w:vAlign w:val="center"/>
          </w:tcPr>
          <w:p w14:paraId="55483647" w14:textId="3727F414"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(19.77)</w:t>
            </w:r>
          </w:p>
        </w:tc>
        <w:tc>
          <w:tcPr>
            <w:tcW w:w="425" w:type="pct"/>
            <w:tcBorders>
              <w:top w:val="nil"/>
              <w:left w:val="nil"/>
              <w:bottom w:val="nil"/>
              <w:right w:val="nil"/>
            </w:tcBorders>
            <w:shd w:val="clear" w:color="auto" w:fill="auto"/>
            <w:noWrap/>
            <w:vAlign w:val="center"/>
          </w:tcPr>
          <w:p w14:paraId="4E5724C6" w14:textId="12CB76F7"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sz w:val="18"/>
                <w:szCs w:val="18"/>
              </w:rPr>
              <w:t>(19.30)</w:t>
            </w:r>
          </w:p>
        </w:tc>
        <w:tc>
          <w:tcPr>
            <w:tcW w:w="86" w:type="pct"/>
            <w:tcBorders>
              <w:top w:val="nil"/>
              <w:left w:val="nil"/>
              <w:bottom w:val="nil"/>
              <w:right w:val="nil"/>
            </w:tcBorders>
            <w:shd w:val="clear" w:color="auto" w:fill="auto"/>
            <w:noWrap/>
            <w:vAlign w:val="center"/>
          </w:tcPr>
          <w:p w14:paraId="002A97C0" w14:textId="77777777"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p>
        </w:tc>
        <w:tc>
          <w:tcPr>
            <w:tcW w:w="464" w:type="pct"/>
            <w:tcBorders>
              <w:top w:val="nil"/>
              <w:left w:val="nil"/>
              <w:bottom w:val="nil"/>
              <w:right w:val="nil"/>
            </w:tcBorders>
            <w:shd w:val="clear" w:color="auto" w:fill="auto"/>
            <w:noWrap/>
            <w:vAlign w:val="center"/>
          </w:tcPr>
          <w:p w14:paraId="7D0C4FBA" w14:textId="6552892B"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(7.68)</w:t>
            </w:r>
          </w:p>
        </w:tc>
        <w:tc>
          <w:tcPr>
            <w:tcW w:w="379" w:type="pct"/>
            <w:tcBorders>
              <w:top w:val="nil"/>
              <w:left w:val="nil"/>
              <w:bottom w:val="nil"/>
              <w:right w:val="nil"/>
            </w:tcBorders>
            <w:shd w:val="clear" w:color="auto" w:fill="auto"/>
            <w:noWrap/>
            <w:vAlign w:val="center"/>
          </w:tcPr>
          <w:p w14:paraId="5C5B8E80" w14:textId="2A651269"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(10.55)</w:t>
            </w:r>
          </w:p>
        </w:tc>
        <w:tc>
          <w:tcPr>
            <w:tcW w:w="358" w:type="pct"/>
            <w:tcBorders>
              <w:top w:val="nil"/>
              <w:left w:val="nil"/>
              <w:bottom w:val="nil"/>
              <w:right w:val="nil"/>
            </w:tcBorders>
            <w:shd w:val="clear" w:color="auto" w:fill="auto"/>
            <w:noWrap/>
            <w:vAlign w:val="center"/>
          </w:tcPr>
          <w:p w14:paraId="3F76BD5C" w14:textId="02800D2E" w:rsidR="00D65D72" w:rsidRPr="00357722" w:rsidRDefault="00D65D72" w:rsidP="00D65D72">
            <w:pPr>
              <w:spacing w:after="0" w:line="360" w:lineRule="auto"/>
              <w:jc w:val="both"/>
              <w:rPr>
                <w:rFonts w:ascii="Times New Roman" w:eastAsia="Times New Roman" w:hAnsi="Times New Roman" w:cs="Times New Roman"/>
                <w:color w:val="000000" w:themeColor="text1"/>
                <w:sz w:val="18"/>
                <w:szCs w:val="18"/>
              </w:rPr>
            </w:pPr>
            <w:r w:rsidRPr="00357722">
              <w:rPr>
                <w:rFonts w:ascii="Times New Roman" w:hAnsi="Times New Roman" w:cs="Times New Roman"/>
                <w:color w:val="000000" w:themeColor="text1"/>
                <w:sz w:val="18"/>
                <w:szCs w:val="18"/>
              </w:rPr>
              <w:t>(10.17)</w:t>
            </w:r>
          </w:p>
        </w:tc>
      </w:tr>
      <w:tr w:rsidR="00D06000" w:rsidRPr="00357722" w14:paraId="6EE4F735" w14:textId="77777777" w:rsidTr="00D06000">
        <w:trPr>
          <w:trHeight w:val="20"/>
        </w:trPr>
        <w:tc>
          <w:tcPr>
            <w:tcW w:w="821" w:type="pct"/>
            <w:tcBorders>
              <w:top w:val="single" w:sz="4" w:space="0" w:color="auto"/>
              <w:left w:val="nil"/>
              <w:bottom w:val="nil"/>
              <w:right w:val="nil"/>
            </w:tcBorders>
            <w:shd w:val="clear" w:color="auto" w:fill="auto"/>
            <w:noWrap/>
            <w:vAlign w:val="bottom"/>
            <w:hideMark/>
          </w:tcPr>
          <w:p w14:paraId="68A558EA" w14:textId="77777777"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themeColor="text1"/>
                <w:sz w:val="20"/>
                <w:szCs w:val="20"/>
              </w:rPr>
              <w:t>No of Observations</w:t>
            </w:r>
          </w:p>
        </w:tc>
        <w:tc>
          <w:tcPr>
            <w:tcW w:w="513" w:type="pct"/>
            <w:tcBorders>
              <w:top w:val="single" w:sz="4" w:space="0" w:color="auto"/>
              <w:left w:val="nil"/>
              <w:bottom w:val="nil"/>
              <w:right w:val="nil"/>
            </w:tcBorders>
            <w:shd w:val="clear" w:color="auto" w:fill="auto"/>
            <w:noWrap/>
            <w:vAlign w:val="center"/>
          </w:tcPr>
          <w:p w14:paraId="2A50FF3F" w14:textId="058658AF"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603</w:t>
            </w:r>
          </w:p>
        </w:tc>
        <w:tc>
          <w:tcPr>
            <w:tcW w:w="517" w:type="pct"/>
            <w:tcBorders>
              <w:top w:val="single" w:sz="4" w:space="0" w:color="auto"/>
              <w:left w:val="nil"/>
              <w:bottom w:val="nil"/>
              <w:right w:val="nil"/>
            </w:tcBorders>
            <w:shd w:val="clear" w:color="auto" w:fill="auto"/>
            <w:noWrap/>
            <w:vAlign w:val="center"/>
          </w:tcPr>
          <w:p w14:paraId="005CDF7E" w14:textId="0E04E32F"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637</w:t>
            </w:r>
          </w:p>
        </w:tc>
        <w:tc>
          <w:tcPr>
            <w:tcW w:w="425" w:type="pct"/>
            <w:tcBorders>
              <w:top w:val="single" w:sz="4" w:space="0" w:color="auto"/>
              <w:left w:val="nil"/>
              <w:bottom w:val="nil"/>
              <w:right w:val="nil"/>
            </w:tcBorders>
            <w:shd w:val="clear" w:color="auto" w:fill="auto"/>
            <w:noWrap/>
            <w:vAlign w:val="center"/>
          </w:tcPr>
          <w:p w14:paraId="05F6A2D1" w14:textId="6C8C2F9E"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599</w:t>
            </w:r>
          </w:p>
        </w:tc>
        <w:tc>
          <w:tcPr>
            <w:tcW w:w="88" w:type="pct"/>
            <w:tcBorders>
              <w:top w:val="single" w:sz="4" w:space="0" w:color="auto"/>
              <w:left w:val="nil"/>
              <w:bottom w:val="nil"/>
              <w:right w:val="nil"/>
            </w:tcBorders>
            <w:shd w:val="clear" w:color="auto" w:fill="auto"/>
            <w:noWrap/>
            <w:vAlign w:val="center"/>
          </w:tcPr>
          <w:p w14:paraId="61D0EEB0" w14:textId="3538577F"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p>
        </w:tc>
        <w:tc>
          <w:tcPr>
            <w:tcW w:w="410" w:type="pct"/>
            <w:tcBorders>
              <w:top w:val="single" w:sz="4" w:space="0" w:color="auto"/>
              <w:left w:val="nil"/>
              <w:bottom w:val="nil"/>
              <w:right w:val="nil"/>
            </w:tcBorders>
            <w:shd w:val="clear" w:color="auto" w:fill="auto"/>
            <w:noWrap/>
            <w:vAlign w:val="center"/>
          </w:tcPr>
          <w:p w14:paraId="2761B815" w14:textId="590BC223"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603</w:t>
            </w:r>
          </w:p>
        </w:tc>
        <w:tc>
          <w:tcPr>
            <w:tcW w:w="514" w:type="pct"/>
            <w:tcBorders>
              <w:top w:val="single" w:sz="4" w:space="0" w:color="auto"/>
              <w:left w:val="nil"/>
              <w:bottom w:val="nil"/>
              <w:right w:val="nil"/>
            </w:tcBorders>
            <w:shd w:val="clear" w:color="auto" w:fill="auto"/>
            <w:noWrap/>
            <w:vAlign w:val="center"/>
          </w:tcPr>
          <w:p w14:paraId="6ADFBEAA" w14:textId="33239301"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637</w:t>
            </w:r>
          </w:p>
        </w:tc>
        <w:tc>
          <w:tcPr>
            <w:tcW w:w="425" w:type="pct"/>
            <w:tcBorders>
              <w:top w:val="single" w:sz="4" w:space="0" w:color="auto"/>
              <w:left w:val="nil"/>
              <w:bottom w:val="nil"/>
              <w:right w:val="nil"/>
            </w:tcBorders>
            <w:shd w:val="clear" w:color="auto" w:fill="auto"/>
            <w:noWrap/>
            <w:vAlign w:val="center"/>
          </w:tcPr>
          <w:p w14:paraId="24A27313" w14:textId="76CB627B"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637</w:t>
            </w:r>
          </w:p>
        </w:tc>
        <w:tc>
          <w:tcPr>
            <w:tcW w:w="86" w:type="pct"/>
            <w:tcBorders>
              <w:top w:val="single" w:sz="4" w:space="0" w:color="auto"/>
              <w:left w:val="nil"/>
              <w:bottom w:val="nil"/>
              <w:right w:val="nil"/>
            </w:tcBorders>
            <w:shd w:val="clear" w:color="auto" w:fill="auto"/>
            <w:noWrap/>
            <w:vAlign w:val="center"/>
          </w:tcPr>
          <w:p w14:paraId="0725685D" w14:textId="16376325"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p>
        </w:tc>
        <w:tc>
          <w:tcPr>
            <w:tcW w:w="464" w:type="pct"/>
            <w:tcBorders>
              <w:top w:val="single" w:sz="4" w:space="0" w:color="auto"/>
              <w:left w:val="nil"/>
              <w:bottom w:val="nil"/>
              <w:right w:val="nil"/>
            </w:tcBorders>
            <w:shd w:val="clear" w:color="auto" w:fill="auto"/>
            <w:noWrap/>
            <w:vAlign w:val="center"/>
          </w:tcPr>
          <w:p w14:paraId="41215DB3" w14:textId="738DEFB5"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531</w:t>
            </w:r>
          </w:p>
        </w:tc>
        <w:tc>
          <w:tcPr>
            <w:tcW w:w="379" w:type="pct"/>
            <w:tcBorders>
              <w:top w:val="single" w:sz="4" w:space="0" w:color="auto"/>
              <w:left w:val="nil"/>
              <w:bottom w:val="nil"/>
              <w:right w:val="nil"/>
            </w:tcBorders>
            <w:shd w:val="clear" w:color="auto" w:fill="auto"/>
            <w:noWrap/>
            <w:vAlign w:val="center"/>
          </w:tcPr>
          <w:p w14:paraId="3814726C" w14:textId="2731E9AB"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556</w:t>
            </w:r>
          </w:p>
        </w:tc>
        <w:tc>
          <w:tcPr>
            <w:tcW w:w="358" w:type="pct"/>
            <w:tcBorders>
              <w:top w:val="single" w:sz="4" w:space="0" w:color="auto"/>
              <w:left w:val="nil"/>
              <w:bottom w:val="nil"/>
              <w:right w:val="nil"/>
            </w:tcBorders>
            <w:shd w:val="clear" w:color="auto" w:fill="auto"/>
            <w:noWrap/>
            <w:vAlign w:val="center"/>
          </w:tcPr>
          <w:p w14:paraId="03765D46" w14:textId="40DE02CA" w:rsidR="00764F8B" w:rsidRPr="00357722" w:rsidRDefault="00764F8B"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556</w:t>
            </w:r>
          </w:p>
        </w:tc>
      </w:tr>
      <w:tr w:rsidR="00D65D72" w:rsidRPr="00357722" w14:paraId="62654ACC" w14:textId="77777777" w:rsidTr="00D06000">
        <w:trPr>
          <w:trHeight w:val="20"/>
        </w:trPr>
        <w:tc>
          <w:tcPr>
            <w:tcW w:w="821" w:type="pct"/>
            <w:tcBorders>
              <w:top w:val="nil"/>
              <w:left w:val="nil"/>
              <w:bottom w:val="nil"/>
              <w:right w:val="nil"/>
            </w:tcBorders>
            <w:shd w:val="clear" w:color="auto" w:fill="auto"/>
            <w:noWrap/>
            <w:vAlign w:val="bottom"/>
            <w:hideMark/>
          </w:tcPr>
          <w:p w14:paraId="60EC8F9B" w14:textId="7E12171D"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Adj. R-Square</w:t>
            </w:r>
          </w:p>
        </w:tc>
        <w:tc>
          <w:tcPr>
            <w:tcW w:w="513" w:type="pct"/>
            <w:tcBorders>
              <w:top w:val="nil"/>
              <w:left w:val="nil"/>
              <w:bottom w:val="nil"/>
              <w:right w:val="nil"/>
            </w:tcBorders>
            <w:shd w:val="clear" w:color="auto" w:fill="auto"/>
            <w:noWrap/>
            <w:vAlign w:val="center"/>
          </w:tcPr>
          <w:p w14:paraId="6E4E281D" w14:textId="201DC5AB"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0.38</w:t>
            </w:r>
          </w:p>
        </w:tc>
        <w:tc>
          <w:tcPr>
            <w:tcW w:w="517" w:type="pct"/>
            <w:tcBorders>
              <w:top w:val="nil"/>
              <w:left w:val="nil"/>
              <w:bottom w:val="nil"/>
              <w:right w:val="nil"/>
            </w:tcBorders>
            <w:shd w:val="clear" w:color="auto" w:fill="auto"/>
            <w:noWrap/>
            <w:vAlign w:val="center"/>
          </w:tcPr>
          <w:p w14:paraId="4765D593" w14:textId="3134F322"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0.62</w:t>
            </w:r>
          </w:p>
        </w:tc>
        <w:tc>
          <w:tcPr>
            <w:tcW w:w="425" w:type="pct"/>
            <w:tcBorders>
              <w:top w:val="nil"/>
              <w:left w:val="nil"/>
              <w:bottom w:val="nil"/>
              <w:right w:val="nil"/>
            </w:tcBorders>
            <w:shd w:val="clear" w:color="auto" w:fill="auto"/>
            <w:noWrap/>
            <w:vAlign w:val="center"/>
          </w:tcPr>
          <w:p w14:paraId="28BF37C1" w14:textId="57603A2A"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0.08</w:t>
            </w:r>
          </w:p>
        </w:tc>
        <w:tc>
          <w:tcPr>
            <w:tcW w:w="88" w:type="pct"/>
            <w:tcBorders>
              <w:top w:val="nil"/>
              <w:left w:val="nil"/>
              <w:bottom w:val="nil"/>
              <w:right w:val="nil"/>
            </w:tcBorders>
            <w:shd w:val="clear" w:color="auto" w:fill="auto"/>
            <w:noWrap/>
            <w:vAlign w:val="center"/>
          </w:tcPr>
          <w:p w14:paraId="4ACAA84D" w14:textId="77777777"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p>
        </w:tc>
        <w:tc>
          <w:tcPr>
            <w:tcW w:w="410" w:type="pct"/>
            <w:tcBorders>
              <w:top w:val="nil"/>
              <w:left w:val="nil"/>
              <w:bottom w:val="nil"/>
              <w:right w:val="nil"/>
            </w:tcBorders>
            <w:shd w:val="clear" w:color="auto" w:fill="auto"/>
            <w:noWrap/>
            <w:vAlign w:val="center"/>
          </w:tcPr>
          <w:p w14:paraId="5BA76CDC" w14:textId="229F9116"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sz w:val="20"/>
                <w:szCs w:val="20"/>
              </w:rPr>
              <w:t>0.33</w:t>
            </w:r>
          </w:p>
        </w:tc>
        <w:tc>
          <w:tcPr>
            <w:tcW w:w="514" w:type="pct"/>
            <w:tcBorders>
              <w:top w:val="nil"/>
              <w:left w:val="nil"/>
              <w:bottom w:val="nil"/>
              <w:right w:val="nil"/>
            </w:tcBorders>
            <w:shd w:val="clear" w:color="auto" w:fill="auto"/>
            <w:noWrap/>
            <w:vAlign w:val="center"/>
          </w:tcPr>
          <w:p w14:paraId="41081A6D" w14:textId="5E8DCB0A"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sz w:val="20"/>
                <w:szCs w:val="20"/>
              </w:rPr>
              <w:t>0.62</w:t>
            </w:r>
          </w:p>
        </w:tc>
        <w:tc>
          <w:tcPr>
            <w:tcW w:w="425" w:type="pct"/>
            <w:tcBorders>
              <w:top w:val="nil"/>
              <w:left w:val="nil"/>
              <w:bottom w:val="nil"/>
              <w:right w:val="nil"/>
            </w:tcBorders>
            <w:shd w:val="clear" w:color="auto" w:fill="auto"/>
            <w:noWrap/>
            <w:vAlign w:val="center"/>
          </w:tcPr>
          <w:p w14:paraId="6EEA8DA7" w14:textId="00B31481"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sz w:val="20"/>
                <w:szCs w:val="20"/>
              </w:rPr>
              <w:t>0.57</w:t>
            </w:r>
          </w:p>
        </w:tc>
        <w:tc>
          <w:tcPr>
            <w:tcW w:w="86" w:type="pct"/>
            <w:tcBorders>
              <w:top w:val="nil"/>
              <w:left w:val="nil"/>
              <w:bottom w:val="nil"/>
              <w:right w:val="nil"/>
            </w:tcBorders>
            <w:shd w:val="clear" w:color="auto" w:fill="auto"/>
            <w:noWrap/>
            <w:vAlign w:val="center"/>
          </w:tcPr>
          <w:p w14:paraId="37493981" w14:textId="77777777"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p>
        </w:tc>
        <w:tc>
          <w:tcPr>
            <w:tcW w:w="464" w:type="pct"/>
            <w:tcBorders>
              <w:top w:val="nil"/>
              <w:left w:val="nil"/>
              <w:bottom w:val="nil"/>
              <w:right w:val="nil"/>
            </w:tcBorders>
            <w:shd w:val="clear" w:color="auto" w:fill="auto"/>
            <w:noWrap/>
            <w:vAlign w:val="center"/>
          </w:tcPr>
          <w:p w14:paraId="0F2FCAD4" w14:textId="59B0A67F"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0.31</w:t>
            </w:r>
          </w:p>
        </w:tc>
        <w:tc>
          <w:tcPr>
            <w:tcW w:w="379" w:type="pct"/>
            <w:tcBorders>
              <w:top w:val="nil"/>
              <w:left w:val="nil"/>
              <w:bottom w:val="nil"/>
              <w:right w:val="nil"/>
            </w:tcBorders>
            <w:shd w:val="clear" w:color="auto" w:fill="auto"/>
            <w:noWrap/>
            <w:vAlign w:val="center"/>
          </w:tcPr>
          <w:p w14:paraId="3784ED00" w14:textId="68F04926"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0.55</w:t>
            </w:r>
          </w:p>
        </w:tc>
        <w:tc>
          <w:tcPr>
            <w:tcW w:w="358" w:type="pct"/>
            <w:tcBorders>
              <w:top w:val="nil"/>
              <w:left w:val="nil"/>
              <w:bottom w:val="nil"/>
              <w:right w:val="nil"/>
            </w:tcBorders>
            <w:shd w:val="clear" w:color="auto" w:fill="auto"/>
            <w:noWrap/>
            <w:vAlign w:val="center"/>
          </w:tcPr>
          <w:p w14:paraId="0184E582" w14:textId="65333009" w:rsidR="00D65D72" w:rsidRPr="00357722" w:rsidRDefault="00D65D72" w:rsidP="00D65D72">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hAnsi="Times New Roman" w:cs="Times New Roman"/>
                <w:color w:val="000000" w:themeColor="text1"/>
                <w:sz w:val="20"/>
                <w:szCs w:val="20"/>
              </w:rPr>
              <w:t>0.46</w:t>
            </w:r>
          </w:p>
        </w:tc>
      </w:tr>
      <w:tr w:rsidR="00D06000" w:rsidRPr="00357722" w14:paraId="29ED6EA3" w14:textId="77777777" w:rsidTr="00D06000">
        <w:trPr>
          <w:trHeight w:val="20"/>
        </w:trPr>
        <w:tc>
          <w:tcPr>
            <w:tcW w:w="821" w:type="pct"/>
            <w:tcBorders>
              <w:top w:val="nil"/>
              <w:left w:val="nil"/>
              <w:bottom w:val="nil"/>
              <w:right w:val="nil"/>
            </w:tcBorders>
            <w:shd w:val="clear" w:color="auto" w:fill="auto"/>
            <w:noWrap/>
            <w:vAlign w:val="bottom"/>
            <w:hideMark/>
          </w:tcPr>
          <w:p w14:paraId="62F35225" w14:textId="7777777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themeColor="text1"/>
                <w:sz w:val="20"/>
                <w:szCs w:val="20"/>
              </w:rPr>
              <w:t>Country effects</w:t>
            </w:r>
          </w:p>
        </w:tc>
        <w:tc>
          <w:tcPr>
            <w:tcW w:w="513" w:type="pct"/>
            <w:tcBorders>
              <w:top w:val="nil"/>
              <w:left w:val="nil"/>
              <w:bottom w:val="nil"/>
              <w:right w:val="nil"/>
            </w:tcBorders>
            <w:shd w:val="clear" w:color="auto" w:fill="auto"/>
            <w:noWrap/>
            <w:vAlign w:val="center"/>
          </w:tcPr>
          <w:p w14:paraId="2BA3392C" w14:textId="5B1328E3"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517" w:type="pct"/>
            <w:tcBorders>
              <w:top w:val="nil"/>
              <w:left w:val="nil"/>
              <w:bottom w:val="nil"/>
              <w:right w:val="nil"/>
            </w:tcBorders>
            <w:shd w:val="clear" w:color="auto" w:fill="auto"/>
            <w:noWrap/>
            <w:vAlign w:val="center"/>
          </w:tcPr>
          <w:p w14:paraId="2FD51DC2" w14:textId="09146CE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425" w:type="pct"/>
            <w:tcBorders>
              <w:top w:val="nil"/>
              <w:left w:val="nil"/>
              <w:bottom w:val="nil"/>
              <w:right w:val="nil"/>
            </w:tcBorders>
            <w:shd w:val="clear" w:color="auto" w:fill="auto"/>
            <w:noWrap/>
            <w:vAlign w:val="center"/>
          </w:tcPr>
          <w:p w14:paraId="1DE36DFA" w14:textId="6FA284A0"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88" w:type="pct"/>
            <w:tcBorders>
              <w:top w:val="nil"/>
              <w:left w:val="nil"/>
              <w:bottom w:val="nil"/>
              <w:right w:val="nil"/>
            </w:tcBorders>
            <w:shd w:val="clear" w:color="auto" w:fill="auto"/>
            <w:noWrap/>
            <w:vAlign w:val="center"/>
          </w:tcPr>
          <w:p w14:paraId="38FEC2C6" w14:textId="7777777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p>
        </w:tc>
        <w:tc>
          <w:tcPr>
            <w:tcW w:w="410" w:type="pct"/>
            <w:tcBorders>
              <w:top w:val="nil"/>
              <w:left w:val="nil"/>
              <w:bottom w:val="nil"/>
              <w:right w:val="nil"/>
            </w:tcBorders>
            <w:shd w:val="clear" w:color="auto" w:fill="auto"/>
            <w:noWrap/>
            <w:vAlign w:val="center"/>
          </w:tcPr>
          <w:p w14:paraId="2082ED30" w14:textId="48C6DC7F"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514" w:type="pct"/>
            <w:tcBorders>
              <w:top w:val="nil"/>
              <w:left w:val="nil"/>
              <w:bottom w:val="nil"/>
              <w:right w:val="nil"/>
            </w:tcBorders>
            <w:shd w:val="clear" w:color="auto" w:fill="auto"/>
            <w:noWrap/>
            <w:vAlign w:val="center"/>
          </w:tcPr>
          <w:p w14:paraId="59D21A4F" w14:textId="1005BD0C"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425" w:type="pct"/>
            <w:tcBorders>
              <w:top w:val="nil"/>
              <w:left w:val="nil"/>
              <w:bottom w:val="nil"/>
              <w:right w:val="nil"/>
            </w:tcBorders>
            <w:shd w:val="clear" w:color="auto" w:fill="auto"/>
            <w:noWrap/>
            <w:vAlign w:val="center"/>
          </w:tcPr>
          <w:p w14:paraId="6C483AAA" w14:textId="47321EB8"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86" w:type="pct"/>
            <w:tcBorders>
              <w:top w:val="nil"/>
              <w:left w:val="nil"/>
              <w:bottom w:val="nil"/>
              <w:right w:val="nil"/>
            </w:tcBorders>
            <w:shd w:val="clear" w:color="auto" w:fill="auto"/>
            <w:noWrap/>
            <w:vAlign w:val="center"/>
          </w:tcPr>
          <w:p w14:paraId="29FF702A" w14:textId="7777777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p>
        </w:tc>
        <w:tc>
          <w:tcPr>
            <w:tcW w:w="464" w:type="pct"/>
            <w:tcBorders>
              <w:top w:val="nil"/>
              <w:left w:val="nil"/>
              <w:bottom w:val="nil"/>
              <w:right w:val="nil"/>
            </w:tcBorders>
            <w:shd w:val="clear" w:color="auto" w:fill="auto"/>
            <w:noWrap/>
            <w:vAlign w:val="center"/>
          </w:tcPr>
          <w:p w14:paraId="477EBE05" w14:textId="68D15CDF"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379" w:type="pct"/>
            <w:tcBorders>
              <w:top w:val="nil"/>
              <w:left w:val="nil"/>
              <w:bottom w:val="nil"/>
              <w:right w:val="nil"/>
            </w:tcBorders>
            <w:shd w:val="clear" w:color="auto" w:fill="auto"/>
            <w:noWrap/>
            <w:vAlign w:val="center"/>
          </w:tcPr>
          <w:p w14:paraId="644C9996" w14:textId="42E4C3A8"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358" w:type="pct"/>
            <w:tcBorders>
              <w:top w:val="nil"/>
              <w:left w:val="nil"/>
              <w:bottom w:val="nil"/>
              <w:right w:val="nil"/>
            </w:tcBorders>
            <w:shd w:val="clear" w:color="auto" w:fill="auto"/>
            <w:noWrap/>
            <w:vAlign w:val="center"/>
          </w:tcPr>
          <w:p w14:paraId="69ACEC2D" w14:textId="5D32EC68"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r>
      <w:tr w:rsidR="00D06000" w:rsidRPr="00357722" w14:paraId="5652ECF4" w14:textId="77777777" w:rsidTr="00D06000">
        <w:trPr>
          <w:trHeight w:val="20"/>
        </w:trPr>
        <w:tc>
          <w:tcPr>
            <w:tcW w:w="821" w:type="pct"/>
            <w:tcBorders>
              <w:top w:val="nil"/>
              <w:left w:val="nil"/>
              <w:bottom w:val="single" w:sz="4" w:space="0" w:color="auto"/>
              <w:right w:val="nil"/>
            </w:tcBorders>
            <w:shd w:val="clear" w:color="auto" w:fill="auto"/>
            <w:noWrap/>
            <w:vAlign w:val="bottom"/>
            <w:hideMark/>
          </w:tcPr>
          <w:p w14:paraId="14BA3976" w14:textId="7777777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themeColor="text1"/>
                <w:sz w:val="20"/>
                <w:szCs w:val="20"/>
              </w:rPr>
              <w:t>Year fixed effects</w:t>
            </w:r>
          </w:p>
        </w:tc>
        <w:tc>
          <w:tcPr>
            <w:tcW w:w="513" w:type="pct"/>
            <w:tcBorders>
              <w:top w:val="nil"/>
              <w:left w:val="nil"/>
              <w:bottom w:val="single" w:sz="4" w:space="0" w:color="auto"/>
              <w:right w:val="nil"/>
            </w:tcBorders>
            <w:shd w:val="clear" w:color="auto" w:fill="auto"/>
            <w:noWrap/>
            <w:vAlign w:val="center"/>
          </w:tcPr>
          <w:p w14:paraId="473B19F7" w14:textId="05A42C99"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517" w:type="pct"/>
            <w:tcBorders>
              <w:top w:val="nil"/>
              <w:left w:val="nil"/>
              <w:bottom w:val="single" w:sz="4" w:space="0" w:color="auto"/>
              <w:right w:val="nil"/>
            </w:tcBorders>
            <w:shd w:val="clear" w:color="auto" w:fill="auto"/>
            <w:noWrap/>
            <w:vAlign w:val="center"/>
          </w:tcPr>
          <w:p w14:paraId="415FF81D" w14:textId="064FA2C2"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425" w:type="pct"/>
            <w:tcBorders>
              <w:top w:val="nil"/>
              <w:left w:val="nil"/>
              <w:bottom w:val="single" w:sz="4" w:space="0" w:color="auto"/>
              <w:right w:val="nil"/>
            </w:tcBorders>
            <w:shd w:val="clear" w:color="auto" w:fill="auto"/>
            <w:noWrap/>
            <w:vAlign w:val="center"/>
          </w:tcPr>
          <w:p w14:paraId="19BE5325" w14:textId="3823904B"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88" w:type="pct"/>
            <w:tcBorders>
              <w:top w:val="nil"/>
              <w:left w:val="nil"/>
              <w:bottom w:val="single" w:sz="4" w:space="0" w:color="auto"/>
              <w:right w:val="nil"/>
            </w:tcBorders>
            <w:shd w:val="clear" w:color="auto" w:fill="auto"/>
            <w:noWrap/>
            <w:vAlign w:val="center"/>
          </w:tcPr>
          <w:p w14:paraId="3588676B" w14:textId="7777777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p>
        </w:tc>
        <w:tc>
          <w:tcPr>
            <w:tcW w:w="410" w:type="pct"/>
            <w:tcBorders>
              <w:top w:val="nil"/>
              <w:left w:val="nil"/>
              <w:bottom w:val="single" w:sz="4" w:space="0" w:color="auto"/>
              <w:right w:val="nil"/>
            </w:tcBorders>
            <w:shd w:val="clear" w:color="auto" w:fill="auto"/>
            <w:noWrap/>
            <w:vAlign w:val="center"/>
          </w:tcPr>
          <w:p w14:paraId="4CF43775" w14:textId="4763605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514" w:type="pct"/>
            <w:tcBorders>
              <w:top w:val="nil"/>
              <w:left w:val="nil"/>
              <w:bottom w:val="single" w:sz="4" w:space="0" w:color="auto"/>
              <w:right w:val="nil"/>
            </w:tcBorders>
            <w:shd w:val="clear" w:color="auto" w:fill="auto"/>
            <w:noWrap/>
            <w:vAlign w:val="center"/>
          </w:tcPr>
          <w:p w14:paraId="50005733" w14:textId="4A73D44E"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425" w:type="pct"/>
            <w:tcBorders>
              <w:top w:val="nil"/>
              <w:left w:val="nil"/>
              <w:bottom w:val="single" w:sz="4" w:space="0" w:color="auto"/>
              <w:right w:val="nil"/>
            </w:tcBorders>
            <w:shd w:val="clear" w:color="auto" w:fill="auto"/>
            <w:noWrap/>
            <w:vAlign w:val="center"/>
          </w:tcPr>
          <w:p w14:paraId="381E153F" w14:textId="58A480FD"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86" w:type="pct"/>
            <w:tcBorders>
              <w:top w:val="nil"/>
              <w:left w:val="nil"/>
              <w:bottom w:val="single" w:sz="4" w:space="0" w:color="auto"/>
              <w:right w:val="nil"/>
            </w:tcBorders>
            <w:shd w:val="clear" w:color="auto" w:fill="auto"/>
            <w:noWrap/>
            <w:vAlign w:val="center"/>
          </w:tcPr>
          <w:p w14:paraId="7521E3EE" w14:textId="77777777"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p>
        </w:tc>
        <w:tc>
          <w:tcPr>
            <w:tcW w:w="464" w:type="pct"/>
            <w:tcBorders>
              <w:top w:val="nil"/>
              <w:left w:val="nil"/>
              <w:bottom w:val="single" w:sz="4" w:space="0" w:color="auto"/>
              <w:right w:val="nil"/>
            </w:tcBorders>
            <w:shd w:val="clear" w:color="auto" w:fill="auto"/>
            <w:noWrap/>
            <w:vAlign w:val="center"/>
          </w:tcPr>
          <w:p w14:paraId="30321DB1" w14:textId="39F53CC8"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379" w:type="pct"/>
            <w:tcBorders>
              <w:top w:val="nil"/>
              <w:left w:val="nil"/>
              <w:bottom w:val="single" w:sz="4" w:space="0" w:color="auto"/>
              <w:right w:val="nil"/>
            </w:tcBorders>
            <w:shd w:val="clear" w:color="auto" w:fill="auto"/>
            <w:noWrap/>
            <w:vAlign w:val="center"/>
          </w:tcPr>
          <w:p w14:paraId="0DA9EF70" w14:textId="10299A74"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c>
          <w:tcPr>
            <w:tcW w:w="358" w:type="pct"/>
            <w:tcBorders>
              <w:top w:val="nil"/>
              <w:left w:val="nil"/>
              <w:bottom w:val="single" w:sz="4" w:space="0" w:color="auto"/>
              <w:right w:val="nil"/>
            </w:tcBorders>
            <w:shd w:val="clear" w:color="auto" w:fill="auto"/>
            <w:noWrap/>
            <w:vAlign w:val="center"/>
          </w:tcPr>
          <w:p w14:paraId="4B5350E3" w14:textId="271706CB" w:rsidR="00D821F6" w:rsidRPr="00357722" w:rsidRDefault="00D821F6" w:rsidP="00543F90">
            <w:pPr>
              <w:spacing w:after="0" w:line="360" w:lineRule="auto"/>
              <w:jc w:val="both"/>
              <w:rPr>
                <w:rFonts w:ascii="Times New Roman" w:eastAsia="Times New Roman" w:hAnsi="Times New Roman" w:cs="Times New Roman"/>
                <w:color w:val="000000" w:themeColor="text1"/>
                <w:sz w:val="20"/>
                <w:szCs w:val="20"/>
              </w:rPr>
            </w:pPr>
            <w:r w:rsidRPr="00357722">
              <w:rPr>
                <w:rFonts w:ascii="Times New Roman" w:eastAsia="Times New Roman" w:hAnsi="Times New Roman" w:cs="Times New Roman"/>
                <w:color w:val="000000"/>
                <w:sz w:val="20"/>
                <w:szCs w:val="20"/>
              </w:rPr>
              <w:t>Yes</w:t>
            </w:r>
          </w:p>
        </w:tc>
      </w:tr>
    </w:tbl>
    <w:p w14:paraId="304E33B3" w14:textId="4DB92AAE" w:rsidR="00FD1839" w:rsidRPr="00357722" w:rsidRDefault="00344471" w:rsidP="00D06000">
      <w:pPr>
        <w:suppressAutoHyphens/>
        <w:spacing w:after="0"/>
        <w:rPr>
          <w:rFonts w:ascii="Times New Roman" w:eastAsia="Calibri" w:hAnsi="Times New Roman" w:cs="Times New Roman"/>
          <w:sz w:val="18"/>
          <w:szCs w:val="18"/>
          <w:lang w:eastAsia="en-US"/>
        </w:rPr>
      </w:pPr>
      <w:r w:rsidRPr="00357722">
        <w:rPr>
          <w:rFonts w:ascii="Times New Roman" w:eastAsia="Calibri" w:hAnsi="Times New Roman" w:cs="Times New Roman"/>
          <w:sz w:val="18"/>
          <w:szCs w:val="18"/>
          <w:lang w:eastAsia="en-US"/>
        </w:rPr>
        <w:t xml:space="preserve">Notes: All variables are as defined in Appendix A1. </w:t>
      </w:r>
      <w:r w:rsidR="00FD1839" w:rsidRPr="00357722">
        <w:rPr>
          <w:rFonts w:ascii="Times New Roman" w:eastAsia="DFKai-SB" w:hAnsi="Times New Roman" w:cs="Times New Roman"/>
          <w:sz w:val="20"/>
          <w:szCs w:val="20"/>
          <w:lang w:eastAsia="en-US"/>
        </w:rPr>
        <w:t xml:space="preserve">The </w:t>
      </w:r>
      <w:r w:rsidR="00FD1839" w:rsidRPr="00357722">
        <w:rPr>
          <w:rFonts w:ascii="Times New Roman" w:eastAsia="DFKai-SB" w:hAnsi="Times New Roman" w:cs="Times New Roman"/>
          <w:i/>
          <w:sz w:val="20"/>
          <w:szCs w:val="20"/>
          <w:lang w:eastAsia="en-US"/>
        </w:rPr>
        <w:t>t</w:t>
      </w:r>
      <w:r w:rsidR="00FD1839" w:rsidRPr="00357722">
        <w:rPr>
          <w:rFonts w:ascii="Times New Roman" w:eastAsia="DFKai-SB" w:hAnsi="Times New Roman" w:cs="Times New Roman"/>
          <w:sz w:val="20"/>
          <w:szCs w:val="20"/>
          <w:lang w:eastAsia="en-US"/>
        </w:rPr>
        <w:t>-statistics are robust to</w:t>
      </w:r>
      <w:r w:rsidR="00FD1839" w:rsidRPr="00357722">
        <w:rPr>
          <w:rFonts w:ascii="Times New Roman" w:eastAsia="DFKai-SB" w:hAnsi="Times New Roman" w:cs="Times New Roman"/>
          <w:sz w:val="18"/>
          <w:szCs w:val="18"/>
          <w:lang w:eastAsia="en-US"/>
        </w:rPr>
        <w:t xml:space="preserve"> heteroscedasticity reported in parentheses, are based on double clustered standard errors (clustering done at the country and year levels). </w:t>
      </w:r>
      <w:r w:rsidR="00FD1839" w:rsidRPr="00357722">
        <w:rPr>
          <w:rFonts w:ascii="Times New Roman" w:eastAsia="Calibri" w:hAnsi="Times New Roman" w:cs="Times New Roman"/>
          <w:sz w:val="18"/>
          <w:szCs w:val="18"/>
          <w:lang w:eastAsia="en-US"/>
        </w:rPr>
        <w:t>For tractable interpretation, all the coefficients are reported as elasticity</w:t>
      </w:r>
      <w:r w:rsidR="00EB60C4">
        <w:rPr>
          <w:rFonts w:ascii="Times New Roman" w:eastAsia="Calibri" w:hAnsi="Times New Roman" w:cs="Times New Roman"/>
          <w:sz w:val="18"/>
          <w:szCs w:val="18"/>
          <w:lang w:eastAsia="en-US"/>
        </w:rPr>
        <w:t>,</w:t>
      </w:r>
      <w:r w:rsidR="00FD1839" w:rsidRPr="00357722">
        <w:rPr>
          <w:rFonts w:ascii="Times New Roman" w:eastAsia="Calibri" w:hAnsi="Times New Roman" w:cs="Times New Roman"/>
          <w:sz w:val="18"/>
          <w:szCs w:val="18"/>
          <w:lang w:eastAsia="en-US"/>
        </w:rPr>
        <w:t xml:space="preserve"> and the statistical significance is reported against 10% (*), 5% (**)</w:t>
      </w:r>
      <w:r w:rsidR="00EB60C4">
        <w:rPr>
          <w:rFonts w:ascii="Times New Roman" w:eastAsia="Calibri" w:hAnsi="Times New Roman" w:cs="Times New Roman"/>
          <w:sz w:val="18"/>
          <w:szCs w:val="18"/>
          <w:lang w:eastAsia="en-US"/>
        </w:rPr>
        <w:t>,</w:t>
      </w:r>
      <w:r w:rsidR="00FD1839" w:rsidRPr="00357722">
        <w:rPr>
          <w:rFonts w:ascii="Times New Roman" w:eastAsia="Calibri" w:hAnsi="Times New Roman" w:cs="Times New Roman"/>
          <w:sz w:val="18"/>
          <w:szCs w:val="18"/>
          <w:lang w:eastAsia="en-US"/>
        </w:rPr>
        <w:t xml:space="preserve"> and 1% (***) significance levels respectively.</w:t>
      </w:r>
    </w:p>
    <w:p w14:paraId="7E8F44B9" w14:textId="77777777" w:rsidR="00FD1839" w:rsidRPr="00357722" w:rsidRDefault="00FD1839" w:rsidP="005636E8">
      <w:pPr>
        <w:spacing w:line="480" w:lineRule="auto"/>
        <w:jc w:val="both"/>
        <w:rPr>
          <w:rFonts w:ascii="Times New Roman" w:hAnsi="Times New Roman" w:cs="Times New Roman"/>
          <w:color w:val="000000" w:themeColor="text1"/>
          <w:sz w:val="24"/>
          <w:szCs w:val="24"/>
        </w:rPr>
      </w:pPr>
    </w:p>
    <w:p w14:paraId="594C5728" w14:textId="77777777" w:rsidR="00FD1839" w:rsidRPr="00357722" w:rsidRDefault="00FD1839" w:rsidP="005636E8">
      <w:pPr>
        <w:spacing w:line="480" w:lineRule="auto"/>
        <w:jc w:val="both"/>
        <w:rPr>
          <w:rFonts w:ascii="Times New Roman" w:hAnsi="Times New Roman" w:cs="Times New Roman"/>
          <w:color w:val="000000" w:themeColor="text1"/>
          <w:sz w:val="24"/>
          <w:szCs w:val="24"/>
        </w:rPr>
        <w:sectPr w:rsidR="00FD1839" w:rsidRPr="00357722" w:rsidSect="00C34896">
          <w:pgSz w:w="16838" w:h="11906" w:orient="landscape"/>
          <w:pgMar w:top="993" w:right="1440" w:bottom="1440" w:left="1440" w:header="708" w:footer="708" w:gutter="0"/>
          <w:cols w:space="708"/>
          <w:docGrid w:linePitch="360"/>
        </w:sectPr>
      </w:pPr>
    </w:p>
    <w:p w14:paraId="3BF95360" w14:textId="2F573FF1" w:rsidR="00C531DF" w:rsidRPr="00357722" w:rsidRDefault="00310B0F" w:rsidP="00EF3A3D">
      <w:pPr>
        <w:spacing w:after="0" w:line="360" w:lineRule="auto"/>
        <w:jc w:val="both"/>
        <w:rPr>
          <w:rFonts w:ascii="Times New Roman" w:hAnsi="Times New Roman" w:cs="Times New Roman"/>
          <w:b/>
          <w:bCs/>
          <w:color w:val="000000" w:themeColor="text1"/>
        </w:rPr>
      </w:pPr>
      <w:r w:rsidRPr="00357722">
        <w:rPr>
          <w:rFonts w:ascii="Times New Roman" w:hAnsi="Times New Roman" w:cs="Times New Roman"/>
          <w:b/>
          <w:bCs/>
          <w:color w:val="000000" w:themeColor="text1"/>
        </w:rPr>
        <w:lastRenderedPageBreak/>
        <w:t xml:space="preserve">Table </w:t>
      </w:r>
      <w:r w:rsidR="00032333" w:rsidRPr="00357722">
        <w:rPr>
          <w:rFonts w:ascii="Times New Roman" w:hAnsi="Times New Roman" w:cs="Times New Roman"/>
          <w:b/>
          <w:bCs/>
          <w:color w:val="000000" w:themeColor="text1"/>
        </w:rPr>
        <w:t>9</w:t>
      </w:r>
      <w:r w:rsidRPr="00357722">
        <w:rPr>
          <w:rFonts w:ascii="Times New Roman" w:hAnsi="Times New Roman" w:cs="Times New Roman"/>
          <w:b/>
          <w:bCs/>
          <w:color w:val="000000" w:themeColor="text1"/>
        </w:rPr>
        <w:t xml:space="preserve">: </w:t>
      </w:r>
      <w:r w:rsidR="00646327" w:rsidRPr="00646327">
        <w:rPr>
          <w:rFonts w:ascii="Times New Roman" w:eastAsia="Times New Roman" w:hAnsi="Times New Roman" w:cs="Times New Roman"/>
          <w:b/>
          <w:iCs/>
          <w:color w:val="000000" w:themeColor="text1"/>
          <w:sz w:val="24"/>
          <w:szCs w:val="24"/>
        </w:rPr>
        <w:t>Quasi-natural experiment</w:t>
      </w:r>
    </w:p>
    <w:tbl>
      <w:tblPr>
        <w:tblW w:w="5000" w:type="pct"/>
        <w:tblLook w:val="04A0" w:firstRow="1" w:lastRow="0" w:firstColumn="1" w:lastColumn="0" w:noHBand="0" w:noVBand="1"/>
      </w:tblPr>
      <w:tblGrid>
        <w:gridCol w:w="5092"/>
        <w:gridCol w:w="1472"/>
        <w:gridCol w:w="1578"/>
        <w:gridCol w:w="1332"/>
      </w:tblGrid>
      <w:tr w:rsidR="007E5C7F" w:rsidRPr="00357722" w14:paraId="7084DCA1" w14:textId="77777777" w:rsidTr="007E5C7F">
        <w:trPr>
          <w:trHeight w:val="300"/>
        </w:trPr>
        <w:tc>
          <w:tcPr>
            <w:tcW w:w="2687" w:type="pct"/>
            <w:tcBorders>
              <w:top w:val="single" w:sz="4" w:space="0" w:color="auto"/>
              <w:left w:val="nil"/>
              <w:bottom w:val="nil"/>
              <w:right w:val="nil"/>
            </w:tcBorders>
            <w:shd w:val="clear" w:color="auto" w:fill="auto"/>
            <w:noWrap/>
            <w:vAlign w:val="bottom"/>
            <w:hideMark/>
          </w:tcPr>
          <w:p w14:paraId="73DEF359"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 </w:t>
            </w:r>
          </w:p>
        </w:tc>
        <w:tc>
          <w:tcPr>
            <w:tcW w:w="777" w:type="pct"/>
            <w:tcBorders>
              <w:top w:val="single" w:sz="4" w:space="0" w:color="auto"/>
              <w:left w:val="nil"/>
              <w:bottom w:val="nil"/>
              <w:right w:val="nil"/>
            </w:tcBorders>
            <w:shd w:val="clear" w:color="auto" w:fill="auto"/>
            <w:noWrap/>
            <w:vAlign w:val="center"/>
            <w:hideMark/>
          </w:tcPr>
          <w:p w14:paraId="4B2A8435"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Model (1)</w:t>
            </w:r>
          </w:p>
        </w:tc>
        <w:tc>
          <w:tcPr>
            <w:tcW w:w="833" w:type="pct"/>
            <w:tcBorders>
              <w:top w:val="single" w:sz="4" w:space="0" w:color="auto"/>
              <w:left w:val="nil"/>
              <w:bottom w:val="nil"/>
              <w:right w:val="nil"/>
            </w:tcBorders>
            <w:shd w:val="clear" w:color="auto" w:fill="auto"/>
            <w:noWrap/>
            <w:vAlign w:val="center"/>
            <w:hideMark/>
          </w:tcPr>
          <w:p w14:paraId="391ECE3B"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Model (2)</w:t>
            </w:r>
          </w:p>
        </w:tc>
        <w:tc>
          <w:tcPr>
            <w:tcW w:w="702" w:type="pct"/>
            <w:tcBorders>
              <w:top w:val="single" w:sz="4" w:space="0" w:color="auto"/>
              <w:left w:val="nil"/>
              <w:bottom w:val="nil"/>
              <w:right w:val="nil"/>
            </w:tcBorders>
            <w:shd w:val="clear" w:color="auto" w:fill="auto"/>
            <w:noWrap/>
            <w:vAlign w:val="center"/>
            <w:hideMark/>
          </w:tcPr>
          <w:p w14:paraId="6DDA7344"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Model (3)</w:t>
            </w:r>
          </w:p>
        </w:tc>
      </w:tr>
      <w:tr w:rsidR="007E5C7F" w:rsidRPr="00357722" w14:paraId="2EB9DC6A" w14:textId="77777777" w:rsidTr="00BB53E8">
        <w:trPr>
          <w:trHeight w:val="480"/>
        </w:trPr>
        <w:tc>
          <w:tcPr>
            <w:tcW w:w="2687" w:type="pct"/>
            <w:tcBorders>
              <w:top w:val="nil"/>
              <w:left w:val="nil"/>
              <w:bottom w:val="single" w:sz="4" w:space="0" w:color="auto"/>
              <w:right w:val="nil"/>
            </w:tcBorders>
            <w:shd w:val="clear" w:color="auto" w:fill="auto"/>
            <w:noWrap/>
            <w:vAlign w:val="center"/>
            <w:hideMark/>
          </w:tcPr>
          <w:p w14:paraId="3411001B"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Variable</w:t>
            </w:r>
          </w:p>
        </w:tc>
        <w:tc>
          <w:tcPr>
            <w:tcW w:w="777" w:type="pct"/>
            <w:tcBorders>
              <w:top w:val="nil"/>
              <w:left w:val="nil"/>
              <w:bottom w:val="single" w:sz="4" w:space="0" w:color="auto"/>
              <w:right w:val="nil"/>
            </w:tcBorders>
            <w:shd w:val="clear" w:color="auto" w:fill="auto"/>
            <w:vAlign w:val="center"/>
            <w:hideMark/>
          </w:tcPr>
          <w:p w14:paraId="0B3DC9C7" w14:textId="05C362D2" w:rsidR="00CD36DF" w:rsidRPr="00357722" w:rsidRDefault="00005414" w:rsidP="00543F90">
            <w:pPr>
              <w:spacing w:after="0" w:line="360" w:lineRule="auto"/>
              <w:jc w:val="both"/>
              <w:rPr>
                <w:rFonts w:ascii="Times New Roman" w:eastAsia="Times New Roman" w:hAnsi="Times New Roman" w:cs="Times New Roman"/>
                <w:i/>
                <w:iCs/>
                <w:color w:val="000000"/>
              </w:rPr>
            </w:pPr>
            <w:r w:rsidRPr="00357722">
              <w:rPr>
                <w:rFonts w:ascii="Times New Roman" w:eastAsia="Times New Roman" w:hAnsi="Times New Roman" w:cs="Times New Roman"/>
                <w:i/>
                <w:iCs/>
                <w:color w:val="000000"/>
                <w:lang w:val="en-US"/>
              </w:rPr>
              <w:t>MCGDP</w:t>
            </w:r>
          </w:p>
        </w:tc>
        <w:tc>
          <w:tcPr>
            <w:tcW w:w="833" w:type="pct"/>
            <w:tcBorders>
              <w:top w:val="nil"/>
              <w:left w:val="nil"/>
              <w:bottom w:val="single" w:sz="4" w:space="0" w:color="auto"/>
              <w:right w:val="nil"/>
            </w:tcBorders>
            <w:shd w:val="clear" w:color="auto" w:fill="auto"/>
            <w:vAlign w:val="center"/>
            <w:hideMark/>
          </w:tcPr>
          <w:p w14:paraId="5C729316" w14:textId="14DEC006" w:rsidR="00CD36DF" w:rsidRPr="00357722" w:rsidRDefault="00BF6160" w:rsidP="00543F90">
            <w:pPr>
              <w:spacing w:after="0" w:line="360" w:lineRule="auto"/>
              <w:jc w:val="both"/>
              <w:rPr>
                <w:rFonts w:ascii="Times New Roman" w:eastAsia="Times New Roman" w:hAnsi="Times New Roman" w:cs="Times New Roman"/>
                <w:i/>
                <w:iCs/>
                <w:color w:val="000000"/>
              </w:rPr>
            </w:pPr>
            <w:r w:rsidRPr="00357722">
              <w:rPr>
                <w:rFonts w:ascii="Times New Roman" w:eastAsia="Times New Roman" w:hAnsi="Times New Roman" w:cs="Times New Roman"/>
                <w:color w:val="000000"/>
                <w:lang w:val="en-US"/>
              </w:rPr>
              <w:t>PSCGDP</w:t>
            </w:r>
          </w:p>
        </w:tc>
        <w:tc>
          <w:tcPr>
            <w:tcW w:w="702" w:type="pct"/>
            <w:tcBorders>
              <w:top w:val="nil"/>
              <w:left w:val="nil"/>
              <w:bottom w:val="single" w:sz="4" w:space="0" w:color="auto"/>
              <w:right w:val="nil"/>
            </w:tcBorders>
            <w:shd w:val="clear" w:color="auto" w:fill="auto"/>
            <w:vAlign w:val="center"/>
            <w:hideMark/>
          </w:tcPr>
          <w:p w14:paraId="32818AE2" w14:textId="1DCF5166" w:rsidR="00CD36DF" w:rsidRPr="00357722" w:rsidRDefault="00C35D4A" w:rsidP="00543F90">
            <w:pPr>
              <w:spacing w:after="0" w:line="360" w:lineRule="auto"/>
              <w:jc w:val="both"/>
              <w:rPr>
                <w:rFonts w:ascii="Times New Roman" w:eastAsia="Times New Roman" w:hAnsi="Times New Roman" w:cs="Times New Roman"/>
                <w:i/>
                <w:iCs/>
                <w:color w:val="000000"/>
              </w:rPr>
            </w:pPr>
            <w:r w:rsidRPr="00357722">
              <w:rPr>
                <w:rFonts w:ascii="Times New Roman" w:eastAsia="Times New Roman" w:hAnsi="Times New Roman" w:cs="Times New Roman"/>
                <w:i/>
                <w:iCs/>
                <w:color w:val="000000"/>
                <w:lang w:val="en-US"/>
              </w:rPr>
              <w:t>DCPGDP</w:t>
            </w:r>
          </w:p>
        </w:tc>
      </w:tr>
      <w:tr w:rsidR="007E5C7F" w:rsidRPr="00357722" w14:paraId="43745508" w14:textId="77777777" w:rsidTr="007E5C7F">
        <w:trPr>
          <w:trHeight w:val="300"/>
        </w:trPr>
        <w:tc>
          <w:tcPr>
            <w:tcW w:w="2687" w:type="pct"/>
            <w:tcBorders>
              <w:top w:val="nil"/>
              <w:left w:val="nil"/>
              <w:bottom w:val="nil"/>
              <w:right w:val="nil"/>
            </w:tcBorders>
            <w:shd w:val="clear" w:color="auto" w:fill="auto"/>
            <w:noWrap/>
            <w:vAlign w:val="bottom"/>
            <w:hideMark/>
          </w:tcPr>
          <w:p w14:paraId="2B499FF5" w14:textId="0D42B529" w:rsidR="00CD36DF" w:rsidRPr="00357722" w:rsidRDefault="00EE4D36" w:rsidP="00543F90">
            <w:pPr>
              <w:spacing w:after="0" w:line="360" w:lineRule="auto"/>
              <w:jc w:val="both"/>
              <w:rPr>
                <w:rFonts w:ascii="Times New Roman" w:eastAsia="Times New Roman" w:hAnsi="Times New Roman" w:cs="Times New Roman"/>
                <w:i/>
                <w:color w:val="000000"/>
              </w:rPr>
            </w:pPr>
            <w:r w:rsidRPr="00357722">
              <w:rPr>
                <w:rFonts w:ascii="Times New Roman" w:eastAsia="Times New Roman" w:hAnsi="Times New Roman" w:cs="Times New Roman"/>
                <w:i/>
                <w:color w:val="000000"/>
              </w:rPr>
              <w:t xml:space="preserve"> PORTFOLIO </w:t>
            </w:r>
            <w:r w:rsidR="00600797" w:rsidRPr="00357722">
              <w:rPr>
                <w:rFonts w:ascii="Times New Roman" w:eastAsia="Times New Roman" w:hAnsi="Times New Roman" w:cs="Times New Roman"/>
                <w:color w:val="000000"/>
              </w:rPr>
              <w:t>x</w:t>
            </w:r>
            <w:r w:rsidR="00600797" w:rsidRPr="00357722">
              <w:rPr>
                <w:rFonts w:ascii="Times New Roman" w:eastAsia="Times New Roman" w:hAnsi="Times New Roman" w:cs="Times New Roman"/>
                <w:i/>
                <w:color w:val="000000"/>
              </w:rPr>
              <w:t xml:space="preserve"> </w:t>
            </w:r>
            <w:r w:rsidRPr="00357722">
              <w:rPr>
                <w:rFonts w:ascii="Times New Roman" w:eastAsia="Times New Roman" w:hAnsi="Times New Roman" w:cs="Times New Roman"/>
                <w:i/>
                <w:color w:val="000000"/>
              </w:rPr>
              <w:t>GIIPS</w:t>
            </w:r>
            <w:r w:rsidRPr="00357722">
              <w:rPr>
                <w:rFonts w:ascii="Times New Roman" w:eastAsia="Times New Roman" w:hAnsi="Times New Roman" w:cs="Times New Roman"/>
                <w:color w:val="000000"/>
              </w:rPr>
              <w:t xml:space="preserve"> </w:t>
            </w:r>
            <w:r w:rsidR="00600797" w:rsidRPr="00357722">
              <w:rPr>
                <w:rFonts w:ascii="Times New Roman" w:eastAsia="Times New Roman" w:hAnsi="Times New Roman" w:cs="Times New Roman"/>
                <w:color w:val="000000"/>
              </w:rPr>
              <w:t>x</w:t>
            </w:r>
            <w:r w:rsidR="00600797" w:rsidRPr="00357722">
              <w:rPr>
                <w:rFonts w:ascii="Times New Roman" w:eastAsia="Times New Roman" w:hAnsi="Times New Roman" w:cs="Times New Roman"/>
                <w:i/>
                <w:color w:val="000000"/>
              </w:rPr>
              <w:t xml:space="preserve"> </w:t>
            </w:r>
            <w:r w:rsidR="00C53B9D" w:rsidRPr="00357722">
              <w:rPr>
                <w:rFonts w:ascii="Times New Roman" w:eastAsia="Times New Roman" w:hAnsi="Times New Roman" w:cs="Times New Roman"/>
                <w:i/>
                <w:color w:val="000000"/>
              </w:rPr>
              <w:t>P</w:t>
            </w:r>
            <w:r w:rsidRPr="00357722">
              <w:rPr>
                <w:rFonts w:ascii="Times New Roman" w:eastAsia="Times New Roman" w:hAnsi="Times New Roman" w:cs="Times New Roman"/>
                <w:i/>
                <w:color w:val="000000"/>
              </w:rPr>
              <w:t>ost</w:t>
            </w:r>
            <w:r w:rsidR="0011436E" w:rsidRPr="00357722">
              <w:rPr>
                <w:rFonts w:ascii="Times New Roman" w:eastAsia="Times New Roman" w:hAnsi="Times New Roman" w:cs="Times New Roman"/>
                <w:i/>
                <w:color w:val="000000"/>
              </w:rPr>
              <w:t>-crisis</w:t>
            </w:r>
          </w:p>
        </w:tc>
        <w:tc>
          <w:tcPr>
            <w:tcW w:w="777" w:type="pct"/>
            <w:tcBorders>
              <w:top w:val="nil"/>
              <w:left w:val="nil"/>
              <w:bottom w:val="nil"/>
              <w:right w:val="nil"/>
            </w:tcBorders>
            <w:shd w:val="clear" w:color="auto" w:fill="auto"/>
            <w:noWrap/>
            <w:vAlign w:val="center"/>
            <w:hideMark/>
          </w:tcPr>
          <w:p w14:paraId="428A3E7D"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0.225**</w:t>
            </w:r>
          </w:p>
        </w:tc>
        <w:tc>
          <w:tcPr>
            <w:tcW w:w="833" w:type="pct"/>
            <w:tcBorders>
              <w:top w:val="nil"/>
              <w:left w:val="nil"/>
              <w:bottom w:val="nil"/>
              <w:right w:val="nil"/>
            </w:tcBorders>
            <w:shd w:val="clear" w:color="auto" w:fill="auto"/>
            <w:noWrap/>
            <w:vAlign w:val="center"/>
            <w:hideMark/>
          </w:tcPr>
          <w:p w14:paraId="4C8C1BFF"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0.138***</w:t>
            </w:r>
          </w:p>
        </w:tc>
        <w:tc>
          <w:tcPr>
            <w:tcW w:w="702" w:type="pct"/>
            <w:tcBorders>
              <w:top w:val="nil"/>
              <w:left w:val="nil"/>
              <w:bottom w:val="nil"/>
              <w:right w:val="nil"/>
            </w:tcBorders>
            <w:shd w:val="clear" w:color="auto" w:fill="auto"/>
            <w:noWrap/>
            <w:vAlign w:val="center"/>
            <w:hideMark/>
          </w:tcPr>
          <w:p w14:paraId="361AF6A1"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0.082**</w:t>
            </w:r>
          </w:p>
        </w:tc>
      </w:tr>
      <w:tr w:rsidR="007E5C7F" w:rsidRPr="00357722" w14:paraId="2C73EAE3" w14:textId="77777777" w:rsidTr="007E5C7F">
        <w:trPr>
          <w:trHeight w:val="300"/>
        </w:trPr>
        <w:tc>
          <w:tcPr>
            <w:tcW w:w="2687" w:type="pct"/>
            <w:tcBorders>
              <w:top w:val="nil"/>
              <w:left w:val="nil"/>
              <w:bottom w:val="nil"/>
              <w:right w:val="nil"/>
            </w:tcBorders>
            <w:shd w:val="clear" w:color="auto" w:fill="auto"/>
            <w:noWrap/>
            <w:vAlign w:val="bottom"/>
            <w:hideMark/>
          </w:tcPr>
          <w:p w14:paraId="60EEE5E0" w14:textId="77777777" w:rsidR="00CD36DF" w:rsidRPr="00357722" w:rsidRDefault="00CD36DF" w:rsidP="00543F90">
            <w:pPr>
              <w:spacing w:after="0" w:line="360" w:lineRule="auto"/>
              <w:jc w:val="both"/>
              <w:rPr>
                <w:rFonts w:ascii="Times New Roman" w:eastAsia="Times New Roman" w:hAnsi="Times New Roman" w:cs="Times New Roman"/>
                <w:i/>
                <w:color w:val="000000"/>
              </w:rPr>
            </w:pPr>
          </w:p>
        </w:tc>
        <w:tc>
          <w:tcPr>
            <w:tcW w:w="777" w:type="pct"/>
            <w:tcBorders>
              <w:top w:val="nil"/>
              <w:left w:val="nil"/>
              <w:bottom w:val="nil"/>
              <w:right w:val="nil"/>
            </w:tcBorders>
            <w:shd w:val="clear" w:color="auto" w:fill="auto"/>
            <w:noWrap/>
            <w:hideMark/>
          </w:tcPr>
          <w:p w14:paraId="47F5B7A3"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(2.25)</w:t>
            </w:r>
          </w:p>
        </w:tc>
        <w:tc>
          <w:tcPr>
            <w:tcW w:w="833" w:type="pct"/>
            <w:tcBorders>
              <w:top w:val="nil"/>
              <w:left w:val="nil"/>
              <w:bottom w:val="nil"/>
              <w:right w:val="nil"/>
            </w:tcBorders>
            <w:shd w:val="clear" w:color="auto" w:fill="auto"/>
            <w:noWrap/>
            <w:hideMark/>
          </w:tcPr>
          <w:p w14:paraId="3892CC52" w14:textId="77777777"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(3.19)</w:t>
            </w:r>
          </w:p>
        </w:tc>
        <w:tc>
          <w:tcPr>
            <w:tcW w:w="702" w:type="pct"/>
            <w:tcBorders>
              <w:top w:val="nil"/>
              <w:left w:val="nil"/>
              <w:bottom w:val="nil"/>
              <w:right w:val="nil"/>
            </w:tcBorders>
            <w:shd w:val="clear" w:color="auto" w:fill="auto"/>
            <w:noWrap/>
            <w:hideMark/>
          </w:tcPr>
          <w:p w14:paraId="72B5330A" w14:textId="6F316CDD" w:rsidR="00CD36DF" w:rsidRPr="00357722" w:rsidRDefault="00CD36DF"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(2.09)</w:t>
            </w:r>
          </w:p>
        </w:tc>
      </w:tr>
      <w:tr w:rsidR="007E5C7F" w:rsidRPr="00357722" w14:paraId="7CEE8FE6" w14:textId="77777777" w:rsidTr="007E5C7F">
        <w:trPr>
          <w:trHeight w:val="300"/>
        </w:trPr>
        <w:tc>
          <w:tcPr>
            <w:tcW w:w="2687" w:type="pct"/>
            <w:tcBorders>
              <w:top w:val="nil"/>
              <w:left w:val="nil"/>
              <w:bottom w:val="nil"/>
              <w:right w:val="nil"/>
            </w:tcBorders>
            <w:shd w:val="clear" w:color="auto" w:fill="auto"/>
            <w:noWrap/>
            <w:vAlign w:val="bottom"/>
          </w:tcPr>
          <w:p w14:paraId="755A2D09" w14:textId="7CEA08E4" w:rsidR="00C53B9D" w:rsidRPr="00357722" w:rsidRDefault="00C53B9D" w:rsidP="00543F90">
            <w:pPr>
              <w:spacing w:after="0" w:line="360" w:lineRule="auto"/>
              <w:jc w:val="both"/>
              <w:rPr>
                <w:rFonts w:ascii="Times New Roman" w:eastAsia="Times New Roman" w:hAnsi="Times New Roman" w:cs="Times New Roman"/>
                <w:i/>
                <w:color w:val="000000"/>
              </w:rPr>
            </w:pPr>
            <w:r w:rsidRPr="00357722">
              <w:rPr>
                <w:rFonts w:ascii="Times New Roman" w:eastAsia="Times New Roman" w:hAnsi="Times New Roman" w:cs="Times New Roman"/>
                <w:color w:val="000000"/>
              </w:rPr>
              <w:t>Controls</w:t>
            </w:r>
          </w:p>
        </w:tc>
        <w:tc>
          <w:tcPr>
            <w:tcW w:w="777" w:type="pct"/>
            <w:tcBorders>
              <w:top w:val="nil"/>
              <w:left w:val="nil"/>
              <w:bottom w:val="nil"/>
              <w:right w:val="nil"/>
            </w:tcBorders>
            <w:shd w:val="clear" w:color="auto" w:fill="auto"/>
            <w:noWrap/>
            <w:vAlign w:val="center"/>
          </w:tcPr>
          <w:p w14:paraId="1F7EA8E2" w14:textId="3964207B"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c>
          <w:tcPr>
            <w:tcW w:w="833" w:type="pct"/>
            <w:tcBorders>
              <w:top w:val="nil"/>
              <w:left w:val="nil"/>
              <w:bottom w:val="nil"/>
              <w:right w:val="nil"/>
            </w:tcBorders>
            <w:shd w:val="clear" w:color="auto" w:fill="auto"/>
            <w:noWrap/>
            <w:vAlign w:val="center"/>
          </w:tcPr>
          <w:p w14:paraId="5921AE42" w14:textId="513EE47A"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c>
          <w:tcPr>
            <w:tcW w:w="702" w:type="pct"/>
            <w:tcBorders>
              <w:top w:val="nil"/>
              <w:left w:val="nil"/>
              <w:bottom w:val="nil"/>
              <w:right w:val="nil"/>
            </w:tcBorders>
            <w:shd w:val="clear" w:color="auto" w:fill="auto"/>
            <w:noWrap/>
            <w:vAlign w:val="center"/>
          </w:tcPr>
          <w:p w14:paraId="7C26F0BD" w14:textId="74CFF555"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r>
      <w:tr w:rsidR="007E5C7F" w:rsidRPr="00357722" w14:paraId="2E1AF9E5" w14:textId="77777777" w:rsidTr="007E5C7F">
        <w:trPr>
          <w:trHeight w:val="300"/>
        </w:trPr>
        <w:tc>
          <w:tcPr>
            <w:tcW w:w="2687" w:type="pct"/>
            <w:tcBorders>
              <w:top w:val="single" w:sz="4" w:space="0" w:color="auto"/>
              <w:left w:val="nil"/>
              <w:bottom w:val="nil"/>
              <w:right w:val="nil"/>
            </w:tcBorders>
            <w:shd w:val="clear" w:color="auto" w:fill="auto"/>
            <w:noWrap/>
            <w:vAlign w:val="bottom"/>
            <w:hideMark/>
          </w:tcPr>
          <w:p w14:paraId="553B10B9"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Number of Observations</w:t>
            </w:r>
          </w:p>
        </w:tc>
        <w:tc>
          <w:tcPr>
            <w:tcW w:w="777" w:type="pct"/>
            <w:tcBorders>
              <w:top w:val="single" w:sz="4" w:space="0" w:color="auto"/>
              <w:left w:val="nil"/>
              <w:bottom w:val="nil"/>
              <w:right w:val="nil"/>
            </w:tcBorders>
            <w:shd w:val="clear" w:color="auto" w:fill="auto"/>
            <w:noWrap/>
            <w:vAlign w:val="center"/>
            <w:hideMark/>
          </w:tcPr>
          <w:p w14:paraId="55FD7A59"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519</w:t>
            </w:r>
          </w:p>
        </w:tc>
        <w:tc>
          <w:tcPr>
            <w:tcW w:w="833" w:type="pct"/>
            <w:tcBorders>
              <w:top w:val="single" w:sz="4" w:space="0" w:color="auto"/>
              <w:left w:val="nil"/>
              <w:bottom w:val="nil"/>
              <w:right w:val="nil"/>
            </w:tcBorders>
            <w:shd w:val="clear" w:color="auto" w:fill="auto"/>
            <w:noWrap/>
            <w:vAlign w:val="center"/>
            <w:hideMark/>
          </w:tcPr>
          <w:p w14:paraId="784B8CCF"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551</w:t>
            </w:r>
          </w:p>
        </w:tc>
        <w:tc>
          <w:tcPr>
            <w:tcW w:w="702" w:type="pct"/>
            <w:tcBorders>
              <w:top w:val="single" w:sz="4" w:space="0" w:color="auto"/>
              <w:left w:val="nil"/>
              <w:bottom w:val="nil"/>
              <w:right w:val="nil"/>
            </w:tcBorders>
            <w:shd w:val="clear" w:color="auto" w:fill="auto"/>
            <w:noWrap/>
            <w:vAlign w:val="center"/>
            <w:hideMark/>
          </w:tcPr>
          <w:p w14:paraId="0565D14C"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551</w:t>
            </w:r>
          </w:p>
        </w:tc>
      </w:tr>
      <w:tr w:rsidR="007E5C7F" w:rsidRPr="00357722" w14:paraId="49FF5A2C" w14:textId="77777777" w:rsidTr="007E5C7F">
        <w:trPr>
          <w:trHeight w:val="300"/>
        </w:trPr>
        <w:tc>
          <w:tcPr>
            <w:tcW w:w="2687" w:type="pct"/>
            <w:tcBorders>
              <w:top w:val="nil"/>
              <w:left w:val="nil"/>
              <w:bottom w:val="nil"/>
              <w:right w:val="nil"/>
            </w:tcBorders>
            <w:shd w:val="clear" w:color="auto" w:fill="auto"/>
            <w:noWrap/>
            <w:vAlign w:val="center"/>
            <w:hideMark/>
          </w:tcPr>
          <w:p w14:paraId="5BF1A340" w14:textId="77777777" w:rsidR="00800BA9" w:rsidRPr="00357722" w:rsidRDefault="00800BA9"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Adj. R-Square</w:t>
            </w:r>
          </w:p>
        </w:tc>
        <w:tc>
          <w:tcPr>
            <w:tcW w:w="777" w:type="pct"/>
            <w:tcBorders>
              <w:top w:val="nil"/>
              <w:left w:val="nil"/>
              <w:bottom w:val="nil"/>
              <w:right w:val="nil"/>
            </w:tcBorders>
            <w:shd w:val="clear" w:color="auto" w:fill="auto"/>
            <w:noWrap/>
            <w:vAlign w:val="center"/>
            <w:hideMark/>
          </w:tcPr>
          <w:p w14:paraId="6010BF04" w14:textId="498A9885" w:rsidR="00800BA9" w:rsidRPr="00357722" w:rsidRDefault="00800BA9"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0.65</w:t>
            </w:r>
          </w:p>
        </w:tc>
        <w:tc>
          <w:tcPr>
            <w:tcW w:w="833" w:type="pct"/>
            <w:tcBorders>
              <w:top w:val="nil"/>
              <w:left w:val="nil"/>
              <w:bottom w:val="nil"/>
              <w:right w:val="nil"/>
            </w:tcBorders>
            <w:shd w:val="clear" w:color="auto" w:fill="auto"/>
            <w:noWrap/>
            <w:vAlign w:val="center"/>
            <w:hideMark/>
          </w:tcPr>
          <w:p w14:paraId="7D7CE473" w14:textId="622F225F" w:rsidR="00800BA9" w:rsidRPr="00357722" w:rsidRDefault="00800BA9"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0.67</w:t>
            </w:r>
          </w:p>
        </w:tc>
        <w:tc>
          <w:tcPr>
            <w:tcW w:w="702" w:type="pct"/>
            <w:tcBorders>
              <w:top w:val="nil"/>
              <w:left w:val="nil"/>
              <w:bottom w:val="nil"/>
              <w:right w:val="nil"/>
            </w:tcBorders>
            <w:shd w:val="clear" w:color="auto" w:fill="auto"/>
            <w:noWrap/>
            <w:vAlign w:val="center"/>
            <w:hideMark/>
          </w:tcPr>
          <w:p w14:paraId="3B55147A" w14:textId="6584598F" w:rsidR="00800BA9" w:rsidRPr="00357722" w:rsidRDefault="00800BA9"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0.64</w:t>
            </w:r>
          </w:p>
        </w:tc>
      </w:tr>
      <w:tr w:rsidR="007E5C7F" w:rsidRPr="00357722" w14:paraId="06C7D3EF" w14:textId="77777777" w:rsidTr="007E5C7F">
        <w:trPr>
          <w:trHeight w:val="300"/>
        </w:trPr>
        <w:tc>
          <w:tcPr>
            <w:tcW w:w="2687" w:type="pct"/>
            <w:tcBorders>
              <w:top w:val="nil"/>
              <w:left w:val="nil"/>
              <w:bottom w:val="nil"/>
              <w:right w:val="nil"/>
            </w:tcBorders>
            <w:shd w:val="clear" w:color="auto" w:fill="auto"/>
            <w:noWrap/>
            <w:vAlign w:val="bottom"/>
            <w:hideMark/>
          </w:tcPr>
          <w:p w14:paraId="64331942"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Country effects</w:t>
            </w:r>
          </w:p>
        </w:tc>
        <w:tc>
          <w:tcPr>
            <w:tcW w:w="777" w:type="pct"/>
            <w:tcBorders>
              <w:top w:val="nil"/>
              <w:left w:val="nil"/>
              <w:bottom w:val="nil"/>
              <w:right w:val="nil"/>
            </w:tcBorders>
            <w:shd w:val="clear" w:color="auto" w:fill="auto"/>
            <w:noWrap/>
            <w:vAlign w:val="center"/>
            <w:hideMark/>
          </w:tcPr>
          <w:p w14:paraId="175CD990"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c>
          <w:tcPr>
            <w:tcW w:w="833" w:type="pct"/>
            <w:tcBorders>
              <w:top w:val="nil"/>
              <w:left w:val="nil"/>
              <w:bottom w:val="nil"/>
              <w:right w:val="nil"/>
            </w:tcBorders>
            <w:shd w:val="clear" w:color="auto" w:fill="auto"/>
            <w:noWrap/>
            <w:vAlign w:val="center"/>
            <w:hideMark/>
          </w:tcPr>
          <w:p w14:paraId="601321F5"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c>
          <w:tcPr>
            <w:tcW w:w="702" w:type="pct"/>
            <w:tcBorders>
              <w:top w:val="nil"/>
              <w:left w:val="nil"/>
              <w:bottom w:val="nil"/>
              <w:right w:val="nil"/>
            </w:tcBorders>
            <w:shd w:val="clear" w:color="auto" w:fill="auto"/>
            <w:noWrap/>
            <w:vAlign w:val="center"/>
            <w:hideMark/>
          </w:tcPr>
          <w:p w14:paraId="590A9A21"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r>
      <w:tr w:rsidR="00642ACA" w:rsidRPr="00357722" w14:paraId="1BA05B8B" w14:textId="77777777" w:rsidTr="000C4CEE">
        <w:trPr>
          <w:trHeight w:val="300"/>
        </w:trPr>
        <w:tc>
          <w:tcPr>
            <w:tcW w:w="2687" w:type="pct"/>
            <w:tcBorders>
              <w:top w:val="nil"/>
              <w:left w:val="nil"/>
              <w:bottom w:val="single" w:sz="4" w:space="0" w:color="auto"/>
              <w:right w:val="nil"/>
            </w:tcBorders>
            <w:shd w:val="clear" w:color="auto" w:fill="auto"/>
            <w:noWrap/>
            <w:vAlign w:val="bottom"/>
            <w:hideMark/>
          </w:tcPr>
          <w:p w14:paraId="3B1A3989"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Year fixed effects</w:t>
            </w:r>
          </w:p>
        </w:tc>
        <w:tc>
          <w:tcPr>
            <w:tcW w:w="777" w:type="pct"/>
            <w:tcBorders>
              <w:top w:val="nil"/>
              <w:left w:val="nil"/>
              <w:bottom w:val="single" w:sz="4" w:space="0" w:color="auto"/>
              <w:right w:val="nil"/>
            </w:tcBorders>
            <w:shd w:val="clear" w:color="auto" w:fill="auto"/>
            <w:noWrap/>
            <w:vAlign w:val="center"/>
            <w:hideMark/>
          </w:tcPr>
          <w:p w14:paraId="781E2212"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c>
          <w:tcPr>
            <w:tcW w:w="833" w:type="pct"/>
            <w:tcBorders>
              <w:top w:val="nil"/>
              <w:left w:val="nil"/>
              <w:bottom w:val="single" w:sz="4" w:space="0" w:color="auto"/>
              <w:right w:val="nil"/>
            </w:tcBorders>
            <w:shd w:val="clear" w:color="auto" w:fill="auto"/>
            <w:noWrap/>
            <w:vAlign w:val="center"/>
            <w:hideMark/>
          </w:tcPr>
          <w:p w14:paraId="370DFC8F"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c>
          <w:tcPr>
            <w:tcW w:w="702" w:type="pct"/>
            <w:tcBorders>
              <w:top w:val="nil"/>
              <w:left w:val="nil"/>
              <w:bottom w:val="single" w:sz="4" w:space="0" w:color="auto"/>
              <w:right w:val="nil"/>
            </w:tcBorders>
            <w:shd w:val="clear" w:color="auto" w:fill="auto"/>
            <w:noWrap/>
            <w:vAlign w:val="center"/>
            <w:hideMark/>
          </w:tcPr>
          <w:p w14:paraId="2E9EC2B5" w14:textId="77777777" w:rsidR="00C53B9D" w:rsidRPr="00357722" w:rsidRDefault="00C53B9D" w:rsidP="00543F90">
            <w:pPr>
              <w:spacing w:after="0" w:line="360" w:lineRule="auto"/>
              <w:jc w:val="both"/>
              <w:rPr>
                <w:rFonts w:ascii="Times New Roman" w:eastAsia="Times New Roman" w:hAnsi="Times New Roman" w:cs="Times New Roman"/>
                <w:color w:val="000000"/>
              </w:rPr>
            </w:pPr>
            <w:r w:rsidRPr="00357722">
              <w:rPr>
                <w:rFonts w:ascii="Times New Roman" w:eastAsia="Times New Roman" w:hAnsi="Times New Roman" w:cs="Times New Roman"/>
                <w:color w:val="000000"/>
              </w:rPr>
              <w:t>Yes</w:t>
            </w:r>
          </w:p>
        </w:tc>
      </w:tr>
      <w:tr w:rsidR="007E5C7F" w:rsidRPr="00357722" w14:paraId="7693AACF" w14:textId="77777777" w:rsidTr="000C4CEE">
        <w:trPr>
          <w:trHeight w:val="300"/>
        </w:trPr>
        <w:tc>
          <w:tcPr>
            <w:tcW w:w="5000" w:type="pct"/>
            <w:gridSpan w:val="4"/>
            <w:tcBorders>
              <w:top w:val="single" w:sz="4" w:space="0" w:color="auto"/>
              <w:left w:val="nil"/>
              <w:right w:val="nil"/>
            </w:tcBorders>
            <w:shd w:val="clear" w:color="auto" w:fill="auto"/>
            <w:noWrap/>
            <w:vAlign w:val="bottom"/>
          </w:tcPr>
          <w:p w14:paraId="23C6D114" w14:textId="77777777" w:rsidR="007E5C7F" w:rsidRPr="00357722" w:rsidRDefault="007E5C7F" w:rsidP="00543F90">
            <w:pPr>
              <w:spacing w:after="0" w:line="360" w:lineRule="auto"/>
              <w:jc w:val="both"/>
              <w:rPr>
                <w:rFonts w:ascii="Times New Roman" w:eastAsia="Times New Roman" w:hAnsi="Times New Roman" w:cs="Times New Roman"/>
                <w:color w:val="000000"/>
                <w:sz w:val="20"/>
                <w:szCs w:val="20"/>
              </w:rPr>
            </w:pPr>
            <w:r w:rsidRPr="00357722">
              <w:rPr>
                <w:rFonts w:ascii="Times New Roman" w:eastAsia="Times New Roman" w:hAnsi="Times New Roman" w:cs="Times New Roman"/>
                <w:color w:val="000000"/>
                <w:sz w:val="20"/>
                <w:szCs w:val="20"/>
              </w:rPr>
              <w:t>Note: GIIPS and Post-crisis are dummy variables, respectively</w:t>
            </w:r>
            <w:r w:rsidR="009C0299" w:rsidRPr="00357722">
              <w:rPr>
                <w:rFonts w:ascii="Times New Roman" w:eastAsia="Times New Roman" w:hAnsi="Times New Roman" w:cs="Times New Roman"/>
                <w:color w:val="000000"/>
                <w:sz w:val="20"/>
                <w:szCs w:val="20"/>
              </w:rPr>
              <w:t xml:space="preserve">. Where GIIPS is </w:t>
            </w:r>
            <w:r w:rsidR="00772446" w:rsidRPr="00357722">
              <w:rPr>
                <w:rFonts w:ascii="Times New Roman" w:eastAsia="Times New Roman" w:hAnsi="Times New Roman" w:cs="Times New Roman"/>
                <w:color w:val="000000"/>
                <w:sz w:val="20"/>
                <w:szCs w:val="20"/>
              </w:rPr>
              <w:t>the treated group</w:t>
            </w:r>
          </w:p>
          <w:p w14:paraId="676A5D8C" w14:textId="120E21D3" w:rsidR="00382C17" w:rsidRPr="00357722" w:rsidRDefault="00382C17" w:rsidP="00543F90">
            <w:pPr>
              <w:spacing w:after="0" w:line="360" w:lineRule="auto"/>
              <w:jc w:val="both"/>
              <w:rPr>
                <w:rFonts w:ascii="Times New Roman" w:eastAsia="Times New Roman" w:hAnsi="Times New Roman" w:cs="Times New Roman"/>
                <w:color w:val="000000"/>
                <w:sz w:val="20"/>
                <w:szCs w:val="20"/>
              </w:rPr>
            </w:pPr>
          </w:p>
        </w:tc>
      </w:tr>
    </w:tbl>
    <w:p w14:paraId="15F91668" w14:textId="77777777" w:rsidR="00403D2E" w:rsidRPr="00357722" w:rsidRDefault="00403D2E" w:rsidP="005636E8">
      <w:pPr>
        <w:spacing w:line="480" w:lineRule="auto"/>
        <w:jc w:val="both"/>
        <w:rPr>
          <w:rFonts w:ascii="Times New Roman" w:hAnsi="Times New Roman" w:cs="Times New Roman"/>
          <w:b/>
          <w:bCs/>
          <w:color w:val="000000" w:themeColor="text1"/>
        </w:rPr>
        <w:sectPr w:rsidR="00403D2E" w:rsidRPr="00357722" w:rsidSect="00C34896">
          <w:pgSz w:w="11906" w:h="16838"/>
          <w:pgMar w:top="1440" w:right="1440" w:bottom="1440" w:left="992" w:header="709" w:footer="709" w:gutter="0"/>
          <w:cols w:space="708"/>
          <w:docGrid w:linePitch="360"/>
        </w:sectPr>
      </w:pPr>
    </w:p>
    <w:p w14:paraId="549253E5" w14:textId="7126527B" w:rsidR="0072644D" w:rsidRPr="00357722" w:rsidRDefault="0072644D" w:rsidP="0072644D">
      <w:pPr>
        <w:spacing w:line="240" w:lineRule="auto"/>
        <w:rPr>
          <w:rFonts w:ascii="Times New Roman" w:hAnsi="Times New Roman" w:cs="Times New Roman"/>
          <w:b/>
          <w:bCs/>
          <w:color w:val="000000" w:themeColor="text1"/>
        </w:rPr>
      </w:pPr>
      <w:r w:rsidRPr="00357722">
        <w:rPr>
          <w:rFonts w:ascii="Times New Roman" w:hAnsi="Times New Roman" w:cs="Times New Roman"/>
          <w:b/>
          <w:bCs/>
          <w:color w:val="000000" w:themeColor="text1"/>
        </w:rPr>
        <w:lastRenderedPageBreak/>
        <w:t xml:space="preserve">Table 10: The role of international </w:t>
      </w:r>
      <w:r w:rsidR="004F2178" w:rsidRPr="00357722">
        <w:rPr>
          <w:rFonts w:ascii="Times New Roman" w:hAnsi="Times New Roman" w:cs="Times New Roman"/>
          <w:b/>
          <w:bCs/>
          <w:color w:val="000000" w:themeColor="text1"/>
        </w:rPr>
        <w:t>bond</w:t>
      </w:r>
      <w:r w:rsidRPr="00357722">
        <w:rPr>
          <w:rFonts w:ascii="Times New Roman" w:hAnsi="Times New Roman" w:cs="Times New Roman"/>
          <w:b/>
          <w:bCs/>
          <w:color w:val="000000" w:themeColor="text1"/>
        </w:rPr>
        <w:t xml:space="preserve"> flow</w:t>
      </w:r>
    </w:p>
    <w:tbl>
      <w:tblPr>
        <w:tblW w:w="4985" w:type="pct"/>
        <w:tblLook w:val="04A0" w:firstRow="1" w:lastRow="0" w:firstColumn="1" w:lastColumn="0" w:noHBand="0" w:noVBand="1"/>
      </w:tblPr>
      <w:tblGrid>
        <w:gridCol w:w="2414"/>
        <w:gridCol w:w="1838"/>
        <w:gridCol w:w="3828"/>
        <w:gridCol w:w="1366"/>
      </w:tblGrid>
      <w:tr w:rsidR="0072644D" w:rsidRPr="00357722" w14:paraId="24B325FE" w14:textId="77777777" w:rsidTr="00344471">
        <w:trPr>
          <w:trHeight w:val="255"/>
        </w:trPr>
        <w:tc>
          <w:tcPr>
            <w:tcW w:w="1278" w:type="pct"/>
            <w:tcBorders>
              <w:top w:val="single" w:sz="4" w:space="0" w:color="auto"/>
              <w:left w:val="nil"/>
              <w:bottom w:val="nil"/>
              <w:right w:val="nil"/>
            </w:tcBorders>
            <w:shd w:val="clear" w:color="auto" w:fill="auto"/>
            <w:noWrap/>
            <w:vAlign w:val="bottom"/>
            <w:hideMark/>
          </w:tcPr>
          <w:p w14:paraId="0CA95508"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 </w:t>
            </w:r>
          </w:p>
        </w:tc>
        <w:tc>
          <w:tcPr>
            <w:tcW w:w="973" w:type="pct"/>
            <w:tcBorders>
              <w:top w:val="single" w:sz="4" w:space="0" w:color="auto"/>
              <w:left w:val="nil"/>
              <w:bottom w:val="nil"/>
              <w:right w:val="nil"/>
            </w:tcBorders>
            <w:shd w:val="clear" w:color="auto" w:fill="auto"/>
            <w:noWrap/>
            <w:vAlign w:val="center"/>
            <w:hideMark/>
          </w:tcPr>
          <w:p w14:paraId="572FC96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Model (1)</w:t>
            </w:r>
          </w:p>
        </w:tc>
        <w:tc>
          <w:tcPr>
            <w:tcW w:w="2026" w:type="pct"/>
            <w:tcBorders>
              <w:top w:val="single" w:sz="4" w:space="0" w:color="auto"/>
              <w:left w:val="nil"/>
              <w:bottom w:val="nil"/>
              <w:right w:val="nil"/>
            </w:tcBorders>
            <w:shd w:val="clear" w:color="auto" w:fill="auto"/>
            <w:noWrap/>
            <w:vAlign w:val="center"/>
            <w:hideMark/>
          </w:tcPr>
          <w:p w14:paraId="5F4E68C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Model (2)</w:t>
            </w:r>
          </w:p>
        </w:tc>
        <w:tc>
          <w:tcPr>
            <w:tcW w:w="723" w:type="pct"/>
            <w:tcBorders>
              <w:top w:val="single" w:sz="4" w:space="0" w:color="auto"/>
              <w:left w:val="nil"/>
              <w:bottom w:val="nil"/>
              <w:right w:val="nil"/>
            </w:tcBorders>
            <w:shd w:val="clear" w:color="auto" w:fill="auto"/>
            <w:noWrap/>
            <w:vAlign w:val="center"/>
            <w:hideMark/>
          </w:tcPr>
          <w:p w14:paraId="5E169DD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Model (3)</w:t>
            </w:r>
          </w:p>
        </w:tc>
      </w:tr>
      <w:tr w:rsidR="0072644D" w:rsidRPr="00357722" w14:paraId="54301599" w14:textId="77777777" w:rsidTr="00344471">
        <w:trPr>
          <w:trHeight w:val="255"/>
        </w:trPr>
        <w:tc>
          <w:tcPr>
            <w:tcW w:w="1278" w:type="pct"/>
            <w:tcBorders>
              <w:top w:val="nil"/>
              <w:left w:val="nil"/>
              <w:bottom w:val="single" w:sz="4" w:space="0" w:color="auto"/>
              <w:right w:val="nil"/>
            </w:tcBorders>
            <w:shd w:val="clear" w:color="auto" w:fill="auto"/>
            <w:noWrap/>
            <w:vAlign w:val="bottom"/>
            <w:hideMark/>
          </w:tcPr>
          <w:p w14:paraId="07C53AAC"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Variable</w:t>
            </w:r>
          </w:p>
        </w:tc>
        <w:tc>
          <w:tcPr>
            <w:tcW w:w="973" w:type="pct"/>
            <w:tcBorders>
              <w:top w:val="nil"/>
              <w:left w:val="nil"/>
              <w:bottom w:val="single" w:sz="4" w:space="0" w:color="auto"/>
              <w:right w:val="nil"/>
            </w:tcBorders>
            <w:shd w:val="clear" w:color="auto" w:fill="auto"/>
            <w:noWrap/>
            <w:vAlign w:val="center"/>
            <w:hideMark/>
          </w:tcPr>
          <w:p w14:paraId="3468913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MCGDP</w:t>
            </w:r>
          </w:p>
        </w:tc>
        <w:tc>
          <w:tcPr>
            <w:tcW w:w="2026" w:type="pct"/>
            <w:tcBorders>
              <w:top w:val="nil"/>
              <w:left w:val="nil"/>
              <w:bottom w:val="single" w:sz="4" w:space="0" w:color="auto"/>
              <w:right w:val="nil"/>
            </w:tcBorders>
            <w:shd w:val="clear" w:color="auto" w:fill="auto"/>
            <w:noWrap/>
            <w:vAlign w:val="center"/>
            <w:hideMark/>
          </w:tcPr>
          <w:p w14:paraId="2A9764F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PSCGDP</w:t>
            </w:r>
          </w:p>
        </w:tc>
        <w:tc>
          <w:tcPr>
            <w:tcW w:w="723" w:type="pct"/>
            <w:tcBorders>
              <w:top w:val="nil"/>
              <w:left w:val="nil"/>
              <w:bottom w:val="single" w:sz="4" w:space="0" w:color="auto"/>
              <w:right w:val="nil"/>
            </w:tcBorders>
            <w:shd w:val="clear" w:color="auto" w:fill="auto"/>
            <w:noWrap/>
            <w:vAlign w:val="center"/>
            <w:hideMark/>
          </w:tcPr>
          <w:p w14:paraId="0D0A035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DCPGDP</w:t>
            </w:r>
          </w:p>
        </w:tc>
      </w:tr>
      <w:tr w:rsidR="0072644D" w:rsidRPr="00357722" w14:paraId="35CF2FFC" w14:textId="77777777" w:rsidTr="00344471">
        <w:trPr>
          <w:trHeight w:val="206"/>
        </w:trPr>
        <w:tc>
          <w:tcPr>
            <w:tcW w:w="1278" w:type="pct"/>
            <w:tcBorders>
              <w:top w:val="nil"/>
              <w:left w:val="nil"/>
              <w:bottom w:val="nil"/>
              <w:right w:val="nil"/>
            </w:tcBorders>
            <w:shd w:val="clear" w:color="auto" w:fill="auto"/>
            <w:noWrap/>
            <w:hideMark/>
          </w:tcPr>
          <w:p w14:paraId="53B9705D"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IEPD</w:t>
            </w:r>
          </w:p>
        </w:tc>
        <w:tc>
          <w:tcPr>
            <w:tcW w:w="973" w:type="pct"/>
            <w:tcBorders>
              <w:top w:val="nil"/>
              <w:left w:val="nil"/>
              <w:bottom w:val="nil"/>
              <w:right w:val="nil"/>
            </w:tcBorders>
            <w:shd w:val="clear" w:color="auto" w:fill="auto"/>
            <w:noWrap/>
            <w:vAlign w:val="bottom"/>
            <w:hideMark/>
          </w:tcPr>
          <w:p w14:paraId="0C187B33"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0.549**</w:t>
            </w:r>
          </w:p>
        </w:tc>
        <w:tc>
          <w:tcPr>
            <w:tcW w:w="2026" w:type="pct"/>
            <w:tcBorders>
              <w:top w:val="nil"/>
              <w:left w:val="nil"/>
              <w:bottom w:val="nil"/>
              <w:right w:val="nil"/>
            </w:tcBorders>
            <w:shd w:val="clear" w:color="auto" w:fill="auto"/>
            <w:noWrap/>
            <w:vAlign w:val="bottom"/>
            <w:hideMark/>
          </w:tcPr>
          <w:p w14:paraId="223B1E1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0.057***</w:t>
            </w:r>
          </w:p>
        </w:tc>
        <w:tc>
          <w:tcPr>
            <w:tcW w:w="723" w:type="pct"/>
            <w:tcBorders>
              <w:top w:val="nil"/>
              <w:left w:val="nil"/>
              <w:bottom w:val="nil"/>
              <w:right w:val="nil"/>
            </w:tcBorders>
            <w:shd w:val="clear" w:color="auto" w:fill="auto"/>
            <w:noWrap/>
            <w:vAlign w:val="bottom"/>
            <w:hideMark/>
          </w:tcPr>
          <w:p w14:paraId="50FDDB3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0.076***</w:t>
            </w:r>
          </w:p>
        </w:tc>
      </w:tr>
      <w:tr w:rsidR="0072644D" w:rsidRPr="00357722" w14:paraId="584D1BCD" w14:textId="77777777" w:rsidTr="00344471">
        <w:trPr>
          <w:trHeight w:val="227"/>
        </w:trPr>
        <w:tc>
          <w:tcPr>
            <w:tcW w:w="1278" w:type="pct"/>
            <w:tcBorders>
              <w:top w:val="nil"/>
              <w:left w:val="nil"/>
              <w:bottom w:val="nil"/>
              <w:right w:val="nil"/>
            </w:tcBorders>
            <w:shd w:val="clear" w:color="auto" w:fill="auto"/>
            <w:noWrap/>
            <w:hideMark/>
          </w:tcPr>
          <w:p w14:paraId="6870A512"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44798B2A"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(2.02)</w:t>
            </w:r>
          </w:p>
        </w:tc>
        <w:tc>
          <w:tcPr>
            <w:tcW w:w="2026" w:type="pct"/>
            <w:tcBorders>
              <w:top w:val="nil"/>
              <w:left w:val="nil"/>
              <w:bottom w:val="nil"/>
              <w:right w:val="nil"/>
            </w:tcBorders>
            <w:shd w:val="clear" w:color="auto" w:fill="auto"/>
            <w:noWrap/>
            <w:vAlign w:val="bottom"/>
            <w:hideMark/>
          </w:tcPr>
          <w:p w14:paraId="05DCAC1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(2.82)</w:t>
            </w:r>
          </w:p>
        </w:tc>
        <w:tc>
          <w:tcPr>
            <w:tcW w:w="723" w:type="pct"/>
            <w:tcBorders>
              <w:top w:val="nil"/>
              <w:left w:val="nil"/>
              <w:bottom w:val="nil"/>
              <w:right w:val="nil"/>
            </w:tcBorders>
            <w:shd w:val="clear" w:color="auto" w:fill="auto"/>
            <w:noWrap/>
            <w:vAlign w:val="bottom"/>
            <w:hideMark/>
          </w:tcPr>
          <w:p w14:paraId="7DC3B6EA"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(3.31)</w:t>
            </w:r>
          </w:p>
        </w:tc>
      </w:tr>
      <w:tr w:rsidR="0072644D" w:rsidRPr="00357722" w14:paraId="58BAA13A" w14:textId="77777777" w:rsidTr="00344471">
        <w:trPr>
          <w:trHeight w:val="227"/>
        </w:trPr>
        <w:tc>
          <w:tcPr>
            <w:tcW w:w="1278" w:type="pct"/>
            <w:tcBorders>
              <w:top w:val="nil"/>
              <w:left w:val="nil"/>
              <w:bottom w:val="nil"/>
              <w:right w:val="nil"/>
            </w:tcBorders>
            <w:shd w:val="clear" w:color="auto" w:fill="auto"/>
            <w:noWrap/>
            <w:hideMark/>
          </w:tcPr>
          <w:p w14:paraId="21307DC9" w14:textId="66372CAC" w:rsidR="0072644D" w:rsidRPr="00357722" w:rsidRDefault="004F2178"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IBF</w:t>
            </w:r>
          </w:p>
        </w:tc>
        <w:tc>
          <w:tcPr>
            <w:tcW w:w="973" w:type="pct"/>
            <w:tcBorders>
              <w:top w:val="nil"/>
              <w:left w:val="nil"/>
              <w:bottom w:val="nil"/>
              <w:right w:val="nil"/>
            </w:tcBorders>
            <w:shd w:val="clear" w:color="auto" w:fill="auto"/>
            <w:noWrap/>
            <w:vAlign w:val="bottom"/>
            <w:hideMark/>
          </w:tcPr>
          <w:p w14:paraId="5C565A9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-1.197</w:t>
            </w:r>
          </w:p>
        </w:tc>
        <w:tc>
          <w:tcPr>
            <w:tcW w:w="2026" w:type="pct"/>
            <w:tcBorders>
              <w:top w:val="nil"/>
              <w:left w:val="nil"/>
              <w:bottom w:val="nil"/>
              <w:right w:val="nil"/>
            </w:tcBorders>
            <w:shd w:val="clear" w:color="auto" w:fill="auto"/>
            <w:noWrap/>
            <w:vAlign w:val="bottom"/>
            <w:hideMark/>
          </w:tcPr>
          <w:p w14:paraId="77DE3323"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-0.955***</w:t>
            </w:r>
          </w:p>
        </w:tc>
        <w:tc>
          <w:tcPr>
            <w:tcW w:w="723" w:type="pct"/>
            <w:tcBorders>
              <w:top w:val="nil"/>
              <w:left w:val="nil"/>
              <w:bottom w:val="nil"/>
              <w:right w:val="nil"/>
            </w:tcBorders>
            <w:shd w:val="clear" w:color="auto" w:fill="auto"/>
            <w:noWrap/>
            <w:vAlign w:val="bottom"/>
            <w:hideMark/>
          </w:tcPr>
          <w:p w14:paraId="225CAF3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-0.755***</w:t>
            </w:r>
          </w:p>
        </w:tc>
      </w:tr>
      <w:tr w:rsidR="0072644D" w:rsidRPr="00357722" w14:paraId="5138DD65" w14:textId="77777777" w:rsidTr="00344471">
        <w:trPr>
          <w:trHeight w:val="227"/>
        </w:trPr>
        <w:tc>
          <w:tcPr>
            <w:tcW w:w="1278" w:type="pct"/>
            <w:tcBorders>
              <w:top w:val="nil"/>
              <w:left w:val="nil"/>
              <w:bottom w:val="nil"/>
              <w:right w:val="nil"/>
            </w:tcBorders>
            <w:shd w:val="clear" w:color="auto" w:fill="auto"/>
            <w:noWrap/>
            <w:hideMark/>
          </w:tcPr>
          <w:p w14:paraId="0AC81C8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39FAC3C1"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(-0.30)</w:t>
            </w:r>
          </w:p>
        </w:tc>
        <w:tc>
          <w:tcPr>
            <w:tcW w:w="2026" w:type="pct"/>
            <w:tcBorders>
              <w:top w:val="nil"/>
              <w:left w:val="nil"/>
              <w:bottom w:val="nil"/>
              <w:right w:val="nil"/>
            </w:tcBorders>
            <w:shd w:val="clear" w:color="auto" w:fill="auto"/>
            <w:noWrap/>
            <w:vAlign w:val="bottom"/>
            <w:hideMark/>
          </w:tcPr>
          <w:p w14:paraId="643487B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(-3.74)</w:t>
            </w:r>
          </w:p>
        </w:tc>
        <w:tc>
          <w:tcPr>
            <w:tcW w:w="723" w:type="pct"/>
            <w:tcBorders>
              <w:top w:val="nil"/>
              <w:left w:val="nil"/>
              <w:bottom w:val="nil"/>
              <w:right w:val="nil"/>
            </w:tcBorders>
            <w:shd w:val="clear" w:color="auto" w:fill="auto"/>
            <w:noWrap/>
            <w:vAlign w:val="bottom"/>
            <w:hideMark/>
          </w:tcPr>
          <w:p w14:paraId="4E4892E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(-2.81)</w:t>
            </w:r>
          </w:p>
        </w:tc>
      </w:tr>
      <w:tr w:rsidR="0072644D" w:rsidRPr="00357722" w14:paraId="625C302E" w14:textId="77777777" w:rsidTr="00344471">
        <w:trPr>
          <w:trHeight w:val="227"/>
        </w:trPr>
        <w:tc>
          <w:tcPr>
            <w:tcW w:w="1278" w:type="pct"/>
            <w:tcBorders>
              <w:top w:val="nil"/>
              <w:left w:val="nil"/>
              <w:bottom w:val="nil"/>
              <w:right w:val="nil"/>
            </w:tcBorders>
            <w:shd w:val="clear" w:color="auto" w:fill="auto"/>
            <w:noWrap/>
            <w:hideMark/>
          </w:tcPr>
          <w:p w14:paraId="0D9242FC" w14:textId="6DB9AEC1"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 xml:space="preserve">IEPD </w:t>
            </w:r>
            <w:r w:rsidRPr="00357722">
              <w:rPr>
                <w:rFonts w:ascii="Times New Roman" w:eastAsia="Times New Roman" w:hAnsi="Times New Roman" w:cs="Times New Roman"/>
                <w:color w:val="000000"/>
                <w:sz w:val="16"/>
                <w:szCs w:val="16"/>
              </w:rPr>
              <w:t>x</w:t>
            </w:r>
            <w:r w:rsidRPr="00357722">
              <w:rPr>
                <w:rFonts w:ascii="Times New Roman" w:eastAsia="Times New Roman" w:hAnsi="Times New Roman" w:cs="Times New Roman"/>
                <w:i/>
                <w:iCs/>
                <w:color w:val="000000"/>
                <w:sz w:val="16"/>
                <w:szCs w:val="16"/>
              </w:rPr>
              <w:t xml:space="preserve"> </w:t>
            </w:r>
            <w:r w:rsidR="004F2178" w:rsidRPr="00357722">
              <w:rPr>
                <w:rFonts w:ascii="Times New Roman" w:eastAsia="Times New Roman" w:hAnsi="Times New Roman" w:cs="Times New Roman"/>
                <w:i/>
                <w:iCs/>
                <w:color w:val="000000"/>
                <w:sz w:val="16"/>
                <w:szCs w:val="16"/>
              </w:rPr>
              <w:t>IBF</w:t>
            </w:r>
          </w:p>
        </w:tc>
        <w:tc>
          <w:tcPr>
            <w:tcW w:w="973" w:type="pct"/>
            <w:tcBorders>
              <w:top w:val="nil"/>
              <w:left w:val="nil"/>
              <w:bottom w:val="nil"/>
              <w:right w:val="nil"/>
            </w:tcBorders>
            <w:shd w:val="clear" w:color="auto" w:fill="auto"/>
            <w:noWrap/>
            <w:vAlign w:val="bottom"/>
            <w:hideMark/>
          </w:tcPr>
          <w:p w14:paraId="3F20887A"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-1.384</w:t>
            </w:r>
          </w:p>
        </w:tc>
        <w:tc>
          <w:tcPr>
            <w:tcW w:w="2026" w:type="pct"/>
            <w:tcBorders>
              <w:top w:val="nil"/>
              <w:left w:val="nil"/>
              <w:bottom w:val="nil"/>
              <w:right w:val="nil"/>
            </w:tcBorders>
            <w:shd w:val="clear" w:color="auto" w:fill="auto"/>
            <w:noWrap/>
            <w:vAlign w:val="bottom"/>
            <w:hideMark/>
          </w:tcPr>
          <w:p w14:paraId="5E207C5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-0.206***</w:t>
            </w:r>
          </w:p>
        </w:tc>
        <w:tc>
          <w:tcPr>
            <w:tcW w:w="723" w:type="pct"/>
            <w:tcBorders>
              <w:top w:val="nil"/>
              <w:left w:val="nil"/>
              <w:bottom w:val="nil"/>
              <w:right w:val="nil"/>
            </w:tcBorders>
            <w:shd w:val="clear" w:color="auto" w:fill="auto"/>
            <w:noWrap/>
            <w:vAlign w:val="bottom"/>
            <w:hideMark/>
          </w:tcPr>
          <w:p w14:paraId="1F50305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-0.151**</w:t>
            </w:r>
          </w:p>
        </w:tc>
      </w:tr>
      <w:tr w:rsidR="0072644D" w:rsidRPr="00357722" w14:paraId="4F7F9FA9" w14:textId="77777777" w:rsidTr="00344471">
        <w:trPr>
          <w:trHeight w:val="227"/>
        </w:trPr>
        <w:tc>
          <w:tcPr>
            <w:tcW w:w="1278" w:type="pct"/>
            <w:tcBorders>
              <w:top w:val="nil"/>
              <w:left w:val="nil"/>
              <w:bottom w:val="nil"/>
              <w:right w:val="nil"/>
            </w:tcBorders>
            <w:shd w:val="clear" w:color="auto" w:fill="auto"/>
            <w:noWrap/>
            <w:hideMark/>
          </w:tcPr>
          <w:p w14:paraId="05B1511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7E80CD46"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(-1.31)</w:t>
            </w:r>
          </w:p>
        </w:tc>
        <w:tc>
          <w:tcPr>
            <w:tcW w:w="2026" w:type="pct"/>
            <w:tcBorders>
              <w:top w:val="nil"/>
              <w:left w:val="nil"/>
              <w:bottom w:val="nil"/>
              <w:right w:val="nil"/>
            </w:tcBorders>
            <w:shd w:val="clear" w:color="auto" w:fill="auto"/>
            <w:noWrap/>
            <w:vAlign w:val="bottom"/>
            <w:hideMark/>
          </w:tcPr>
          <w:p w14:paraId="2E4FE22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(-3.46)</w:t>
            </w:r>
          </w:p>
        </w:tc>
        <w:tc>
          <w:tcPr>
            <w:tcW w:w="723" w:type="pct"/>
            <w:tcBorders>
              <w:top w:val="nil"/>
              <w:left w:val="nil"/>
              <w:bottom w:val="nil"/>
              <w:right w:val="nil"/>
            </w:tcBorders>
            <w:shd w:val="clear" w:color="auto" w:fill="auto"/>
            <w:noWrap/>
            <w:vAlign w:val="bottom"/>
            <w:hideMark/>
          </w:tcPr>
          <w:p w14:paraId="49A4B9F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(-2.32)</w:t>
            </w:r>
          </w:p>
        </w:tc>
      </w:tr>
      <w:tr w:rsidR="0072644D" w:rsidRPr="00357722" w14:paraId="010D7F00" w14:textId="77777777" w:rsidTr="00344471">
        <w:trPr>
          <w:trHeight w:val="227"/>
        </w:trPr>
        <w:tc>
          <w:tcPr>
            <w:tcW w:w="1278" w:type="pct"/>
            <w:tcBorders>
              <w:top w:val="nil"/>
              <w:left w:val="nil"/>
              <w:bottom w:val="nil"/>
              <w:right w:val="nil"/>
            </w:tcBorders>
            <w:shd w:val="clear" w:color="auto" w:fill="auto"/>
            <w:noWrap/>
            <w:vAlign w:val="center"/>
            <w:hideMark/>
          </w:tcPr>
          <w:p w14:paraId="6E1CE930" w14:textId="07720E04" w:rsidR="0072644D" w:rsidRPr="00357722" w:rsidRDefault="008857A2"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FSDGDP</w:t>
            </w:r>
          </w:p>
        </w:tc>
        <w:tc>
          <w:tcPr>
            <w:tcW w:w="973" w:type="pct"/>
            <w:tcBorders>
              <w:top w:val="nil"/>
              <w:left w:val="nil"/>
              <w:bottom w:val="nil"/>
              <w:right w:val="nil"/>
            </w:tcBorders>
            <w:shd w:val="clear" w:color="auto" w:fill="auto"/>
            <w:noWrap/>
            <w:vAlign w:val="bottom"/>
            <w:hideMark/>
          </w:tcPr>
          <w:p w14:paraId="662ACBA0"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0.010</w:t>
            </w:r>
          </w:p>
        </w:tc>
        <w:tc>
          <w:tcPr>
            <w:tcW w:w="2026" w:type="pct"/>
            <w:tcBorders>
              <w:top w:val="nil"/>
              <w:left w:val="nil"/>
              <w:bottom w:val="nil"/>
              <w:right w:val="nil"/>
            </w:tcBorders>
            <w:shd w:val="clear" w:color="auto" w:fill="auto"/>
            <w:noWrap/>
            <w:vAlign w:val="bottom"/>
            <w:hideMark/>
          </w:tcPr>
          <w:p w14:paraId="12D2964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0.007***</w:t>
            </w:r>
          </w:p>
        </w:tc>
        <w:tc>
          <w:tcPr>
            <w:tcW w:w="723" w:type="pct"/>
            <w:tcBorders>
              <w:top w:val="nil"/>
              <w:left w:val="nil"/>
              <w:bottom w:val="nil"/>
              <w:right w:val="nil"/>
            </w:tcBorders>
            <w:shd w:val="clear" w:color="auto" w:fill="auto"/>
            <w:noWrap/>
            <w:vAlign w:val="bottom"/>
            <w:hideMark/>
          </w:tcPr>
          <w:p w14:paraId="33DB59B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0.005***</w:t>
            </w:r>
          </w:p>
        </w:tc>
      </w:tr>
      <w:tr w:rsidR="0072644D" w:rsidRPr="00357722" w14:paraId="16644A57" w14:textId="77777777" w:rsidTr="00344471">
        <w:trPr>
          <w:trHeight w:val="227"/>
        </w:trPr>
        <w:tc>
          <w:tcPr>
            <w:tcW w:w="1278" w:type="pct"/>
            <w:tcBorders>
              <w:top w:val="nil"/>
              <w:left w:val="nil"/>
              <w:bottom w:val="nil"/>
              <w:right w:val="nil"/>
            </w:tcBorders>
            <w:shd w:val="clear" w:color="auto" w:fill="auto"/>
            <w:noWrap/>
            <w:vAlign w:val="bottom"/>
            <w:hideMark/>
          </w:tcPr>
          <w:p w14:paraId="7DCDDB5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5D64AF96"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(0.86)</w:t>
            </w:r>
          </w:p>
        </w:tc>
        <w:tc>
          <w:tcPr>
            <w:tcW w:w="2026" w:type="pct"/>
            <w:tcBorders>
              <w:top w:val="nil"/>
              <w:left w:val="nil"/>
              <w:bottom w:val="nil"/>
              <w:right w:val="nil"/>
            </w:tcBorders>
            <w:shd w:val="clear" w:color="auto" w:fill="auto"/>
            <w:noWrap/>
            <w:vAlign w:val="bottom"/>
            <w:hideMark/>
          </w:tcPr>
          <w:p w14:paraId="7AB0F32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(8.53)</w:t>
            </w:r>
          </w:p>
        </w:tc>
        <w:tc>
          <w:tcPr>
            <w:tcW w:w="723" w:type="pct"/>
            <w:tcBorders>
              <w:top w:val="nil"/>
              <w:left w:val="nil"/>
              <w:bottom w:val="nil"/>
              <w:right w:val="nil"/>
            </w:tcBorders>
            <w:shd w:val="clear" w:color="auto" w:fill="auto"/>
            <w:noWrap/>
            <w:vAlign w:val="bottom"/>
            <w:hideMark/>
          </w:tcPr>
          <w:p w14:paraId="716DA51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(4.14)</w:t>
            </w:r>
          </w:p>
        </w:tc>
      </w:tr>
      <w:tr w:rsidR="0072644D" w:rsidRPr="00357722" w14:paraId="23A3F39A" w14:textId="77777777" w:rsidTr="00344471">
        <w:trPr>
          <w:trHeight w:val="227"/>
        </w:trPr>
        <w:tc>
          <w:tcPr>
            <w:tcW w:w="1278" w:type="pct"/>
            <w:tcBorders>
              <w:top w:val="nil"/>
              <w:left w:val="nil"/>
              <w:bottom w:val="nil"/>
              <w:right w:val="nil"/>
            </w:tcBorders>
            <w:shd w:val="clear" w:color="auto" w:fill="auto"/>
            <w:noWrap/>
            <w:vAlign w:val="center"/>
            <w:hideMark/>
          </w:tcPr>
          <w:p w14:paraId="2084A860"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FINOPEN</w:t>
            </w:r>
          </w:p>
        </w:tc>
        <w:tc>
          <w:tcPr>
            <w:tcW w:w="973" w:type="pct"/>
            <w:tcBorders>
              <w:top w:val="nil"/>
              <w:left w:val="nil"/>
              <w:bottom w:val="nil"/>
              <w:right w:val="nil"/>
            </w:tcBorders>
            <w:shd w:val="clear" w:color="auto" w:fill="auto"/>
            <w:noWrap/>
            <w:vAlign w:val="bottom"/>
            <w:hideMark/>
          </w:tcPr>
          <w:p w14:paraId="1C3C2A4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0.008</w:t>
            </w:r>
          </w:p>
        </w:tc>
        <w:tc>
          <w:tcPr>
            <w:tcW w:w="2026" w:type="pct"/>
            <w:tcBorders>
              <w:top w:val="nil"/>
              <w:left w:val="nil"/>
              <w:bottom w:val="nil"/>
              <w:right w:val="nil"/>
            </w:tcBorders>
            <w:shd w:val="clear" w:color="auto" w:fill="auto"/>
            <w:noWrap/>
            <w:vAlign w:val="bottom"/>
            <w:hideMark/>
          </w:tcPr>
          <w:p w14:paraId="4B2E3FC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-0.018</w:t>
            </w:r>
          </w:p>
        </w:tc>
        <w:tc>
          <w:tcPr>
            <w:tcW w:w="723" w:type="pct"/>
            <w:tcBorders>
              <w:top w:val="nil"/>
              <w:left w:val="nil"/>
              <w:bottom w:val="nil"/>
              <w:right w:val="nil"/>
            </w:tcBorders>
            <w:shd w:val="clear" w:color="auto" w:fill="auto"/>
            <w:noWrap/>
            <w:vAlign w:val="bottom"/>
            <w:hideMark/>
          </w:tcPr>
          <w:p w14:paraId="4852982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-0.021</w:t>
            </w:r>
          </w:p>
        </w:tc>
      </w:tr>
      <w:tr w:rsidR="0072644D" w:rsidRPr="00357722" w14:paraId="7E7284E1" w14:textId="77777777" w:rsidTr="00344471">
        <w:trPr>
          <w:trHeight w:val="227"/>
        </w:trPr>
        <w:tc>
          <w:tcPr>
            <w:tcW w:w="1278" w:type="pct"/>
            <w:tcBorders>
              <w:top w:val="nil"/>
              <w:left w:val="nil"/>
              <w:bottom w:val="nil"/>
              <w:right w:val="nil"/>
            </w:tcBorders>
            <w:shd w:val="clear" w:color="auto" w:fill="auto"/>
            <w:noWrap/>
            <w:vAlign w:val="bottom"/>
            <w:hideMark/>
          </w:tcPr>
          <w:p w14:paraId="63C50FD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19FDB47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(0.04)</w:t>
            </w:r>
          </w:p>
        </w:tc>
        <w:tc>
          <w:tcPr>
            <w:tcW w:w="2026" w:type="pct"/>
            <w:tcBorders>
              <w:top w:val="nil"/>
              <w:left w:val="nil"/>
              <w:bottom w:val="nil"/>
              <w:right w:val="nil"/>
            </w:tcBorders>
            <w:shd w:val="clear" w:color="auto" w:fill="auto"/>
            <w:noWrap/>
            <w:vAlign w:val="bottom"/>
            <w:hideMark/>
          </w:tcPr>
          <w:p w14:paraId="3500779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(-1.46)</w:t>
            </w:r>
          </w:p>
        </w:tc>
        <w:tc>
          <w:tcPr>
            <w:tcW w:w="723" w:type="pct"/>
            <w:tcBorders>
              <w:top w:val="nil"/>
              <w:left w:val="nil"/>
              <w:bottom w:val="nil"/>
              <w:right w:val="nil"/>
            </w:tcBorders>
            <w:shd w:val="clear" w:color="auto" w:fill="auto"/>
            <w:noWrap/>
            <w:vAlign w:val="bottom"/>
            <w:hideMark/>
          </w:tcPr>
          <w:p w14:paraId="6DF8D78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(-1.45)</w:t>
            </w:r>
          </w:p>
        </w:tc>
      </w:tr>
      <w:tr w:rsidR="0072644D" w:rsidRPr="00357722" w14:paraId="1B68AB63" w14:textId="77777777" w:rsidTr="00344471">
        <w:trPr>
          <w:trHeight w:val="227"/>
        </w:trPr>
        <w:tc>
          <w:tcPr>
            <w:tcW w:w="1278" w:type="pct"/>
            <w:tcBorders>
              <w:top w:val="nil"/>
              <w:left w:val="nil"/>
              <w:bottom w:val="nil"/>
              <w:right w:val="nil"/>
            </w:tcBorders>
            <w:shd w:val="clear" w:color="auto" w:fill="auto"/>
            <w:noWrap/>
            <w:vAlign w:val="center"/>
            <w:hideMark/>
          </w:tcPr>
          <w:p w14:paraId="0A60965D"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LAWNO</w:t>
            </w:r>
          </w:p>
        </w:tc>
        <w:tc>
          <w:tcPr>
            <w:tcW w:w="973" w:type="pct"/>
            <w:tcBorders>
              <w:top w:val="nil"/>
              <w:left w:val="nil"/>
              <w:bottom w:val="nil"/>
              <w:right w:val="nil"/>
            </w:tcBorders>
            <w:shd w:val="clear" w:color="auto" w:fill="auto"/>
            <w:noWrap/>
            <w:vAlign w:val="bottom"/>
            <w:hideMark/>
          </w:tcPr>
          <w:p w14:paraId="3675338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0.552*</w:t>
            </w:r>
          </w:p>
        </w:tc>
        <w:tc>
          <w:tcPr>
            <w:tcW w:w="2026" w:type="pct"/>
            <w:tcBorders>
              <w:top w:val="nil"/>
              <w:left w:val="nil"/>
              <w:bottom w:val="nil"/>
              <w:right w:val="nil"/>
            </w:tcBorders>
            <w:shd w:val="clear" w:color="auto" w:fill="auto"/>
            <w:noWrap/>
            <w:vAlign w:val="bottom"/>
            <w:hideMark/>
          </w:tcPr>
          <w:p w14:paraId="4947397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0.013</w:t>
            </w:r>
          </w:p>
        </w:tc>
        <w:tc>
          <w:tcPr>
            <w:tcW w:w="723" w:type="pct"/>
            <w:tcBorders>
              <w:top w:val="nil"/>
              <w:left w:val="nil"/>
              <w:bottom w:val="nil"/>
              <w:right w:val="nil"/>
            </w:tcBorders>
            <w:shd w:val="clear" w:color="auto" w:fill="auto"/>
            <w:noWrap/>
            <w:vAlign w:val="bottom"/>
            <w:hideMark/>
          </w:tcPr>
          <w:p w14:paraId="4C740EC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0.018</w:t>
            </w:r>
          </w:p>
        </w:tc>
      </w:tr>
      <w:tr w:rsidR="0072644D" w:rsidRPr="00357722" w14:paraId="679E1E1A" w14:textId="77777777" w:rsidTr="00344471">
        <w:trPr>
          <w:trHeight w:val="227"/>
        </w:trPr>
        <w:tc>
          <w:tcPr>
            <w:tcW w:w="1278" w:type="pct"/>
            <w:tcBorders>
              <w:top w:val="nil"/>
              <w:left w:val="nil"/>
              <w:bottom w:val="nil"/>
              <w:right w:val="nil"/>
            </w:tcBorders>
            <w:shd w:val="clear" w:color="auto" w:fill="auto"/>
            <w:noWrap/>
            <w:vAlign w:val="bottom"/>
            <w:hideMark/>
          </w:tcPr>
          <w:p w14:paraId="1983B16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6C3AB933"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(1.69)</w:t>
            </w:r>
          </w:p>
        </w:tc>
        <w:tc>
          <w:tcPr>
            <w:tcW w:w="2026" w:type="pct"/>
            <w:tcBorders>
              <w:top w:val="nil"/>
              <w:left w:val="nil"/>
              <w:bottom w:val="nil"/>
              <w:right w:val="nil"/>
            </w:tcBorders>
            <w:shd w:val="clear" w:color="auto" w:fill="auto"/>
            <w:noWrap/>
            <w:vAlign w:val="bottom"/>
            <w:hideMark/>
          </w:tcPr>
          <w:p w14:paraId="23DFDD7A"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(0.89)</w:t>
            </w:r>
          </w:p>
        </w:tc>
        <w:tc>
          <w:tcPr>
            <w:tcW w:w="723" w:type="pct"/>
            <w:tcBorders>
              <w:top w:val="nil"/>
              <w:left w:val="nil"/>
              <w:bottom w:val="nil"/>
              <w:right w:val="nil"/>
            </w:tcBorders>
            <w:shd w:val="clear" w:color="auto" w:fill="auto"/>
            <w:noWrap/>
            <w:vAlign w:val="bottom"/>
            <w:hideMark/>
          </w:tcPr>
          <w:p w14:paraId="5E406636"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(1.05)</w:t>
            </w:r>
          </w:p>
        </w:tc>
      </w:tr>
      <w:tr w:rsidR="0072644D" w:rsidRPr="00357722" w14:paraId="5422450E" w14:textId="77777777" w:rsidTr="00344471">
        <w:trPr>
          <w:trHeight w:val="227"/>
        </w:trPr>
        <w:tc>
          <w:tcPr>
            <w:tcW w:w="1278" w:type="pct"/>
            <w:tcBorders>
              <w:top w:val="nil"/>
              <w:left w:val="nil"/>
              <w:bottom w:val="nil"/>
              <w:right w:val="nil"/>
            </w:tcBorders>
            <w:shd w:val="clear" w:color="auto" w:fill="auto"/>
            <w:noWrap/>
            <w:vAlign w:val="center"/>
            <w:hideMark/>
          </w:tcPr>
          <w:p w14:paraId="37F5A848"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POPG</w:t>
            </w:r>
          </w:p>
        </w:tc>
        <w:tc>
          <w:tcPr>
            <w:tcW w:w="973" w:type="pct"/>
            <w:tcBorders>
              <w:top w:val="nil"/>
              <w:left w:val="nil"/>
              <w:bottom w:val="nil"/>
              <w:right w:val="nil"/>
            </w:tcBorders>
            <w:shd w:val="clear" w:color="auto" w:fill="auto"/>
            <w:noWrap/>
            <w:vAlign w:val="bottom"/>
            <w:hideMark/>
          </w:tcPr>
          <w:p w14:paraId="6645AE0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-0.495**</w:t>
            </w:r>
          </w:p>
        </w:tc>
        <w:tc>
          <w:tcPr>
            <w:tcW w:w="2026" w:type="pct"/>
            <w:tcBorders>
              <w:top w:val="nil"/>
              <w:left w:val="nil"/>
              <w:bottom w:val="nil"/>
              <w:right w:val="nil"/>
            </w:tcBorders>
            <w:shd w:val="clear" w:color="auto" w:fill="auto"/>
            <w:noWrap/>
            <w:vAlign w:val="bottom"/>
            <w:hideMark/>
          </w:tcPr>
          <w:p w14:paraId="1A31C3D2"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0.029</w:t>
            </w:r>
          </w:p>
        </w:tc>
        <w:tc>
          <w:tcPr>
            <w:tcW w:w="723" w:type="pct"/>
            <w:tcBorders>
              <w:top w:val="nil"/>
              <w:left w:val="nil"/>
              <w:bottom w:val="nil"/>
              <w:right w:val="nil"/>
            </w:tcBorders>
            <w:shd w:val="clear" w:color="auto" w:fill="auto"/>
            <w:noWrap/>
            <w:vAlign w:val="bottom"/>
            <w:hideMark/>
          </w:tcPr>
          <w:p w14:paraId="0232062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0.059**</w:t>
            </w:r>
          </w:p>
        </w:tc>
      </w:tr>
      <w:tr w:rsidR="0072644D" w:rsidRPr="00357722" w14:paraId="3BF56275" w14:textId="77777777" w:rsidTr="00344471">
        <w:trPr>
          <w:trHeight w:val="227"/>
        </w:trPr>
        <w:tc>
          <w:tcPr>
            <w:tcW w:w="1278" w:type="pct"/>
            <w:tcBorders>
              <w:top w:val="nil"/>
              <w:left w:val="nil"/>
              <w:bottom w:val="nil"/>
              <w:right w:val="nil"/>
            </w:tcBorders>
            <w:shd w:val="clear" w:color="auto" w:fill="auto"/>
            <w:noWrap/>
            <w:vAlign w:val="bottom"/>
            <w:hideMark/>
          </w:tcPr>
          <w:p w14:paraId="41C009D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7F46998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(-2.28)</w:t>
            </w:r>
          </w:p>
        </w:tc>
        <w:tc>
          <w:tcPr>
            <w:tcW w:w="2026" w:type="pct"/>
            <w:tcBorders>
              <w:top w:val="nil"/>
              <w:left w:val="nil"/>
              <w:bottom w:val="nil"/>
              <w:right w:val="nil"/>
            </w:tcBorders>
            <w:shd w:val="clear" w:color="auto" w:fill="auto"/>
            <w:noWrap/>
            <w:vAlign w:val="bottom"/>
            <w:hideMark/>
          </w:tcPr>
          <w:p w14:paraId="527DC09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(1.29)</w:t>
            </w:r>
          </w:p>
        </w:tc>
        <w:tc>
          <w:tcPr>
            <w:tcW w:w="723" w:type="pct"/>
            <w:tcBorders>
              <w:top w:val="nil"/>
              <w:left w:val="nil"/>
              <w:bottom w:val="nil"/>
              <w:right w:val="nil"/>
            </w:tcBorders>
            <w:shd w:val="clear" w:color="auto" w:fill="auto"/>
            <w:noWrap/>
            <w:vAlign w:val="bottom"/>
            <w:hideMark/>
          </w:tcPr>
          <w:p w14:paraId="3D5333C2"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(2.27)</w:t>
            </w:r>
          </w:p>
        </w:tc>
      </w:tr>
      <w:tr w:rsidR="0072644D" w:rsidRPr="00357722" w14:paraId="7074650B" w14:textId="77777777" w:rsidTr="00344471">
        <w:trPr>
          <w:trHeight w:val="227"/>
        </w:trPr>
        <w:tc>
          <w:tcPr>
            <w:tcW w:w="1278" w:type="pct"/>
            <w:tcBorders>
              <w:top w:val="nil"/>
              <w:left w:val="nil"/>
              <w:bottom w:val="nil"/>
              <w:right w:val="nil"/>
            </w:tcBorders>
            <w:shd w:val="clear" w:color="auto" w:fill="auto"/>
            <w:noWrap/>
            <w:vAlign w:val="center"/>
            <w:hideMark/>
          </w:tcPr>
          <w:p w14:paraId="4FCEF932"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GDPG</w:t>
            </w:r>
          </w:p>
        </w:tc>
        <w:tc>
          <w:tcPr>
            <w:tcW w:w="973" w:type="pct"/>
            <w:tcBorders>
              <w:top w:val="nil"/>
              <w:left w:val="nil"/>
              <w:bottom w:val="nil"/>
              <w:right w:val="nil"/>
            </w:tcBorders>
            <w:shd w:val="clear" w:color="auto" w:fill="auto"/>
            <w:noWrap/>
            <w:vAlign w:val="bottom"/>
            <w:hideMark/>
          </w:tcPr>
          <w:p w14:paraId="523AD312"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0.076**</w:t>
            </w:r>
          </w:p>
        </w:tc>
        <w:tc>
          <w:tcPr>
            <w:tcW w:w="2026" w:type="pct"/>
            <w:tcBorders>
              <w:top w:val="nil"/>
              <w:left w:val="nil"/>
              <w:bottom w:val="nil"/>
              <w:right w:val="nil"/>
            </w:tcBorders>
            <w:shd w:val="clear" w:color="auto" w:fill="auto"/>
            <w:noWrap/>
            <w:vAlign w:val="bottom"/>
            <w:hideMark/>
          </w:tcPr>
          <w:p w14:paraId="35C04690"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-0.012***</w:t>
            </w:r>
          </w:p>
        </w:tc>
        <w:tc>
          <w:tcPr>
            <w:tcW w:w="723" w:type="pct"/>
            <w:tcBorders>
              <w:top w:val="nil"/>
              <w:left w:val="nil"/>
              <w:bottom w:val="nil"/>
              <w:right w:val="nil"/>
            </w:tcBorders>
            <w:shd w:val="clear" w:color="auto" w:fill="auto"/>
            <w:noWrap/>
            <w:vAlign w:val="bottom"/>
            <w:hideMark/>
          </w:tcPr>
          <w:p w14:paraId="2C5FC0C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-0.011***</w:t>
            </w:r>
          </w:p>
        </w:tc>
      </w:tr>
      <w:tr w:rsidR="0072644D" w:rsidRPr="00357722" w14:paraId="5BBC3FAD" w14:textId="77777777" w:rsidTr="00344471">
        <w:trPr>
          <w:trHeight w:val="227"/>
        </w:trPr>
        <w:tc>
          <w:tcPr>
            <w:tcW w:w="1278" w:type="pct"/>
            <w:tcBorders>
              <w:top w:val="nil"/>
              <w:left w:val="nil"/>
              <w:bottom w:val="nil"/>
              <w:right w:val="nil"/>
            </w:tcBorders>
            <w:shd w:val="clear" w:color="auto" w:fill="auto"/>
            <w:noWrap/>
            <w:vAlign w:val="bottom"/>
            <w:hideMark/>
          </w:tcPr>
          <w:p w14:paraId="3C55386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2C61A65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(2.26)</w:t>
            </w:r>
          </w:p>
        </w:tc>
        <w:tc>
          <w:tcPr>
            <w:tcW w:w="2026" w:type="pct"/>
            <w:tcBorders>
              <w:top w:val="nil"/>
              <w:left w:val="nil"/>
              <w:bottom w:val="nil"/>
              <w:right w:val="nil"/>
            </w:tcBorders>
            <w:shd w:val="clear" w:color="auto" w:fill="auto"/>
            <w:noWrap/>
            <w:vAlign w:val="bottom"/>
            <w:hideMark/>
          </w:tcPr>
          <w:p w14:paraId="3937A9D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(-5.75)</w:t>
            </w:r>
          </w:p>
        </w:tc>
        <w:tc>
          <w:tcPr>
            <w:tcW w:w="723" w:type="pct"/>
            <w:tcBorders>
              <w:top w:val="nil"/>
              <w:left w:val="nil"/>
              <w:bottom w:val="nil"/>
              <w:right w:val="nil"/>
            </w:tcBorders>
            <w:shd w:val="clear" w:color="auto" w:fill="auto"/>
            <w:noWrap/>
            <w:vAlign w:val="bottom"/>
            <w:hideMark/>
          </w:tcPr>
          <w:p w14:paraId="277C0443"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(-4.99)</w:t>
            </w:r>
          </w:p>
        </w:tc>
      </w:tr>
      <w:tr w:rsidR="0072644D" w:rsidRPr="00357722" w14:paraId="3E1FE92F" w14:textId="77777777" w:rsidTr="00344471">
        <w:trPr>
          <w:trHeight w:val="227"/>
        </w:trPr>
        <w:tc>
          <w:tcPr>
            <w:tcW w:w="1278" w:type="pct"/>
            <w:tcBorders>
              <w:top w:val="nil"/>
              <w:left w:val="nil"/>
              <w:bottom w:val="nil"/>
              <w:right w:val="nil"/>
            </w:tcBorders>
            <w:shd w:val="clear" w:color="auto" w:fill="auto"/>
            <w:noWrap/>
            <w:vAlign w:val="center"/>
            <w:hideMark/>
          </w:tcPr>
          <w:p w14:paraId="5FE3B8AC"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INFL</w:t>
            </w:r>
          </w:p>
        </w:tc>
        <w:tc>
          <w:tcPr>
            <w:tcW w:w="973" w:type="pct"/>
            <w:tcBorders>
              <w:top w:val="nil"/>
              <w:left w:val="nil"/>
              <w:bottom w:val="nil"/>
              <w:right w:val="nil"/>
            </w:tcBorders>
            <w:shd w:val="clear" w:color="auto" w:fill="auto"/>
            <w:noWrap/>
            <w:vAlign w:val="bottom"/>
            <w:hideMark/>
          </w:tcPr>
          <w:p w14:paraId="3E307CB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0.042**</w:t>
            </w:r>
          </w:p>
        </w:tc>
        <w:tc>
          <w:tcPr>
            <w:tcW w:w="2026" w:type="pct"/>
            <w:tcBorders>
              <w:top w:val="nil"/>
              <w:left w:val="nil"/>
              <w:bottom w:val="nil"/>
              <w:right w:val="nil"/>
            </w:tcBorders>
            <w:shd w:val="clear" w:color="auto" w:fill="auto"/>
            <w:noWrap/>
            <w:vAlign w:val="bottom"/>
            <w:hideMark/>
          </w:tcPr>
          <w:p w14:paraId="652E7231"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-0.002</w:t>
            </w:r>
          </w:p>
        </w:tc>
        <w:tc>
          <w:tcPr>
            <w:tcW w:w="723" w:type="pct"/>
            <w:tcBorders>
              <w:top w:val="nil"/>
              <w:left w:val="nil"/>
              <w:bottom w:val="nil"/>
              <w:right w:val="nil"/>
            </w:tcBorders>
            <w:shd w:val="clear" w:color="auto" w:fill="auto"/>
            <w:noWrap/>
            <w:vAlign w:val="bottom"/>
            <w:hideMark/>
          </w:tcPr>
          <w:p w14:paraId="41DFB49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-0.002</w:t>
            </w:r>
          </w:p>
        </w:tc>
      </w:tr>
      <w:tr w:rsidR="0072644D" w:rsidRPr="00357722" w14:paraId="6F506EB1" w14:textId="77777777" w:rsidTr="00344471">
        <w:trPr>
          <w:trHeight w:val="227"/>
        </w:trPr>
        <w:tc>
          <w:tcPr>
            <w:tcW w:w="1278" w:type="pct"/>
            <w:tcBorders>
              <w:top w:val="nil"/>
              <w:left w:val="nil"/>
              <w:bottom w:val="nil"/>
              <w:right w:val="nil"/>
            </w:tcBorders>
            <w:shd w:val="clear" w:color="auto" w:fill="auto"/>
            <w:noWrap/>
            <w:vAlign w:val="bottom"/>
            <w:hideMark/>
          </w:tcPr>
          <w:p w14:paraId="6941923A"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1393B95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(2.56)</w:t>
            </w:r>
          </w:p>
        </w:tc>
        <w:tc>
          <w:tcPr>
            <w:tcW w:w="2026" w:type="pct"/>
            <w:tcBorders>
              <w:top w:val="nil"/>
              <w:left w:val="nil"/>
              <w:bottom w:val="nil"/>
              <w:right w:val="nil"/>
            </w:tcBorders>
            <w:shd w:val="clear" w:color="auto" w:fill="auto"/>
            <w:noWrap/>
            <w:vAlign w:val="bottom"/>
            <w:hideMark/>
          </w:tcPr>
          <w:p w14:paraId="2539817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(-1.46)</w:t>
            </w:r>
          </w:p>
        </w:tc>
        <w:tc>
          <w:tcPr>
            <w:tcW w:w="723" w:type="pct"/>
            <w:tcBorders>
              <w:top w:val="nil"/>
              <w:left w:val="nil"/>
              <w:bottom w:val="nil"/>
              <w:right w:val="nil"/>
            </w:tcBorders>
            <w:shd w:val="clear" w:color="auto" w:fill="auto"/>
            <w:noWrap/>
            <w:vAlign w:val="bottom"/>
            <w:hideMark/>
          </w:tcPr>
          <w:p w14:paraId="2A2883A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(-1.19)</w:t>
            </w:r>
          </w:p>
        </w:tc>
      </w:tr>
      <w:tr w:rsidR="0072644D" w:rsidRPr="00357722" w14:paraId="716FFECB" w14:textId="77777777" w:rsidTr="00344471">
        <w:trPr>
          <w:trHeight w:val="227"/>
        </w:trPr>
        <w:tc>
          <w:tcPr>
            <w:tcW w:w="1278" w:type="pct"/>
            <w:tcBorders>
              <w:top w:val="nil"/>
              <w:left w:val="nil"/>
              <w:bottom w:val="nil"/>
              <w:right w:val="nil"/>
            </w:tcBorders>
            <w:shd w:val="clear" w:color="auto" w:fill="auto"/>
            <w:noWrap/>
            <w:vAlign w:val="center"/>
            <w:hideMark/>
          </w:tcPr>
          <w:p w14:paraId="7BB37D40"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TRDOPEN</w:t>
            </w:r>
          </w:p>
        </w:tc>
        <w:tc>
          <w:tcPr>
            <w:tcW w:w="973" w:type="pct"/>
            <w:tcBorders>
              <w:top w:val="nil"/>
              <w:left w:val="nil"/>
              <w:bottom w:val="nil"/>
              <w:right w:val="nil"/>
            </w:tcBorders>
            <w:shd w:val="clear" w:color="auto" w:fill="auto"/>
            <w:noWrap/>
            <w:vAlign w:val="bottom"/>
            <w:hideMark/>
          </w:tcPr>
          <w:p w14:paraId="2FD8F151"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-0.000</w:t>
            </w:r>
          </w:p>
        </w:tc>
        <w:tc>
          <w:tcPr>
            <w:tcW w:w="2026" w:type="pct"/>
            <w:tcBorders>
              <w:top w:val="nil"/>
              <w:left w:val="nil"/>
              <w:bottom w:val="nil"/>
              <w:right w:val="nil"/>
            </w:tcBorders>
            <w:shd w:val="clear" w:color="auto" w:fill="auto"/>
            <w:noWrap/>
            <w:vAlign w:val="bottom"/>
            <w:hideMark/>
          </w:tcPr>
          <w:p w14:paraId="30AE8E03"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-0.001***</w:t>
            </w:r>
          </w:p>
        </w:tc>
        <w:tc>
          <w:tcPr>
            <w:tcW w:w="723" w:type="pct"/>
            <w:tcBorders>
              <w:top w:val="nil"/>
              <w:left w:val="nil"/>
              <w:bottom w:val="nil"/>
              <w:right w:val="nil"/>
            </w:tcBorders>
            <w:shd w:val="clear" w:color="auto" w:fill="auto"/>
            <w:noWrap/>
            <w:vAlign w:val="bottom"/>
            <w:hideMark/>
          </w:tcPr>
          <w:p w14:paraId="338ADDE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-0.001*</w:t>
            </w:r>
          </w:p>
        </w:tc>
      </w:tr>
      <w:tr w:rsidR="0072644D" w:rsidRPr="00357722" w14:paraId="58DB5196" w14:textId="77777777" w:rsidTr="00344471">
        <w:trPr>
          <w:trHeight w:val="227"/>
        </w:trPr>
        <w:tc>
          <w:tcPr>
            <w:tcW w:w="1278" w:type="pct"/>
            <w:tcBorders>
              <w:top w:val="nil"/>
              <w:left w:val="nil"/>
              <w:bottom w:val="nil"/>
              <w:right w:val="nil"/>
            </w:tcBorders>
            <w:shd w:val="clear" w:color="auto" w:fill="auto"/>
            <w:noWrap/>
            <w:vAlign w:val="bottom"/>
            <w:hideMark/>
          </w:tcPr>
          <w:p w14:paraId="708EB910"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2E5E9CD1"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(-0.02)</w:t>
            </w:r>
          </w:p>
        </w:tc>
        <w:tc>
          <w:tcPr>
            <w:tcW w:w="2026" w:type="pct"/>
            <w:tcBorders>
              <w:top w:val="nil"/>
              <w:left w:val="nil"/>
              <w:bottom w:val="nil"/>
              <w:right w:val="nil"/>
            </w:tcBorders>
            <w:shd w:val="clear" w:color="auto" w:fill="auto"/>
            <w:noWrap/>
            <w:vAlign w:val="bottom"/>
            <w:hideMark/>
          </w:tcPr>
          <w:p w14:paraId="7EB2B71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(-2.75)</w:t>
            </w:r>
          </w:p>
        </w:tc>
        <w:tc>
          <w:tcPr>
            <w:tcW w:w="723" w:type="pct"/>
            <w:tcBorders>
              <w:top w:val="nil"/>
              <w:left w:val="nil"/>
              <w:bottom w:val="nil"/>
              <w:right w:val="nil"/>
            </w:tcBorders>
            <w:shd w:val="clear" w:color="auto" w:fill="auto"/>
            <w:noWrap/>
            <w:vAlign w:val="bottom"/>
            <w:hideMark/>
          </w:tcPr>
          <w:p w14:paraId="29270443"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(-1.77)</w:t>
            </w:r>
          </w:p>
        </w:tc>
      </w:tr>
      <w:tr w:rsidR="0072644D" w:rsidRPr="00357722" w14:paraId="5D91C9B7" w14:textId="77777777" w:rsidTr="00344471">
        <w:trPr>
          <w:trHeight w:val="227"/>
        </w:trPr>
        <w:tc>
          <w:tcPr>
            <w:tcW w:w="1278" w:type="pct"/>
            <w:tcBorders>
              <w:top w:val="nil"/>
              <w:left w:val="nil"/>
              <w:bottom w:val="nil"/>
              <w:right w:val="nil"/>
            </w:tcBorders>
            <w:shd w:val="clear" w:color="auto" w:fill="auto"/>
            <w:noWrap/>
            <w:vAlign w:val="center"/>
            <w:hideMark/>
          </w:tcPr>
          <w:p w14:paraId="70D5B9C3"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REMITT</w:t>
            </w:r>
          </w:p>
        </w:tc>
        <w:tc>
          <w:tcPr>
            <w:tcW w:w="973" w:type="pct"/>
            <w:tcBorders>
              <w:top w:val="nil"/>
              <w:left w:val="nil"/>
              <w:bottom w:val="nil"/>
              <w:right w:val="nil"/>
            </w:tcBorders>
            <w:shd w:val="clear" w:color="auto" w:fill="auto"/>
            <w:noWrap/>
            <w:vAlign w:val="bottom"/>
            <w:hideMark/>
          </w:tcPr>
          <w:p w14:paraId="5244589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-0.407***</w:t>
            </w:r>
          </w:p>
        </w:tc>
        <w:tc>
          <w:tcPr>
            <w:tcW w:w="2026" w:type="pct"/>
            <w:tcBorders>
              <w:top w:val="nil"/>
              <w:left w:val="nil"/>
              <w:bottom w:val="nil"/>
              <w:right w:val="nil"/>
            </w:tcBorders>
            <w:shd w:val="clear" w:color="auto" w:fill="auto"/>
            <w:noWrap/>
            <w:vAlign w:val="bottom"/>
            <w:hideMark/>
          </w:tcPr>
          <w:p w14:paraId="230852B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-0.009</w:t>
            </w:r>
          </w:p>
        </w:tc>
        <w:tc>
          <w:tcPr>
            <w:tcW w:w="723" w:type="pct"/>
            <w:tcBorders>
              <w:top w:val="nil"/>
              <w:left w:val="nil"/>
              <w:bottom w:val="nil"/>
              <w:right w:val="nil"/>
            </w:tcBorders>
            <w:shd w:val="clear" w:color="auto" w:fill="auto"/>
            <w:noWrap/>
            <w:vAlign w:val="bottom"/>
            <w:hideMark/>
          </w:tcPr>
          <w:p w14:paraId="115AA5A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-0.017**</w:t>
            </w:r>
          </w:p>
        </w:tc>
      </w:tr>
      <w:tr w:rsidR="0072644D" w:rsidRPr="00357722" w14:paraId="12074B15" w14:textId="77777777" w:rsidTr="00344471">
        <w:trPr>
          <w:trHeight w:val="227"/>
        </w:trPr>
        <w:tc>
          <w:tcPr>
            <w:tcW w:w="1278" w:type="pct"/>
            <w:tcBorders>
              <w:top w:val="nil"/>
              <w:left w:val="nil"/>
              <w:bottom w:val="nil"/>
              <w:right w:val="nil"/>
            </w:tcBorders>
            <w:shd w:val="clear" w:color="auto" w:fill="auto"/>
            <w:noWrap/>
            <w:vAlign w:val="bottom"/>
            <w:hideMark/>
          </w:tcPr>
          <w:p w14:paraId="3CF4475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02620152"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(-2.79)</w:t>
            </w:r>
          </w:p>
        </w:tc>
        <w:tc>
          <w:tcPr>
            <w:tcW w:w="2026" w:type="pct"/>
            <w:tcBorders>
              <w:top w:val="nil"/>
              <w:left w:val="nil"/>
              <w:bottom w:val="nil"/>
              <w:right w:val="nil"/>
            </w:tcBorders>
            <w:shd w:val="clear" w:color="auto" w:fill="auto"/>
            <w:noWrap/>
            <w:vAlign w:val="bottom"/>
            <w:hideMark/>
          </w:tcPr>
          <w:p w14:paraId="04D94E0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(-1.28)</w:t>
            </w:r>
          </w:p>
        </w:tc>
        <w:tc>
          <w:tcPr>
            <w:tcW w:w="723" w:type="pct"/>
            <w:tcBorders>
              <w:top w:val="nil"/>
              <w:left w:val="nil"/>
              <w:bottom w:val="nil"/>
              <w:right w:val="nil"/>
            </w:tcBorders>
            <w:shd w:val="clear" w:color="auto" w:fill="auto"/>
            <w:noWrap/>
            <w:vAlign w:val="bottom"/>
            <w:hideMark/>
          </w:tcPr>
          <w:p w14:paraId="1F942976"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(-2.05)</w:t>
            </w:r>
          </w:p>
        </w:tc>
      </w:tr>
      <w:tr w:rsidR="0072644D" w:rsidRPr="00357722" w14:paraId="60EAD068" w14:textId="77777777" w:rsidTr="00344471">
        <w:trPr>
          <w:trHeight w:val="227"/>
        </w:trPr>
        <w:tc>
          <w:tcPr>
            <w:tcW w:w="1278" w:type="pct"/>
            <w:tcBorders>
              <w:top w:val="nil"/>
              <w:left w:val="nil"/>
              <w:bottom w:val="nil"/>
              <w:right w:val="nil"/>
            </w:tcBorders>
            <w:shd w:val="clear" w:color="auto" w:fill="auto"/>
            <w:noWrap/>
            <w:vAlign w:val="center"/>
            <w:hideMark/>
          </w:tcPr>
          <w:p w14:paraId="3CD82A33" w14:textId="3D905225" w:rsidR="0072644D" w:rsidRPr="00357722" w:rsidRDefault="008857A2"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OTIDSGDP</w:t>
            </w:r>
          </w:p>
        </w:tc>
        <w:tc>
          <w:tcPr>
            <w:tcW w:w="973" w:type="pct"/>
            <w:tcBorders>
              <w:top w:val="nil"/>
              <w:left w:val="nil"/>
              <w:bottom w:val="nil"/>
              <w:right w:val="nil"/>
            </w:tcBorders>
            <w:shd w:val="clear" w:color="auto" w:fill="auto"/>
            <w:noWrap/>
            <w:vAlign w:val="bottom"/>
            <w:hideMark/>
          </w:tcPr>
          <w:p w14:paraId="4BD7C63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-0.023***</w:t>
            </w:r>
          </w:p>
        </w:tc>
        <w:tc>
          <w:tcPr>
            <w:tcW w:w="2026" w:type="pct"/>
            <w:tcBorders>
              <w:top w:val="nil"/>
              <w:left w:val="nil"/>
              <w:bottom w:val="nil"/>
              <w:right w:val="nil"/>
            </w:tcBorders>
            <w:shd w:val="clear" w:color="auto" w:fill="auto"/>
            <w:noWrap/>
            <w:vAlign w:val="bottom"/>
            <w:hideMark/>
          </w:tcPr>
          <w:p w14:paraId="2FDD4DA2"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0.003***</w:t>
            </w:r>
          </w:p>
        </w:tc>
        <w:tc>
          <w:tcPr>
            <w:tcW w:w="723" w:type="pct"/>
            <w:tcBorders>
              <w:top w:val="nil"/>
              <w:left w:val="nil"/>
              <w:bottom w:val="nil"/>
              <w:right w:val="nil"/>
            </w:tcBorders>
            <w:shd w:val="clear" w:color="auto" w:fill="auto"/>
            <w:noWrap/>
            <w:vAlign w:val="bottom"/>
            <w:hideMark/>
          </w:tcPr>
          <w:p w14:paraId="57F8052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0.003***</w:t>
            </w:r>
          </w:p>
        </w:tc>
      </w:tr>
      <w:tr w:rsidR="0072644D" w:rsidRPr="00357722" w14:paraId="00ACB037" w14:textId="77777777" w:rsidTr="00344471">
        <w:trPr>
          <w:trHeight w:val="227"/>
        </w:trPr>
        <w:tc>
          <w:tcPr>
            <w:tcW w:w="1278" w:type="pct"/>
            <w:tcBorders>
              <w:top w:val="nil"/>
              <w:left w:val="nil"/>
              <w:bottom w:val="nil"/>
              <w:right w:val="nil"/>
            </w:tcBorders>
            <w:shd w:val="clear" w:color="auto" w:fill="auto"/>
            <w:noWrap/>
            <w:vAlign w:val="bottom"/>
            <w:hideMark/>
          </w:tcPr>
          <w:p w14:paraId="2B4A0FCE"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534D2C80"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(-2.85)</w:t>
            </w:r>
          </w:p>
        </w:tc>
        <w:tc>
          <w:tcPr>
            <w:tcW w:w="2026" w:type="pct"/>
            <w:tcBorders>
              <w:top w:val="nil"/>
              <w:left w:val="nil"/>
              <w:bottom w:val="nil"/>
              <w:right w:val="nil"/>
            </w:tcBorders>
            <w:shd w:val="clear" w:color="auto" w:fill="auto"/>
            <w:noWrap/>
            <w:vAlign w:val="bottom"/>
            <w:hideMark/>
          </w:tcPr>
          <w:p w14:paraId="52B0FC1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(4.40)</w:t>
            </w:r>
          </w:p>
        </w:tc>
        <w:tc>
          <w:tcPr>
            <w:tcW w:w="723" w:type="pct"/>
            <w:tcBorders>
              <w:top w:val="nil"/>
              <w:left w:val="nil"/>
              <w:bottom w:val="nil"/>
              <w:right w:val="nil"/>
            </w:tcBorders>
            <w:shd w:val="clear" w:color="auto" w:fill="auto"/>
            <w:noWrap/>
            <w:vAlign w:val="bottom"/>
            <w:hideMark/>
          </w:tcPr>
          <w:p w14:paraId="6AC41D80"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(3.98)</w:t>
            </w:r>
          </w:p>
        </w:tc>
      </w:tr>
      <w:tr w:rsidR="0072644D" w:rsidRPr="00357722" w14:paraId="798C9E87" w14:textId="77777777" w:rsidTr="00344471">
        <w:trPr>
          <w:trHeight w:val="227"/>
        </w:trPr>
        <w:tc>
          <w:tcPr>
            <w:tcW w:w="1278" w:type="pct"/>
            <w:tcBorders>
              <w:top w:val="nil"/>
              <w:left w:val="nil"/>
              <w:bottom w:val="nil"/>
              <w:right w:val="nil"/>
            </w:tcBorders>
            <w:shd w:val="clear" w:color="auto" w:fill="auto"/>
            <w:noWrap/>
            <w:vAlign w:val="center"/>
            <w:hideMark/>
          </w:tcPr>
          <w:p w14:paraId="7BF0D311"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LEGORI</w:t>
            </w:r>
          </w:p>
        </w:tc>
        <w:tc>
          <w:tcPr>
            <w:tcW w:w="973" w:type="pct"/>
            <w:tcBorders>
              <w:top w:val="nil"/>
              <w:left w:val="nil"/>
              <w:bottom w:val="nil"/>
              <w:right w:val="nil"/>
            </w:tcBorders>
            <w:shd w:val="clear" w:color="auto" w:fill="auto"/>
            <w:noWrap/>
            <w:vAlign w:val="bottom"/>
            <w:hideMark/>
          </w:tcPr>
          <w:p w14:paraId="60DE3001"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-7.414***</w:t>
            </w:r>
          </w:p>
        </w:tc>
        <w:tc>
          <w:tcPr>
            <w:tcW w:w="2026" w:type="pct"/>
            <w:tcBorders>
              <w:top w:val="nil"/>
              <w:left w:val="nil"/>
              <w:bottom w:val="nil"/>
              <w:right w:val="nil"/>
            </w:tcBorders>
            <w:shd w:val="clear" w:color="auto" w:fill="auto"/>
            <w:noWrap/>
            <w:vAlign w:val="bottom"/>
            <w:hideMark/>
          </w:tcPr>
          <w:p w14:paraId="46E4934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-1.511***</w:t>
            </w:r>
          </w:p>
        </w:tc>
        <w:tc>
          <w:tcPr>
            <w:tcW w:w="723" w:type="pct"/>
            <w:tcBorders>
              <w:top w:val="nil"/>
              <w:left w:val="nil"/>
              <w:bottom w:val="nil"/>
              <w:right w:val="nil"/>
            </w:tcBorders>
            <w:shd w:val="clear" w:color="auto" w:fill="auto"/>
            <w:noWrap/>
            <w:vAlign w:val="bottom"/>
            <w:hideMark/>
          </w:tcPr>
          <w:p w14:paraId="49F2900A"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-1.596***</w:t>
            </w:r>
          </w:p>
        </w:tc>
      </w:tr>
      <w:tr w:rsidR="0072644D" w:rsidRPr="00357722" w14:paraId="4FF58DAF" w14:textId="77777777" w:rsidTr="00344471">
        <w:trPr>
          <w:trHeight w:val="227"/>
        </w:trPr>
        <w:tc>
          <w:tcPr>
            <w:tcW w:w="1278" w:type="pct"/>
            <w:tcBorders>
              <w:top w:val="nil"/>
              <w:left w:val="nil"/>
              <w:bottom w:val="nil"/>
              <w:right w:val="nil"/>
            </w:tcBorders>
            <w:shd w:val="clear" w:color="auto" w:fill="auto"/>
            <w:noWrap/>
            <w:vAlign w:val="bottom"/>
            <w:hideMark/>
          </w:tcPr>
          <w:p w14:paraId="22AAAB83"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08828DD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(-3.53)</w:t>
            </w:r>
          </w:p>
        </w:tc>
        <w:tc>
          <w:tcPr>
            <w:tcW w:w="2026" w:type="pct"/>
            <w:tcBorders>
              <w:top w:val="nil"/>
              <w:left w:val="nil"/>
              <w:bottom w:val="nil"/>
              <w:right w:val="nil"/>
            </w:tcBorders>
            <w:shd w:val="clear" w:color="auto" w:fill="auto"/>
            <w:noWrap/>
            <w:vAlign w:val="bottom"/>
            <w:hideMark/>
          </w:tcPr>
          <w:p w14:paraId="1388555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(-11.25)</w:t>
            </w:r>
          </w:p>
        </w:tc>
        <w:tc>
          <w:tcPr>
            <w:tcW w:w="723" w:type="pct"/>
            <w:tcBorders>
              <w:top w:val="nil"/>
              <w:left w:val="nil"/>
              <w:bottom w:val="nil"/>
              <w:right w:val="nil"/>
            </w:tcBorders>
            <w:shd w:val="clear" w:color="auto" w:fill="auto"/>
            <w:noWrap/>
            <w:vAlign w:val="bottom"/>
            <w:hideMark/>
          </w:tcPr>
          <w:p w14:paraId="703F859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(-10.66)</w:t>
            </w:r>
          </w:p>
        </w:tc>
      </w:tr>
      <w:tr w:rsidR="0072644D" w:rsidRPr="00357722" w14:paraId="7FC1E591" w14:textId="77777777" w:rsidTr="00344471">
        <w:trPr>
          <w:trHeight w:val="227"/>
        </w:trPr>
        <w:tc>
          <w:tcPr>
            <w:tcW w:w="1278" w:type="pct"/>
            <w:tcBorders>
              <w:top w:val="nil"/>
              <w:left w:val="nil"/>
              <w:bottom w:val="nil"/>
              <w:right w:val="nil"/>
            </w:tcBorders>
            <w:shd w:val="clear" w:color="auto" w:fill="auto"/>
            <w:noWrap/>
            <w:vAlign w:val="center"/>
            <w:hideMark/>
          </w:tcPr>
          <w:p w14:paraId="1A494E84"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i/>
                <w:iCs/>
                <w:color w:val="000000"/>
                <w:sz w:val="16"/>
                <w:szCs w:val="16"/>
              </w:rPr>
              <w:t>Constant</w:t>
            </w:r>
          </w:p>
        </w:tc>
        <w:tc>
          <w:tcPr>
            <w:tcW w:w="973" w:type="pct"/>
            <w:tcBorders>
              <w:top w:val="nil"/>
              <w:left w:val="nil"/>
              <w:bottom w:val="nil"/>
              <w:right w:val="nil"/>
            </w:tcBorders>
            <w:shd w:val="clear" w:color="auto" w:fill="auto"/>
            <w:noWrap/>
            <w:vAlign w:val="bottom"/>
            <w:hideMark/>
          </w:tcPr>
          <w:p w14:paraId="0955CC90"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16.868***</w:t>
            </w:r>
          </w:p>
        </w:tc>
        <w:tc>
          <w:tcPr>
            <w:tcW w:w="2026" w:type="pct"/>
            <w:tcBorders>
              <w:top w:val="nil"/>
              <w:left w:val="nil"/>
              <w:bottom w:val="nil"/>
              <w:right w:val="nil"/>
            </w:tcBorders>
            <w:shd w:val="clear" w:color="auto" w:fill="auto"/>
            <w:noWrap/>
            <w:vAlign w:val="bottom"/>
            <w:hideMark/>
          </w:tcPr>
          <w:p w14:paraId="3B95630A"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3.037***</w:t>
            </w:r>
          </w:p>
        </w:tc>
        <w:tc>
          <w:tcPr>
            <w:tcW w:w="723" w:type="pct"/>
            <w:tcBorders>
              <w:top w:val="nil"/>
              <w:left w:val="nil"/>
              <w:bottom w:val="nil"/>
              <w:right w:val="nil"/>
            </w:tcBorders>
            <w:shd w:val="clear" w:color="auto" w:fill="auto"/>
            <w:noWrap/>
            <w:vAlign w:val="bottom"/>
            <w:hideMark/>
          </w:tcPr>
          <w:p w14:paraId="6D054F5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3.270***</w:t>
            </w:r>
          </w:p>
        </w:tc>
      </w:tr>
      <w:tr w:rsidR="0072644D" w:rsidRPr="00357722" w14:paraId="3152D922" w14:textId="77777777" w:rsidTr="00344471">
        <w:trPr>
          <w:trHeight w:val="227"/>
        </w:trPr>
        <w:tc>
          <w:tcPr>
            <w:tcW w:w="1278" w:type="pct"/>
            <w:tcBorders>
              <w:top w:val="nil"/>
              <w:left w:val="nil"/>
              <w:bottom w:val="nil"/>
              <w:right w:val="nil"/>
            </w:tcBorders>
            <w:shd w:val="clear" w:color="auto" w:fill="auto"/>
            <w:noWrap/>
            <w:vAlign w:val="bottom"/>
            <w:hideMark/>
          </w:tcPr>
          <w:p w14:paraId="4C90DC98"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p>
        </w:tc>
        <w:tc>
          <w:tcPr>
            <w:tcW w:w="973" w:type="pct"/>
            <w:tcBorders>
              <w:top w:val="nil"/>
              <w:left w:val="nil"/>
              <w:bottom w:val="nil"/>
              <w:right w:val="nil"/>
            </w:tcBorders>
            <w:shd w:val="clear" w:color="auto" w:fill="auto"/>
            <w:noWrap/>
            <w:vAlign w:val="bottom"/>
            <w:hideMark/>
          </w:tcPr>
          <w:p w14:paraId="6C6B82D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(3.86)</w:t>
            </w:r>
          </w:p>
        </w:tc>
        <w:tc>
          <w:tcPr>
            <w:tcW w:w="2026" w:type="pct"/>
            <w:tcBorders>
              <w:top w:val="nil"/>
              <w:left w:val="nil"/>
              <w:bottom w:val="nil"/>
              <w:right w:val="nil"/>
            </w:tcBorders>
            <w:shd w:val="clear" w:color="auto" w:fill="auto"/>
            <w:noWrap/>
            <w:vAlign w:val="bottom"/>
            <w:hideMark/>
          </w:tcPr>
          <w:p w14:paraId="73885BB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(13.26)</w:t>
            </w:r>
          </w:p>
        </w:tc>
        <w:tc>
          <w:tcPr>
            <w:tcW w:w="723" w:type="pct"/>
            <w:tcBorders>
              <w:top w:val="nil"/>
              <w:left w:val="nil"/>
              <w:bottom w:val="nil"/>
              <w:right w:val="nil"/>
            </w:tcBorders>
            <w:shd w:val="clear" w:color="auto" w:fill="auto"/>
            <w:noWrap/>
            <w:vAlign w:val="bottom"/>
            <w:hideMark/>
          </w:tcPr>
          <w:p w14:paraId="51331FAC"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(12.42)</w:t>
            </w:r>
          </w:p>
        </w:tc>
      </w:tr>
      <w:tr w:rsidR="0072644D" w:rsidRPr="00357722" w14:paraId="051FD193" w14:textId="77777777" w:rsidTr="00344471">
        <w:trPr>
          <w:trHeight w:val="255"/>
        </w:trPr>
        <w:tc>
          <w:tcPr>
            <w:tcW w:w="1278" w:type="pct"/>
            <w:tcBorders>
              <w:top w:val="single" w:sz="4" w:space="0" w:color="auto"/>
              <w:left w:val="nil"/>
              <w:bottom w:val="nil"/>
              <w:right w:val="nil"/>
            </w:tcBorders>
            <w:shd w:val="clear" w:color="auto" w:fill="auto"/>
            <w:noWrap/>
            <w:vAlign w:val="bottom"/>
            <w:hideMark/>
          </w:tcPr>
          <w:p w14:paraId="5260CA69"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No of Observations</w:t>
            </w:r>
          </w:p>
        </w:tc>
        <w:tc>
          <w:tcPr>
            <w:tcW w:w="973" w:type="pct"/>
            <w:tcBorders>
              <w:top w:val="single" w:sz="4" w:space="0" w:color="auto"/>
              <w:left w:val="nil"/>
              <w:bottom w:val="nil"/>
              <w:right w:val="nil"/>
            </w:tcBorders>
            <w:shd w:val="clear" w:color="auto" w:fill="auto"/>
            <w:noWrap/>
            <w:vAlign w:val="bottom"/>
            <w:hideMark/>
          </w:tcPr>
          <w:p w14:paraId="66420EE9"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562</w:t>
            </w:r>
          </w:p>
        </w:tc>
        <w:tc>
          <w:tcPr>
            <w:tcW w:w="2026" w:type="pct"/>
            <w:tcBorders>
              <w:top w:val="single" w:sz="4" w:space="0" w:color="auto"/>
              <w:left w:val="nil"/>
              <w:bottom w:val="nil"/>
              <w:right w:val="nil"/>
            </w:tcBorders>
            <w:shd w:val="clear" w:color="auto" w:fill="auto"/>
            <w:noWrap/>
            <w:vAlign w:val="bottom"/>
            <w:hideMark/>
          </w:tcPr>
          <w:p w14:paraId="0F42E8A6"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584</w:t>
            </w:r>
          </w:p>
        </w:tc>
        <w:tc>
          <w:tcPr>
            <w:tcW w:w="723" w:type="pct"/>
            <w:tcBorders>
              <w:top w:val="single" w:sz="4" w:space="0" w:color="auto"/>
              <w:left w:val="nil"/>
              <w:bottom w:val="nil"/>
              <w:right w:val="nil"/>
            </w:tcBorders>
            <w:shd w:val="clear" w:color="auto" w:fill="auto"/>
            <w:noWrap/>
            <w:vAlign w:val="bottom"/>
            <w:hideMark/>
          </w:tcPr>
          <w:p w14:paraId="14E3E047"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584</w:t>
            </w:r>
          </w:p>
        </w:tc>
      </w:tr>
      <w:tr w:rsidR="0072644D" w:rsidRPr="00357722" w14:paraId="406B080B" w14:textId="77777777" w:rsidTr="00344471">
        <w:trPr>
          <w:trHeight w:val="255"/>
        </w:trPr>
        <w:tc>
          <w:tcPr>
            <w:tcW w:w="1278" w:type="pct"/>
            <w:tcBorders>
              <w:top w:val="nil"/>
              <w:left w:val="nil"/>
              <w:bottom w:val="nil"/>
              <w:right w:val="nil"/>
            </w:tcBorders>
            <w:shd w:val="clear" w:color="auto" w:fill="auto"/>
            <w:noWrap/>
            <w:vAlign w:val="bottom"/>
            <w:hideMark/>
          </w:tcPr>
          <w:p w14:paraId="30B79659" w14:textId="77777777" w:rsidR="0072644D" w:rsidRPr="00357722" w:rsidRDefault="0072644D" w:rsidP="00543F90">
            <w:pPr>
              <w:spacing w:after="0" w:line="360" w:lineRule="auto"/>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F-Statistics</w:t>
            </w:r>
          </w:p>
        </w:tc>
        <w:tc>
          <w:tcPr>
            <w:tcW w:w="973" w:type="pct"/>
            <w:tcBorders>
              <w:top w:val="nil"/>
              <w:left w:val="nil"/>
              <w:bottom w:val="nil"/>
              <w:right w:val="nil"/>
            </w:tcBorders>
            <w:shd w:val="clear" w:color="auto" w:fill="auto"/>
            <w:noWrap/>
            <w:vAlign w:val="bottom"/>
            <w:hideMark/>
          </w:tcPr>
          <w:p w14:paraId="0E0F92A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117</w:t>
            </w:r>
          </w:p>
        </w:tc>
        <w:tc>
          <w:tcPr>
            <w:tcW w:w="2026" w:type="pct"/>
            <w:tcBorders>
              <w:top w:val="nil"/>
              <w:left w:val="nil"/>
              <w:bottom w:val="nil"/>
              <w:right w:val="nil"/>
            </w:tcBorders>
            <w:shd w:val="clear" w:color="auto" w:fill="auto"/>
            <w:noWrap/>
            <w:vAlign w:val="bottom"/>
            <w:hideMark/>
          </w:tcPr>
          <w:p w14:paraId="067AAF1F"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448</w:t>
            </w:r>
          </w:p>
        </w:tc>
        <w:tc>
          <w:tcPr>
            <w:tcW w:w="723" w:type="pct"/>
            <w:tcBorders>
              <w:top w:val="nil"/>
              <w:left w:val="nil"/>
              <w:bottom w:val="nil"/>
              <w:right w:val="nil"/>
            </w:tcBorders>
            <w:shd w:val="clear" w:color="auto" w:fill="auto"/>
            <w:noWrap/>
            <w:vAlign w:val="bottom"/>
            <w:hideMark/>
          </w:tcPr>
          <w:p w14:paraId="2B9CFB8D"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598</w:t>
            </w:r>
          </w:p>
        </w:tc>
      </w:tr>
      <w:tr w:rsidR="0072644D" w:rsidRPr="00357722" w14:paraId="74FAFE4A" w14:textId="77777777" w:rsidTr="00344471">
        <w:trPr>
          <w:trHeight w:val="255"/>
        </w:trPr>
        <w:tc>
          <w:tcPr>
            <w:tcW w:w="1278" w:type="pct"/>
            <w:tcBorders>
              <w:top w:val="nil"/>
              <w:left w:val="nil"/>
              <w:bottom w:val="nil"/>
              <w:right w:val="nil"/>
            </w:tcBorders>
            <w:shd w:val="clear" w:color="auto" w:fill="auto"/>
            <w:noWrap/>
            <w:vAlign w:val="bottom"/>
            <w:hideMark/>
          </w:tcPr>
          <w:p w14:paraId="65207432" w14:textId="10FF60B2" w:rsidR="0072644D" w:rsidRPr="00357722" w:rsidRDefault="00B31D4D" w:rsidP="00543F90">
            <w:pP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Country fixed </w:t>
            </w:r>
            <w:r w:rsidR="0072644D" w:rsidRPr="00357722">
              <w:rPr>
                <w:rFonts w:ascii="Times New Roman" w:eastAsia="Times New Roman" w:hAnsi="Times New Roman" w:cs="Times New Roman"/>
                <w:color w:val="000000"/>
                <w:sz w:val="16"/>
                <w:szCs w:val="16"/>
              </w:rPr>
              <w:t>effects</w:t>
            </w:r>
          </w:p>
        </w:tc>
        <w:tc>
          <w:tcPr>
            <w:tcW w:w="973" w:type="pct"/>
            <w:tcBorders>
              <w:top w:val="nil"/>
              <w:left w:val="nil"/>
              <w:bottom w:val="nil"/>
              <w:right w:val="nil"/>
            </w:tcBorders>
            <w:shd w:val="clear" w:color="auto" w:fill="auto"/>
            <w:noWrap/>
            <w:vAlign w:val="bottom"/>
            <w:hideMark/>
          </w:tcPr>
          <w:p w14:paraId="29169914"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Yes</w:t>
            </w:r>
          </w:p>
        </w:tc>
        <w:tc>
          <w:tcPr>
            <w:tcW w:w="2026" w:type="pct"/>
            <w:tcBorders>
              <w:top w:val="nil"/>
              <w:left w:val="nil"/>
              <w:bottom w:val="nil"/>
              <w:right w:val="nil"/>
            </w:tcBorders>
            <w:shd w:val="clear" w:color="auto" w:fill="auto"/>
            <w:noWrap/>
            <w:vAlign w:val="bottom"/>
            <w:hideMark/>
          </w:tcPr>
          <w:p w14:paraId="62FB51DB"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Yes</w:t>
            </w:r>
          </w:p>
        </w:tc>
        <w:tc>
          <w:tcPr>
            <w:tcW w:w="723" w:type="pct"/>
            <w:tcBorders>
              <w:top w:val="nil"/>
              <w:left w:val="nil"/>
              <w:bottom w:val="nil"/>
              <w:right w:val="nil"/>
            </w:tcBorders>
            <w:shd w:val="clear" w:color="auto" w:fill="auto"/>
            <w:noWrap/>
            <w:vAlign w:val="bottom"/>
            <w:hideMark/>
          </w:tcPr>
          <w:p w14:paraId="5E80243C"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Yes</w:t>
            </w:r>
          </w:p>
        </w:tc>
      </w:tr>
      <w:tr w:rsidR="0072644D" w:rsidRPr="00357722" w14:paraId="694132D0" w14:textId="77777777" w:rsidTr="00344471">
        <w:trPr>
          <w:trHeight w:val="255"/>
        </w:trPr>
        <w:tc>
          <w:tcPr>
            <w:tcW w:w="1278" w:type="pct"/>
            <w:tcBorders>
              <w:top w:val="nil"/>
              <w:left w:val="nil"/>
              <w:bottom w:val="single" w:sz="4" w:space="0" w:color="auto"/>
              <w:right w:val="nil"/>
            </w:tcBorders>
            <w:shd w:val="clear" w:color="auto" w:fill="auto"/>
            <w:noWrap/>
            <w:vAlign w:val="bottom"/>
            <w:hideMark/>
          </w:tcPr>
          <w:p w14:paraId="5BFA5DAF" w14:textId="639F30FC" w:rsidR="0072644D" w:rsidRPr="00357722" w:rsidRDefault="00B31D4D" w:rsidP="00543F90">
            <w:pP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Year fixed </w:t>
            </w:r>
            <w:r w:rsidR="0072644D" w:rsidRPr="00357722">
              <w:rPr>
                <w:rFonts w:ascii="Times New Roman" w:eastAsia="Times New Roman" w:hAnsi="Times New Roman" w:cs="Times New Roman"/>
                <w:color w:val="000000"/>
                <w:sz w:val="16"/>
                <w:szCs w:val="16"/>
              </w:rPr>
              <w:t>effects</w:t>
            </w:r>
          </w:p>
        </w:tc>
        <w:tc>
          <w:tcPr>
            <w:tcW w:w="973" w:type="pct"/>
            <w:tcBorders>
              <w:top w:val="nil"/>
              <w:left w:val="nil"/>
              <w:bottom w:val="single" w:sz="4" w:space="0" w:color="auto"/>
              <w:right w:val="nil"/>
            </w:tcBorders>
            <w:shd w:val="clear" w:color="auto" w:fill="auto"/>
            <w:noWrap/>
            <w:vAlign w:val="bottom"/>
            <w:hideMark/>
          </w:tcPr>
          <w:p w14:paraId="2EE8E5B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Yes</w:t>
            </w:r>
          </w:p>
        </w:tc>
        <w:tc>
          <w:tcPr>
            <w:tcW w:w="2026" w:type="pct"/>
            <w:tcBorders>
              <w:top w:val="nil"/>
              <w:left w:val="nil"/>
              <w:bottom w:val="single" w:sz="4" w:space="0" w:color="auto"/>
              <w:right w:val="nil"/>
            </w:tcBorders>
            <w:shd w:val="clear" w:color="auto" w:fill="auto"/>
            <w:noWrap/>
            <w:vAlign w:val="bottom"/>
            <w:hideMark/>
          </w:tcPr>
          <w:p w14:paraId="37C11025"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Yes</w:t>
            </w:r>
          </w:p>
        </w:tc>
        <w:tc>
          <w:tcPr>
            <w:tcW w:w="723" w:type="pct"/>
            <w:tcBorders>
              <w:top w:val="nil"/>
              <w:left w:val="nil"/>
              <w:bottom w:val="single" w:sz="4" w:space="0" w:color="auto"/>
              <w:right w:val="nil"/>
            </w:tcBorders>
            <w:shd w:val="clear" w:color="auto" w:fill="auto"/>
            <w:noWrap/>
            <w:vAlign w:val="bottom"/>
            <w:hideMark/>
          </w:tcPr>
          <w:p w14:paraId="0495288C" w14:textId="77777777" w:rsidR="0072644D" w:rsidRPr="00357722" w:rsidRDefault="0072644D" w:rsidP="00543F90">
            <w:pPr>
              <w:spacing w:after="0" w:line="360" w:lineRule="auto"/>
              <w:jc w:val="center"/>
              <w:rPr>
                <w:rFonts w:ascii="Times New Roman" w:eastAsia="Times New Roman" w:hAnsi="Times New Roman" w:cs="Times New Roman"/>
                <w:color w:val="000000"/>
                <w:sz w:val="16"/>
                <w:szCs w:val="16"/>
              </w:rPr>
            </w:pPr>
            <w:r w:rsidRPr="00357722">
              <w:rPr>
                <w:rFonts w:ascii="Times New Roman" w:eastAsia="Times New Roman" w:hAnsi="Times New Roman" w:cs="Times New Roman"/>
                <w:color w:val="000000"/>
                <w:sz w:val="16"/>
                <w:szCs w:val="16"/>
              </w:rPr>
              <w:t>Yes</w:t>
            </w:r>
          </w:p>
        </w:tc>
      </w:tr>
    </w:tbl>
    <w:p w14:paraId="08786121" w14:textId="4ECAC2A5" w:rsidR="00344471" w:rsidRDefault="00344471" w:rsidP="00344471">
      <w:pPr>
        <w:suppressAutoHyphens/>
        <w:spacing w:after="0"/>
        <w:jc w:val="both"/>
        <w:rPr>
          <w:rFonts w:ascii="Times New Roman" w:eastAsia="Calibri" w:hAnsi="Times New Roman" w:cs="Times New Roman"/>
          <w:sz w:val="18"/>
          <w:szCs w:val="18"/>
          <w:lang w:eastAsia="en-US"/>
        </w:rPr>
      </w:pPr>
      <w:r w:rsidRPr="00357722">
        <w:rPr>
          <w:rFonts w:ascii="Times New Roman" w:eastAsia="Calibri" w:hAnsi="Times New Roman" w:cs="Times New Roman"/>
          <w:sz w:val="18"/>
          <w:szCs w:val="18"/>
          <w:lang w:eastAsia="en-US"/>
        </w:rPr>
        <w:t xml:space="preserve">Notes: All variables are as defined in Appendix A1. </w:t>
      </w:r>
      <w:r w:rsidRPr="00357722">
        <w:rPr>
          <w:rFonts w:ascii="Times New Roman" w:eastAsia="DFKai-SB" w:hAnsi="Times New Roman" w:cs="Times New Roman"/>
          <w:sz w:val="20"/>
          <w:szCs w:val="20"/>
          <w:lang w:eastAsia="en-US"/>
        </w:rPr>
        <w:t xml:space="preserve">The </w:t>
      </w:r>
      <w:r w:rsidRPr="00357722">
        <w:rPr>
          <w:rFonts w:ascii="Times New Roman" w:eastAsia="DFKai-SB" w:hAnsi="Times New Roman" w:cs="Times New Roman"/>
          <w:i/>
          <w:sz w:val="20"/>
          <w:szCs w:val="20"/>
          <w:lang w:eastAsia="en-US"/>
        </w:rPr>
        <w:t>t</w:t>
      </w:r>
      <w:r w:rsidRPr="00357722">
        <w:rPr>
          <w:rFonts w:ascii="Times New Roman" w:eastAsia="DFKai-SB" w:hAnsi="Times New Roman" w:cs="Times New Roman"/>
          <w:sz w:val="20"/>
          <w:szCs w:val="20"/>
          <w:lang w:eastAsia="en-US"/>
        </w:rPr>
        <w:t>-statistics are robust to</w:t>
      </w:r>
      <w:r w:rsidRPr="00357722">
        <w:rPr>
          <w:rFonts w:ascii="Times New Roman" w:eastAsia="DFKai-SB" w:hAnsi="Times New Roman" w:cs="Times New Roman"/>
          <w:sz w:val="18"/>
          <w:szCs w:val="18"/>
          <w:lang w:eastAsia="en-US"/>
        </w:rPr>
        <w:t xml:space="preserve"> heteroscedasticity reported in parentheses, are based on double clustered standard errors (clustering done at the country and year levels). </w:t>
      </w:r>
      <w:r w:rsidRPr="00357722">
        <w:rPr>
          <w:rFonts w:ascii="Times New Roman" w:eastAsia="Calibri" w:hAnsi="Times New Roman" w:cs="Times New Roman"/>
          <w:sz w:val="18"/>
          <w:szCs w:val="18"/>
          <w:lang w:eastAsia="en-US"/>
        </w:rPr>
        <w:t>For tractable interpretation, all the coefficients are reported as elasticity</w:t>
      </w:r>
      <w:r w:rsidR="00EB60C4">
        <w:rPr>
          <w:rFonts w:ascii="Times New Roman" w:eastAsia="Calibri" w:hAnsi="Times New Roman" w:cs="Times New Roman"/>
          <w:sz w:val="18"/>
          <w:szCs w:val="18"/>
          <w:lang w:eastAsia="en-US"/>
        </w:rPr>
        <w:t>,</w:t>
      </w:r>
      <w:r w:rsidRPr="00357722">
        <w:rPr>
          <w:rFonts w:ascii="Times New Roman" w:eastAsia="Calibri" w:hAnsi="Times New Roman" w:cs="Times New Roman"/>
          <w:sz w:val="18"/>
          <w:szCs w:val="18"/>
          <w:lang w:eastAsia="en-US"/>
        </w:rPr>
        <w:t xml:space="preserve"> and the statistical significance is reported against 10% (*), 5% (**)</w:t>
      </w:r>
      <w:r w:rsidR="00EB60C4">
        <w:rPr>
          <w:rFonts w:ascii="Times New Roman" w:eastAsia="Calibri" w:hAnsi="Times New Roman" w:cs="Times New Roman"/>
          <w:sz w:val="18"/>
          <w:szCs w:val="18"/>
          <w:lang w:eastAsia="en-US"/>
        </w:rPr>
        <w:t>,</w:t>
      </w:r>
      <w:r w:rsidRPr="00357722">
        <w:rPr>
          <w:rFonts w:ascii="Times New Roman" w:eastAsia="Calibri" w:hAnsi="Times New Roman" w:cs="Times New Roman"/>
          <w:sz w:val="18"/>
          <w:szCs w:val="18"/>
          <w:lang w:eastAsia="en-US"/>
        </w:rPr>
        <w:t xml:space="preserve"> and 1% (***) significance levels respectively.</w:t>
      </w:r>
    </w:p>
    <w:p w14:paraId="68896313" w14:textId="77777777" w:rsidR="00352E47" w:rsidRDefault="00352E47" w:rsidP="00344471">
      <w:pPr>
        <w:suppressAutoHyphens/>
        <w:spacing w:after="0"/>
        <w:jc w:val="both"/>
        <w:rPr>
          <w:rFonts w:ascii="Times New Roman" w:eastAsia="Calibri" w:hAnsi="Times New Roman" w:cs="Times New Roman"/>
          <w:sz w:val="18"/>
          <w:szCs w:val="18"/>
          <w:lang w:eastAsia="en-US"/>
        </w:rPr>
      </w:pPr>
    </w:p>
    <w:p w14:paraId="79AAB534" w14:textId="77777777" w:rsidR="00352E47" w:rsidRPr="00FD1839" w:rsidRDefault="00352E47" w:rsidP="00344471">
      <w:pPr>
        <w:suppressAutoHyphens/>
        <w:spacing w:after="0"/>
        <w:jc w:val="both"/>
        <w:rPr>
          <w:rFonts w:ascii="Times New Roman" w:eastAsia="Calibri" w:hAnsi="Times New Roman" w:cs="Times New Roman"/>
          <w:sz w:val="18"/>
          <w:szCs w:val="18"/>
          <w:lang w:eastAsia="en-US"/>
        </w:rPr>
      </w:pPr>
    </w:p>
    <w:p w14:paraId="59DC03C4" w14:textId="77777777" w:rsidR="00352E47" w:rsidRDefault="00352E47" w:rsidP="0072644D">
      <w:pPr>
        <w:spacing w:line="480" w:lineRule="auto"/>
        <w:jc w:val="both"/>
        <w:rPr>
          <w:rFonts w:ascii="Times New Roman" w:eastAsia="SimSun" w:hAnsi="Times New Roman" w:cs="Times New Roman"/>
          <w:color w:val="000000" w:themeColor="text1"/>
          <w:sz w:val="24"/>
          <w:szCs w:val="24"/>
          <w:lang w:eastAsia="zh-CN"/>
        </w:rPr>
        <w:sectPr w:rsidR="00352E47" w:rsidSect="00C34896">
          <w:pgSz w:w="11906" w:h="16838"/>
          <w:pgMar w:top="1440" w:right="1440" w:bottom="1440" w:left="992" w:header="709" w:footer="709" w:gutter="0"/>
          <w:cols w:space="708"/>
          <w:docGrid w:linePitch="360"/>
        </w:sectPr>
      </w:pPr>
    </w:p>
    <w:p w14:paraId="24F67BE9" w14:textId="77777777" w:rsidR="00352E47" w:rsidRPr="00352E47" w:rsidRDefault="00352E47" w:rsidP="00352E47">
      <w:pPr>
        <w:spacing w:after="160" w:line="259" w:lineRule="auto"/>
        <w:rPr>
          <w:rFonts w:ascii="Times New Roman" w:eastAsia="Calibri" w:hAnsi="Times New Roman" w:cs="Times New Roman"/>
          <w:b/>
          <w:bCs/>
          <w:sz w:val="24"/>
          <w:szCs w:val="24"/>
          <w:lang w:eastAsia="en-US"/>
        </w:rPr>
      </w:pPr>
      <w:r w:rsidRPr="00B31D4D">
        <w:rPr>
          <w:rFonts w:ascii="Times New Roman" w:eastAsia="Calibri" w:hAnsi="Times New Roman" w:cs="Times New Roman"/>
          <w:b/>
          <w:bCs/>
          <w:sz w:val="24"/>
          <w:szCs w:val="24"/>
          <w:lang w:eastAsia="en-US"/>
        </w:rPr>
        <w:lastRenderedPageBreak/>
        <w:t>Table 11: The</w:t>
      </w:r>
      <w:r w:rsidRPr="00352E47">
        <w:rPr>
          <w:rFonts w:ascii="Times New Roman" w:eastAsia="Calibri" w:hAnsi="Times New Roman" w:cs="Times New Roman"/>
          <w:b/>
          <w:bCs/>
          <w:sz w:val="24"/>
          <w:szCs w:val="24"/>
          <w:lang w:eastAsia="en-US"/>
        </w:rPr>
        <w:t xml:space="preserve"> Marginal Effects Results of CBT, EF, and IBF</w:t>
      </w:r>
    </w:p>
    <w:tbl>
      <w:tblPr>
        <w:tblW w:w="4813" w:type="pct"/>
        <w:jc w:val="center"/>
        <w:tblLayout w:type="fixed"/>
        <w:tblLook w:val="04A0" w:firstRow="1" w:lastRow="0" w:firstColumn="1" w:lastColumn="0" w:noHBand="0" w:noVBand="1"/>
      </w:tblPr>
      <w:tblGrid>
        <w:gridCol w:w="4474"/>
        <w:gridCol w:w="1747"/>
        <w:gridCol w:w="1857"/>
        <w:gridCol w:w="1042"/>
      </w:tblGrid>
      <w:tr w:rsidR="00352E47" w:rsidRPr="00352E47" w14:paraId="6525AACD" w14:textId="77777777" w:rsidTr="005C2254">
        <w:trPr>
          <w:trHeight w:val="255"/>
          <w:jc w:val="center"/>
        </w:trPr>
        <w:tc>
          <w:tcPr>
            <w:tcW w:w="2453" w:type="pct"/>
            <w:tcBorders>
              <w:top w:val="single" w:sz="4" w:space="0" w:color="auto"/>
              <w:left w:val="nil"/>
              <w:right w:val="nil"/>
            </w:tcBorders>
            <w:noWrap/>
            <w:vAlign w:val="bottom"/>
            <w:hideMark/>
          </w:tcPr>
          <w:p w14:paraId="1EFC6267" w14:textId="77777777" w:rsidR="00352E47" w:rsidRPr="00352E47" w:rsidRDefault="00352E47" w:rsidP="00352E47">
            <w:pPr>
              <w:spacing w:after="0" w:line="360" w:lineRule="auto"/>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 </w:t>
            </w:r>
          </w:p>
        </w:tc>
        <w:tc>
          <w:tcPr>
            <w:tcW w:w="958" w:type="pct"/>
            <w:tcBorders>
              <w:top w:val="single" w:sz="4" w:space="0" w:color="auto"/>
              <w:left w:val="nil"/>
              <w:right w:val="nil"/>
            </w:tcBorders>
            <w:noWrap/>
            <w:vAlign w:val="center"/>
            <w:hideMark/>
          </w:tcPr>
          <w:p w14:paraId="5357CB34" w14:textId="77777777" w:rsidR="00352E47" w:rsidRPr="00352E47" w:rsidRDefault="00352E47" w:rsidP="00352E47">
            <w:pPr>
              <w:spacing w:after="0" w:line="360" w:lineRule="auto"/>
              <w:jc w:val="center"/>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Model (1)</w:t>
            </w:r>
          </w:p>
        </w:tc>
        <w:tc>
          <w:tcPr>
            <w:tcW w:w="1018" w:type="pct"/>
            <w:tcBorders>
              <w:top w:val="single" w:sz="4" w:space="0" w:color="auto"/>
              <w:left w:val="nil"/>
              <w:right w:val="nil"/>
            </w:tcBorders>
            <w:noWrap/>
            <w:vAlign w:val="center"/>
            <w:hideMark/>
          </w:tcPr>
          <w:p w14:paraId="6A1B7629" w14:textId="77777777" w:rsidR="00352E47" w:rsidRPr="00352E47" w:rsidRDefault="00352E47" w:rsidP="00352E47">
            <w:pPr>
              <w:spacing w:after="0" w:line="360" w:lineRule="auto"/>
              <w:jc w:val="center"/>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Model (2)</w:t>
            </w:r>
          </w:p>
        </w:tc>
        <w:tc>
          <w:tcPr>
            <w:tcW w:w="571" w:type="pct"/>
            <w:tcBorders>
              <w:top w:val="single" w:sz="4" w:space="0" w:color="auto"/>
              <w:left w:val="nil"/>
              <w:right w:val="nil"/>
            </w:tcBorders>
            <w:noWrap/>
            <w:vAlign w:val="center"/>
            <w:hideMark/>
          </w:tcPr>
          <w:p w14:paraId="3A90EECB" w14:textId="77777777" w:rsidR="00352E47" w:rsidRPr="00352E47" w:rsidRDefault="00352E47" w:rsidP="00352E47">
            <w:pPr>
              <w:spacing w:after="0" w:line="360" w:lineRule="auto"/>
              <w:jc w:val="center"/>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Model (3)</w:t>
            </w:r>
          </w:p>
        </w:tc>
      </w:tr>
      <w:tr w:rsidR="00352E47" w:rsidRPr="00352E47" w14:paraId="61CCB138" w14:textId="77777777" w:rsidTr="005C2254">
        <w:trPr>
          <w:trHeight w:val="255"/>
          <w:jc w:val="center"/>
        </w:trPr>
        <w:tc>
          <w:tcPr>
            <w:tcW w:w="2453" w:type="pct"/>
            <w:tcBorders>
              <w:top w:val="nil"/>
              <w:left w:val="nil"/>
              <w:bottom w:val="single" w:sz="4" w:space="0" w:color="auto"/>
              <w:right w:val="nil"/>
            </w:tcBorders>
            <w:noWrap/>
            <w:vAlign w:val="bottom"/>
            <w:hideMark/>
          </w:tcPr>
          <w:p w14:paraId="71165821" w14:textId="77777777" w:rsidR="00352E47" w:rsidRPr="00352E47" w:rsidRDefault="00352E47" w:rsidP="00352E47">
            <w:pPr>
              <w:spacing w:after="0" w:line="360" w:lineRule="auto"/>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Variable</w:t>
            </w:r>
          </w:p>
        </w:tc>
        <w:tc>
          <w:tcPr>
            <w:tcW w:w="958" w:type="pct"/>
            <w:tcBorders>
              <w:top w:val="nil"/>
              <w:left w:val="nil"/>
              <w:bottom w:val="single" w:sz="4" w:space="0" w:color="auto"/>
              <w:right w:val="nil"/>
            </w:tcBorders>
            <w:noWrap/>
            <w:vAlign w:val="center"/>
            <w:hideMark/>
          </w:tcPr>
          <w:p w14:paraId="013FEC25" w14:textId="77777777" w:rsidR="00352E47" w:rsidRPr="00352E47" w:rsidRDefault="00352E47" w:rsidP="00352E47">
            <w:pPr>
              <w:spacing w:after="0" w:line="360" w:lineRule="auto"/>
              <w:jc w:val="center"/>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MCGDP</w:t>
            </w:r>
          </w:p>
        </w:tc>
        <w:tc>
          <w:tcPr>
            <w:tcW w:w="1018" w:type="pct"/>
            <w:tcBorders>
              <w:top w:val="nil"/>
              <w:left w:val="nil"/>
              <w:bottom w:val="single" w:sz="4" w:space="0" w:color="auto"/>
              <w:right w:val="nil"/>
            </w:tcBorders>
            <w:noWrap/>
            <w:vAlign w:val="center"/>
            <w:hideMark/>
          </w:tcPr>
          <w:p w14:paraId="0C52E830" w14:textId="77777777" w:rsidR="00352E47" w:rsidRPr="00352E47" w:rsidRDefault="00352E47" w:rsidP="00352E47">
            <w:pPr>
              <w:spacing w:after="0" w:line="360" w:lineRule="auto"/>
              <w:jc w:val="center"/>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PSCGDP</w:t>
            </w:r>
          </w:p>
        </w:tc>
        <w:tc>
          <w:tcPr>
            <w:tcW w:w="571" w:type="pct"/>
            <w:tcBorders>
              <w:top w:val="nil"/>
              <w:left w:val="nil"/>
              <w:bottom w:val="single" w:sz="4" w:space="0" w:color="auto"/>
              <w:right w:val="nil"/>
            </w:tcBorders>
            <w:noWrap/>
            <w:vAlign w:val="center"/>
            <w:hideMark/>
          </w:tcPr>
          <w:p w14:paraId="63A23B60" w14:textId="77777777" w:rsidR="00352E47" w:rsidRPr="00352E47" w:rsidRDefault="00352E47" w:rsidP="00352E47">
            <w:pPr>
              <w:spacing w:after="0" w:line="360" w:lineRule="auto"/>
              <w:jc w:val="center"/>
              <w:rPr>
                <w:rFonts w:ascii="Times New Roman" w:eastAsia="Times New Roman" w:hAnsi="Times New Roman" w:cs="Times New Roman"/>
                <w:b/>
                <w:bCs/>
                <w:color w:val="000000"/>
                <w:sz w:val="18"/>
                <w:szCs w:val="18"/>
                <w:lang w:eastAsia="en-US"/>
              </w:rPr>
            </w:pPr>
            <w:r w:rsidRPr="00352E47">
              <w:rPr>
                <w:rFonts w:ascii="Times New Roman" w:eastAsia="Times New Roman" w:hAnsi="Times New Roman" w:cs="Times New Roman"/>
                <w:b/>
                <w:bCs/>
                <w:color w:val="000000"/>
                <w:sz w:val="18"/>
                <w:szCs w:val="18"/>
                <w:lang w:eastAsia="en-US"/>
              </w:rPr>
              <w:t>DCPGDP</w:t>
            </w:r>
          </w:p>
        </w:tc>
      </w:tr>
      <w:tr w:rsidR="00352E47" w:rsidRPr="00352E47" w14:paraId="140F5176" w14:textId="77777777" w:rsidTr="005C2254">
        <w:trPr>
          <w:trHeight w:val="20"/>
          <w:jc w:val="center"/>
        </w:trPr>
        <w:tc>
          <w:tcPr>
            <w:tcW w:w="5000" w:type="pct"/>
            <w:gridSpan w:val="4"/>
            <w:tcBorders>
              <w:top w:val="single" w:sz="4" w:space="0" w:color="auto"/>
              <w:left w:val="nil"/>
              <w:right w:val="nil"/>
            </w:tcBorders>
            <w:noWrap/>
            <w:vAlign w:val="center"/>
          </w:tcPr>
          <w:p w14:paraId="04B7A3B0" w14:textId="77777777" w:rsidR="00352E47" w:rsidRPr="00352E47" w:rsidRDefault="00352E47" w:rsidP="00352E47">
            <w:pPr>
              <w:spacing w:after="0" w:line="360" w:lineRule="auto"/>
              <w:rPr>
                <w:rFonts w:ascii="Times New Roman" w:eastAsia="Times New Roman" w:hAnsi="Times New Roman" w:cs="Times New Roman"/>
                <w:b/>
                <w:bCs/>
                <w:color w:val="000000"/>
                <w:sz w:val="18"/>
                <w:szCs w:val="18"/>
                <w:u w:val="single"/>
                <w:lang w:eastAsia="en-US"/>
              </w:rPr>
            </w:pPr>
            <w:r w:rsidRPr="00352E47">
              <w:rPr>
                <w:rFonts w:ascii="Times New Roman" w:eastAsia="Times New Roman" w:hAnsi="Times New Roman" w:cs="Times New Roman"/>
                <w:b/>
                <w:bCs/>
                <w:color w:val="000000"/>
                <w:sz w:val="18"/>
                <w:szCs w:val="18"/>
                <w:u w:val="single"/>
                <w:lang w:eastAsia="en-US"/>
              </w:rPr>
              <w:t>(</w:t>
            </w:r>
            <w:proofErr w:type="spellStart"/>
            <w:r w:rsidRPr="00352E47">
              <w:rPr>
                <w:rFonts w:ascii="Times New Roman" w:eastAsia="Times New Roman" w:hAnsi="Times New Roman" w:cs="Times New Roman"/>
                <w:b/>
                <w:bCs/>
                <w:color w:val="000000"/>
                <w:sz w:val="18"/>
                <w:szCs w:val="18"/>
                <w:u w:val="single"/>
                <w:lang w:eastAsia="en-US"/>
              </w:rPr>
              <w:t>i</w:t>
            </w:r>
            <w:proofErr w:type="spellEnd"/>
            <w:r w:rsidRPr="00352E47">
              <w:rPr>
                <w:rFonts w:ascii="Times New Roman" w:eastAsia="Times New Roman" w:hAnsi="Times New Roman" w:cs="Times New Roman"/>
                <w:b/>
                <w:bCs/>
                <w:color w:val="000000"/>
                <w:sz w:val="18"/>
                <w:szCs w:val="18"/>
                <w:u w:val="single"/>
                <w:lang w:eastAsia="en-US"/>
              </w:rPr>
              <w:t>) Marginal Effects of  CBT on FD</w:t>
            </w:r>
          </w:p>
        </w:tc>
      </w:tr>
      <w:tr w:rsidR="00352E47" w:rsidRPr="00352E47" w14:paraId="3DC80216" w14:textId="77777777" w:rsidTr="005C2254">
        <w:trPr>
          <w:trHeight w:val="20"/>
          <w:jc w:val="center"/>
        </w:trPr>
        <w:tc>
          <w:tcPr>
            <w:tcW w:w="2453" w:type="pct"/>
            <w:noWrap/>
            <w:vAlign w:val="bottom"/>
          </w:tcPr>
          <w:p w14:paraId="2AB4CA06" w14:textId="77777777" w:rsidR="00352E47" w:rsidRPr="00352E47" w:rsidRDefault="00352E47" w:rsidP="00352E47">
            <w:pPr>
              <w:spacing w:after="0" w:line="360"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CBT = 1 (For data ranges 1 – 4)</w:t>
            </w:r>
          </w:p>
        </w:tc>
        <w:tc>
          <w:tcPr>
            <w:tcW w:w="958" w:type="pct"/>
            <w:noWrap/>
            <w:hideMark/>
          </w:tcPr>
          <w:p w14:paraId="74B71DD2"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0.067***</w:t>
            </w:r>
          </w:p>
        </w:tc>
        <w:tc>
          <w:tcPr>
            <w:tcW w:w="1018" w:type="pct"/>
            <w:noWrap/>
            <w:hideMark/>
          </w:tcPr>
          <w:p w14:paraId="2FFFF2B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0.055***</w:t>
            </w:r>
          </w:p>
        </w:tc>
        <w:tc>
          <w:tcPr>
            <w:tcW w:w="571" w:type="pct"/>
            <w:noWrap/>
            <w:hideMark/>
          </w:tcPr>
          <w:p w14:paraId="090FCA13"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0.056***</w:t>
            </w:r>
          </w:p>
        </w:tc>
      </w:tr>
      <w:tr w:rsidR="00352E47" w:rsidRPr="00352E47" w14:paraId="6A827D11" w14:textId="77777777" w:rsidTr="005C2254">
        <w:trPr>
          <w:trHeight w:val="20"/>
          <w:jc w:val="center"/>
        </w:trPr>
        <w:tc>
          <w:tcPr>
            <w:tcW w:w="2453" w:type="pct"/>
            <w:noWrap/>
            <w:vAlign w:val="bottom"/>
          </w:tcPr>
          <w:p w14:paraId="3D04CEE6"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hideMark/>
          </w:tcPr>
          <w:p w14:paraId="7C821D46"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(5.80)</w:t>
            </w:r>
          </w:p>
        </w:tc>
        <w:tc>
          <w:tcPr>
            <w:tcW w:w="1018" w:type="pct"/>
            <w:noWrap/>
            <w:hideMark/>
          </w:tcPr>
          <w:p w14:paraId="26AA10D3"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(7.06)</w:t>
            </w:r>
          </w:p>
        </w:tc>
        <w:tc>
          <w:tcPr>
            <w:tcW w:w="571" w:type="pct"/>
            <w:noWrap/>
            <w:hideMark/>
          </w:tcPr>
          <w:p w14:paraId="65543502"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(7.02)</w:t>
            </w:r>
          </w:p>
        </w:tc>
      </w:tr>
      <w:tr w:rsidR="00352E47" w:rsidRPr="00352E47" w14:paraId="1C5A3444" w14:textId="77777777" w:rsidTr="005C2254">
        <w:trPr>
          <w:trHeight w:val="20"/>
          <w:jc w:val="center"/>
        </w:trPr>
        <w:tc>
          <w:tcPr>
            <w:tcW w:w="2453" w:type="pct"/>
            <w:noWrap/>
            <w:vAlign w:val="bottom"/>
          </w:tcPr>
          <w:p w14:paraId="2B04F23C" w14:textId="77777777" w:rsidR="00352E47" w:rsidRPr="00352E47" w:rsidRDefault="00352E47" w:rsidP="00352E47">
            <w:pPr>
              <w:spacing w:after="0" w:line="360"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CBT = 2 (For data ranges 4.5 – 7.5)</w:t>
            </w:r>
          </w:p>
        </w:tc>
        <w:tc>
          <w:tcPr>
            <w:tcW w:w="958" w:type="pct"/>
            <w:noWrap/>
            <w:hideMark/>
          </w:tcPr>
          <w:p w14:paraId="77CDA157"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0.107***</w:t>
            </w:r>
          </w:p>
        </w:tc>
        <w:tc>
          <w:tcPr>
            <w:tcW w:w="1018" w:type="pct"/>
            <w:noWrap/>
            <w:hideMark/>
          </w:tcPr>
          <w:p w14:paraId="26B373A1"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0.085***</w:t>
            </w:r>
          </w:p>
        </w:tc>
        <w:tc>
          <w:tcPr>
            <w:tcW w:w="571" w:type="pct"/>
            <w:noWrap/>
            <w:hideMark/>
          </w:tcPr>
          <w:p w14:paraId="4D67A60E"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0.088***</w:t>
            </w:r>
          </w:p>
        </w:tc>
      </w:tr>
      <w:tr w:rsidR="00352E47" w:rsidRPr="00352E47" w14:paraId="672ED118" w14:textId="77777777" w:rsidTr="005C2254">
        <w:trPr>
          <w:trHeight w:val="20"/>
          <w:jc w:val="center"/>
        </w:trPr>
        <w:tc>
          <w:tcPr>
            <w:tcW w:w="2453" w:type="pct"/>
            <w:noWrap/>
            <w:vAlign w:val="bottom"/>
          </w:tcPr>
          <w:p w14:paraId="4B93CBA0"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hideMark/>
          </w:tcPr>
          <w:p w14:paraId="7FF7986E"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(23.10)</w:t>
            </w:r>
          </w:p>
        </w:tc>
        <w:tc>
          <w:tcPr>
            <w:tcW w:w="1018" w:type="pct"/>
            <w:noWrap/>
            <w:hideMark/>
          </w:tcPr>
          <w:p w14:paraId="589FB5F6"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(27.47)</w:t>
            </w:r>
          </w:p>
        </w:tc>
        <w:tc>
          <w:tcPr>
            <w:tcW w:w="571" w:type="pct"/>
            <w:noWrap/>
            <w:hideMark/>
          </w:tcPr>
          <w:p w14:paraId="02147DE8"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(27.85)</w:t>
            </w:r>
          </w:p>
        </w:tc>
      </w:tr>
      <w:tr w:rsidR="00352E47" w:rsidRPr="00352E47" w14:paraId="2FB40F69" w14:textId="77777777" w:rsidTr="005C2254">
        <w:trPr>
          <w:trHeight w:val="20"/>
          <w:jc w:val="center"/>
        </w:trPr>
        <w:tc>
          <w:tcPr>
            <w:tcW w:w="2453" w:type="pct"/>
            <w:noWrap/>
            <w:vAlign w:val="bottom"/>
          </w:tcPr>
          <w:p w14:paraId="0A187F2F" w14:textId="77777777" w:rsidR="00352E47" w:rsidRPr="00352E47" w:rsidRDefault="00352E47" w:rsidP="00352E47">
            <w:pPr>
              <w:spacing w:after="0" w:line="360"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CBT = 3 (For data ranges 8 – 11)</w:t>
            </w:r>
          </w:p>
        </w:tc>
        <w:tc>
          <w:tcPr>
            <w:tcW w:w="958" w:type="pct"/>
            <w:noWrap/>
            <w:hideMark/>
          </w:tcPr>
          <w:p w14:paraId="68D3E30C"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0.065***</w:t>
            </w:r>
          </w:p>
        </w:tc>
        <w:tc>
          <w:tcPr>
            <w:tcW w:w="1018" w:type="pct"/>
            <w:noWrap/>
            <w:hideMark/>
          </w:tcPr>
          <w:p w14:paraId="23BA2D4F"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0.087***</w:t>
            </w:r>
          </w:p>
        </w:tc>
        <w:tc>
          <w:tcPr>
            <w:tcW w:w="571" w:type="pct"/>
            <w:noWrap/>
            <w:hideMark/>
          </w:tcPr>
          <w:p w14:paraId="38690365"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0.091***</w:t>
            </w:r>
          </w:p>
        </w:tc>
      </w:tr>
      <w:tr w:rsidR="00352E47" w:rsidRPr="00352E47" w14:paraId="05E18A0F" w14:textId="77777777" w:rsidTr="005C2254">
        <w:trPr>
          <w:trHeight w:val="20"/>
          <w:jc w:val="center"/>
        </w:trPr>
        <w:tc>
          <w:tcPr>
            <w:tcW w:w="2453" w:type="pct"/>
            <w:noWrap/>
            <w:vAlign w:val="bottom"/>
          </w:tcPr>
          <w:p w14:paraId="29C00131"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hideMark/>
          </w:tcPr>
          <w:p w14:paraId="45FA8AA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(25.84)</w:t>
            </w:r>
          </w:p>
        </w:tc>
        <w:tc>
          <w:tcPr>
            <w:tcW w:w="1018" w:type="pct"/>
            <w:noWrap/>
            <w:hideMark/>
          </w:tcPr>
          <w:p w14:paraId="37A6A21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(46.51)</w:t>
            </w:r>
          </w:p>
        </w:tc>
        <w:tc>
          <w:tcPr>
            <w:tcW w:w="571" w:type="pct"/>
            <w:noWrap/>
            <w:hideMark/>
          </w:tcPr>
          <w:p w14:paraId="0EA5B370"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(47.32)</w:t>
            </w:r>
          </w:p>
        </w:tc>
      </w:tr>
      <w:tr w:rsidR="00352E47" w:rsidRPr="00352E47" w14:paraId="40C14648" w14:textId="77777777" w:rsidTr="005C2254">
        <w:trPr>
          <w:trHeight w:val="20"/>
          <w:jc w:val="center"/>
        </w:trPr>
        <w:tc>
          <w:tcPr>
            <w:tcW w:w="2453" w:type="pct"/>
            <w:noWrap/>
            <w:vAlign w:val="bottom"/>
          </w:tcPr>
          <w:p w14:paraId="387A2808" w14:textId="77777777" w:rsidR="00352E47" w:rsidRPr="00352E47" w:rsidRDefault="00352E47" w:rsidP="00352E47">
            <w:pPr>
              <w:spacing w:after="0" w:line="360"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CBT = 4 (For data ranges 11.5 – 14.5)</w:t>
            </w:r>
          </w:p>
        </w:tc>
        <w:tc>
          <w:tcPr>
            <w:tcW w:w="958" w:type="pct"/>
            <w:noWrap/>
            <w:hideMark/>
          </w:tcPr>
          <w:p w14:paraId="415E98C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0.038***</w:t>
            </w:r>
          </w:p>
        </w:tc>
        <w:tc>
          <w:tcPr>
            <w:tcW w:w="1018" w:type="pct"/>
            <w:noWrap/>
            <w:hideMark/>
          </w:tcPr>
          <w:p w14:paraId="65186E13"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0.081***</w:t>
            </w:r>
          </w:p>
        </w:tc>
        <w:tc>
          <w:tcPr>
            <w:tcW w:w="571" w:type="pct"/>
            <w:noWrap/>
            <w:hideMark/>
          </w:tcPr>
          <w:p w14:paraId="7543AFEE"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0.079***</w:t>
            </w:r>
          </w:p>
        </w:tc>
      </w:tr>
      <w:tr w:rsidR="00352E47" w:rsidRPr="00352E47" w14:paraId="5D3D056C" w14:textId="77777777" w:rsidTr="005C2254">
        <w:trPr>
          <w:trHeight w:val="20"/>
          <w:jc w:val="center"/>
        </w:trPr>
        <w:tc>
          <w:tcPr>
            <w:tcW w:w="2453" w:type="pct"/>
            <w:noWrap/>
          </w:tcPr>
          <w:p w14:paraId="51B205B5" w14:textId="77777777" w:rsidR="00352E47" w:rsidRPr="00352E47" w:rsidRDefault="00352E47" w:rsidP="00352E47">
            <w:pPr>
              <w:spacing w:after="160" w:line="259" w:lineRule="auto"/>
              <w:jc w:val="center"/>
              <w:rPr>
                <w:rFonts w:ascii="Times New Roman" w:eastAsia="Times New Roman" w:hAnsi="Times New Roman" w:cs="Times New Roman"/>
                <w:color w:val="000000"/>
                <w:sz w:val="18"/>
                <w:szCs w:val="18"/>
                <w:lang w:eastAsia="en-US"/>
              </w:rPr>
            </w:pPr>
          </w:p>
        </w:tc>
        <w:tc>
          <w:tcPr>
            <w:tcW w:w="958" w:type="pct"/>
            <w:noWrap/>
            <w:hideMark/>
          </w:tcPr>
          <w:p w14:paraId="3591CA85"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(5.58)</w:t>
            </w:r>
          </w:p>
        </w:tc>
        <w:tc>
          <w:tcPr>
            <w:tcW w:w="1018" w:type="pct"/>
            <w:noWrap/>
            <w:hideMark/>
          </w:tcPr>
          <w:p w14:paraId="35131B05"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(16.31)</w:t>
            </w:r>
          </w:p>
        </w:tc>
        <w:tc>
          <w:tcPr>
            <w:tcW w:w="571" w:type="pct"/>
            <w:noWrap/>
            <w:hideMark/>
          </w:tcPr>
          <w:p w14:paraId="39006C54"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(15.66)</w:t>
            </w:r>
          </w:p>
          <w:p w14:paraId="6048A05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p>
        </w:tc>
      </w:tr>
      <w:tr w:rsidR="00352E47" w:rsidRPr="00352E47" w14:paraId="418E90EF" w14:textId="77777777" w:rsidTr="005C2254">
        <w:trPr>
          <w:trHeight w:val="20"/>
          <w:jc w:val="center"/>
        </w:trPr>
        <w:tc>
          <w:tcPr>
            <w:tcW w:w="5000" w:type="pct"/>
            <w:gridSpan w:val="4"/>
            <w:noWrap/>
            <w:vAlign w:val="center"/>
          </w:tcPr>
          <w:p w14:paraId="0905E0D2" w14:textId="77777777" w:rsidR="00352E47" w:rsidRPr="00352E47" w:rsidRDefault="00352E47" w:rsidP="00352E47">
            <w:pPr>
              <w:spacing w:after="0" w:line="360" w:lineRule="auto"/>
              <w:rPr>
                <w:rFonts w:ascii="Times New Roman" w:eastAsia="Times New Roman" w:hAnsi="Times New Roman" w:cs="Times New Roman"/>
                <w:color w:val="000000"/>
                <w:sz w:val="18"/>
                <w:szCs w:val="18"/>
                <w:u w:val="single"/>
                <w:lang w:eastAsia="en-US"/>
              </w:rPr>
            </w:pPr>
            <w:r w:rsidRPr="00352E47">
              <w:rPr>
                <w:rFonts w:ascii="Times New Roman" w:eastAsia="Times New Roman" w:hAnsi="Times New Roman" w:cs="Times New Roman"/>
                <w:b/>
                <w:bCs/>
                <w:color w:val="000000"/>
                <w:sz w:val="18"/>
                <w:szCs w:val="18"/>
                <w:u w:val="single"/>
                <w:lang w:eastAsia="en-US"/>
              </w:rPr>
              <w:t>(ii) Marginal Effects of  EF on FD</w:t>
            </w:r>
          </w:p>
        </w:tc>
      </w:tr>
      <w:tr w:rsidR="00352E47" w:rsidRPr="00352E47" w14:paraId="03BF5202" w14:textId="77777777" w:rsidTr="005C2254">
        <w:trPr>
          <w:trHeight w:val="20"/>
          <w:jc w:val="center"/>
        </w:trPr>
        <w:tc>
          <w:tcPr>
            <w:tcW w:w="2453" w:type="pct"/>
            <w:noWrap/>
            <w:vAlign w:val="bottom"/>
          </w:tcPr>
          <w:p w14:paraId="155B06F4"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EF = 1 (Free)</w:t>
            </w:r>
          </w:p>
        </w:tc>
        <w:tc>
          <w:tcPr>
            <w:tcW w:w="958" w:type="pct"/>
            <w:noWrap/>
          </w:tcPr>
          <w:p w14:paraId="60268838"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0.055***</w:t>
            </w:r>
          </w:p>
        </w:tc>
        <w:tc>
          <w:tcPr>
            <w:tcW w:w="1018" w:type="pct"/>
            <w:noWrap/>
          </w:tcPr>
          <w:p w14:paraId="4144B46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0.117***</w:t>
            </w:r>
          </w:p>
        </w:tc>
        <w:tc>
          <w:tcPr>
            <w:tcW w:w="571" w:type="pct"/>
            <w:noWrap/>
          </w:tcPr>
          <w:p w14:paraId="03CA522E"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0.114***</w:t>
            </w:r>
          </w:p>
        </w:tc>
      </w:tr>
      <w:tr w:rsidR="00352E47" w:rsidRPr="00352E47" w14:paraId="37FCA7A7" w14:textId="77777777" w:rsidTr="005C2254">
        <w:trPr>
          <w:trHeight w:val="20"/>
          <w:jc w:val="center"/>
        </w:trPr>
        <w:tc>
          <w:tcPr>
            <w:tcW w:w="2453" w:type="pct"/>
            <w:noWrap/>
            <w:vAlign w:val="bottom"/>
          </w:tcPr>
          <w:p w14:paraId="5DB9B90B"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tcPr>
          <w:p w14:paraId="38FCBC2E"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(4.78)</w:t>
            </w:r>
          </w:p>
        </w:tc>
        <w:tc>
          <w:tcPr>
            <w:tcW w:w="1018" w:type="pct"/>
            <w:noWrap/>
          </w:tcPr>
          <w:p w14:paraId="52CBFAB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(11.39)</w:t>
            </w:r>
          </w:p>
        </w:tc>
        <w:tc>
          <w:tcPr>
            <w:tcW w:w="571" w:type="pct"/>
            <w:noWrap/>
          </w:tcPr>
          <w:p w14:paraId="765F102E"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(10.73)</w:t>
            </w:r>
          </w:p>
        </w:tc>
      </w:tr>
      <w:tr w:rsidR="00352E47" w:rsidRPr="00352E47" w14:paraId="035189B9" w14:textId="77777777" w:rsidTr="005C2254">
        <w:trPr>
          <w:trHeight w:val="20"/>
          <w:jc w:val="center"/>
        </w:trPr>
        <w:tc>
          <w:tcPr>
            <w:tcW w:w="2453" w:type="pct"/>
            <w:noWrap/>
            <w:vAlign w:val="bottom"/>
          </w:tcPr>
          <w:p w14:paraId="72B87DB8"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EF = 2 (Mostly Free)</w:t>
            </w:r>
          </w:p>
        </w:tc>
        <w:tc>
          <w:tcPr>
            <w:tcW w:w="958" w:type="pct"/>
            <w:noWrap/>
          </w:tcPr>
          <w:p w14:paraId="2ABBE3B2"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0.055***</w:t>
            </w:r>
          </w:p>
        </w:tc>
        <w:tc>
          <w:tcPr>
            <w:tcW w:w="1018" w:type="pct"/>
            <w:noWrap/>
          </w:tcPr>
          <w:p w14:paraId="051AF437"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0.091***</w:t>
            </w:r>
          </w:p>
        </w:tc>
        <w:tc>
          <w:tcPr>
            <w:tcW w:w="571" w:type="pct"/>
            <w:noWrap/>
          </w:tcPr>
          <w:p w14:paraId="76179F92"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0.093***</w:t>
            </w:r>
          </w:p>
        </w:tc>
      </w:tr>
      <w:tr w:rsidR="00352E47" w:rsidRPr="00352E47" w14:paraId="6C619911" w14:textId="77777777" w:rsidTr="005C2254">
        <w:trPr>
          <w:trHeight w:val="20"/>
          <w:jc w:val="center"/>
        </w:trPr>
        <w:tc>
          <w:tcPr>
            <w:tcW w:w="2453" w:type="pct"/>
            <w:noWrap/>
            <w:vAlign w:val="bottom"/>
          </w:tcPr>
          <w:p w14:paraId="6A1D1E0D"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tcPr>
          <w:p w14:paraId="7A16BA21"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(15.45)</w:t>
            </w:r>
          </w:p>
        </w:tc>
        <w:tc>
          <w:tcPr>
            <w:tcW w:w="1018" w:type="pct"/>
            <w:noWrap/>
          </w:tcPr>
          <w:p w14:paraId="54EF79E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(36.95)</w:t>
            </w:r>
          </w:p>
        </w:tc>
        <w:tc>
          <w:tcPr>
            <w:tcW w:w="571" w:type="pct"/>
            <w:noWrap/>
          </w:tcPr>
          <w:p w14:paraId="02254F58"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(36.64)</w:t>
            </w:r>
          </w:p>
        </w:tc>
      </w:tr>
      <w:tr w:rsidR="00352E47" w:rsidRPr="00352E47" w14:paraId="5A71B269" w14:textId="77777777" w:rsidTr="005C2254">
        <w:trPr>
          <w:trHeight w:val="20"/>
          <w:jc w:val="center"/>
        </w:trPr>
        <w:tc>
          <w:tcPr>
            <w:tcW w:w="2453" w:type="pct"/>
            <w:noWrap/>
            <w:vAlign w:val="bottom"/>
          </w:tcPr>
          <w:p w14:paraId="773A008F"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EF = 3 (Moderately Free)</w:t>
            </w:r>
          </w:p>
        </w:tc>
        <w:tc>
          <w:tcPr>
            <w:tcW w:w="958" w:type="pct"/>
            <w:noWrap/>
          </w:tcPr>
          <w:p w14:paraId="07346790"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0.058***</w:t>
            </w:r>
          </w:p>
        </w:tc>
        <w:tc>
          <w:tcPr>
            <w:tcW w:w="1018" w:type="pct"/>
            <w:noWrap/>
          </w:tcPr>
          <w:p w14:paraId="0075AB4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0.078***</w:t>
            </w:r>
          </w:p>
        </w:tc>
        <w:tc>
          <w:tcPr>
            <w:tcW w:w="571" w:type="pct"/>
            <w:noWrap/>
          </w:tcPr>
          <w:p w14:paraId="3D394DF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0.082***</w:t>
            </w:r>
          </w:p>
        </w:tc>
      </w:tr>
      <w:tr w:rsidR="00352E47" w:rsidRPr="00352E47" w14:paraId="18C838FF" w14:textId="77777777" w:rsidTr="005C2254">
        <w:trPr>
          <w:trHeight w:val="20"/>
          <w:jc w:val="center"/>
        </w:trPr>
        <w:tc>
          <w:tcPr>
            <w:tcW w:w="2453" w:type="pct"/>
            <w:noWrap/>
            <w:vAlign w:val="bottom"/>
          </w:tcPr>
          <w:p w14:paraId="56D640BB"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tcPr>
          <w:p w14:paraId="747E36EC"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(21.04)</w:t>
            </w:r>
          </w:p>
        </w:tc>
        <w:tc>
          <w:tcPr>
            <w:tcW w:w="1018" w:type="pct"/>
            <w:noWrap/>
          </w:tcPr>
          <w:p w14:paraId="290DF8A4"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(38.92)</w:t>
            </w:r>
          </w:p>
        </w:tc>
        <w:tc>
          <w:tcPr>
            <w:tcW w:w="571" w:type="pct"/>
            <w:noWrap/>
          </w:tcPr>
          <w:p w14:paraId="18087DA1"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(39.13)</w:t>
            </w:r>
          </w:p>
        </w:tc>
      </w:tr>
      <w:tr w:rsidR="00352E47" w:rsidRPr="00352E47" w14:paraId="0537EFA3" w14:textId="77777777" w:rsidTr="005C2254">
        <w:trPr>
          <w:trHeight w:val="20"/>
          <w:jc w:val="center"/>
        </w:trPr>
        <w:tc>
          <w:tcPr>
            <w:tcW w:w="2453" w:type="pct"/>
            <w:noWrap/>
            <w:vAlign w:val="bottom"/>
          </w:tcPr>
          <w:p w14:paraId="543F4841"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EF = 4 (Mostly Unfree)</w:t>
            </w:r>
          </w:p>
        </w:tc>
        <w:tc>
          <w:tcPr>
            <w:tcW w:w="958" w:type="pct"/>
            <w:noWrap/>
          </w:tcPr>
          <w:p w14:paraId="1AC3D99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0.102***</w:t>
            </w:r>
          </w:p>
        </w:tc>
        <w:tc>
          <w:tcPr>
            <w:tcW w:w="1018" w:type="pct"/>
            <w:noWrap/>
          </w:tcPr>
          <w:p w14:paraId="667FC9A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0.069***</w:t>
            </w:r>
          </w:p>
        </w:tc>
        <w:tc>
          <w:tcPr>
            <w:tcW w:w="571" w:type="pct"/>
            <w:noWrap/>
          </w:tcPr>
          <w:p w14:paraId="4F68DEC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0.072***</w:t>
            </w:r>
          </w:p>
        </w:tc>
      </w:tr>
      <w:tr w:rsidR="00352E47" w:rsidRPr="00352E47" w14:paraId="3EA953D2" w14:textId="77777777" w:rsidTr="005C2254">
        <w:trPr>
          <w:trHeight w:val="20"/>
          <w:jc w:val="center"/>
        </w:trPr>
        <w:tc>
          <w:tcPr>
            <w:tcW w:w="2453" w:type="pct"/>
            <w:noWrap/>
            <w:vAlign w:val="bottom"/>
          </w:tcPr>
          <w:p w14:paraId="4DF0E42E"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tcPr>
          <w:p w14:paraId="2D6E99BF"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(17.09)</w:t>
            </w:r>
          </w:p>
        </w:tc>
        <w:tc>
          <w:tcPr>
            <w:tcW w:w="1018" w:type="pct"/>
            <w:noWrap/>
          </w:tcPr>
          <w:p w14:paraId="070CF07C"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(15.85)</w:t>
            </w:r>
          </w:p>
        </w:tc>
        <w:tc>
          <w:tcPr>
            <w:tcW w:w="571" w:type="pct"/>
            <w:noWrap/>
          </w:tcPr>
          <w:p w14:paraId="16726C16"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(16.04)</w:t>
            </w:r>
          </w:p>
        </w:tc>
      </w:tr>
      <w:tr w:rsidR="00352E47" w:rsidRPr="00352E47" w14:paraId="76D04FD6" w14:textId="77777777" w:rsidTr="005C2254">
        <w:trPr>
          <w:trHeight w:val="20"/>
          <w:jc w:val="center"/>
        </w:trPr>
        <w:tc>
          <w:tcPr>
            <w:tcW w:w="2453" w:type="pct"/>
            <w:noWrap/>
            <w:vAlign w:val="bottom"/>
          </w:tcPr>
          <w:p w14:paraId="0101723D"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EF = 5 (Repressed)</w:t>
            </w:r>
          </w:p>
        </w:tc>
        <w:tc>
          <w:tcPr>
            <w:tcW w:w="958" w:type="pct"/>
            <w:noWrap/>
          </w:tcPr>
          <w:p w14:paraId="2F88448F"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0.063***</w:t>
            </w:r>
          </w:p>
        </w:tc>
        <w:tc>
          <w:tcPr>
            <w:tcW w:w="1018" w:type="pct"/>
            <w:noWrap/>
          </w:tcPr>
          <w:p w14:paraId="19BAF6D9"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0.099***</w:t>
            </w:r>
          </w:p>
        </w:tc>
        <w:tc>
          <w:tcPr>
            <w:tcW w:w="571" w:type="pct"/>
            <w:noWrap/>
          </w:tcPr>
          <w:p w14:paraId="349C9A18"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0.106***</w:t>
            </w:r>
          </w:p>
        </w:tc>
      </w:tr>
      <w:tr w:rsidR="00352E47" w:rsidRPr="00352E47" w14:paraId="5D92EB30" w14:textId="77777777" w:rsidTr="005C2254">
        <w:trPr>
          <w:trHeight w:val="20"/>
          <w:jc w:val="center"/>
        </w:trPr>
        <w:tc>
          <w:tcPr>
            <w:tcW w:w="2453" w:type="pct"/>
            <w:noWrap/>
          </w:tcPr>
          <w:p w14:paraId="3093C762" w14:textId="77777777" w:rsidR="00352E47" w:rsidRPr="00352E47" w:rsidRDefault="00352E47" w:rsidP="00352E47">
            <w:pPr>
              <w:spacing w:after="160" w:line="259" w:lineRule="auto"/>
              <w:jc w:val="center"/>
              <w:rPr>
                <w:rFonts w:ascii="Times New Roman" w:eastAsia="Times New Roman" w:hAnsi="Times New Roman" w:cs="Times New Roman"/>
                <w:color w:val="000000"/>
                <w:sz w:val="18"/>
                <w:szCs w:val="18"/>
                <w:lang w:eastAsia="en-US"/>
              </w:rPr>
            </w:pPr>
          </w:p>
        </w:tc>
        <w:tc>
          <w:tcPr>
            <w:tcW w:w="958" w:type="pct"/>
            <w:noWrap/>
          </w:tcPr>
          <w:p w14:paraId="3054B56C"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(3.31)</w:t>
            </w:r>
          </w:p>
        </w:tc>
        <w:tc>
          <w:tcPr>
            <w:tcW w:w="1018" w:type="pct"/>
            <w:noWrap/>
          </w:tcPr>
          <w:p w14:paraId="3CC0BA44"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(7.07)</w:t>
            </w:r>
          </w:p>
        </w:tc>
        <w:tc>
          <w:tcPr>
            <w:tcW w:w="571" w:type="pct"/>
            <w:noWrap/>
          </w:tcPr>
          <w:p w14:paraId="48B687D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(7.37)</w:t>
            </w:r>
          </w:p>
          <w:p w14:paraId="1D86F5DD"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p>
        </w:tc>
      </w:tr>
      <w:tr w:rsidR="00352E47" w:rsidRPr="00352E47" w14:paraId="2FDDD756" w14:textId="77777777" w:rsidTr="005C2254">
        <w:trPr>
          <w:trHeight w:val="20"/>
          <w:jc w:val="center"/>
        </w:trPr>
        <w:tc>
          <w:tcPr>
            <w:tcW w:w="5000" w:type="pct"/>
            <w:gridSpan w:val="4"/>
            <w:noWrap/>
            <w:vAlign w:val="center"/>
          </w:tcPr>
          <w:p w14:paraId="68556A59" w14:textId="77777777" w:rsidR="00352E47" w:rsidRPr="00352E47" w:rsidRDefault="00352E47" w:rsidP="00352E47">
            <w:pPr>
              <w:spacing w:after="0" w:line="360" w:lineRule="auto"/>
              <w:rPr>
                <w:rFonts w:ascii="Times New Roman" w:eastAsia="Times New Roman" w:hAnsi="Times New Roman" w:cs="Times New Roman"/>
                <w:color w:val="000000"/>
                <w:sz w:val="18"/>
                <w:szCs w:val="18"/>
                <w:u w:val="single"/>
                <w:lang w:eastAsia="en-US"/>
              </w:rPr>
            </w:pPr>
            <w:r w:rsidRPr="00352E47">
              <w:rPr>
                <w:rFonts w:ascii="Times New Roman" w:eastAsia="Times New Roman" w:hAnsi="Times New Roman" w:cs="Times New Roman"/>
                <w:b/>
                <w:bCs/>
                <w:color w:val="000000"/>
                <w:sz w:val="18"/>
                <w:szCs w:val="18"/>
                <w:u w:val="single"/>
                <w:lang w:eastAsia="en-US"/>
              </w:rPr>
              <w:t>(iii) Marginal Effects of  IBF on FD</w:t>
            </w:r>
          </w:p>
        </w:tc>
      </w:tr>
      <w:tr w:rsidR="00352E47" w:rsidRPr="00352E47" w14:paraId="76C24339" w14:textId="77777777" w:rsidTr="005C2254">
        <w:trPr>
          <w:trHeight w:val="20"/>
          <w:jc w:val="center"/>
        </w:trPr>
        <w:tc>
          <w:tcPr>
            <w:tcW w:w="2453" w:type="pct"/>
            <w:noWrap/>
            <w:vAlign w:val="bottom"/>
          </w:tcPr>
          <w:p w14:paraId="6C9AD382"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IBF = 0 (Developing country dummy)</w:t>
            </w:r>
          </w:p>
        </w:tc>
        <w:tc>
          <w:tcPr>
            <w:tcW w:w="958" w:type="pct"/>
            <w:noWrap/>
          </w:tcPr>
          <w:p w14:paraId="0AB11731"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0.078***</w:t>
            </w:r>
          </w:p>
        </w:tc>
        <w:tc>
          <w:tcPr>
            <w:tcW w:w="1018" w:type="pct"/>
            <w:noWrap/>
          </w:tcPr>
          <w:p w14:paraId="46D37B1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0.074***</w:t>
            </w:r>
          </w:p>
        </w:tc>
        <w:tc>
          <w:tcPr>
            <w:tcW w:w="571" w:type="pct"/>
            <w:noWrap/>
          </w:tcPr>
          <w:p w14:paraId="3A269F83"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0.079***</w:t>
            </w:r>
          </w:p>
        </w:tc>
      </w:tr>
      <w:tr w:rsidR="00352E47" w:rsidRPr="00352E47" w14:paraId="71F5E341" w14:textId="77777777" w:rsidTr="005C2254">
        <w:trPr>
          <w:trHeight w:val="20"/>
          <w:jc w:val="center"/>
        </w:trPr>
        <w:tc>
          <w:tcPr>
            <w:tcW w:w="2453" w:type="pct"/>
            <w:noWrap/>
            <w:vAlign w:val="bottom"/>
          </w:tcPr>
          <w:p w14:paraId="1599CB5C"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p>
        </w:tc>
        <w:tc>
          <w:tcPr>
            <w:tcW w:w="958" w:type="pct"/>
            <w:noWrap/>
          </w:tcPr>
          <w:p w14:paraId="481B4065"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(20.42)</w:t>
            </w:r>
          </w:p>
        </w:tc>
        <w:tc>
          <w:tcPr>
            <w:tcW w:w="1018" w:type="pct"/>
            <w:noWrap/>
          </w:tcPr>
          <w:p w14:paraId="58823077"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(29.18)</w:t>
            </w:r>
          </w:p>
        </w:tc>
        <w:tc>
          <w:tcPr>
            <w:tcW w:w="571" w:type="pct"/>
            <w:noWrap/>
          </w:tcPr>
          <w:p w14:paraId="158A33E7"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(30.24)</w:t>
            </w:r>
          </w:p>
        </w:tc>
      </w:tr>
      <w:tr w:rsidR="00352E47" w:rsidRPr="00352E47" w14:paraId="2976E84C" w14:textId="77777777" w:rsidTr="005C2254">
        <w:trPr>
          <w:trHeight w:val="20"/>
          <w:jc w:val="center"/>
        </w:trPr>
        <w:tc>
          <w:tcPr>
            <w:tcW w:w="2453" w:type="pct"/>
            <w:noWrap/>
            <w:vAlign w:val="bottom"/>
          </w:tcPr>
          <w:p w14:paraId="011C399D" w14:textId="77777777" w:rsidR="00352E47" w:rsidRPr="00352E47" w:rsidRDefault="00352E47" w:rsidP="00352E47">
            <w:pPr>
              <w:spacing w:after="160" w:line="259" w:lineRule="auto"/>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IBF = 1 (Developed country dummy)</w:t>
            </w:r>
          </w:p>
        </w:tc>
        <w:tc>
          <w:tcPr>
            <w:tcW w:w="958" w:type="pct"/>
            <w:noWrap/>
          </w:tcPr>
          <w:p w14:paraId="32DAFF66"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0.055***</w:t>
            </w:r>
          </w:p>
        </w:tc>
        <w:tc>
          <w:tcPr>
            <w:tcW w:w="1018" w:type="pct"/>
            <w:noWrap/>
          </w:tcPr>
          <w:p w14:paraId="1684AAD9"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0.096***</w:t>
            </w:r>
          </w:p>
        </w:tc>
        <w:tc>
          <w:tcPr>
            <w:tcW w:w="571" w:type="pct"/>
            <w:noWrap/>
          </w:tcPr>
          <w:p w14:paraId="7A9B0E0C"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0.095***</w:t>
            </w:r>
          </w:p>
        </w:tc>
      </w:tr>
      <w:tr w:rsidR="00352E47" w:rsidRPr="00352E47" w14:paraId="428FBE4A" w14:textId="77777777" w:rsidTr="005C2254">
        <w:trPr>
          <w:trHeight w:val="20"/>
          <w:jc w:val="center"/>
        </w:trPr>
        <w:tc>
          <w:tcPr>
            <w:tcW w:w="2453" w:type="pct"/>
            <w:tcBorders>
              <w:bottom w:val="single" w:sz="4" w:space="0" w:color="auto"/>
            </w:tcBorders>
            <w:noWrap/>
          </w:tcPr>
          <w:p w14:paraId="51BA6621" w14:textId="77777777" w:rsidR="00352E47" w:rsidRPr="00352E47" w:rsidRDefault="00352E47" w:rsidP="00352E47">
            <w:pPr>
              <w:spacing w:after="160" w:line="259" w:lineRule="auto"/>
              <w:jc w:val="center"/>
              <w:rPr>
                <w:rFonts w:ascii="Times New Roman" w:eastAsia="Times New Roman" w:hAnsi="Times New Roman" w:cs="Times New Roman"/>
                <w:color w:val="000000"/>
                <w:sz w:val="18"/>
                <w:szCs w:val="18"/>
                <w:lang w:eastAsia="en-US"/>
              </w:rPr>
            </w:pPr>
          </w:p>
        </w:tc>
        <w:tc>
          <w:tcPr>
            <w:tcW w:w="958" w:type="pct"/>
            <w:tcBorders>
              <w:bottom w:val="single" w:sz="4" w:space="0" w:color="auto"/>
            </w:tcBorders>
            <w:noWrap/>
          </w:tcPr>
          <w:p w14:paraId="76ECD481"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(11.27)</w:t>
            </w:r>
          </w:p>
        </w:tc>
        <w:tc>
          <w:tcPr>
            <w:tcW w:w="1018" w:type="pct"/>
            <w:tcBorders>
              <w:bottom w:val="single" w:sz="4" w:space="0" w:color="auto"/>
            </w:tcBorders>
            <w:noWrap/>
          </w:tcPr>
          <w:p w14:paraId="76A154DE"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(28.89)</w:t>
            </w:r>
          </w:p>
        </w:tc>
        <w:tc>
          <w:tcPr>
            <w:tcW w:w="571" w:type="pct"/>
            <w:tcBorders>
              <w:bottom w:val="single" w:sz="4" w:space="0" w:color="auto"/>
            </w:tcBorders>
            <w:noWrap/>
          </w:tcPr>
          <w:p w14:paraId="2641BA2B" w14:textId="77777777" w:rsidR="00352E47" w:rsidRPr="00352E47" w:rsidRDefault="00352E47" w:rsidP="00352E47">
            <w:pPr>
              <w:spacing w:after="0" w:line="360" w:lineRule="auto"/>
              <w:jc w:val="center"/>
              <w:rPr>
                <w:rFonts w:ascii="Times New Roman" w:eastAsia="Times New Roman" w:hAnsi="Times New Roman" w:cs="Times New Roman"/>
                <w:color w:val="000000"/>
                <w:sz w:val="18"/>
                <w:szCs w:val="18"/>
                <w:lang w:eastAsia="en-US"/>
              </w:rPr>
            </w:pPr>
            <w:r w:rsidRPr="00352E47">
              <w:rPr>
                <w:rFonts w:ascii="Times New Roman" w:eastAsia="Times New Roman" w:hAnsi="Times New Roman" w:cs="Times New Roman"/>
                <w:color w:val="000000"/>
                <w:sz w:val="18"/>
                <w:szCs w:val="18"/>
                <w:lang w:eastAsia="en-US"/>
              </w:rPr>
              <w:t>(27.62)</w:t>
            </w:r>
          </w:p>
        </w:tc>
      </w:tr>
      <w:tr w:rsidR="00352E47" w:rsidRPr="00352E47" w14:paraId="25E77A02" w14:textId="77777777" w:rsidTr="005C2254">
        <w:trPr>
          <w:trHeight w:val="57"/>
          <w:jc w:val="center"/>
        </w:trPr>
        <w:tc>
          <w:tcPr>
            <w:tcW w:w="5000" w:type="pct"/>
            <w:gridSpan w:val="4"/>
            <w:tcBorders>
              <w:top w:val="single" w:sz="4" w:space="0" w:color="auto"/>
            </w:tcBorders>
            <w:noWrap/>
          </w:tcPr>
          <w:p w14:paraId="1F83FF57" w14:textId="77777777" w:rsidR="00352E47" w:rsidRPr="00352E47" w:rsidRDefault="00352E47" w:rsidP="00352E47">
            <w:pPr>
              <w:suppressAutoHyphens/>
              <w:spacing w:after="0" w:line="259" w:lineRule="auto"/>
              <w:jc w:val="both"/>
              <w:rPr>
                <w:rFonts w:ascii="Times New Roman" w:eastAsia="Times New Roman" w:hAnsi="Times New Roman" w:cs="Times New Roman"/>
                <w:sz w:val="16"/>
                <w:szCs w:val="16"/>
                <w:lang w:eastAsia="en-US"/>
              </w:rPr>
            </w:pPr>
            <w:r w:rsidRPr="00352E47">
              <w:rPr>
                <w:rFonts w:ascii="Times New Roman" w:eastAsia="Times New Roman" w:hAnsi="Times New Roman" w:cs="Times New Roman"/>
                <w:sz w:val="16"/>
                <w:szCs w:val="16"/>
                <w:lang w:eastAsia="en-US"/>
              </w:rPr>
              <w:t xml:space="preserve">Notes: All variables are as defined in Appendix A1. </w:t>
            </w:r>
            <w:r w:rsidRPr="00352E47">
              <w:rPr>
                <w:rFonts w:ascii="Times New Roman" w:eastAsia="DFKai-SB" w:hAnsi="Times New Roman" w:cs="Times New Roman"/>
                <w:sz w:val="16"/>
                <w:szCs w:val="16"/>
                <w:lang w:eastAsia="en-US"/>
              </w:rPr>
              <w:t xml:space="preserve">The </w:t>
            </w:r>
            <w:r w:rsidRPr="00352E47">
              <w:rPr>
                <w:rFonts w:ascii="Times New Roman" w:eastAsia="DFKai-SB" w:hAnsi="Times New Roman" w:cs="Times New Roman"/>
                <w:i/>
                <w:sz w:val="16"/>
                <w:szCs w:val="16"/>
                <w:lang w:eastAsia="en-US"/>
              </w:rPr>
              <w:t>t</w:t>
            </w:r>
            <w:r w:rsidRPr="00352E47">
              <w:rPr>
                <w:rFonts w:ascii="Times New Roman" w:eastAsia="DFKai-SB" w:hAnsi="Times New Roman" w:cs="Times New Roman"/>
                <w:sz w:val="16"/>
                <w:szCs w:val="16"/>
                <w:lang w:eastAsia="en-US"/>
              </w:rPr>
              <w:t xml:space="preserve">-statistics are robust to heteroscedasticity reported in parentheses, are based on double clustered standard errors (clustering done at the country and year levels). </w:t>
            </w:r>
            <w:r w:rsidRPr="00352E47">
              <w:rPr>
                <w:rFonts w:ascii="Times New Roman" w:eastAsia="Times New Roman" w:hAnsi="Times New Roman" w:cs="Times New Roman"/>
                <w:sz w:val="16"/>
                <w:szCs w:val="16"/>
                <w:lang w:eastAsia="en-US"/>
              </w:rPr>
              <w:t>For tractable interpretation, all the coefficients are reported as elasticity, and the statistical significance is reported against 10% (*), 5% (**), and 1% (***) significance levels respectively.</w:t>
            </w:r>
          </w:p>
        </w:tc>
      </w:tr>
    </w:tbl>
    <w:p w14:paraId="1ACDC170" w14:textId="003A5BAF" w:rsidR="00DC2568" w:rsidRPr="001D111F" w:rsidRDefault="00DC2568" w:rsidP="0072644D">
      <w:pPr>
        <w:spacing w:line="480" w:lineRule="auto"/>
        <w:jc w:val="both"/>
        <w:rPr>
          <w:rFonts w:ascii="Times New Roman" w:eastAsia="SimSun" w:hAnsi="Times New Roman" w:cs="Times New Roman"/>
          <w:color w:val="000000" w:themeColor="text1"/>
          <w:sz w:val="24"/>
          <w:szCs w:val="24"/>
          <w:lang w:eastAsia="zh-CN"/>
        </w:rPr>
      </w:pPr>
    </w:p>
    <w:sectPr w:rsidR="00DC2568" w:rsidRPr="001D111F" w:rsidSect="00C34896">
      <w:pgSz w:w="11906" w:h="16838"/>
      <w:pgMar w:top="1440"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88D7" w14:textId="77777777" w:rsidR="00C34896" w:rsidRDefault="00C34896" w:rsidP="00A15362">
      <w:pPr>
        <w:spacing w:after="0" w:line="240" w:lineRule="auto"/>
      </w:pPr>
      <w:r>
        <w:separator/>
      </w:r>
    </w:p>
  </w:endnote>
  <w:endnote w:type="continuationSeparator" w:id="0">
    <w:p w14:paraId="58033618" w14:textId="77777777" w:rsidR="00C34896" w:rsidRDefault="00C34896" w:rsidP="00A15362">
      <w:pPr>
        <w:spacing w:after="0" w:line="240" w:lineRule="auto"/>
      </w:pPr>
      <w:r>
        <w:continuationSeparator/>
      </w:r>
    </w:p>
  </w:endnote>
  <w:endnote w:type="continuationNotice" w:id="1">
    <w:p w14:paraId="2792CB48" w14:textId="77777777" w:rsidR="00C34896" w:rsidRDefault="00C34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FKai-SB">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32473"/>
      <w:docPartObj>
        <w:docPartGallery w:val="Page Numbers (Bottom of Page)"/>
        <w:docPartUnique/>
      </w:docPartObj>
    </w:sdtPr>
    <w:sdtEndPr>
      <w:rPr>
        <w:noProof/>
      </w:rPr>
    </w:sdtEndPr>
    <w:sdtContent>
      <w:p w14:paraId="29C45584" w14:textId="10046FB4" w:rsidR="00A01F8F" w:rsidRDefault="00A01F8F">
        <w:pPr>
          <w:pStyle w:val="Footer"/>
          <w:jc w:val="center"/>
        </w:pPr>
        <w:r>
          <w:fldChar w:fldCharType="begin"/>
        </w:r>
        <w:r>
          <w:instrText xml:space="preserve"> PAGE   \* MERGEFORMAT </w:instrText>
        </w:r>
        <w:r>
          <w:fldChar w:fldCharType="separate"/>
        </w:r>
        <w:r w:rsidR="00607D5B">
          <w:rPr>
            <w:noProof/>
          </w:rPr>
          <w:t>29</w:t>
        </w:r>
        <w:r>
          <w:rPr>
            <w:noProof/>
          </w:rPr>
          <w:fldChar w:fldCharType="end"/>
        </w:r>
      </w:p>
    </w:sdtContent>
  </w:sdt>
  <w:p w14:paraId="6C1163FF" w14:textId="77777777" w:rsidR="00A01F8F" w:rsidRDefault="00A0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3E7B" w14:textId="77777777" w:rsidR="00C34896" w:rsidRDefault="00C34896" w:rsidP="00A15362">
      <w:pPr>
        <w:spacing w:after="0" w:line="240" w:lineRule="auto"/>
      </w:pPr>
      <w:r>
        <w:separator/>
      </w:r>
    </w:p>
  </w:footnote>
  <w:footnote w:type="continuationSeparator" w:id="0">
    <w:p w14:paraId="0623241E" w14:textId="77777777" w:rsidR="00C34896" w:rsidRDefault="00C34896" w:rsidP="00A15362">
      <w:pPr>
        <w:spacing w:after="0" w:line="240" w:lineRule="auto"/>
      </w:pPr>
      <w:r>
        <w:continuationSeparator/>
      </w:r>
    </w:p>
  </w:footnote>
  <w:footnote w:type="continuationNotice" w:id="1">
    <w:p w14:paraId="1CCC443B" w14:textId="77777777" w:rsidR="00C34896" w:rsidRDefault="00C34896">
      <w:pPr>
        <w:spacing w:after="0" w:line="240" w:lineRule="auto"/>
      </w:pPr>
    </w:p>
  </w:footnote>
  <w:footnote w:id="2">
    <w:p w14:paraId="1879B555" w14:textId="6930E612" w:rsidR="00A01F8F" w:rsidRDefault="00A01F8F">
      <w:pPr>
        <w:pStyle w:val="FootnoteText"/>
      </w:pPr>
      <w:r w:rsidRPr="00A03BAD">
        <w:rPr>
          <w:vertAlign w:val="superscript"/>
        </w:rPr>
        <w:footnoteRef/>
      </w:r>
      <w:r w:rsidRPr="00A03BAD">
        <w:t xml:space="preserve">  Economic freedom reflects institutional</w:t>
      </w:r>
      <w:r>
        <w:t xml:space="preserve"> </w:t>
      </w:r>
      <w:r w:rsidRPr="00A03BAD">
        <w:t>quality that includes property rights, government integrity, and judicial effectiveness.</w:t>
      </w:r>
    </w:p>
  </w:footnote>
  <w:footnote w:id="3">
    <w:p w14:paraId="2BA228CB" w14:textId="77777777" w:rsidR="00A01F8F" w:rsidRDefault="00A01F8F" w:rsidP="00330329">
      <w:pPr>
        <w:pStyle w:val="FootnoteText"/>
      </w:pPr>
      <w:r>
        <w:rPr>
          <w:rStyle w:val="FootnoteReference"/>
        </w:rPr>
        <w:footnoteRef/>
      </w:r>
      <w:r>
        <w:t xml:space="preserve"> Equity home bias is the overinvestment in the domestic stock market relative the countries world market capitalisation benchmark weight as suggested by ICAPM.</w:t>
      </w:r>
    </w:p>
  </w:footnote>
  <w:footnote w:id="4">
    <w:p w14:paraId="2688F18F" w14:textId="06388B9F" w:rsidR="00A01F8F" w:rsidRPr="000800FD" w:rsidRDefault="00A01F8F" w:rsidP="000800FD">
      <w:pPr>
        <w:pStyle w:val="FootnoteText"/>
      </w:pPr>
      <w:r>
        <w:rPr>
          <w:rStyle w:val="FootnoteReference"/>
        </w:rPr>
        <w:footnoteRef/>
      </w:r>
      <w:r>
        <w:t xml:space="preserve">  For the review of legal institutions on financial development (see Beck and Levine, 2004;</w:t>
      </w:r>
      <w:r w:rsidRPr="000800FD">
        <w:t xml:space="preserve"> </w:t>
      </w:r>
      <w:r>
        <w:t xml:space="preserve">Claessens et al. 2002a; </w:t>
      </w:r>
    </w:p>
    <w:p w14:paraId="0D745975" w14:textId="27753154" w:rsidR="00A01F8F" w:rsidRDefault="00A01F8F" w:rsidP="000800FD">
      <w:pPr>
        <w:pStyle w:val="FootnoteText"/>
      </w:pPr>
      <w:r>
        <w:t xml:space="preserve">Caprio et al. </w:t>
      </w:r>
      <w:r w:rsidRPr="000800FD">
        <w:t>2004)</w:t>
      </w:r>
      <w:r>
        <w:t>.</w:t>
      </w:r>
    </w:p>
  </w:footnote>
  <w:footnote w:id="5">
    <w:p w14:paraId="4025AAE3" w14:textId="43F80A40" w:rsidR="00A01F8F" w:rsidRPr="00BB471C" w:rsidRDefault="00A01F8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Heritage Foundation is </w:t>
      </w:r>
      <w:r w:rsidRPr="00BB471C">
        <w:rPr>
          <w:rFonts w:ascii="Times New Roman" w:hAnsi="Times New Roman" w:cs="Times New Roman"/>
        </w:rPr>
        <w:t>a think tank located in Washington provides annual index of economic freedom for 186 countries for the past 26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DA65B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305A94"/>
    <w:multiLevelType w:val="hybridMultilevel"/>
    <w:tmpl w:val="1EFABE60"/>
    <w:lvl w:ilvl="0" w:tplc="0306507C">
      <w:start w:val="6"/>
      <w:numFmt w:val="bullet"/>
      <w:lvlText w:val="-"/>
      <w:lvlJc w:val="left"/>
      <w:pPr>
        <w:ind w:left="4274" w:hanging="360"/>
      </w:pPr>
      <w:rPr>
        <w:rFonts w:ascii="Times New Roman" w:eastAsia="Times New Roman" w:hAnsi="Times New Roman" w:cs="Times New Roman" w:hint="default"/>
      </w:rPr>
    </w:lvl>
    <w:lvl w:ilvl="1" w:tplc="08090003" w:tentative="1">
      <w:start w:val="1"/>
      <w:numFmt w:val="bullet"/>
      <w:lvlText w:val="o"/>
      <w:lvlJc w:val="left"/>
      <w:pPr>
        <w:ind w:left="4994" w:hanging="360"/>
      </w:pPr>
      <w:rPr>
        <w:rFonts w:ascii="Courier New" w:hAnsi="Courier New" w:cs="Courier New" w:hint="default"/>
      </w:rPr>
    </w:lvl>
    <w:lvl w:ilvl="2" w:tplc="08090005" w:tentative="1">
      <w:start w:val="1"/>
      <w:numFmt w:val="bullet"/>
      <w:lvlText w:val=""/>
      <w:lvlJc w:val="left"/>
      <w:pPr>
        <w:ind w:left="5714" w:hanging="360"/>
      </w:pPr>
      <w:rPr>
        <w:rFonts w:ascii="Wingdings" w:hAnsi="Wingdings" w:hint="default"/>
      </w:rPr>
    </w:lvl>
    <w:lvl w:ilvl="3" w:tplc="08090001" w:tentative="1">
      <w:start w:val="1"/>
      <w:numFmt w:val="bullet"/>
      <w:lvlText w:val=""/>
      <w:lvlJc w:val="left"/>
      <w:pPr>
        <w:ind w:left="6434" w:hanging="360"/>
      </w:pPr>
      <w:rPr>
        <w:rFonts w:ascii="Symbol" w:hAnsi="Symbol" w:hint="default"/>
      </w:rPr>
    </w:lvl>
    <w:lvl w:ilvl="4" w:tplc="08090003" w:tentative="1">
      <w:start w:val="1"/>
      <w:numFmt w:val="bullet"/>
      <w:lvlText w:val="o"/>
      <w:lvlJc w:val="left"/>
      <w:pPr>
        <w:ind w:left="7154" w:hanging="360"/>
      </w:pPr>
      <w:rPr>
        <w:rFonts w:ascii="Courier New" w:hAnsi="Courier New" w:cs="Courier New" w:hint="default"/>
      </w:rPr>
    </w:lvl>
    <w:lvl w:ilvl="5" w:tplc="08090005" w:tentative="1">
      <w:start w:val="1"/>
      <w:numFmt w:val="bullet"/>
      <w:lvlText w:val=""/>
      <w:lvlJc w:val="left"/>
      <w:pPr>
        <w:ind w:left="7874" w:hanging="360"/>
      </w:pPr>
      <w:rPr>
        <w:rFonts w:ascii="Wingdings" w:hAnsi="Wingdings" w:hint="default"/>
      </w:rPr>
    </w:lvl>
    <w:lvl w:ilvl="6" w:tplc="08090001" w:tentative="1">
      <w:start w:val="1"/>
      <w:numFmt w:val="bullet"/>
      <w:lvlText w:val=""/>
      <w:lvlJc w:val="left"/>
      <w:pPr>
        <w:ind w:left="8594" w:hanging="360"/>
      </w:pPr>
      <w:rPr>
        <w:rFonts w:ascii="Symbol" w:hAnsi="Symbol" w:hint="default"/>
      </w:rPr>
    </w:lvl>
    <w:lvl w:ilvl="7" w:tplc="08090003" w:tentative="1">
      <w:start w:val="1"/>
      <w:numFmt w:val="bullet"/>
      <w:lvlText w:val="o"/>
      <w:lvlJc w:val="left"/>
      <w:pPr>
        <w:ind w:left="9314" w:hanging="360"/>
      </w:pPr>
      <w:rPr>
        <w:rFonts w:ascii="Courier New" w:hAnsi="Courier New" w:cs="Courier New" w:hint="default"/>
      </w:rPr>
    </w:lvl>
    <w:lvl w:ilvl="8" w:tplc="08090005" w:tentative="1">
      <w:start w:val="1"/>
      <w:numFmt w:val="bullet"/>
      <w:lvlText w:val=""/>
      <w:lvlJc w:val="left"/>
      <w:pPr>
        <w:ind w:left="10034" w:hanging="360"/>
      </w:pPr>
      <w:rPr>
        <w:rFonts w:ascii="Wingdings" w:hAnsi="Wingdings" w:hint="default"/>
      </w:rPr>
    </w:lvl>
  </w:abstractNum>
  <w:abstractNum w:abstractNumId="2" w15:restartNumberingAfterBreak="0">
    <w:nsid w:val="031D0F3F"/>
    <w:multiLevelType w:val="hybridMultilevel"/>
    <w:tmpl w:val="F58695E2"/>
    <w:lvl w:ilvl="0" w:tplc="7E38AD90">
      <w:start w:val="6"/>
      <w:numFmt w:val="bullet"/>
      <w:lvlText w:val="-"/>
      <w:lvlJc w:val="left"/>
      <w:pPr>
        <w:ind w:left="2310" w:hanging="360"/>
      </w:pPr>
      <w:rPr>
        <w:rFonts w:ascii="Times New Roman" w:eastAsia="Times New Roman" w:hAnsi="Times New Roman" w:cs="Times New Roman"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3" w15:restartNumberingAfterBreak="0">
    <w:nsid w:val="0AC71A0F"/>
    <w:multiLevelType w:val="hybridMultilevel"/>
    <w:tmpl w:val="BB94A05A"/>
    <w:lvl w:ilvl="0" w:tplc="2C2E4B06">
      <w:start w:val="1"/>
      <w:numFmt w:val="decimal"/>
      <w:pStyle w:val="Style1"/>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46127"/>
    <w:multiLevelType w:val="multilevel"/>
    <w:tmpl w:val="9D0A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D520A"/>
    <w:multiLevelType w:val="multilevel"/>
    <w:tmpl w:val="33523A58"/>
    <w:lvl w:ilvl="0">
      <w:start w:val="1"/>
      <w:numFmt w:val="decimal"/>
      <w:lvlText w:val="(%1)"/>
      <w:lvlJc w:val="left"/>
      <w:pPr>
        <w:ind w:left="360" w:hanging="360"/>
      </w:pPr>
      <w:rPr>
        <w:rFonts w:cs="Times New Roman" w:hint="default"/>
        <w:i w:val="0"/>
        <w:sz w:val="24"/>
        <w:szCs w:val="24"/>
      </w:rPr>
    </w:lvl>
    <w:lvl w:ilvl="1">
      <w:start w:val="1"/>
      <w:numFmt w:val="none"/>
      <w:lvlText w:val="(1.1)"/>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2552BD7"/>
    <w:multiLevelType w:val="hybridMultilevel"/>
    <w:tmpl w:val="1A8834C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35ED0CC8"/>
    <w:multiLevelType w:val="multilevel"/>
    <w:tmpl w:val="20E8D2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EB6EC7"/>
    <w:multiLevelType w:val="hybridMultilevel"/>
    <w:tmpl w:val="16B2184E"/>
    <w:lvl w:ilvl="0" w:tplc="B7B65A5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3140961"/>
    <w:multiLevelType w:val="multilevel"/>
    <w:tmpl w:val="15EAF8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43C6C3C"/>
    <w:multiLevelType w:val="hybridMultilevel"/>
    <w:tmpl w:val="13ACEB32"/>
    <w:lvl w:ilvl="0" w:tplc="77E893B2">
      <w:start w:val="1"/>
      <w:numFmt w:val="lowerRoman"/>
      <w:lvlText w:val="(%1)"/>
      <w:lvlJc w:val="left"/>
      <w:pPr>
        <w:ind w:left="1004"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B771D"/>
    <w:multiLevelType w:val="hybridMultilevel"/>
    <w:tmpl w:val="F2F2EBCC"/>
    <w:lvl w:ilvl="0" w:tplc="5D9CC03A">
      <w:start w:val="1"/>
      <w:numFmt w:val="decimal"/>
      <w:lvlText w:val="%1."/>
      <w:lvlJc w:val="left"/>
      <w:pPr>
        <w:ind w:left="644" w:hanging="360"/>
      </w:pPr>
      <w:rPr>
        <w:rFonts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C0176B1"/>
    <w:multiLevelType w:val="hybridMultilevel"/>
    <w:tmpl w:val="46A0C112"/>
    <w:lvl w:ilvl="0" w:tplc="70FE5A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D706F6"/>
    <w:multiLevelType w:val="hybridMultilevel"/>
    <w:tmpl w:val="99501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EB1295"/>
    <w:multiLevelType w:val="multilevel"/>
    <w:tmpl w:val="274E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B7235"/>
    <w:multiLevelType w:val="hybridMultilevel"/>
    <w:tmpl w:val="F5486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554EE"/>
    <w:multiLevelType w:val="multilevel"/>
    <w:tmpl w:val="FF8A0D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EE4C2D"/>
    <w:multiLevelType w:val="hybridMultilevel"/>
    <w:tmpl w:val="52B8EFE0"/>
    <w:lvl w:ilvl="0" w:tplc="3718149E">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92402"/>
    <w:multiLevelType w:val="multilevel"/>
    <w:tmpl w:val="478C1B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8478E0"/>
    <w:multiLevelType w:val="multilevel"/>
    <w:tmpl w:val="50123F9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iCs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15:restartNumberingAfterBreak="0">
    <w:nsid w:val="6B4E5866"/>
    <w:multiLevelType w:val="multilevel"/>
    <w:tmpl w:val="8E56110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B8651B4"/>
    <w:multiLevelType w:val="multilevel"/>
    <w:tmpl w:val="45BA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355B2"/>
    <w:multiLevelType w:val="multilevel"/>
    <w:tmpl w:val="2280F8E6"/>
    <w:lvl w:ilvl="0">
      <w:start w:val="1"/>
      <w:numFmt w:val="decimal"/>
      <w:lvlText w:val="%1."/>
      <w:lvlJc w:val="left"/>
      <w:pPr>
        <w:ind w:left="720" w:hanging="360"/>
      </w:pPr>
      <w:rPr>
        <w:rFonts w:hint="default"/>
        <w:i/>
        <w:sz w:val="24"/>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AA7689"/>
    <w:multiLevelType w:val="multilevel"/>
    <w:tmpl w:val="90E4ED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B1B12AA"/>
    <w:multiLevelType w:val="multilevel"/>
    <w:tmpl w:val="4AFC39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93747294">
    <w:abstractNumId w:val="21"/>
  </w:num>
  <w:num w:numId="2" w16cid:durableId="1116101088">
    <w:abstractNumId w:val="4"/>
  </w:num>
  <w:num w:numId="3" w16cid:durableId="649091324">
    <w:abstractNumId w:val="14"/>
  </w:num>
  <w:num w:numId="4" w16cid:durableId="779883302">
    <w:abstractNumId w:val="1"/>
  </w:num>
  <w:num w:numId="5" w16cid:durableId="314380250">
    <w:abstractNumId w:val="2"/>
  </w:num>
  <w:num w:numId="6" w16cid:durableId="1143162993">
    <w:abstractNumId w:val="20"/>
  </w:num>
  <w:num w:numId="7" w16cid:durableId="937181207">
    <w:abstractNumId w:val="18"/>
  </w:num>
  <w:num w:numId="8" w16cid:durableId="202401301">
    <w:abstractNumId w:val="19"/>
  </w:num>
  <w:num w:numId="9" w16cid:durableId="1430001236">
    <w:abstractNumId w:val="16"/>
  </w:num>
  <w:num w:numId="10" w16cid:durableId="1539973116">
    <w:abstractNumId w:val="24"/>
  </w:num>
  <w:num w:numId="11" w16cid:durableId="1217468615">
    <w:abstractNumId w:val="7"/>
  </w:num>
  <w:num w:numId="12" w16cid:durableId="1889950982">
    <w:abstractNumId w:val="15"/>
  </w:num>
  <w:num w:numId="13" w16cid:durableId="647708981">
    <w:abstractNumId w:val="6"/>
  </w:num>
  <w:num w:numId="14" w16cid:durableId="1732969154">
    <w:abstractNumId w:val="10"/>
  </w:num>
  <w:num w:numId="15" w16cid:durableId="859002961">
    <w:abstractNumId w:val="0"/>
  </w:num>
  <w:num w:numId="16" w16cid:durableId="1955405229">
    <w:abstractNumId w:val="12"/>
  </w:num>
  <w:num w:numId="17" w16cid:durableId="1974675669">
    <w:abstractNumId w:val="3"/>
  </w:num>
  <w:num w:numId="18" w16cid:durableId="1793329918">
    <w:abstractNumId w:val="3"/>
  </w:num>
  <w:num w:numId="19" w16cid:durableId="724111333">
    <w:abstractNumId w:val="3"/>
  </w:num>
  <w:num w:numId="20" w16cid:durableId="242954961">
    <w:abstractNumId w:val="3"/>
  </w:num>
  <w:num w:numId="21" w16cid:durableId="1243832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2334659">
    <w:abstractNumId w:val="17"/>
  </w:num>
  <w:num w:numId="23" w16cid:durableId="1929196215">
    <w:abstractNumId w:val="22"/>
  </w:num>
  <w:num w:numId="24" w16cid:durableId="1428689998">
    <w:abstractNumId w:val="9"/>
  </w:num>
  <w:num w:numId="25" w16cid:durableId="542863449">
    <w:abstractNumId w:val="11"/>
  </w:num>
  <w:num w:numId="26" w16cid:durableId="306785552">
    <w:abstractNumId w:val="3"/>
  </w:num>
  <w:num w:numId="27" w16cid:durableId="1016734480">
    <w:abstractNumId w:val="13"/>
  </w:num>
  <w:num w:numId="28" w16cid:durableId="182942671">
    <w:abstractNumId w:val="3"/>
    <w:lvlOverride w:ilvl="0">
      <w:startOverride w:val="5"/>
    </w:lvlOverride>
  </w:num>
  <w:num w:numId="29" w16cid:durableId="815414738">
    <w:abstractNumId w:val="3"/>
    <w:lvlOverride w:ilvl="0">
      <w:startOverride w:val="3"/>
    </w:lvlOverride>
  </w:num>
  <w:num w:numId="30" w16cid:durableId="803740701">
    <w:abstractNumId w:val="23"/>
  </w:num>
  <w:num w:numId="31" w16cid:durableId="811169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MzIyMze1MDAzNTFT0lEKTi0uzszPAykwtqwFANuaZLYtAAAA"/>
  </w:docVars>
  <w:rsids>
    <w:rsidRoot w:val="00B35136"/>
    <w:rsid w:val="00000337"/>
    <w:rsid w:val="0000078D"/>
    <w:rsid w:val="00001099"/>
    <w:rsid w:val="000016D2"/>
    <w:rsid w:val="000016D4"/>
    <w:rsid w:val="000019DE"/>
    <w:rsid w:val="00003118"/>
    <w:rsid w:val="000032A8"/>
    <w:rsid w:val="00003410"/>
    <w:rsid w:val="000036C0"/>
    <w:rsid w:val="00004625"/>
    <w:rsid w:val="00004DEB"/>
    <w:rsid w:val="0000503F"/>
    <w:rsid w:val="00005108"/>
    <w:rsid w:val="00005414"/>
    <w:rsid w:val="000058F3"/>
    <w:rsid w:val="00005AB6"/>
    <w:rsid w:val="000066F7"/>
    <w:rsid w:val="00006EFD"/>
    <w:rsid w:val="00007495"/>
    <w:rsid w:val="000074A4"/>
    <w:rsid w:val="000075AD"/>
    <w:rsid w:val="00007CB9"/>
    <w:rsid w:val="00007D0C"/>
    <w:rsid w:val="00010798"/>
    <w:rsid w:val="00010D05"/>
    <w:rsid w:val="00010F36"/>
    <w:rsid w:val="000110BC"/>
    <w:rsid w:val="00011216"/>
    <w:rsid w:val="00011385"/>
    <w:rsid w:val="00011C57"/>
    <w:rsid w:val="00011FD0"/>
    <w:rsid w:val="00012D3A"/>
    <w:rsid w:val="00013473"/>
    <w:rsid w:val="000135E7"/>
    <w:rsid w:val="000146A1"/>
    <w:rsid w:val="00014841"/>
    <w:rsid w:val="00015CB1"/>
    <w:rsid w:val="00015EC5"/>
    <w:rsid w:val="00016C80"/>
    <w:rsid w:val="00016F5F"/>
    <w:rsid w:val="00017A7B"/>
    <w:rsid w:val="00017C04"/>
    <w:rsid w:val="00017CC0"/>
    <w:rsid w:val="000204D2"/>
    <w:rsid w:val="00020FBB"/>
    <w:rsid w:val="0002162E"/>
    <w:rsid w:val="00021828"/>
    <w:rsid w:val="0002185B"/>
    <w:rsid w:val="00021F87"/>
    <w:rsid w:val="000223EF"/>
    <w:rsid w:val="00022C24"/>
    <w:rsid w:val="00022E3C"/>
    <w:rsid w:val="000231D4"/>
    <w:rsid w:val="00023367"/>
    <w:rsid w:val="00023809"/>
    <w:rsid w:val="00023AD0"/>
    <w:rsid w:val="00023CB5"/>
    <w:rsid w:val="00024404"/>
    <w:rsid w:val="00024692"/>
    <w:rsid w:val="00024F00"/>
    <w:rsid w:val="000255FC"/>
    <w:rsid w:val="00025988"/>
    <w:rsid w:val="00025E14"/>
    <w:rsid w:val="00026258"/>
    <w:rsid w:val="000262BE"/>
    <w:rsid w:val="000262F8"/>
    <w:rsid w:val="00026458"/>
    <w:rsid w:val="00027575"/>
    <w:rsid w:val="00027B46"/>
    <w:rsid w:val="00027C43"/>
    <w:rsid w:val="00030173"/>
    <w:rsid w:val="00030859"/>
    <w:rsid w:val="00030EA0"/>
    <w:rsid w:val="000311A6"/>
    <w:rsid w:val="00031656"/>
    <w:rsid w:val="0003179F"/>
    <w:rsid w:val="00031998"/>
    <w:rsid w:val="00031ACF"/>
    <w:rsid w:val="00031C21"/>
    <w:rsid w:val="00031CE5"/>
    <w:rsid w:val="000320D3"/>
    <w:rsid w:val="00032333"/>
    <w:rsid w:val="00032BFB"/>
    <w:rsid w:val="00032D04"/>
    <w:rsid w:val="0003364E"/>
    <w:rsid w:val="0003421E"/>
    <w:rsid w:val="00034460"/>
    <w:rsid w:val="0003463F"/>
    <w:rsid w:val="00034BF8"/>
    <w:rsid w:val="00034D4A"/>
    <w:rsid w:val="00034FB4"/>
    <w:rsid w:val="000351BE"/>
    <w:rsid w:val="00035704"/>
    <w:rsid w:val="000360F8"/>
    <w:rsid w:val="00037013"/>
    <w:rsid w:val="000372DC"/>
    <w:rsid w:val="000373C9"/>
    <w:rsid w:val="00037D68"/>
    <w:rsid w:val="00040050"/>
    <w:rsid w:val="0004050C"/>
    <w:rsid w:val="0004073B"/>
    <w:rsid w:val="0004103D"/>
    <w:rsid w:val="000413C9"/>
    <w:rsid w:val="00041522"/>
    <w:rsid w:val="00041916"/>
    <w:rsid w:val="00041C0B"/>
    <w:rsid w:val="00041EEC"/>
    <w:rsid w:val="000420DC"/>
    <w:rsid w:val="00042320"/>
    <w:rsid w:val="000427B7"/>
    <w:rsid w:val="00043222"/>
    <w:rsid w:val="000432CE"/>
    <w:rsid w:val="000432DE"/>
    <w:rsid w:val="00043AFB"/>
    <w:rsid w:val="00043F41"/>
    <w:rsid w:val="000442D0"/>
    <w:rsid w:val="00044367"/>
    <w:rsid w:val="000445FA"/>
    <w:rsid w:val="00044BD3"/>
    <w:rsid w:val="00044BDB"/>
    <w:rsid w:val="00044E75"/>
    <w:rsid w:val="00045419"/>
    <w:rsid w:val="000456C5"/>
    <w:rsid w:val="0004587B"/>
    <w:rsid w:val="00045CB6"/>
    <w:rsid w:val="0004664A"/>
    <w:rsid w:val="00046731"/>
    <w:rsid w:val="00046776"/>
    <w:rsid w:val="00046A65"/>
    <w:rsid w:val="00046BB9"/>
    <w:rsid w:val="00047DE5"/>
    <w:rsid w:val="00047E1C"/>
    <w:rsid w:val="0005045F"/>
    <w:rsid w:val="00050725"/>
    <w:rsid w:val="00050A90"/>
    <w:rsid w:val="00050FF4"/>
    <w:rsid w:val="00051796"/>
    <w:rsid w:val="00051BB0"/>
    <w:rsid w:val="00051BC3"/>
    <w:rsid w:val="00051D95"/>
    <w:rsid w:val="00051E3A"/>
    <w:rsid w:val="00052531"/>
    <w:rsid w:val="0005292E"/>
    <w:rsid w:val="00052DE7"/>
    <w:rsid w:val="00053158"/>
    <w:rsid w:val="000532C5"/>
    <w:rsid w:val="000536FE"/>
    <w:rsid w:val="00053C1A"/>
    <w:rsid w:val="00054130"/>
    <w:rsid w:val="00054678"/>
    <w:rsid w:val="00055570"/>
    <w:rsid w:val="00056040"/>
    <w:rsid w:val="00056333"/>
    <w:rsid w:val="000566ED"/>
    <w:rsid w:val="000569B8"/>
    <w:rsid w:val="00056C68"/>
    <w:rsid w:val="00056DB9"/>
    <w:rsid w:val="00057609"/>
    <w:rsid w:val="000579B4"/>
    <w:rsid w:val="00060098"/>
    <w:rsid w:val="0006027C"/>
    <w:rsid w:val="000603CC"/>
    <w:rsid w:val="000608BC"/>
    <w:rsid w:val="00061030"/>
    <w:rsid w:val="00061AAA"/>
    <w:rsid w:val="00061D64"/>
    <w:rsid w:val="000625AA"/>
    <w:rsid w:val="00062731"/>
    <w:rsid w:val="00062A4D"/>
    <w:rsid w:val="000632C9"/>
    <w:rsid w:val="0006342D"/>
    <w:rsid w:val="000638E4"/>
    <w:rsid w:val="00063AA7"/>
    <w:rsid w:val="00063F47"/>
    <w:rsid w:val="000640DA"/>
    <w:rsid w:val="000642E3"/>
    <w:rsid w:val="00064615"/>
    <w:rsid w:val="00064E0B"/>
    <w:rsid w:val="00064E4F"/>
    <w:rsid w:val="00064FE0"/>
    <w:rsid w:val="00065CBD"/>
    <w:rsid w:val="00065D9E"/>
    <w:rsid w:val="00066072"/>
    <w:rsid w:val="000660E7"/>
    <w:rsid w:val="00066ABC"/>
    <w:rsid w:val="00067136"/>
    <w:rsid w:val="000674E2"/>
    <w:rsid w:val="00067893"/>
    <w:rsid w:val="000678B4"/>
    <w:rsid w:val="000679DD"/>
    <w:rsid w:val="00067C06"/>
    <w:rsid w:val="00067E0D"/>
    <w:rsid w:val="00067FF7"/>
    <w:rsid w:val="00070029"/>
    <w:rsid w:val="000702C4"/>
    <w:rsid w:val="00070A0C"/>
    <w:rsid w:val="00070E7F"/>
    <w:rsid w:val="000719E4"/>
    <w:rsid w:val="0007217F"/>
    <w:rsid w:val="00072616"/>
    <w:rsid w:val="00072700"/>
    <w:rsid w:val="00072BFB"/>
    <w:rsid w:val="000730EF"/>
    <w:rsid w:val="000731B8"/>
    <w:rsid w:val="0007332E"/>
    <w:rsid w:val="000737ED"/>
    <w:rsid w:val="00073964"/>
    <w:rsid w:val="00074332"/>
    <w:rsid w:val="0007451C"/>
    <w:rsid w:val="000747A1"/>
    <w:rsid w:val="00074D53"/>
    <w:rsid w:val="0007606C"/>
    <w:rsid w:val="000768D7"/>
    <w:rsid w:val="00076906"/>
    <w:rsid w:val="00076CDB"/>
    <w:rsid w:val="00076EEC"/>
    <w:rsid w:val="000770F5"/>
    <w:rsid w:val="00077257"/>
    <w:rsid w:val="000777D6"/>
    <w:rsid w:val="00077A12"/>
    <w:rsid w:val="00077E09"/>
    <w:rsid w:val="000800FD"/>
    <w:rsid w:val="00080302"/>
    <w:rsid w:val="000807C8"/>
    <w:rsid w:val="000808E7"/>
    <w:rsid w:val="00080BEB"/>
    <w:rsid w:val="00081179"/>
    <w:rsid w:val="000814C1"/>
    <w:rsid w:val="00081966"/>
    <w:rsid w:val="00081B23"/>
    <w:rsid w:val="000822B5"/>
    <w:rsid w:val="0008247D"/>
    <w:rsid w:val="00082D60"/>
    <w:rsid w:val="00082F73"/>
    <w:rsid w:val="00083348"/>
    <w:rsid w:val="00083674"/>
    <w:rsid w:val="000839E4"/>
    <w:rsid w:val="000846ED"/>
    <w:rsid w:val="0008472C"/>
    <w:rsid w:val="00084772"/>
    <w:rsid w:val="00085074"/>
    <w:rsid w:val="00085827"/>
    <w:rsid w:val="00086DB0"/>
    <w:rsid w:val="00086E69"/>
    <w:rsid w:val="00087028"/>
    <w:rsid w:val="0008704A"/>
    <w:rsid w:val="000873A6"/>
    <w:rsid w:val="00087502"/>
    <w:rsid w:val="0009009B"/>
    <w:rsid w:val="000907A4"/>
    <w:rsid w:val="000909E6"/>
    <w:rsid w:val="000919AA"/>
    <w:rsid w:val="00091EAE"/>
    <w:rsid w:val="00091ECC"/>
    <w:rsid w:val="00092B9C"/>
    <w:rsid w:val="00092C76"/>
    <w:rsid w:val="00092D14"/>
    <w:rsid w:val="00093A5A"/>
    <w:rsid w:val="00093D0F"/>
    <w:rsid w:val="000940E3"/>
    <w:rsid w:val="000948FD"/>
    <w:rsid w:val="00094DB7"/>
    <w:rsid w:val="000953AE"/>
    <w:rsid w:val="00095424"/>
    <w:rsid w:val="0009596C"/>
    <w:rsid w:val="00095FD9"/>
    <w:rsid w:val="000964F3"/>
    <w:rsid w:val="00097173"/>
    <w:rsid w:val="000A0C85"/>
    <w:rsid w:val="000A0DF9"/>
    <w:rsid w:val="000A12D6"/>
    <w:rsid w:val="000A13EF"/>
    <w:rsid w:val="000A16A6"/>
    <w:rsid w:val="000A19B4"/>
    <w:rsid w:val="000A2481"/>
    <w:rsid w:val="000A25D8"/>
    <w:rsid w:val="000A25E0"/>
    <w:rsid w:val="000A277D"/>
    <w:rsid w:val="000A2AAA"/>
    <w:rsid w:val="000A2CD0"/>
    <w:rsid w:val="000A2E82"/>
    <w:rsid w:val="000A2E98"/>
    <w:rsid w:val="000A2EA1"/>
    <w:rsid w:val="000A30DA"/>
    <w:rsid w:val="000A32CE"/>
    <w:rsid w:val="000A3732"/>
    <w:rsid w:val="000A4719"/>
    <w:rsid w:val="000A47E5"/>
    <w:rsid w:val="000A4833"/>
    <w:rsid w:val="000A48BE"/>
    <w:rsid w:val="000A51BB"/>
    <w:rsid w:val="000A6BBB"/>
    <w:rsid w:val="000A78AE"/>
    <w:rsid w:val="000A7D4D"/>
    <w:rsid w:val="000A7DAF"/>
    <w:rsid w:val="000B058D"/>
    <w:rsid w:val="000B0B60"/>
    <w:rsid w:val="000B0C66"/>
    <w:rsid w:val="000B0E93"/>
    <w:rsid w:val="000B1008"/>
    <w:rsid w:val="000B1D27"/>
    <w:rsid w:val="000B200C"/>
    <w:rsid w:val="000B2314"/>
    <w:rsid w:val="000B2A0A"/>
    <w:rsid w:val="000B2D4B"/>
    <w:rsid w:val="000B32CA"/>
    <w:rsid w:val="000B48DD"/>
    <w:rsid w:val="000B4F4C"/>
    <w:rsid w:val="000B5A9E"/>
    <w:rsid w:val="000B5F86"/>
    <w:rsid w:val="000B61DE"/>
    <w:rsid w:val="000B6478"/>
    <w:rsid w:val="000B678A"/>
    <w:rsid w:val="000B6E96"/>
    <w:rsid w:val="000B6EAC"/>
    <w:rsid w:val="000B7505"/>
    <w:rsid w:val="000B7681"/>
    <w:rsid w:val="000B7770"/>
    <w:rsid w:val="000C16FE"/>
    <w:rsid w:val="000C1ED4"/>
    <w:rsid w:val="000C20BE"/>
    <w:rsid w:val="000C21D1"/>
    <w:rsid w:val="000C26A3"/>
    <w:rsid w:val="000C2B5E"/>
    <w:rsid w:val="000C314B"/>
    <w:rsid w:val="000C32DB"/>
    <w:rsid w:val="000C3E8A"/>
    <w:rsid w:val="000C3E8F"/>
    <w:rsid w:val="000C4BDE"/>
    <w:rsid w:val="000C4CEE"/>
    <w:rsid w:val="000C4D97"/>
    <w:rsid w:val="000C4FFE"/>
    <w:rsid w:val="000C52B5"/>
    <w:rsid w:val="000C5314"/>
    <w:rsid w:val="000C57AA"/>
    <w:rsid w:val="000C585E"/>
    <w:rsid w:val="000C5B68"/>
    <w:rsid w:val="000C68B4"/>
    <w:rsid w:val="000C69C4"/>
    <w:rsid w:val="000C6A0B"/>
    <w:rsid w:val="000C6FC7"/>
    <w:rsid w:val="000C7053"/>
    <w:rsid w:val="000C75F1"/>
    <w:rsid w:val="000C7BF3"/>
    <w:rsid w:val="000C7E61"/>
    <w:rsid w:val="000C7E7C"/>
    <w:rsid w:val="000D029C"/>
    <w:rsid w:val="000D0345"/>
    <w:rsid w:val="000D04AC"/>
    <w:rsid w:val="000D0B89"/>
    <w:rsid w:val="000D0FEF"/>
    <w:rsid w:val="000D1674"/>
    <w:rsid w:val="000D20F0"/>
    <w:rsid w:val="000D30EB"/>
    <w:rsid w:val="000D3CCA"/>
    <w:rsid w:val="000D3E49"/>
    <w:rsid w:val="000D3E9E"/>
    <w:rsid w:val="000D3EB8"/>
    <w:rsid w:val="000D43DD"/>
    <w:rsid w:val="000D4A8C"/>
    <w:rsid w:val="000D5D73"/>
    <w:rsid w:val="000D5EAD"/>
    <w:rsid w:val="000D5EDC"/>
    <w:rsid w:val="000D6092"/>
    <w:rsid w:val="000D6997"/>
    <w:rsid w:val="000D6D03"/>
    <w:rsid w:val="000E0AD9"/>
    <w:rsid w:val="000E1EE2"/>
    <w:rsid w:val="000E2360"/>
    <w:rsid w:val="000E25ED"/>
    <w:rsid w:val="000E2605"/>
    <w:rsid w:val="000E282B"/>
    <w:rsid w:val="000E283D"/>
    <w:rsid w:val="000E29E2"/>
    <w:rsid w:val="000E2DD6"/>
    <w:rsid w:val="000E2E3A"/>
    <w:rsid w:val="000E3191"/>
    <w:rsid w:val="000E372C"/>
    <w:rsid w:val="000E3817"/>
    <w:rsid w:val="000E39D6"/>
    <w:rsid w:val="000E3CAE"/>
    <w:rsid w:val="000E4389"/>
    <w:rsid w:val="000E43FC"/>
    <w:rsid w:val="000E4B1B"/>
    <w:rsid w:val="000E4CB6"/>
    <w:rsid w:val="000E4CDE"/>
    <w:rsid w:val="000E4CEA"/>
    <w:rsid w:val="000E5210"/>
    <w:rsid w:val="000E573F"/>
    <w:rsid w:val="000E5AF7"/>
    <w:rsid w:val="000E5C94"/>
    <w:rsid w:val="000E5F6D"/>
    <w:rsid w:val="000E61D9"/>
    <w:rsid w:val="000E653E"/>
    <w:rsid w:val="000E6637"/>
    <w:rsid w:val="000E73FA"/>
    <w:rsid w:val="000E78C6"/>
    <w:rsid w:val="000F04E4"/>
    <w:rsid w:val="000F052A"/>
    <w:rsid w:val="000F0580"/>
    <w:rsid w:val="000F0DAE"/>
    <w:rsid w:val="000F0EAC"/>
    <w:rsid w:val="000F1531"/>
    <w:rsid w:val="000F1B32"/>
    <w:rsid w:val="000F1BD7"/>
    <w:rsid w:val="000F1F18"/>
    <w:rsid w:val="000F2782"/>
    <w:rsid w:val="000F2974"/>
    <w:rsid w:val="000F314D"/>
    <w:rsid w:val="000F39A6"/>
    <w:rsid w:val="000F3B72"/>
    <w:rsid w:val="000F3CF7"/>
    <w:rsid w:val="000F3F4E"/>
    <w:rsid w:val="000F4E79"/>
    <w:rsid w:val="000F5570"/>
    <w:rsid w:val="000F560A"/>
    <w:rsid w:val="000F5783"/>
    <w:rsid w:val="000F5FB2"/>
    <w:rsid w:val="000F6005"/>
    <w:rsid w:val="000F6333"/>
    <w:rsid w:val="000F635D"/>
    <w:rsid w:val="000F6467"/>
    <w:rsid w:val="000F6555"/>
    <w:rsid w:val="000F6C55"/>
    <w:rsid w:val="000F6E8C"/>
    <w:rsid w:val="00100ECE"/>
    <w:rsid w:val="0010156B"/>
    <w:rsid w:val="001019BE"/>
    <w:rsid w:val="00101BC4"/>
    <w:rsid w:val="00101C9E"/>
    <w:rsid w:val="00101F54"/>
    <w:rsid w:val="001022E9"/>
    <w:rsid w:val="0010286A"/>
    <w:rsid w:val="00102DFD"/>
    <w:rsid w:val="00102E30"/>
    <w:rsid w:val="00102E80"/>
    <w:rsid w:val="00102ED7"/>
    <w:rsid w:val="00103BBA"/>
    <w:rsid w:val="00104338"/>
    <w:rsid w:val="0010455E"/>
    <w:rsid w:val="00104A45"/>
    <w:rsid w:val="00104A67"/>
    <w:rsid w:val="00104CFF"/>
    <w:rsid w:val="0010540D"/>
    <w:rsid w:val="001058FC"/>
    <w:rsid w:val="00106082"/>
    <w:rsid w:val="001060D5"/>
    <w:rsid w:val="0010654E"/>
    <w:rsid w:val="001068D1"/>
    <w:rsid w:val="00106ACE"/>
    <w:rsid w:val="00106DC0"/>
    <w:rsid w:val="00107A39"/>
    <w:rsid w:val="00107E97"/>
    <w:rsid w:val="00110737"/>
    <w:rsid w:val="0011097A"/>
    <w:rsid w:val="00110DA3"/>
    <w:rsid w:val="00111169"/>
    <w:rsid w:val="00111B6D"/>
    <w:rsid w:val="00111CE9"/>
    <w:rsid w:val="00111DD0"/>
    <w:rsid w:val="001124A5"/>
    <w:rsid w:val="001124F2"/>
    <w:rsid w:val="00112E76"/>
    <w:rsid w:val="00112EF2"/>
    <w:rsid w:val="0011429B"/>
    <w:rsid w:val="0011436E"/>
    <w:rsid w:val="00114A53"/>
    <w:rsid w:val="00114D1D"/>
    <w:rsid w:val="00115074"/>
    <w:rsid w:val="00115192"/>
    <w:rsid w:val="00115DD2"/>
    <w:rsid w:val="00116509"/>
    <w:rsid w:val="001168A2"/>
    <w:rsid w:val="00116F92"/>
    <w:rsid w:val="001171C8"/>
    <w:rsid w:val="00117677"/>
    <w:rsid w:val="001176C0"/>
    <w:rsid w:val="001176FF"/>
    <w:rsid w:val="001206B4"/>
    <w:rsid w:val="0012096A"/>
    <w:rsid w:val="00120B45"/>
    <w:rsid w:val="00120C47"/>
    <w:rsid w:val="00120E1B"/>
    <w:rsid w:val="00121928"/>
    <w:rsid w:val="00121B56"/>
    <w:rsid w:val="00121F23"/>
    <w:rsid w:val="00122486"/>
    <w:rsid w:val="001224A7"/>
    <w:rsid w:val="00122EB0"/>
    <w:rsid w:val="001235AA"/>
    <w:rsid w:val="00123B96"/>
    <w:rsid w:val="0012513F"/>
    <w:rsid w:val="0012547E"/>
    <w:rsid w:val="0012594D"/>
    <w:rsid w:val="00126013"/>
    <w:rsid w:val="0012652A"/>
    <w:rsid w:val="00126854"/>
    <w:rsid w:val="001269FE"/>
    <w:rsid w:val="00127001"/>
    <w:rsid w:val="00127010"/>
    <w:rsid w:val="00127739"/>
    <w:rsid w:val="00127D38"/>
    <w:rsid w:val="001301AD"/>
    <w:rsid w:val="001302ED"/>
    <w:rsid w:val="001306BC"/>
    <w:rsid w:val="00130CB2"/>
    <w:rsid w:val="00131179"/>
    <w:rsid w:val="001313CB"/>
    <w:rsid w:val="0013153F"/>
    <w:rsid w:val="001315DE"/>
    <w:rsid w:val="001326D5"/>
    <w:rsid w:val="00132850"/>
    <w:rsid w:val="001328C8"/>
    <w:rsid w:val="00132AA5"/>
    <w:rsid w:val="00132E38"/>
    <w:rsid w:val="00133109"/>
    <w:rsid w:val="001346B8"/>
    <w:rsid w:val="001346E2"/>
    <w:rsid w:val="00134703"/>
    <w:rsid w:val="00134A69"/>
    <w:rsid w:val="00135C9C"/>
    <w:rsid w:val="00136085"/>
    <w:rsid w:val="00136110"/>
    <w:rsid w:val="00136457"/>
    <w:rsid w:val="0013648E"/>
    <w:rsid w:val="00136AD9"/>
    <w:rsid w:val="00136C48"/>
    <w:rsid w:val="0013791A"/>
    <w:rsid w:val="00137A63"/>
    <w:rsid w:val="00137BF5"/>
    <w:rsid w:val="00137F3F"/>
    <w:rsid w:val="001403C2"/>
    <w:rsid w:val="0014059B"/>
    <w:rsid w:val="001409BE"/>
    <w:rsid w:val="00140A99"/>
    <w:rsid w:val="00140FDF"/>
    <w:rsid w:val="00142345"/>
    <w:rsid w:val="00142376"/>
    <w:rsid w:val="001423D3"/>
    <w:rsid w:val="001425A7"/>
    <w:rsid w:val="001430CE"/>
    <w:rsid w:val="001434F5"/>
    <w:rsid w:val="0014352B"/>
    <w:rsid w:val="001435B4"/>
    <w:rsid w:val="00144167"/>
    <w:rsid w:val="0014526A"/>
    <w:rsid w:val="001453CB"/>
    <w:rsid w:val="0014545F"/>
    <w:rsid w:val="00145662"/>
    <w:rsid w:val="00145CEA"/>
    <w:rsid w:val="00145D43"/>
    <w:rsid w:val="00145F3A"/>
    <w:rsid w:val="00146007"/>
    <w:rsid w:val="00146757"/>
    <w:rsid w:val="0014684F"/>
    <w:rsid w:val="001469E8"/>
    <w:rsid w:val="00146E43"/>
    <w:rsid w:val="00147214"/>
    <w:rsid w:val="001474C6"/>
    <w:rsid w:val="001478F9"/>
    <w:rsid w:val="0015009E"/>
    <w:rsid w:val="001500E1"/>
    <w:rsid w:val="001503BD"/>
    <w:rsid w:val="00150478"/>
    <w:rsid w:val="00150F5F"/>
    <w:rsid w:val="00150F91"/>
    <w:rsid w:val="00151175"/>
    <w:rsid w:val="0015118E"/>
    <w:rsid w:val="00151438"/>
    <w:rsid w:val="00151E2B"/>
    <w:rsid w:val="00151E5B"/>
    <w:rsid w:val="00151EDB"/>
    <w:rsid w:val="00151F8D"/>
    <w:rsid w:val="001526FF"/>
    <w:rsid w:val="00152F93"/>
    <w:rsid w:val="00153158"/>
    <w:rsid w:val="00153610"/>
    <w:rsid w:val="00153858"/>
    <w:rsid w:val="00153AB3"/>
    <w:rsid w:val="00154174"/>
    <w:rsid w:val="001545DA"/>
    <w:rsid w:val="00154ACF"/>
    <w:rsid w:val="00154CF4"/>
    <w:rsid w:val="001552E2"/>
    <w:rsid w:val="00155CFE"/>
    <w:rsid w:val="00155E04"/>
    <w:rsid w:val="00155F4E"/>
    <w:rsid w:val="001560F1"/>
    <w:rsid w:val="0015633D"/>
    <w:rsid w:val="00156449"/>
    <w:rsid w:val="001565BF"/>
    <w:rsid w:val="00156620"/>
    <w:rsid w:val="00157056"/>
    <w:rsid w:val="001578C1"/>
    <w:rsid w:val="00157943"/>
    <w:rsid w:val="001579C0"/>
    <w:rsid w:val="00157BEB"/>
    <w:rsid w:val="00157C2A"/>
    <w:rsid w:val="001601BC"/>
    <w:rsid w:val="001603A3"/>
    <w:rsid w:val="0016049E"/>
    <w:rsid w:val="00160E4E"/>
    <w:rsid w:val="00161075"/>
    <w:rsid w:val="001610A0"/>
    <w:rsid w:val="00161229"/>
    <w:rsid w:val="00161291"/>
    <w:rsid w:val="00161293"/>
    <w:rsid w:val="00161582"/>
    <w:rsid w:val="0016166B"/>
    <w:rsid w:val="001616CF"/>
    <w:rsid w:val="00161BF3"/>
    <w:rsid w:val="00162319"/>
    <w:rsid w:val="0016236B"/>
    <w:rsid w:val="0016323E"/>
    <w:rsid w:val="001633E5"/>
    <w:rsid w:val="00163A55"/>
    <w:rsid w:val="00163BF0"/>
    <w:rsid w:val="001645A6"/>
    <w:rsid w:val="001649BC"/>
    <w:rsid w:val="00164F74"/>
    <w:rsid w:val="001654D9"/>
    <w:rsid w:val="001657B3"/>
    <w:rsid w:val="00165BA0"/>
    <w:rsid w:val="0016621A"/>
    <w:rsid w:val="0016627F"/>
    <w:rsid w:val="00166888"/>
    <w:rsid w:val="00166B1B"/>
    <w:rsid w:val="00166BC5"/>
    <w:rsid w:val="00166CDE"/>
    <w:rsid w:val="00166F02"/>
    <w:rsid w:val="001670C9"/>
    <w:rsid w:val="00167819"/>
    <w:rsid w:val="001705C5"/>
    <w:rsid w:val="00170BD9"/>
    <w:rsid w:val="00170DAB"/>
    <w:rsid w:val="001715F5"/>
    <w:rsid w:val="001724C0"/>
    <w:rsid w:val="00172F26"/>
    <w:rsid w:val="00172FDF"/>
    <w:rsid w:val="00173B15"/>
    <w:rsid w:val="0017412F"/>
    <w:rsid w:val="00174A12"/>
    <w:rsid w:val="00175115"/>
    <w:rsid w:val="0017531C"/>
    <w:rsid w:val="00175702"/>
    <w:rsid w:val="00175F1F"/>
    <w:rsid w:val="001767C5"/>
    <w:rsid w:val="001769AD"/>
    <w:rsid w:val="00177372"/>
    <w:rsid w:val="00177818"/>
    <w:rsid w:val="00177F9A"/>
    <w:rsid w:val="00180229"/>
    <w:rsid w:val="00180655"/>
    <w:rsid w:val="00180ACD"/>
    <w:rsid w:val="00180B67"/>
    <w:rsid w:val="001812F9"/>
    <w:rsid w:val="001815A5"/>
    <w:rsid w:val="001816B2"/>
    <w:rsid w:val="00181BCA"/>
    <w:rsid w:val="00181DD2"/>
    <w:rsid w:val="00182612"/>
    <w:rsid w:val="001828C2"/>
    <w:rsid w:val="001829EB"/>
    <w:rsid w:val="00182D3E"/>
    <w:rsid w:val="001831D9"/>
    <w:rsid w:val="00183B96"/>
    <w:rsid w:val="00183C5E"/>
    <w:rsid w:val="001840AD"/>
    <w:rsid w:val="00184808"/>
    <w:rsid w:val="00184ECD"/>
    <w:rsid w:val="00184F07"/>
    <w:rsid w:val="001852EA"/>
    <w:rsid w:val="00185958"/>
    <w:rsid w:val="00185DEF"/>
    <w:rsid w:val="001863A3"/>
    <w:rsid w:val="0018684A"/>
    <w:rsid w:val="0018685F"/>
    <w:rsid w:val="00186AC6"/>
    <w:rsid w:val="00186F9C"/>
    <w:rsid w:val="0018734B"/>
    <w:rsid w:val="001879D3"/>
    <w:rsid w:val="00187D10"/>
    <w:rsid w:val="0019065A"/>
    <w:rsid w:val="001908A3"/>
    <w:rsid w:val="00191CE9"/>
    <w:rsid w:val="00191EAE"/>
    <w:rsid w:val="00191F22"/>
    <w:rsid w:val="00192195"/>
    <w:rsid w:val="0019247B"/>
    <w:rsid w:val="0019249D"/>
    <w:rsid w:val="00192C7C"/>
    <w:rsid w:val="0019308A"/>
    <w:rsid w:val="00193090"/>
    <w:rsid w:val="00193A45"/>
    <w:rsid w:val="00193C29"/>
    <w:rsid w:val="0019412C"/>
    <w:rsid w:val="001941DB"/>
    <w:rsid w:val="00194D3A"/>
    <w:rsid w:val="001952BD"/>
    <w:rsid w:val="00195A2E"/>
    <w:rsid w:val="00195B9A"/>
    <w:rsid w:val="00195D7B"/>
    <w:rsid w:val="001963EA"/>
    <w:rsid w:val="00196593"/>
    <w:rsid w:val="00196B8D"/>
    <w:rsid w:val="00196EC5"/>
    <w:rsid w:val="00196F57"/>
    <w:rsid w:val="0019787E"/>
    <w:rsid w:val="001A06A5"/>
    <w:rsid w:val="001A087C"/>
    <w:rsid w:val="001A0AE5"/>
    <w:rsid w:val="001A0C96"/>
    <w:rsid w:val="001A126E"/>
    <w:rsid w:val="001A25C3"/>
    <w:rsid w:val="001A2700"/>
    <w:rsid w:val="001A2767"/>
    <w:rsid w:val="001A2C40"/>
    <w:rsid w:val="001A3158"/>
    <w:rsid w:val="001A3B11"/>
    <w:rsid w:val="001A3F88"/>
    <w:rsid w:val="001A45C8"/>
    <w:rsid w:val="001A4615"/>
    <w:rsid w:val="001A4DB9"/>
    <w:rsid w:val="001A513C"/>
    <w:rsid w:val="001A5A90"/>
    <w:rsid w:val="001A5B86"/>
    <w:rsid w:val="001A5F11"/>
    <w:rsid w:val="001A6956"/>
    <w:rsid w:val="001A753E"/>
    <w:rsid w:val="001A776C"/>
    <w:rsid w:val="001B07D9"/>
    <w:rsid w:val="001B082A"/>
    <w:rsid w:val="001B0C77"/>
    <w:rsid w:val="001B145F"/>
    <w:rsid w:val="001B1541"/>
    <w:rsid w:val="001B15B8"/>
    <w:rsid w:val="001B2298"/>
    <w:rsid w:val="001B2841"/>
    <w:rsid w:val="001B29AB"/>
    <w:rsid w:val="001B2BC4"/>
    <w:rsid w:val="001B2BD9"/>
    <w:rsid w:val="001B2E5E"/>
    <w:rsid w:val="001B3E9A"/>
    <w:rsid w:val="001B409C"/>
    <w:rsid w:val="001B433C"/>
    <w:rsid w:val="001B4BCB"/>
    <w:rsid w:val="001B4D13"/>
    <w:rsid w:val="001B50C3"/>
    <w:rsid w:val="001B5522"/>
    <w:rsid w:val="001B5875"/>
    <w:rsid w:val="001B59E2"/>
    <w:rsid w:val="001B5C0D"/>
    <w:rsid w:val="001B5EDE"/>
    <w:rsid w:val="001B62C0"/>
    <w:rsid w:val="001B65B9"/>
    <w:rsid w:val="001B6BFF"/>
    <w:rsid w:val="001B6C2C"/>
    <w:rsid w:val="001B6E83"/>
    <w:rsid w:val="001B7021"/>
    <w:rsid w:val="001B73F8"/>
    <w:rsid w:val="001B7ADA"/>
    <w:rsid w:val="001B7E4D"/>
    <w:rsid w:val="001C0DF9"/>
    <w:rsid w:val="001C1E31"/>
    <w:rsid w:val="001C20EB"/>
    <w:rsid w:val="001C23B3"/>
    <w:rsid w:val="001C245C"/>
    <w:rsid w:val="001C2866"/>
    <w:rsid w:val="001C2A8C"/>
    <w:rsid w:val="001C2DAA"/>
    <w:rsid w:val="001C2EBE"/>
    <w:rsid w:val="001C3427"/>
    <w:rsid w:val="001C3765"/>
    <w:rsid w:val="001C3910"/>
    <w:rsid w:val="001C3E9D"/>
    <w:rsid w:val="001C4132"/>
    <w:rsid w:val="001C4A76"/>
    <w:rsid w:val="001C4CB7"/>
    <w:rsid w:val="001C4EDD"/>
    <w:rsid w:val="001C4FEE"/>
    <w:rsid w:val="001C517B"/>
    <w:rsid w:val="001C5463"/>
    <w:rsid w:val="001C5807"/>
    <w:rsid w:val="001C5867"/>
    <w:rsid w:val="001C6220"/>
    <w:rsid w:val="001C727C"/>
    <w:rsid w:val="001C73F4"/>
    <w:rsid w:val="001C7BBB"/>
    <w:rsid w:val="001D0662"/>
    <w:rsid w:val="001D0779"/>
    <w:rsid w:val="001D098C"/>
    <w:rsid w:val="001D0E44"/>
    <w:rsid w:val="001D1081"/>
    <w:rsid w:val="001D111F"/>
    <w:rsid w:val="001D1157"/>
    <w:rsid w:val="001D18C4"/>
    <w:rsid w:val="001D1983"/>
    <w:rsid w:val="001D1FD0"/>
    <w:rsid w:val="001D25DE"/>
    <w:rsid w:val="001D3399"/>
    <w:rsid w:val="001D36AC"/>
    <w:rsid w:val="001D3AAA"/>
    <w:rsid w:val="001D3B1D"/>
    <w:rsid w:val="001D46A9"/>
    <w:rsid w:val="001D485A"/>
    <w:rsid w:val="001D4C8A"/>
    <w:rsid w:val="001D4D68"/>
    <w:rsid w:val="001D50F1"/>
    <w:rsid w:val="001D51F7"/>
    <w:rsid w:val="001D52B7"/>
    <w:rsid w:val="001D56A0"/>
    <w:rsid w:val="001D5E08"/>
    <w:rsid w:val="001D7654"/>
    <w:rsid w:val="001E028E"/>
    <w:rsid w:val="001E0867"/>
    <w:rsid w:val="001E0B16"/>
    <w:rsid w:val="001E0BEF"/>
    <w:rsid w:val="001E155A"/>
    <w:rsid w:val="001E1AE1"/>
    <w:rsid w:val="001E219C"/>
    <w:rsid w:val="001E2370"/>
    <w:rsid w:val="001E2554"/>
    <w:rsid w:val="001E2C7A"/>
    <w:rsid w:val="001E2D2C"/>
    <w:rsid w:val="001E3402"/>
    <w:rsid w:val="001E371E"/>
    <w:rsid w:val="001E4C56"/>
    <w:rsid w:val="001E54F6"/>
    <w:rsid w:val="001E630E"/>
    <w:rsid w:val="001E6847"/>
    <w:rsid w:val="001E6B5C"/>
    <w:rsid w:val="001E6FAE"/>
    <w:rsid w:val="001E797C"/>
    <w:rsid w:val="001E798D"/>
    <w:rsid w:val="001F0158"/>
    <w:rsid w:val="001F0320"/>
    <w:rsid w:val="001F06C3"/>
    <w:rsid w:val="001F08EE"/>
    <w:rsid w:val="001F11B2"/>
    <w:rsid w:val="001F2087"/>
    <w:rsid w:val="001F23E6"/>
    <w:rsid w:val="001F2DAF"/>
    <w:rsid w:val="001F3871"/>
    <w:rsid w:val="001F393F"/>
    <w:rsid w:val="001F39E0"/>
    <w:rsid w:val="001F3BE9"/>
    <w:rsid w:val="001F3F64"/>
    <w:rsid w:val="001F3F6B"/>
    <w:rsid w:val="001F3F84"/>
    <w:rsid w:val="001F4073"/>
    <w:rsid w:val="001F42F7"/>
    <w:rsid w:val="001F46A6"/>
    <w:rsid w:val="001F4875"/>
    <w:rsid w:val="001F4B83"/>
    <w:rsid w:val="001F534C"/>
    <w:rsid w:val="001F5EE7"/>
    <w:rsid w:val="001F6951"/>
    <w:rsid w:val="001F6C45"/>
    <w:rsid w:val="001F6D1E"/>
    <w:rsid w:val="001F6F8A"/>
    <w:rsid w:val="001F712E"/>
    <w:rsid w:val="001F7682"/>
    <w:rsid w:val="001F78FB"/>
    <w:rsid w:val="00200B8B"/>
    <w:rsid w:val="00200BBE"/>
    <w:rsid w:val="00200CD6"/>
    <w:rsid w:val="00201481"/>
    <w:rsid w:val="0020153D"/>
    <w:rsid w:val="002015EC"/>
    <w:rsid w:val="002017D2"/>
    <w:rsid w:val="002017E7"/>
    <w:rsid w:val="00201A21"/>
    <w:rsid w:val="00201E24"/>
    <w:rsid w:val="002024AD"/>
    <w:rsid w:val="002024CA"/>
    <w:rsid w:val="00202825"/>
    <w:rsid w:val="00202E55"/>
    <w:rsid w:val="002034CC"/>
    <w:rsid w:val="002035D3"/>
    <w:rsid w:val="0020390E"/>
    <w:rsid w:val="002039A6"/>
    <w:rsid w:val="00204114"/>
    <w:rsid w:val="0020416D"/>
    <w:rsid w:val="00204416"/>
    <w:rsid w:val="0020470F"/>
    <w:rsid w:val="00205A44"/>
    <w:rsid w:val="00205EC9"/>
    <w:rsid w:val="00205FD0"/>
    <w:rsid w:val="00206AFA"/>
    <w:rsid w:val="00206C4B"/>
    <w:rsid w:val="00206E1B"/>
    <w:rsid w:val="00206FAD"/>
    <w:rsid w:val="002071D8"/>
    <w:rsid w:val="00207A21"/>
    <w:rsid w:val="00207C9F"/>
    <w:rsid w:val="002100D4"/>
    <w:rsid w:val="00210453"/>
    <w:rsid w:val="00210CEC"/>
    <w:rsid w:val="00210DCA"/>
    <w:rsid w:val="002111A9"/>
    <w:rsid w:val="00211D00"/>
    <w:rsid w:val="002121F3"/>
    <w:rsid w:val="00212217"/>
    <w:rsid w:val="002123DD"/>
    <w:rsid w:val="00212B1D"/>
    <w:rsid w:val="00212EE6"/>
    <w:rsid w:val="00213024"/>
    <w:rsid w:val="002132B3"/>
    <w:rsid w:val="002133A0"/>
    <w:rsid w:val="0021358F"/>
    <w:rsid w:val="002143AD"/>
    <w:rsid w:val="00214773"/>
    <w:rsid w:val="00214827"/>
    <w:rsid w:val="00214931"/>
    <w:rsid w:val="00214FC4"/>
    <w:rsid w:val="0021587F"/>
    <w:rsid w:val="00215899"/>
    <w:rsid w:val="00215B25"/>
    <w:rsid w:val="002165E7"/>
    <w:rsid w:val="002166E7"/>
    <w:rsid w:val="00216F4F"/>
    <w:rsid w:val="00216FCF"/>
    <w:rsid w:val="002172B9"/>
    <w:rsid w:val="00217481"/>
    <w:rsid w:val="00217581"/>
    <w:rsid w:val="00217709"/>
    <w:rsid w:val="002177D5"/>
    <w:rsid w:val="00217DD9"/>
    <w:rsid w:val="00217E38"/>
    <w:rsid w:val="0022040D"/>
    <w:rsid w:val="0022091C"/>
    <w:rsid w:val="00220DD7"/>
    <w:rsid w:val="00221362"/>
    <w:rsid w:val="0022146D"/>
    <w:rsid w:val="00222251"/>
    <w:rsid w:val="00222F90"/>
    <w:rsid w:val="002231E6"/>
    <w:rsid w:val="0022360A"/>
    <w:rsid w:val="00224454"/>
    <w:rsid w:val="0022496A"/>
    <w:rsid w:val="00224D7F"/>
    <w:rsid w:val="00224F9C"/>
    <w:rsid w:val="0022581B"/>
    <w:rsid w:val="00225B1C"/>
    <w:rsid w:val="00226FCB"/>
    <w:rsid w:val="00227FE7"/>
    <w:rsid w:val="00230BB7"/>
    <w:rsid w:val="002312A1"/>
    <w:rsid w:val="0023171F"/>
    <w:rsid w:val="00231739"/>
    <w:rsid w:val="002322FA"/>
    <w:rsid w:val="00232693"/>
    <w:rsid w:val="002327FB"/>
    <w:rsid w:val="0023298B"/>
    <w:rsid w:val="0023330B"/>
    <w:rsid w:val="002334B6"/>
    <w:rsid w:val="0023387C"/>
    <w:rsid w:val="0023396B"/>
    <w:rsid w:val="00233EE9"/>
    <w:rsid w:val="00234234"/>
    <w:rsid w:val="0023473F"/>
    <w:rsid w:val="00234A08"/>
    <w:rsid w:val="00234B71"/>
    <w:rsid w:val="00234B74"/>
    <w:rsid w:val="0023553C"/>
    <w:rsid w:val="002355C7"/>
    <w:rsid w:val="00235882"/>
    <w:rsid w:val="002364EE"/>
    <w:rsid w:val="002365EF"/>
    <w:rsid w:val="00236825"/>
    <w:rsid w:val="00237CEB"/>
    <w:rsid w:val="00237E04"/>
    <w:rsid w:val="00237EDD"/>
    <w:rsid w:val="0024058C"/>
    <w:rsid w:val="00240682"/>
    <w:rsid w:val="002407E6"/>
    <w:rsid w:val="002409E9"/>
    <w:rsid w:val="002413DA"/>
    <w:rsid w:val="00241B5C"/>
    <w:rsid w:val="00241B69"/>
    <w:rsid w:val="00243109"/>
    <w:rsid w:val="0024354B"/>
    <w:rsid w:val="002435D1"/>
    <w:rsid w:val="002439B7"/>
    <w:rsid w:val="00244947"/>
    <w:rsid w:val="00244D84"/>
    <w:rsid w:val="00244F55"/>
    <w:rsid w:val="002451E9"/>
    <w:rsid w:val="00245488"/>
    <w:rsid w:val="002456C3"/>
    <w:rsid w:val="00245F85"/>
    <w:rsid w:val="002461A0"/>
    <w:rsid w:val="00246D37"/>
    <w:rsid w:val="00246E4E"/>
    <w:rsid w:val="00247398"/>
    <w:rsid w:val="002479EC"/>
    <w:rsid w:val="00247BE5"/>
    <w:rsid w:val="0025049B"/>
    <w:rsid w:val="002504DA"/>
    <w:rsid w:val="00250872"/>
    <w:rsid w:val="00250B91"/>
    <w:rsid w:val="00251453"/>
    <w:rsid w:val="0025200D"/>
    <w:rsid w:val="002523AC"/>
    <w:rsid w:val="00252C7B"/>
    <w:rsid w:val="00253238"/>
    <w:rsid w:val="00253B90"/>
    <w:rsid w:val="00253D98"/>
    <w:rsid w:val="00253EC6"/>
    <w:rsid w:val="002546BC"/>
    <w:rsid w:val="002546F1"/>
    <w:rsid w:val="00254D3E"/>
    <w:rsid w:val="002551CF"/>
    <w:rsid w:val="0025574B"/>
    <w:rsid w:val="00256402"/>
    <w:rsid w:val="00256824"/>
    <w:rsid w:val="00256A02"/>
    <w:rsid w:val="00256DD9"/>
    <w:rsid w:val="00257AF6"/>
    <w:rsid w:val="00260551"/>
    <w:rsid w:val="00260F0F"/>
    <w:rsid w:val="002611DB"/>
    <w:rsid w:val="00261587"/>
    <w:rsid w:val="00261864"/>
    <w:rsid w:val="00261A0C"/>
    <w:rsid w:val="00261A88"/>
    <w:rsid w:val="00261DD1"/>
    <w:rsid w:val="002629A4"/>
    <w:rsid w:val="00263017"/>
    <w:rsid w:val="002634FC"/>
    <w:rsid w:val="00263872"/>
    <w:rsid w:val="00263C41"/>
    <w:rsid w:val="00263D10"/>
    <w:rsid w:val="00263F16"/>
    <w:rsid w:val="002640FA"/>
    <w:rsid w:val="002649D0"/>
    <w:rsid w:val="002649F9"/>
    <w:rsid w:val="00264BDE"/>
    <w:rsid w:val="00265412"/>
    <w:rsid w:val="00265E2E"/>
    <w:rsid w:val="0026600D"/>
    <w:rsid w:val="00266048"/>
    <w:rsid w:val="0026613E"/>
    <w:rsid w:val="00266302"/>
    <w:rsid w:val="002663A9"/>
    <w:rsid w:val="002665A3"/>
    <w:rsid w:val="00266BDC"/>
    <w:rsid w:val="00266C53"/>
    <w:rsid w:val="00266C85"/>
    <w:rsid w:val="00267C8C"/>
    <w:rsid w:val="00270326"/>
    <w:rsid w:val="0027065A"/>
    <w:rsid w:val="00270887"/>
    <w:rsid w:val="002712C4"/>
    <w:rsid w:val="00271882"/>
    <w:rsid w:val="0027193D"/>
    <w:rsid w:val="00271943"/>
    <w:rsid w:val="00271E72"/>
    <w:rsid w:val="00271FB7"/>
    <w:rsid w:val="002726FF"/>
    <w:rsid w:val="0027294F"/>
    <w:rsid w:val="002729E5"/>
    <w:rsid w:val="002732B2"/>
    <w:rsid w:val="00273688"/>
    <w:rsid w:val="0027375A"/>
    <w:rsid w:val="00273ACC"/>
    <w:rsid w:val="00274026"/>
    <w:rsid w:val="0027417A"/>
    <w:rsid w:val="0027426B"/>
    <w:rsid w:val="00274534"/>
    <w:rsid w:val="00274955"/>
    <w:rsid w:val="00274BE7"/>
    <w:rsid w:val="002753F0"/>
    <w:rsid w:val="002763DB"/>
    <w:rsid w:val="00276966"/>
    <w:rsid w:val="00276C8E"/>
    <w:rsid w:val="00276E6A"/>
    <w:rsid w:val="00277C75"/>
    <w:rsid w:val="00280463"/>
    <w:rsid w:val="00280621"/>
    <w:rsid w:val="00281C6C"/>
    <w:rsid w:val="00281CBD"/>
    <w:rsid w:val="00281D69"/>
    <w:rsid w:val="00281E1B"/>
    <w:rsid w:val="002828C3"/>
    <w:rsid w:val="00282A21"/>
    <w:rsid w:val="00283224"/>
    <w:rsid w:val="002832A6"/>
    <w:rsid w:val="002834E6"/>
    <w:rsid w:val="002838BA"/>
    <w:rsid w:val="00283A01"/>
    <w:rsid w:val="00283F20"/>
    <w:rsid w:val="00284003"/>
    <w:rsid w:val="00284081"/>
    <w:rsid w:val="00284207"/>
    <w:rsid w:val="00284468"/>
    <w:rsid w:val="0028447A"/>
    <w:rsid w:val="00284525"/>
    <w:rsid w:val="00284B33"/>
    <w:rsid w:val="00284EB1"/>
    <w:rsid w:val="00285164"/>
    <w:rsid w:val="002856E2"/>
    <w:rsid w:val="0028577B"/>
    <w:rsid w:val="00285960"/>
    <w:rsid w:val="002867B0"/>
    <w:rsid w:val="00286CAF"/>
    <w:rsid w:val="00287090"/>
    <w:rsid w:val="002871AF"/>
    <w:rsid w:val="00287529"/>
    <w:rsid w:val="0028757D"/>
    <w:rsid w:val="00287B08"/>
    <w:rsid w:val="00290101"/>
    <w:rsid w:val="002903F0"/>
    <w:rsid w:val="002909A0"/>
    <w:rsid w:val="00290FD8"/>
    <w:rsid w:val="0029143F"/>
    <w:rsid w:val="00291950"/>
    <w:rsid w:val="00291A84"/>
    <w:rsid w:val="00291AE1"/>
    <w:rsid w:val="002920F4"/>
    <w:rsid w:val="0029238E"/>
    <w:rsid w:val="002923DA"/>
    <w:rsid w:val="0029258D"/>
    <w:rsid w:val="00294049"/>
    <w:rsid w:val="002942A8"/>
    <w:rsid w:val="00294DA6"/>
    <w:rsid w:val="00295395"/>
    <w:rsid w:val="00295961"/>
    <w:rsid w:val="002963B0"/>
    <w:rsid w:val="002964C6"/>
    <w:rsid w:val="00296A7F"/>
    <w:rsid w:val="0029716A"/>
    <w:rsid w:val="0029742E"/>
    <w:rsid w:val="00297820"/>
    <w:rsid w:val="0029787B"/>
    <w:rsid w:val="00297D45"/>
    <w:rsid w:val="002A003B"/>
    <w:rsid w:val="002A00DE"/>
    <w:rsid w:val="002A0460"/>
    <w:rsid w:val="002A0776"/>
    <w:rsid w:val="002A099E"/>
    <w:rsid w:val="002A1731"/>
    <w:rsid w:val="002A1737"/>
    <w:rsid w:val="002A1CC0"/>
    <w:rsid w:val="002A22AD"/>
    <w:rsid w:val="002A2577"/>
    <w:rsid w:val="002A27D8"/>
    <w:rsid w:val="002A2ECC"/>
    <w:rsid w:val="002A312C"/>
    <w:rsid w:val="002A3198"/>
    <w:rsid w:val="002A3305"/>
    <w:rsid w:val="002A33F4"/>
    <w:rsid w:val="002A3543"/>
    <w:rsid w:val="002A3552"/>
    <w:rsid w:val="002A3632"/>
    <w:rsid w:val="002A36DC"/>
    <w:rsid w:val="002A379C"/>
    <w:rsid w:val="002A3BBB"/>
    <w:rsid w:val="002A4969"/>
    <w:rsid w:val="002A4E97"/>
    <w:rsid w:val="002A52BD"/>
    <w:rsid w:val="002A549C"/>
    <w:rsid w:val="002A5511"/>
    <w:rsid w:val="002A5732"/>
    <w:rsid w:val="002A5A66"/>
    <w:rsid w:val="002A6159"/>
    <w:rsid w:val="002A6271"/>
    <w:rsid w:val="002A6359"/>
    <w:rsid w:val="002A65AA"/>
    <w:rsid w:val="002A66FA"/>
    <w:rsid w:val="002A69BA"/>
    <w:rsid w:val="002A70FE"/>
    <w:rsid w:val="002B013A"/>
    <w:rsid w:val="002B014E"/>
    <w:rsid w:val="002B0545"/>
    <w:rsid w:val="002B05EE"/>
    <w:rsid w:val="002B0FA4"/>
    <w:rsid w:val="002B0FB0"/>
    <w:rsid w:val="002B1C2F"/>
    <w:rsid w:val="002B1E8B"/>
    <w:rsid w:val="002B22A8"/>
    <w:rsid w:val="002B2EFC"/>
    <w:rsid w:val="002B33A9"/>
    <w:rsid w:val="002B3CA7"/>
    <w:rsid w:val="002B3E20"/>
    <w:rsid w:val="002B3F0F"/>
    <w:rsid w:val="002B4616"/>
    <w:rsid w:val="002B4717"/>
    <w:rsid w:val="002B4A06"/>
    <w:rsid w:val="002B4FF1"/>
    <w:rsid w:val="002B5BAC"/>
    <w:rsid w:val="002B6256"/>
    <w:rsid w:val="002B699A"/>
    <w:rsid w:val="002B7026"/>
    <w:rsid w:val="002B7A11"/>
    <w:rsid w:val="002B7BCA"/>
    <w:rsid w:val="002C047E"/>
    <w:rsid w:val="002C08D9"/>
    <w:rsid w:val="002C0DEA"/>
    <w:rsid w:val="002C0F6E"/>
    <w:rsid w:val="002C125C"/>
    <w:rsid w:val="002C13AD"/>
    <w:rsid w:val="002C1754"/>
    <w:rsid w:val="002C1DF0"/>
    <w:rsid w:val="002C1EB3"/>
    <w:rsid w:val="002C2092"/>
    <w:rsid w:val="002C237A"/>
    <w:rsid w:val="002C2853"/>
    <w:rsid w:val="002C2BA6"/>
    <w:rsid w:val="002C2D74"/>
    <w:rsid w:val="002C2DFE"/>
    <w:rsid w:val="002C2E96"/>
    <w:rsid w:val="002C306B"/>
    <w:rsid w:val="002C3165"/>
    <w:rsid w:val="002C34F9"/>
    <w:rsid w:val="002C42C9"/>
    <w:rsid w:val="002C493A"/>
    <w:rsid w:val="002C4B19"/>
    <w:rsid w:val="002C4DE7"/>
    <w:rsid w:val="002C500C"/>
    <w:rsid w:val="002C5425"/>
    <w:rsid w:val="002C569F"/>
    <w:rsid w:val="002C5D70"/>
    <w:rsid w:val="002C65AB"/>
    <w:rsid w:val="002C6642"/>
    <w:rsid w:val="002C67B3"/>
    <w:rsid w:val="002C6ACC"/>
    <w:rsid w:val="002C6D03"/>
    <w:rsid w:val="002C74CB"/>
    <w:rsid w:val="002C77D2"/>
    <w:rsid w:val="002C7C9F"/>
    <w:rsid w:val="002D00E3"/>
    <w:rsid w:val="002D02EC"/>
    <w:rsid w:val="002D035C"/>
    <w:rsid w:val="002D049D"/>
    <w:rsid w:val="002D0B1E"/>
    <w:rsid w:val="002D0CBA"/>
    <w:rsid w:val="002D0DA6"/>
    <w:rsid w:val="002D13DD"/>
    <w:rsid w:val="002D1F4B"/>
    <w:rsid w:val="002D2A7F"/>
    <w:rsid w:val="002D2C3B"/>
    <w:rsid w:val="002D2FB1"/>
    <w:rsid w:val="002D3086"/>
    <w:rsid w:val="002D31CF"/>
    <w:rsid w:val="002D325A"/>
    <w:rsid w:val="002D3362"/>
    <w:rsid w:val="002D34A7"/>
    <w:rsid w:val="002D3864"/>
    <w:rsid w:val="002D39B6"/>
    <w:rsid w:val="002D3C58"/>
    <w:rsid w:val="002D408E"/>
    <w:rsid w:val="002D4C91"/>
    <w:rsid w:val="002D4E6B"/>
    <w:rsid w:val="002D5657"/>
    <w:rsid w:val="002D5A0D"/>
    <w:rsid w:val="002D5A64"/>
    <w:rsid w:val="002D5D0F"/>
    <w:rsid w:val="002D5E74"/>
    <w:rsid w:val="002D5EDC"/>
    <w:rsid w:val="002D5F76"/>
    <w:rsid w:val="002D60D5"/>
    <w:rsid w:val="002D60DF"/>
    <w:rsid w:val="002D6899"/>
    <w:rsid w:val="002D6D05"/>
    <w:rsid w:val="002D6FC5"/>
    <w:rsid w:val="002D704D"/>
    <w:rsid w:val="002D7C6F"/>
    <w:rsid w:val="002E01E7"/>
    <w:rsid w:val="002E0880"/>
    <w:rsid w:val="002E0CB6"/>
    <w:rsid w:val="002E1238"/>
    <w:rsid w:val="002E170A"/>
    <w:rsid w:val="002E190B"/>
    <w:rsid w:val="002E216B"/>
    <w:rsid w:val="002E2AF3"/>
    <w:rsid w:val="002E2B09"/>
    <w:rsid w:val="002E2FBF"/>
    <w:rsid w:val="002E306A"/>
    <w:rsid w:val="002E360E"/>
    <w:rsid w:val="002E3D3A"/>
    <w:rsid w:val="002E3F34"/>
    <w:rsid w:val="002E4177"/>
    <w:rsid w:val="002E4263"/>
    <w:rsid w:val="002E472D"/>
    <w:rsid w:val="002E51EF"/>
    <w:rsid w:val="002E52AD"/>
    <w:rsid w:val="002E54EE"/>
    <w:rsid w:val="002E55C4"/>
    <w:rsid w:val="002E571B"/>
    <w:rsid w:val="002E5C6B"/>
    <w:rsid w:val="002E5C96"/>
    <w:rsid w:val="002E5EAF"/>
    <w:rsid w:val="002E62C4"/>
    <w:rsid w:val="002E6729"/>
    <w:rsid w:val="002E72F2"/>
    <w:rsid w:val="002E73B5"/>
    <w:rsid w:val="002E7BB0"/>
    <w:rsid w:val="002E7F6D"/>
    <w:rsid w:val="002F0025"/>
    <w:rsid w:val="002F0674"/>
    <w:rsid w:val="002F06AB"/>
    <w:rsid w:val="002F12A1"/>
    <w:rsid w:val="002F16F3"/>
    <w:rsid w:val="002F1FB2"/>
    <w:rsid w:val="002F232C"/>
    <w:rsid w:val="002F23FE"/>
    <w:rsid w:val="002F2F93"/>
    <w:rsid w:val="002F3049"/>
    <w:rsid w:val="002F3610"/>
    <w:rsid w:val="002F3794"/>
    <w:rsid w:val="002F3E36"/>
    <w:rsid w:val="002F40A7"/>
    <w:rsid w:val="002F43C3"/>
    <w:rsid w:val="002F4438"/>
    <w:rsid w:val="002F4444"/>
    <w:rsid w:val="002F466C"/>
    <w:rsid w:val="002F4694"/>
    <w:rsid w:val="002F5CBE"/>
    <w:rsid w:val="002F5D45"/>
    <w:rsid w:val="002F5E01"/>
    <w:rsid w:val="002F61FE"/>
    <w:rsid w:val="002F620C"/>
    <w:rsid w:val="002F6775"/>
    <w:rsid w:val="002F6B73"/>
    <w:rsid w:val="002F704B"/>
    <w:rsid w:val="002F7216"/>
    <w:rsid w:val="002F7779"/>
    <w:rsid w:val="002F795B"/>
    <w:rsid w:val="002F7A1D"/>
    <w:rsid w:val="002F7C1F"/>
    <w:rsid w:val="002F7DFE"/>
    <w:rsid w:val="0030048B"/>
    <w:rsid w:val="00300698"/>
    <w:rsid w:val="00300771"/>
    <w:rsid w:val="00300D2C"/>
    <w:rsid w:val="00301872"/>
    <w:rsid w:val="003019ED"/>
    <w:rsid w:val="00301F76"/>
    <w:rsid w:val="003029DF"/>
    <w:rsid w:val="00303129"/>
    <w:rsid w:val="00303893"/>
    <w:rsid w:val="003038A0"/>
    <w:rsid w:val="0030395A"/>
    <w:rsid w:val="00304BE7"/>
    <w:rsid w:val="00304D0F"/>
    <w:rsid w:val="003056DE"/>
    <w:rsid w:val="00305B8C"/>
    <w:rsid w:val="00305C3C"/>
    <w:rsid w:val="00305E07"/>
    <w:rsid w:val="00306095"/>
    <w:rsid w:val="0030656D"/>
    <w:rsid w:val="00306633"/>
    <w:rsid w:val="0030665D"/>
    <w:rsid w:val="00306CFF"/>
    <w:rsid w:val="003070C3"/>
    <w:rsid w:val="003070F1"/>
    <w:rsid w:val="003073EC"/>
    <w:rsid w:val="003076D3"/>
    <w:rsid w:val="00307ED2"/>
    <w:rsid w:val="00310864"/>
    <w:rsid w:val="00310B0F"/>
    <w:rsid w:val="00310DF0"/>
    <w:rsid w:val="00311335"/>
    <w:rsid w:val="00311ECC"/>
    <w:rsid w:val="00311F7E"/>
    <w:rsid w:val="003120EF"/>
    <w:rsid w:val="00312DFA"/>
    <w:rsid w:val="00313FFC"/>
    <w:rsid w:val="0031431B"/>
    <w:rsid w:val="00314A03"/>
    <w:rsid w:val="00314BF4"/>
    <w:rsid w:val="00314C67"/>
    <w:rsid w:val="0031515F"/>
    <w:rsid w:val="00315495"/>
    <w:rsid w:val="003159DD"/>
    <w:rsid w:val="00315DB9"/>
    <w:rsid w:val="003170BB"/>
    <w:rsid w:val="0031743B"/>
    <w:rsid w:val="00317DDC"/>
    <w:rsid w:val="003201AC"/>
    <w:rsid w:val="00320296"/>
    <w:rsid w:val="00320910"/>
    <w:rsid w:val="00320D9D"/>
    <w:rsid w:val="00321041"/>
    <w:rsid w:val="0032168B"/>
    <w:rsid w:val="003219D0"/>
    <w:rsid w:val="00321DD4"/>
    <w:rsid w:val="003227A5"/>
    <w:rsid w:val="00322C1B"/>
    <w:rsid w:val="00322E85"/>
    <w:rsid w:val="00323246"/>
    <w:rsid w:val="003232B9"/>
    <w:rsid w:val="00324124"/>
    <w:rsid w:val="003243D0"/>
    <w:rsid w:val="00324946"/>
    <w:rsid w:val="00324C65"/>
    <w:rsid w:val="00325940"/>
    <w:rsid w:val="00325C3C"/>
    <w:rsid w:val="00325D71"/>
    <w:rsid w:val="00325FED"/>
    <w:rsid w:val="00326049"/>
    <w:rsid w:val="00326091"/>
    <w:rsid w:val="00326345"/>
    <w:rsid w:val="0032678F"/>
    <w:rsid w:val="003267AC"/>
    <w:rsid w:val="00326A24"/>
    <w:rsid w:val="00326E30"/>
    <w:rsid w:val="003277DA"/>
    <w:rsid w:val="00327891"/>
    <w:rsid w:val="00330329"/>
    <w:rsid w:val="00330919"/>
    <w:rsid w:val="00330935"/>
    <w:rsid w:val="00330ECB"/>
    <w:rsid w:val="003313E5"/>
    <w:rsid w:val="00331E1E"/>
    <w:rsid w:val="00331EEE"/>
    <w:rsid w:val="00333AAA"/>
    <w:rsid w:val="00333D4C"/>
    <w:rsid w:val="00333FFE"/>
    <w:rsid w:val="0033432C"/>
    <w:rsid w:val="00334443"/>
    <w:rsid w:val="003344DB"/>
    <w:rsid w:val="00334556"/>
    <w:rsid w:val="0033500C"/>
    <w:rsid w:val="00335123"/>
    <w:rsid w:val="003353CD"/>
    <w:rsid w:val="003356B6"/>
    <w:rsid w:val="003358FA"/>
    <w:rsid w:val="00335E07"/>
    <w:rsid w:val="00336051"/>
    <w:rsid w:val="00337CC5"/>
    <w:rsid w:val="00337DE5"/>
    <w:rsid w:val="00340367"/>
    <w:rsid w:val="00340B2B"/>
    <w:rsid w:val="00341440"/>
    <w:rsid w:val="003417BA"/>
    <w:rsid w:val="003417F9"/>
    <w:rsid w:val="003419F7"/>
    <w:rsid w:val="00341D5A"/>
    <w:rsid w:val="00342329"/>
    <w:rsid w:val="003426A8"/>
    <w:rsid w:val="00342B9E"/>
    <w:rsid w:val="00342BC3"/>
    <w:rsid w:val="00342BE3"/>
    <w:rsid w:val="0034399C"/>
    <w:rsid w:val="00343AA2"/>
    <w:rsid w:val="0034420C"/>
    <w:rsid w:val="00344471"/>
    <w:rsid w:val="00344A93"/>
    <w:rsid w:val="00345305"/>
    <w:rsid w:val="00345A3E"/>
    <w:rsid w:val="00345A9E"/>
    <w:rsid w:val="00346EDB"/>
    <w:rsid w:val="00347249"/>
    <w:rsid w:val="0034732A"/>
    <w:rsid w:val="003474F1"/>
    <w:rsid w:val="00347E2F"/>
    <w:rsid w:val="00347F39"/>
    <w:rsid w:val="003502ED"/>
    <w:rsid w:val="00350822"/>
    <w:rsid w:val="00350950"/>
    <w:rsid w:val="0035128E"/>
    <w:rsid w:val="00351A73"/>
    <w:rsid w:val="00351D35"/>
    <w:rsid w:val="00351D7E"/>
    <w:rsid w:val="0035230A"/>
    <w:rsid w:val="00352357"/>
    <w:rsid w:val="003526CE"/>
    <w:rsid w:val="003528A6"/>
    <w:rsid w:val="003528C4"/>
    <w:rsid w:val="00352DB9"/>
    <w:rsid w:val="00352E47"/>
    <w:rsid w:val="00352F5B"/>
    <w:rsid w:val="0035303C"/>
    <w:rsid w:val="003542CF"/>
    <w:rsid w:val="00354381"/>
    <w:rsid w:val="0035467E"/>
    <w:rsid w:val="00354A5A"/>
    <w:rsid w:val="00354FE6"/>
    <w:rsid w:val="00355970"/>
    <w:rsid w:val="00355AAF"/>
    <w:rsid w:val="00355C74"/>
    <w:rsid w:val="00355E97"/>
    <w:rsid w:val="00355F1A"/>
    <w:rsid w:val="003567B9"/>
    <w:rsid w:val="00356A93"/>
    <w:rsid w:val="0035766E"/>
    <w:rsid w:val="003576A8"/>
    <w:rsid w:val="00357722"/>
    <w:rsid w:val="00357741"/>
    <w:rsid w:val="00360619"/>
    <w:rsid w:val="003607EB"/>
    <w:rsid w:val="00360B8F"/>
    <w:rsid w:val="00361AA6"/>
    <w:rsid w:val="003624E1"/>
    <w:rsid w:val="00362ADA"/>
    <w:rsid w:val="00363062"/>
    <w:rsid w:val="003632B0"/>
    <w:rsid w:val="0036379D"/>
    <w:rsid w:val="00363AEA"/>
    <w:rsid w:val="00363DC8"/>
    <w:rsid w:val="00363F58"/>
    <w:rsid w:val="0036485A"/>
    <w:rsid w:val="00364974"/>
    <w:rsid w:val="00364E32"/>
    <w:rsid w:val="003657E5"/>
    <w:rsid w:val="003658C1"/>
    <w:rsid w:val="00367661"/>
    <w:rsid w:val="00367867"/>
    <w:rsid w:val="00370251"/>
    <w:rsid w:val="003704E5"/>
    <w:rsid w:val="003706AD"/>
    <w:rsid w:val="003706E4"/>
    <w:rsid w:val="00370949"/>
    <w:rsid w:val="00370C25"/>
    <w:rsid w:val="003714D3"/>
    <w:rsid w:val="00371890"/>
    <w:rsid w:val="00371CD4"/>
    <w:rsid w:val="00372152"/>
    <w:rsid w:val="00372C45"/>
    <w:rsid w:val="00372D99"/>
    <w:rsid w:val="003735C0"/>
    <w:rsid w:val="00373680"/>
    <w:rsid w:val="00373834"/>
    <w:rsid w:val="003739B5"/>
    <w:rsid w:val="003739F5"/>
    <w:rsid w:val="00373FD2"/>
    <w:rsid w:val="0037425F"/>
    <w:rsid w:val="00374416"/>
    <w:rsid w:val="0037447E"/>
    <w:rsid w:val="00374557"/>
    <w:rsid w:val="00374A5B"/>
    <w:rsid w:val="00374E17"/>
    <w:rsid w:val="003759F0"/>
    <w:rsid w:val="00375ABE"/>
    <w:rsid w:val="00375FBA"/>
    <w:rsid w:val="00376715"/>
    <w:rsid w:val="00376D66"/>
    <w:rsid w:val="00377EFF"/>
    <w:rsid w:val="00380087"/>
    <w:rsid w:val="00380C42"/>
    <w:rsid w:val="00381EEB"/>
    <w:rsid w:val="003826A1"/>
    <w:rsid w:val="00382C17"/>
    <w:rsid w:val="00383A11"/>
    <w:rsid w:val="00384671"/>
    <w:rsid w:val="00385047"/>
    <w:rsid w:val="003855B0"/>
    <w:rsid w:val="00386A57"/>
    <w:rsid w:val="00386B66"/>
    <w:rsid w:val="00386C34"/>
    <w:rsid w:val="003879FA"/>
    <w:rsid w:val="00387E80"/>
    <w:rsid w:val="00390554"/>
    <w:rsid w:val="00391135"/>
    <w:rsid w:val="0039145C"/>
    <w:rsid w:val="00391765"/>
    <w:rsid w:val="00391D32"/>
    <w:rsid w:val="00392148"/>
    <w:rsid w:val="003921A0"/>
    <w:rsid w:val="003926A3"/>
    <w:rsid w:val="00392A29"/>
    <w:rsid w:val="0039305F"/>
    <w:rsid w:val="00393BB8"/>
    <w:rsid w:val="00393E8F"/>
    <w:rsid w:val="003947F8"/>
    <w:rsid w:val="003961A0"/>
    <w:rsid w:val="0039651C"/>
    <w:rsid w:val="00396C36"/>
    <w:rsid w:val="00396F63"/>
    <w:rsid w:val="00397A0D"/>
    <w:rsid w:val="00397D74"/>
    <w:rsid w:val="003A0279"/>
    <w:rsid w:val="003A037B"/>
    <w:rsid w:val="003A0415"/>
    <w:rsid w:val="003A05B6"/>
    <w:rsid w:val="003A0710"/>
    <w:rsid w:val="003A1A31"/>
    <w:rsid w:val="003A1B38"/>
    <w:rsid w:val="003A26F8"/>
    <w:rsid w:val="003A36DB"/>
    <w:rsid w:val="003A3753"/>
    <w:rsid w:val="003A3BAF"/>
    <w:rsid w:val="003A3DF7"/>
    <w:rsid w:val="003A4285"/>
    <w:rsid w:val="003A4423"/>
    <w:rsid w:val="003A4CE7"/>
    <w:rsid w:val="003A4EA4"/>
    <w:rsid w:val="003A541C"/>
    <w:rsid w:val="003A5BEC"/>
    <w:rsid w:val="003A5C2D"/>
    <w:rsid w:val="003A5C95"/>
    <w:rsid w:val="003A64CA"/>
    <w:rsid w:val="003A67FD"/>
    <w:rsid w:val="003A68EC"/>
    <w:rsid w:val="003A6B7A"/>
    <w:rsid w:val="003A735D"/>
    <w:rsid w:val="003A76AB"/>
    <w:rsid w:val="003A7FA5"/>
    <w:rsid w:val="003B0BE5"/>
    <w:rsid w:val="003B17E2"/>
    <w:rsid w:val="003B23AF"/>
    <w:rsid w:val="003B2841"/>
    <w:rsid w:val="003B28B4"/>
    <w:rsid w:val="003B28D3"/>
    <w:rsid w:val="003B2956"/>
    <w:rsid w:val="003B2B3D"/>
    <w:rsid w:val="003B301F"/>
    <w:rsid w:val="003B311A"/>
    <w:rsid w:val="003B31FC"/>
    <w:rsid w:val="003B366C"/>
    <w:rsid w:val="003B3A66"/>
    <w:rsid w:val="003B3AF0"/>
    <w:rsid w:val="003B3C98"/>
    <w:rsid w:val="003B3D57"/>
    <w:rsid w:val="003B3E16"/>
    <w:rsid w:val="003B49AC"/>
    <w:rsid w:val="003B549B"/>
    <w:rsid w:val="003B576E"/>
    <w:rsid w:val="003B59E1"/>
    <w:rsid w:val="003B600A"/>
    <w:rsid w:val="003B60CF"/>
    <w:rsid w:val="003B64F1"/>
    <w:rsid w:val="003B64F4"/>
    <w:rsid w:val="003B699A"/>
    <w:rsid w:val="003B6A13"/>
    <w:rsid w:val="003B6BD5"/>
    <w:rsid w:val="003B7605"/>
    <w:rsid w:val="003B7C28"/>
    <w:rsid w:val="003C01F4"/>
    <w:rsid w:val="003C0752"/>
    <w:rsid w:val="003C0AD5"/>
    <w:rsid w:val="003C0D80"/>
    <w:rsid w:val="003C0FEC"/>
    <w:rsid w:val="003C10C2"/>
    <w:rsid w:val="003C1686"/>
    <w:rsid w:val="003C1A62"/>
    <w:rsid w:val="003C1BAB"/>
    <w:rsid w:val="003C1D13"/>
    <w:rsid w:val="003C1EBA"/>
    <w:rsid w:val="003C20E8"/>
    <w:rsid w:val="003C22A1"/>
    <w:rsid w:val="003C245A"/>
    <w:rsid w:val="003C292D"/>
    <w:rsid w:val="003C2B4D"/>
    <w:rsid w:val="003C2EF9"/>
    <w:rsid w:val="003C3EDC"/>
    <w:rsid w:val="003C44C1"/>
    <w:rsid w:val="003C485B"/>
    <w:rsid w:val="003C5444"/>
    <w:rsid w:val="003C5F47"/>
    <w:rsid w:val="003C5F7D"/>
    <w:rsid w:val="003C62F0"/>
    <w:rsid w:val="003C6441"/>
    <w:rsid w:val="003C6684"/>
    <w:rsid w:val="003C76C0"/>
    <w:rsid w:val="003C7C66"/>
    <w:rsid w:val="003C7D45"/>
    <w:rsid w:val="003D0147"/>
    <w:rsid w:val="003D06C5"/>
    <w:rsid w:val="003D09FA"/>
    <w:rsid w:val="003D123F"/>
    <w:rsid w:val="003D14A6"/>
    <w:rsid w:val="003D1709"/>
    <w:rsid w:val="003D1713"/>
    <w:rsid w:val="003D1C0A"/>
    <w:rsid w:val="003D1E1A"/>
    <w:rsid w:val="003D23A5"/>
    <w:rsid w:val="003D30CB"/>
    <w:rsid w:val="003D3685"/>
    <w:rsid w:val="003D3A59"/>
    <w:rsid w:val="003D3E74"/>
    <w:rsid w:val="003D3EF3"/>
    <w:rsid w:val="003D54C2"/>
    <w:rsid w:val="003D5970"/>
    <w:rsid w:val="003D672F"/>
    <w:rsid w:val="003D718E"/>
    <w:rsid w:val="003D75E7"/>
    <w:rsid w:val="003E0177"/>
    <w:rsid w:val="003E058E"/>
    <w:rsid w:val="003E063C"/>
    <w:rsid w:val="003E0AF4"/>
    <w:rsid w:val="003E0E28"/>
    <w:rsid w:val="003E1308"/>
    <w:rsid w:val="003E1636"/>
    <w:rsid w:val="003E1D52"/>
    <w:rsid w:val="003E1DDC"/>
    <w:rsid w:val="003E215B"/>
    <w:rsid w:val="003E24D5"/>
    <w:rsid w:val="003E27A5"/>
    <w:rsid w:val="003E2F01"/>
    <w:rsid w:val="003E3575"/>
    <w:rsid w:val="003E3DAE"/>
    <w:rsid w:val="003E4321"/>
    <w:rsid w:val="003E44BC"/>
    <w:rsid w:val="003E4783"/>
    <w:rsid w:val="003E4A81"/>
    <w:rsid w:val="003E4D38"/>
    <w:rsid w:val="003E4FCE"/>
    <w:rsid w:val="003E50FE"/>
    <w:rsid w:val="003E5161"/>
    <w:rsid w:val="003E5176"/>
    <w:rsid w:val="003E5552"/>
    <w:rsid w:val="003E6404"/>
    <w:rsid w:val="003E6765"/>
    <w:rsid w:val="003E68D0"/>
    <w:rsid w:val="003E707A"/>
    <w:rsid w:val="003E71C6"/>
    <w:rsid w:val="003E74CA"/>
    <w:rsid w:val="003E76E2"/>
    <w:rsid w:val="003E7797"/>
    <w:rsid w:val="003E7D5A"/>
    <w:rsid w:val="003F0A72"/>
    <w:rsid w:val="003F0B24"/>
    <w:rsid w:val="003F0CF8"/>
    <w:rsid w:val="003F14CA"/>
    <w:rsid w:val="003F1674"/>
    <w:rsid w:val="003F1A7D"/>
    <w:rsid w:val="003F1A91"/>
    <w:rsid w:val="003F1C71"/>
    <w:rsid w:val="003F2619"/>
    <w:rsid w:val="003F27B1"/>
    <w:rsid w:val="003F2C1F"/>
    <w:rsid w:val="003F2E00"/>
    <w:rsid w:val="003F3B1D"/>
    <w:rsid w:val="003F3DA0"/>
    <w:rsid w:val="003F3EA9"/>
    <w:rsid w:val="003F3F2A"/>
    <w:rsid w:val="003F3F65"/>
    <w:rsid w:val="003F43A7"/>
    <w:rsid w:val="003F4B74"/>
    <w:rsid w:val="003F56E9"/>
    <w:rsid w:val="003F57FD"/>
    <w:rsid w:val="003F5BD3"/>
    <w:rsid w:val="003F5DD6"/>
    <w:rsid w:val="003F6512"/>
    <w:rsid w:val="003F67C5"/>
    <w:rsid w:val="003F6991"/>
    <w:rsid w:val="003F6D37"/>
    <w:rsid w:val="003F6DDD"/>
    <w:rsid w:val="003F7433"/>
    <w:rsid w:val="003F760C"/>
    <w:rsid w:val="003F760E"/>
    <w:rsid w:val="003F7AFE"/>
    <w:rsid w:val="003F7AFF"/>
    <w:rsid w:val="003F7F46"/>
    <w:rsid w:val="00400709"/>
    <w:rsid w:val="004008B5"/>
    <w:rsid w:val="004009EB"/>
    <w:rsid w:val="00400DF8"/>
    <w:rsid w:val="0040155D"/>
    <w:rsid w:val="004018E9"/>
    <w:rsid w:val="0040198B"/>
    <w:rsid w:val="0040208C"/>
    <w:rsid w:val="00402505"/>
    <w:rsid w:val="0040292D"/>
    <w:rsid w:val="00402BC6"/>
    <w:rsid w:val="0040301C"/>
    <w:rsid w:val="00403064"/>
    <w:rsid w:val="004033CB"/>
    <w:rsid w:val="00403D2E"/>
    <w:rsid w:val="00404258"/>
    <w:rsid w:val="004049E6"/>
    <w:rsid w:val="00404A98"/>
    <w:rsid w:val="00404C04"/>
    <w:rsid w:val="004055FD"/>
    <w:rsid w:val="00405749"/>
    <w:rsid w:val="00405DD1"/>
    <w:rsid w:val="004061A7"/>
    <w:rsid w:val="0040651A"/>
    <w:rsid w:val="004071FF"/>
    <w:rsid w:val="00410AC0"/>
    <w:rsid w:val="00410B90"/>
    <w:rsid w:val="00411166"/>
    <w:rsid w:val="004123C0"/>
    <w:rsid w:val="0041282A"/>
    <w:rsid w:val="004139BF"/>
    <w:rsid w:val="00413A99"/>
    <w:rsid w:val="00413BA4"/>
    <w:rsid w:val="00413D38"/>
    <w:rsid w:val="00413FBD"/>
    <w:rsid w:val="004144CE"/>
    <w:rsid w:val="004146D4"/>
    <w:rsid w:val="0041553C"/>
    <w:rsid w:val="0041580B"/>
    <w:rsid w:val="00415AEC"/>
    <w:rsid w:val="0041631D"/>
    <w:rsid w:val="00416495"/>
    <w:rsid w:val="0041650A"/>
    <w:rsid w:val="004168AD"/>
    <w:rsid w:val="004169F9"/>
    <w:rsid w:val="00417019"/>
    <w:rsid w:val="0041736A"/>
    <w:rsid w:val="0041737E"/>
    <w:rsid w:val="004176C2"/>
    <w:rsid w:val="00420C26"/>
    <w:rsid w:val="00420D80"/>
    <w:rsid w:val="00421086"/>
    <w:rsid w:val="00421C0C"/>
    <w:rsid w:val="00422024"/>
    <w:rsid w:val="0042215B"/>
    <w:rsid w:val="00422FB3"/>
    <w:rsid w:val="00423875"/>
    <w:rsid w:val="00423DF3"/>
    <w:rsid w:val="0042403C"/>
    <w:rsid w:val="004248E3"/>
    <w:rsid w:val="00424C5E"/>
    <w:rsid w:val="00425297"/>
    <w:rsid w:val="00425484"/>
    <w:rsid w:val="004254DB"/>
    <w:rsid w:val="00425BAA"/>
    <w:rsid w:val="0042605A"/>
    <w:rsid w:val="004260AE"/>
    <w:rsid w:val="004261A1"/>
    <w:rsid w:val="004263C8"/>
    <w:rsid w:val="004269BA"/>
    <w:rsid w:val="0042756A"/>
    <w:rsid w:val="00427C13"/>
    <w:rsid w:val="00427FEE"/>
    <w:rsid w:val="00430018"/>
    <w:rsid w:val="0043013A"/>
    <w:rsid w:val="00430809"/>
    <w:rsid w:val="00430BF3"/>
    <w:rsid w:val="00430C8A"/>
    <w:rsid w:val="00430E15"/>
    <w:rsid w:val="00431B81"/>
    <w:rsid w:val="00432542"/>
    <w:rsid w:val="004325DB"/>
    <w:rsid w:val="004327C7"/>
    <w:rsid w:val="00432F1C"/>
    <w:rsid w:val="00433407"/>
    <w:rsid w:val="0043343A"/>
    <w:rsid w:val="0043401A"/>
    <w:rsid w:val="00434127"/>
    <w:rsid w:val="004341E8"/>
    <w:rsid w:val="0043498A"/>
    <w:rsid w:val="00434E1D"/>
    <w:rsid w:val="00435B86"/>
    <w:rsid w:val="00435BC4"/>
    <w:rsid w:val="00435C1C"/>
    <w:rsid w:val="00435EF5"/>
    <w:rsid w:val="004361DD"/>
    <w:rsid w:val="0043654D"/>
    <w:rsid w:val="00436BF9"/>
    <w:rsid w:val="00436C77"/>
    <w:rsid w:val="0043763B"/>
    <w:rsid w:val="004379DF"/>
    <w:rsid w:val="00440043"/>
    <w:rsid w:val="0044005C"/>
    <w:rsid w:val="00440386"/>
    <w:rsid w:val="00440767"/>
    <w:rsid w:val="00440C08"/>
    <w:rsid w:val="004414D9"/>
    <w:rsid w:val="00441B27"/>
    <w:rsid w:val="00441DEC"/>
    <w:rsid w:val="00441F98"/>
    <w:rsid w:val="0044207B"/>
    <w:rsid w:val="0044223B"/>
    <w:rsid w:val="00442658"/>
    <w:rsid w:val="00442CDF"/>
    <w:rsid w:val="00442FD2"/>
    <w:rsid w:val="0044365B"/>
    <w:rsid w:val="004439E8"/>
    <w:rsid w:val="00443F6B"/>
    <w:rsid w:val="00443FD9"/>
    <w:rsid w:val="00444712"/>
    <w:rsid w:val="00444899"/>
    <w:rsid w:val="004453BC"/>
    <w:rsid w:val="0044607F"/>
    <w:rsid w:val="00446F72"/>
    <w:rsid w:val="00447768"/>
    <w:rsid w:val="00447BB5"/>
    <w:rsid w:val="0045083F"/>
    <w:rsid w:val="00450C08"/>
    <w:rsid w:val="00451404"/>
    <w:rsid w:val="004514AF"/>
    <w:rsid w:val="004517A3"/>
    <w:rsid w:val="00451B01"/>
    <w:rsid w:val="00451B70"/>
    <w:rsid w:val="00451CC8"/>
    <w:rsid w:val="00452040"/>
    <w:rsid w:val="004527F9"/>
    <w:rsid w:val="00453270"/>
    <w:rsid w:val="004532C0"/>
    <w:rsid w:val="00453727"/>
    <w:rsid w:val="00453E61"/>
    <w:rsid w:val="00453FEA"/>
    <w:rsid w:val="00454997"/>
    <w:rsid w:val="00454E0A"/>
    <w:rsid w:val="00455CF2"/>
    <w:rsid w:val="00455D67"/>
    <w:rsid w:val="00456421"/>
    <w:rsid w:val="004566BE"/>
    <w:rsid w:val="00456753"/>
    <w:rsid w:val="0045697C"/>
    <w:rsid w:val="00456D5D"/>
    <w:rsid w:val="00457413"/>
    <w:rsid w:val="00457487"/>
    <w:rsid w:val="004574D1"/>
    <w:rsid w:val="00457569"/>
    <w:rsid w:val="00457764"/>
    <w:rsid w:val="004579D1"/>
    <w:rsid w:val="00457BB6"/>
    <w:rsid w:val="00460120"/>
    <w:rsid w:val="004601FC"/>
    <w:rsid w:val="00460346"/>
    <w:rsid w:val="004604FF"/>
    <w:rsid w:val="00460D50"/>
    <w:rsid w:val="00460EFD"/>
    <w:rsid w:val="00461A98"/>
    <w:rsid w:val="0046300B"/>
    <w:rsid w:val="00463236"/>
    <w:rsid w:val="00463848"/>
    <w:rsid w:val="00463854"/>
    <w:rsid w:val="00463A5B"/>
    <w:rsid w:val="00463AB3"/>
    <w:rsid w:val="00463B99"/>
    <w:rsid w:val="00463C90"/>
    <w:rsid w:val="00463E1F"/>
    <w:rsid w:val="00463E3C"/>
    <w:rsid w:val="0046421D"/>
    <w:rsid w:val="0046435B"/>
    <w:rsid w:val="00464450"/>
    <w:rsid w:val="0046458F"/>
    <w:rsid w:val="00465267"/>
    <w:rsid w:val="00465678"/>
    <w:rsid w:val="0046577D"/>
    <w:rsid w:val="00465861"/>
    <w:rsid w:val="004664F3"/>
    <w:rsid w:val="00466950"/>
    <w:rsid w:val="00466D3C"/>
    <w:rsid w:val="004670B6"/>
    <w:rsid w:val="004671FC"/>
    <w:rsid w:val="004673AA"/>
    <w:rsid w:val="004675AF"/>
    <w:rsid w:val="004676AD"/>
    <w:rsid w:val="00467810"/>
    <w:rsid w:val="00467833"/>
    <w:rsid w:val="00467992"/>
    <w:rsid w:val="00470B88"/>
    <w:rsid w:val="00470DC1"/>
    <w:rsid w:val="00471CE9"/>
    <w:rsid w:val="004735A9"/>
    <w:rsid w:val="00473663"/>
    <w:rsid w:val="0047386E"/>
    <w:rsid w:val="00473CAE"/>
    <w:rsid w:val="00474505"/>
    <w:rsid w:val="00474842"/>
    <w:rsid w:val="00474B93"/>
    <w:rsid w:val="00475074"/>
    <w:rsid w:val="004752D1"/>
    <w:rsid w:val="00475972"/>
    <w:rsid w:val="004760D3"/>
    <w:rsid w:val="00476307"/>
    <w:rsid w:val="00476593"/>
    <w:rsid w:val="00476758"/>
    <w:rsid w:val="004769A0"/>
    <w:rsid w:val="00476CD4"/>
    <w:rsid w:val="00476D2C"/>
    <w:rsid w:val="004773A3"/>
    <w:rsid w:val="0048003E"/>
    <w:rsid w:val="00480CEF"/>
    <w:rsid w:val="00480EB0"/>
    <w:rsid w:val="00480EC7"/>
    <w:rsid w:val="00481697"/>
    <w:rsid w:val="0048176F"/>
    <w:rsid w:val="00481BCD"/>
    <w:rsid w:val="0048203E"/>
    <w:rsid w:val="00482366"/>
    <w:rsid w:val="004823B3"/>
    <w:rsid w:val="0048240B"/>
    <w:rsid w:val="0048254C"/>
    <w:rsid w:val="00482585"/>
    <w:rsid w:val="00483793"/>
    <w:rsid w:val="004843D4"/>
    <w:rsid w:val="00484B53"/>
    <w:rsid w:val="004851E5"/>
    <w:rsid w:val="0048525F"/>
    <w:rsid w:val="00485431"/>
    <w:rsid w:val="004859AD"/>
    <w:rsid w:val="00485E1A"/>
    <w:rsid w:val="004862ED"/>
    <w:rsid w:val="0048630B"/>
    <w:rsid w:val="004872F8"/>
    <w:rsid w:val="00487845"/>
    <w:rsid w:val="00487E68"/>
    <w:rsid w:val="00490062"/>
    <w:rsid w:val="004908B9"/>
    <w:rsid w:val="00490C39"/>
    <w:rsid w:val="00490C63"/>
    <w:rsid w:val="00490F8E"/>
    <w:rsid w:val="004911C4"/>
    <w:rsid w:val="00491BF0"/>
    <w:rsid w:val="00491CAC"/>
    <w:rsid w:val="00491F18"/>
    <w:rsid w:val="00491F24"/>
    <w:rsid w:val="004921D1"/>
    <w:rsid w:val="00492326"/>
    <w:rsid w:val="00492867"/>
    <w:rsid w:val="00492AD2"/>
    <w:rsid w:val="00492C03"/>
    <w:rsid w:val="00493046"/>
    <w:rsid w:val="00493280"/>
    <w:rsid w:val="00493DD9"/>
    <w:rsid w:val="00494940"/>
    <w:rsid w:val="00494C5F"/>
    <w:rsid w:val="00494D2F"/>
    <w:rsid w:val="00494E12"/>
    <w:rsid w:val="00495963"/>
    <w:rsid w:val="0049649E"/>
    <w:rsid w:val="0049715C"/>
    <w:rsid w:val="004976B6"/>
    <w:rsid w:val="004978A0"/>
    <w:rsid w:val="00497BA8"/>
    <w:rsid w:val="00497F7F"/>
    <w:rsid w:val="004A01AE"/>
    <w:rsid w:val="004A0F73"/>
    <w:rsid w:val="004A13E8"/>
    <w:rsid w:val="004A13F3"/>
    <w:rsid w:val="004A16BC"/>
    <w:rsid w:val="004A174A"/>
    <w:rsid w:val="004A2223"/>
    <w:rsid w:val="004A2623"/>
    <w:rsid w:val="004A2EB9"/>
    <w:rsid w:val="004A2F3D"/>
    <w:rsid w:val="004A3279"/>
    <w:rsid w:val="004A3589"/>
    <w:rsid w:val="004A4010"/>
    <w:rsid w:val="004A4053"/>
    <w:rsid w:val="004A4575"/>
    <w:rsid w:val="004A4F12"/>
    <w:rsid w:val="004A508F"/>
    <w:rsid w:val="004A5B68"/>
    <w:rsid w:val="004A5C0A"/>
    <w:rsid w:val="004A5D3F"/>
    <w:rsid w:val="004A62E4"/>
    <w:rsid w:val="004A6622"/>
    <w:rsid w:val="004A6AFD"/>
    <w:rsid w:val="004A6B7A"/>
    <w:rsid w:val="004A6B93"/>
    <w:rsid w:val="004A6CB0"/>
    <w:rsid w:val="004A6D6B"/>
    <w:rsid w:val="004A6E78"/>
    <w:rsid w:val="004A77EE"/>
    <w:rsid w:val="004A797C"/>
    <w:rsid w:val="004A7FFE"/>
    <w:rsid w:val="004B0314"/>
    <w:rsid w:val="004B0571"/>
    <w:rsid w:val="004B05C5"/>
    <w:rsid w:val="004B06BD"/>
    <w:rsid w:val="004B1586"/>
    <w:rsid w:val="004B15AF"/>
    <w:rsid w:val="004B16FF"/>
    <w:rsid w:val="004B1978"/>
    <w:rsid w:val="004B1A23"/>
    <w:rsid w:val="004B1E81"/>
    <w:rsid w:val="004B1EF7"/>
    <w:rsid w:val="004B22DD"/>
    <w:rsid w:val="004B2380"/>
    <w:rsid w:val="004B2988"/>
    <w:rsid w:val="004B2FB1"/>
    <w:rsid w:val="004B361C"/>
    <w:rsid w:val="004B38C9"/>
    <w:rsid w:val="004B3C43"/>
    <w:rsid w:val="004B3F90"/>
    <w:rsid w:val="004B4B1D"/>
    <w:rsid w:val="004B4B6F"/>
    <w:rsid w:val="004B5631"/>
    <w:rsid w:val="004B5C00"/>
    <w:rsid w:val="004B60AE"/>
    <w:rsid w:val="004B693C"/>
    <w:rsid w:val="004B7700"/>
    <w:rsid w:val="004B79D1"/>
    <w:rsid w:val="004B7A9B"/>
    <w:rsid w:val="004B7C7D"/>
    <w:rsid w:val="004B7DE7"/>
    <w:rsid w:val="004C02EA"/>
    <w:rsid w:val="004C03AB"/>
    <w:rsid w:val="004C1729"/>
    <w:rsid w:val="004C1AD3"/>
    <w:rsid w:val="004C1B7F"/>
    <w:rsid w:val="004C24A3"/>
    <w:rsid w:val="004C262C"/>
    <w:rsid w:val="004C2CCA"/>
    <w:rsid w:val="004C2F3D"/>
    <w:rsid w:val="004C3338"/>
    <w:rsid w:val="004C350D"/>
    <w:rsid w:val="004C38DD"/>
    <w:rsid w:val="004C3B53"/>
    <w:rsid w:val="004C3E98"/>
    <w:rsid w:val="004C41F9"/>
    <w:rsid w:val="004C48B8"/>
    <w:rsid w:val="004C4DD7"/>
    <w:rsid w:val="004C4E98"/>
    <w:rsid w:val="004C542A"/>
    <w:rsid w:val="004C5596"/>
    <w:rsid w:val="004C5934"/>
    <w:rsid w:val="004C5A94"/>
    <w:rsid w:val="004C5B6F"/>
    <w:rsid w:val="004C6420"/>
    <w:rsid w:val="004C66FF"/>
    <w:rsid w:val="004C699C"/>
    <w:rsid w:val="004C70A8"/>
    <w:rsid w:val="004C7483"/>
    <w:rsid w:val="004C757D"/>
    <w:rsid w:val="004C77CE"/>
    <w:rsid w:val="004C7E29"/>
    <w:rsid w:val="004D0AC2"/>
    <w:rsid w:val="004D1322"/>
    <w:rsid w:val="004D1F6D"/>
    <w:rsid w:val="004D2733"/>
    <w:rsid w:val="004D2792"/>
    <w:rsid w:val="004D27D1"/>
    <w:rsid w:val="004D2DB5"/>
    <w:rsid w:val="004D2FE8"/>
    <w:rsid w:val="004D3145"/>
    <w:rsid w:val="004D391A"/>
    <w:rsid w:val="004D3BFB"/>
    <w:rsid w:val="004D3C88"/>
    <w:rsid w:val="004D3CCA"/>
    <w:rsid w:val="004D3E9D"/>
    <w:rsid w:val="004D3F5A"/>
    <w:rsid w:val="004D46EB"/>
    <w:rsid w:val="004D4BC2"/>
    <w:rsid w:val="004D4D21"/>
    <w:rsid w:val="004D5C79"/>
    <w:rsid w:val="004D5F84"/>
    <w:rsid w:val="004D65DC"/>
    <w:rsid w:val="004D67F3"/>
    <w:rsid w:val="004D68BB"/>
    <w:rsid w:val="004D6D03"/>
    <w:rsid w:val="004D6E4F"/>
    <w:rsid w:val="004D7422"/>
    <w:rsid w:val="004D7596"/>
    <w:rsid w:val="004D75E4"/>
    <w:rsid w:val="004E06A4"/>
    <w:rsid w:val="004E0C8D"/>
    <w:rsid w:val="004E117B"/>
    <w:rsid w:val="004E1911"/>
    <w:rsid w:val="004E229A"/>
    <w:rsid w:val="004E23DB"/>
    <w:rsid w:val="004E2EE9"/>
    <w:rsid w:val="004E339E"/>
    <w:rsid w:val="004E34DB"/>
    <w:rsid w:val="004E3531"/>
    <w:rsid w:val="004E3857"/>
    <w:rsid w:val="004E3F7C"/>
    <w:rsid w:val="004E3F7D"/>
    <w:rsid w:val="004E40F7"/>
    <w:rsid w:val="004E48C6"/>
    <w:rsid w:val="004E4AB3"/>
    <w:rsid w:val="004E4BFB"/>
    <w:rsid w:val="004E4DA7"/>
    <w:rsid w:val="004E55E5"/>
    <w:rsid w:val="004E579D"/>
    <w:rsid w:val="004E66BB"/>
    <w:rsid w:val="004E67A0"/>
    <w:rsid w:val="004E683F"/>
    <w:rsid w:val="004E684D"/>
    <w:rsid w:val="004E6D1E"/>
    <w:rsid w:val="004E6E01"/>
    <w:rsid w:val="004E7893"/>
    <w:rsid w:val="004E7AC6"/>
    <w:rsid w:val="004E7E8D"/>
    <w:rsid w:val="004F0C65"/>
    <w:rsid w:val="004F0E7C"/>
    <w:rsid w:val="004F0EBE"/>
    <w:rsid w:val="004F170E"/>
    <w:rsid w:val="004F1B4B"/>
    <w:rsid w:val="004F1DB6"/>
    <w:rsid w:val="004F2178"/>
    <w:rsid w:val="004F271B"/>
    <w:rsid w:val="004F3298"/>
    <w:rsid w:val="004F34FE"/>
    <w:rsid w:val="004F3CBE"/>
    <w:rsid w:val="004F42F5"/>
    <w:rsid w:val="004F4C2B"/>
    <w:rsid w:val="004F4DF1"/>
    <w:rsid w:val="004F5B49"/>
    <w:rsid w:val="004F60A2"/>
    <w:rsid w:val="004F6912"/>
    <w:rsid w:val="004F6C5F"/>
    <w:rsid w:val="004F70C1"/>
    <w:rsid w:val="004F7243"/>
    <w:rsid w:val="004F7877"/>
    <w:rsid w:val="004F7E7C"/>
    <w:rsid w:val="00500221"/>
    <w:rsid w:val="005002E8"/>
    <w:rsid w:val="00500505"/>
    <w:rsid w:val="00500B7A"/>
    <w:rsid w:val="005010DF"/>
    <w:rsid w:val="0050164C"/>
    <w:rsid w:val="005017A3"/>
    <w:rsid w:val="00501B90"/>
    <w:rsid w:val="00501FBB"/>
    <w:rsid w:val="0050275E"/>
    <w:rsid w:val="0050287B"/>
    <w:rsid w:val="0050295F"/>
    <w:rsid w:val="00502B0A"/>
    <w:rsid w:val="00502D54"/>
    <w:rsid w:val="005031F6"/>
    <w:rsid w:val="005037C4"/>
    <w:rsid w:val="00503A75"/>
    <w:rsid w:val="00503A8D"/>
    <w:rsid w:val="00503C32"/>
    <w:rsid w:val="00503F42"/>
    <w:rsid w:val="0050425C"/>
    <w:rsid w:val="00504426"/>
    <w:rsid w:val="00504DB8"/>
    <w:rsid w:val="005057B2"/>
    <w:rsid w:val="00505E3D"/>
    <w:rsid w:val="0050640A"/>
    <w:rsid w:val="005068E7"/>
    <w:rsid w:val="00506DB5"/>
    <w:rsid w:val="00506EDA"/>
    <w:rsid w:val="00507566"/>
    <w:rsid w:val="00507A7E"/>
    <w:rsid w:val="00507CC7"/>
    <w:rsid w:val="005104D9"/>
    <w:rsid w:val="00510C26"/>
    <w:rsid w:val="00510D6A"/>
    <w:rsid w:val="0051116F"/>
    <w:rsid w:val="005124B4"/>
    <w:rsid w:val="00512B2B"/>
    <w:rsid w:val="00512FDA"/>
    <w:rsid w:val="00513258"/>
    <w:rsid w:val="0051371D"/>
    <w:rsid w:val="00513C47"/>
    <w:rsid w:val="00513D2C"/>
    <w:rsid w:val="005141FD"/>
    <w:rsid w:val="00514828"/>
    <w:rsid w:val="00514946"/>
    <w:rsid w:val="0051543D"/>
    <w:rsid w:val="005156A8"/>
    <w:rsid w:val="00515741"/>
    <w:rsid w:val="00516431"/>
    <w:rsid w:val="005164B8"/>
    <w:rsid w:val="005169DF"/>
    <w:rsid w:val="005169FB"/>
    <w:rsid w:val="00516A05"/>
    <w:rsid w:val="00516A6A"/>
    <w:rsid w:val="00516A88"/>
    <w:rsid w:val="00516AA3"/>
    <w:rsid w:val="00516CBE"/>
    <w:rsid w:val="00516D52"/>
    <w:rsid w:val="00517132"/>
    <w:rsid w:val="00517637"/>
    <w:rsid w:val="00517651"/>
    <w:rsid w:val="00517BF5"/>
    <w:rsid w:val="00517CC3"/>
    <w:rsid w:val="0052015A"/>
    <w:rsid w:val="00520673"/>
    <w:rsid w:val="0052087F"/>
    <w:rsid w:val="00520FDC"/>
    <w:rsid w:val="0052113A"/>
    <w:rsid w:val="00521179"/>
    <w:rsid w:val="0052149A"/>
    <w:rsid w:val="005217B2"/>
    <w:rsid w:val="00521C30"/>
    <w:rsid w:val="00522658"/>
    <w:rsid w:val="00522C94"/>
    <w:rsid w:val="00522E4D"/>
    <w:rsid w:val="00523986"/>
    <w:rsid w:val="00524492"/>
    <w:rsid w:val="00524514"/>
    <w:rsid w:val="00525709"/>
    <w:rsid w:val="00525799"/>
    <w:rsid w:val="00525940"/>
    <w:rsid w:val="00525F3D"/>
    <w:rsid w:val="005262FC"/>
    <w:rsid w:val="00526784"/>
    <w:rsid w:val="00526E23"/>
    <w:rsid w:val="005275D3"/>
    <w:rsid w:val="00527B5F"/>
    <w:rsid w:val="00527F81"/>
    <w:rsid w:val="005303E3"/>
    <w:rsid w:val="00531090"/>
    <w:rsid w:val="005317CB"/>
    <w:rsid w:val="00531CEE"/>
    <w:rsid w:val="00531D52"/>
    <w:rsid w:val="00531E90"/>
    <w:rsid w:val="00532270"/>
    <w:rsid w:val="00532323"/>
    <w:rsid w:val="00532594"/>
    <w:rsid w:val="005328F9"/>
    <w:rsid w:val="00532AF1"/>
    <w:rsid w:val="00532B00"/>
    <w:rsid w:val="00533237"/>
    <w:rsid w:val="00534198"/>
    <w:rsid w:val="00534682"/>
    <w:rsid w:val="00534BA6"/>
    <w:rsid w:val="00534EAB"/>
    <w:rsid w:val="005352EB"/>
    <w:rsid w:val="00536560"/>
    <w:rsid w:val="00536804"/>
    <w:rsid w:val="00536CBB"/>
    <w:rsid w:val="0053796E"/>
    <w:rsid w:val="00537A6F"/>
    <w:rsid w:val="005403AB"/>
    <w:rsid w:val="0054067E"/>
    <w:rsid w:val="005407E7"/>
    <w:rsid w:val="00541278"/>
    <w:rsid w:val="005417BB"/>
    <w:rsid w:val="00541873"/>
    <w:rsid w:val="00541A32"/>
    <w:rsid w:val="00541C21"/>
    <w:rsid w:val="00541D34"/>
    <w:rsid w:val="00542D9E"/>
    <w:rsid w:val="00543573"/>
    <w:rsid w:val="005437B8"/>
    <w:rsid w:val="0054386A"/>
    <w:rsid w:val="00543A5A"/>
    <w:rsid w:val="00543BB9"/>
    <w:rsid w:val="00543EF5"/>
    <w:rsid w:val="00543F90"/>
    <w:rsid w:val="00544F34"/>
    <w:rsid w:val="00545856"/>
    <w:rsid w:val="005462F1"/>
    <w:rsid w:val="005469BB"/>
    <w:rsid w:val="00546E97"/>
    <w:rsid w:val="005472E0"/>
    <w:rsid w:val="005473FD"/>
    <w:rsid w:val="005502DC"/>
    <w:rsid w:val="0055080E"/>
    <w:rsid w:val="00550E13"/>
    <w:rsid w:val="00550E9D"/>
    <w:rsid w:val="00551ACB"/>
    <w:rsid w:val="00551D5D"/>
    <w:rsid w:val="0055280C"/>
    <w:rsid w:val="005528FE"/>
    <w:rsid w:val="005536C9"/>
    <w:rsid w:val="00553AB6"/>
    <w:rsid w:val="00554471"/>
    <w:rsid w:val="00554E38"/>
    <w:rsid w:val="005550DD"/>
    <w:rsid w:val="00555324"/>
    <w:rsid w:val="00555CE2"/>
    <w:rsid w:val="00555D87"/>
    <w:rsid w:val="00556077"/>
    <w:rsid w:val="00556254"/>
    <w:rsid w:val="0055643F"/>
    <w:rsid w:val="005565A7"/>
    <w:rsid w:val="00556A3D"/>
    <w:rsid w:val="00556A99"/>
    <w:rsid w:val="00556ED1"/>
    <w:rsid w:val="005575C6"/>
    <w:rsid w:val="005575DB"/>
    <w:rsid w:val="00557933"/>
    <w:rsid w:val="00557C98"/>
    <w:rsid w:val="00557E20"/>
    <w:rsid w:val="00560078"/>
    <w:rsid w:val="00560ACB"/>
    <w:rsid w:val="00560AF1"/>
    <w:rsid w:val="00561000"/>
    <w:rsid w:val="0056129D"/>
    <w:rsid w:val="005619AD"/>
    <w:rsid w:val="00561B10"/>
    <w:rsid w:val="00561C7C"/>
    <w:rsid w:val="005620BC"/>
    <w:rsid w:val="00562582"/>
    <w:rsid w:val="00562CAF"/>
    <w:rsid w:val="005630E4"/>
    <w:rsid w:val="00563221"/>
    <w:rsid w:val="005636E8"/>
    <w:rsid w:val="00563913"/>
    <w:rsid w:val="00563BEE"/>
    <w:rsid w:val="00564168"/>
    <w:rsid w:val="00564206"/>
    <w:rsid w:val="00564229"/>
    <w:rsid w:val="00564472"/>
    <w:rsid w:val="00564594"/>
    <w:rsid w:val="0056502D"/>
    <w:rsid w:val="0056503B"/>
    <w:rsid w:val="00565052"/>
    <w:rsid w:val="005655C7"/>
    <w:rsid w:val="00565DC5"/>
    <w:rsid w:val="00565F5E"/>
    <w:rsid w:val="00565FB3"/>
    <w:rsid w:val="005662B7"/>
    <w:rsid w:val="00566748"/>
    <w:rsid w:val="00566837"/>
    <w:rsid w:val="00566AA4"/>
    <w:rsid w:val="00566E28"/>
    <w:rsid w:val="005673E9"/>
    <w:rsid w:val="00567868"/>
    <w:rsid w:val="005703A3"/>
    <w:rsid w:val="00570CD4"/>
    <w:rsid w:val="005715F9"/>
    <w:rsid w:val="00571BB2"/>
    <w:rsid w:val="00571CF9"/>
    <w:rsid w:val="00571F7F"/>
    <w:rsid w:val="00572073"/>
    <w:rsid w:val="00572346"/>
    <w:rsid w:val="0057275E"/>
    <w:rsid w:val="00572C23"/>
    <w:rsid w:val="00572F63"/>
    <w:rsid w:val="00573379"/>
    <w:rsid w:val="005733D5"/>
    <w:rsid w:val="00573EFC"/>
    <w:rsid w:val="00574580"/>
    <w:rsid w:val="00574716"/>
    <w:rsid w:val="00574B0A"/>
    <w:rsid w:val="00574EC6"/>
    <w:rsid w:val="00574F37"/>
    <w:rsid w:val="00574F7E"/>
    <w:rsid w:val="00574FCD"/>
    <w:rsid w:val="0057518F"/>
    <w:rsid w:val="00575CBB"/>
    <w:rsid w:val="00576020"/>
    <w:rsid w:val="0057754A"/>
    <w:rsid w:val="005776DA"/>
    <w:rsid w:val="00577830"/>
    <w:rsid w:val="005778C2"/>
    <w:rsid w:val="00577BEC"/>
    <w:rsid w:val="00577D0C"/>
    <w:rsid w:val="005800AE"/>
    <w:rsid w:val="005803D8"/>
    <w:rsid w:val="00581391"/>
    <w:rsid w:val="00581731"/>
    <w:rsid w:val="005818F4"/>
    <w:rsid w:val="005819DA"/>
    <w:rsid w:val="00581A4A"/>
    <w:rsid w:val="00581B88"/>
    <w:rsid w:val="00581C9F"/>
    <w:rsid w:val="00582014"/>
    <w:rsid w:val="005820A6"/>
    <w:rsid w:val="00582D3A"/>
    <w:rsid w:val="005830EE"/>
    <w:rsid w:val="005837B4"/>
    <w:rsid w:val="0058393E"/>
    <w:rsid w:val="005842C7"/>
    <w:rsid w:val="00584301"/>
    <w:rsid w:val="0058457B"/>
    <w:rsid w:val="00584C97"/>
    <w:rsid w:val="0058512F"/>
    <w:rsid w:val="00585397"/>
    <w:rsid w:val="00585B05"/>
    <w:rsid w:val="00586553"/>
    <w:rsid w:val="00586610"/>
    <w:rsid w:val="00586761"/>
    <w:rsid w:val="0058681E"/>
    <w:rsid w:val="00586947"/>
    <w:rsid w:val="00586FBC"/>
    <w:rsid w:val="00587E5A"/>
    <w:rsid w:val="005902F3"/>
    <w:rsid w:val="00591A0D"/>
    <w:rsid w:val="005928FE"/>
    <w:rsid w:val="00592A1D"/>
    <w:rsid w:val="00592A33"/>
    <w:rsid w:val="00593165"/>
    <w:rsid w:val="00593DF4"/>
    <w:rsid w:val="00594572"/>
    <w:rsid w:val="00594B75"/>
    <w:rsid w:val="00594B84"/>
    <w:rsid w:val="0059545F"/>
    <w:rsid w:val="00595BAA"/>
    <w:rsid w:val="00595E07"/>
    <w:rsid w:val="0059635E"/>
    <w:rsid w:val="005964FC"/>
    <w:rsid w:val="005968DE"/>
    <w:rsid w:val="00597096"/>
    <w:rsid w:val="0059772F"/>
    <w:rsid w:val="00597A94"/>
    <w:rsid w:val="00597B4F"/>
    <w:rsid w:val="005A0092"/>
    <w:rsid w:val="005A0309"/>
    <w:rsid w:val="005A0373"/>
    <w:rsid w:val="005A0C18"/>
    <w:rsid w:val="005A1775"/>
    <w:rsid w:val="005A19C0"/>
    <w:rsid w:val="005A214F"/>
    <w:rsid w:val="005A2A38"/>
    <w:rsid w:val="005A2C25"/>
    <w:rsid w:val="005A2C34"/>
    <w:rsid w:val="005A30D3"/>
    <w:rsid w:val="005A31A9"/>
    <w:rsid w:val="005A399C"/>
    <w:rsid w:val="005A3A50"/>
    <w:rsid w:val="005A5DFB"/>
    <w:rsid w:val="005A612D"/>
    <w:rsid w:val="005A62D5"/>
    <w:rsid w:val="005A6CC7"/>
    <w:rsid w:val="005A7A80"/>
    <w:rsid w:val="005A7A99"/>
    <w:rsid w:val="005A7B07"/>
    <w:rsid w:val="005A7C0A"/>
    <w:rsid w:val="005B01F6"/>
    <w:rsid w:val="005B0E71"/>
    <w:rsid w:val="005B1036"/>
    <w:rsid w:val="005B1141"/>
    <w:rsid w:val="005B2307"/>
    <w:rsid w:val="005B2734"/>
    <w:rsid w:val="005B2787"/>
    <w:rsid w:val="005B29C4"/>
    <w:rsid w:val="005B2B9A"/>
    <w:rsid w:val="005B2C2A"/>
    <w:rsid w:val="005B3382"/>
    <w:rsid w:val="005B3BD3"/>
    <w:rsid w:val="005B4267"/>
    <w:rsid w:val="005B46D1"/>
    <w:rsid w:val="005B4B10"/>
    <w:rsid w:val="005B4C48"/>
    <w:rsid w:val="005B4DFA"/>
    <w:rsid w:val="005B504D"/>
    <w:rsid w:val="005B5106"/>
    <w:rsid w:val="005B5528"/>
    <w:rsid w:val="005B5538"/>
    <w:rsid w:val="005B57C0"/>
    <w:rsid w:val="005B5847"/>
    <w:rsid w:val="005B5C5C"/>
    <w:rsid w:val="005B5CFB"/>
    <w:rsid w:val="005B647F"/>
    <w:rsid w:val="005B6556"/>
    <w:rsid w:val="005B661D"/>
    <w:rsid w:val="005B69F9"/>
    <w:rsid w:val="005B6FFF"/>
    <w:rsid w:val="005B75E3"/>
    <w:rsid w:val="005B7679"/>
    <w:rsid w:val="005B7848"/>
    <w:rsid w:val="005B78DC"/>
    <w:rsid w:val="005C00ED"/>
    <w:rsid w:val="005C0FAA"/>
    <w:rsid w:val="005C0FAF"/>
    <w:rsid w:val="005C1F84"/>
    <w:rsid w:val="005C2254"/>
    <w:rsid w:val="005C2994"/>
    <w:rsid w:val="005C3A0D"/>
    <w:rsid w:val="005C3BAD"/>
    <w:rsid w:val="005C3ED9"/>
    <w:rsid w:val="005C4728"/>
    <w:rsid w:val="005C4C09"/>
    <w:rsid w:val="005C4ED9"/>
    <w:rsid w:val="005C57D4"/>
    <w:rsid w:val="005C59E6"/>
    <w:rsid w:val="005C65DE"/>
    <w:rsid w:val="005C6741"/>
    <w:rsid w:val="005C70EA"/>
    <w:rsid w:val="005C71B7"/>
    <w:rsid w:val="005C74B7"/>
    <w:rsid w:val="005C7A20"/>
    <w:rsid w:val="005C7ADF"/>
    <w:rsid w:val="005C7AFF"/>
    <w:rsid w:val="005C7E5E"/>
    <w:rsid w:val="005C7E6E"/>
    <w:rsid w:val="005C7E99"/>
    <w:rsid w:val="005D0311"/>
    <w:rsid w:val="005D04E7"/>
    <w:rsid w:val="005D0841"/>
    <w:rsid w:val="005D0ADE"/>
    <w:rsid w:val="005D1029"/>
    <w:rsid w:val="005D1110"/>
    <w:rsid w:val="005D1916"/>
    <w:rsid w:val="005D2185"/>
    <w:rsid w:val="005D2B32"/>
    <w:rsid w:val="005D3CB6"/>
    <w:rsid w:val="005D3E66"/>
    <w:rsid w:val="005D45E5"/>
    <w:rsid w:val="005D48DF"/>
    <w:rsid w:val="005D5072"/>
    <w:rsid w:val="005D584B"/>
    <w:rsid w:val="005D5880"/>
    <w:rsid w:val="005D5BFC"/>
    <w:rsid w:val="005D5BFD"/>
    <w:rsid w:val="005D5E35"/>
    <w:rsid w:val="005D67F3"/>
    <w:rsid w:val="005D69E5"/>
    <w:rsid w:val="005D6B20"/>
    <w:rsid w:val="005D6CC9"/>
    <w:rsid w:val="005D7667"/>
    <w:rsid w:val="005D76E6"/>
    <w:rsid w:val="005D7F10"/>
    <w:rsid w:val="005E04E3"/>
    <w:rsid w:val="005E0AEA"/>
    <w:rsid w:val="005E0D94"/>
    <w:rsid w:val="005E178A"/>
    <w:rsid w:val="005E188F"/>
    <w:rsid w:val="005E1DCE"/>
    <w:rsid w:val="005E1FFA"/>
    <w:rsid w:val="005E22D6"/>
    <w:rsid w:val="005E23FD"/>
    <w:rsid w:val="005E2BBB"/>
    <w:rsid w:val="005E2DE6"/>
    <w:rsid w:val="005E3464"/>
    <w:rsid w:val="005E36D3"/>
    <w:rsid w:val="005E3772"/>
    <w:rsid w:val="005E3CE7"/>
    <w:rsid w:val="005E4004"/>
    <w:rsid w:val="005E4706"/>
    <w:rsid w:val="005E4A42"/>
    <w:rsid w:val="005E4CAD"/>
    <w:rsid w:val="005E5C31"/>
    <w:rsid w:val="005E6007"/>
    <w:rsid w:val="005E607E"/>
    <w:rsid w:val="005E68F2"/>
    <w:rsid w:val="005E6A2A"/>
    <w:rsid w:val="005E71CF"/>
    <w:rsid w:val="005E76E6"/>
    <w:rsid w:val="005E77B3"/>
    <w:rsid w:val="005E796F"/>
    <w:rsid w:val="005E7D51"/>
    <w:rsid w:val="005F0020"/>
    <w:rsid w:val="005F061E"/>
    <w:rsid w:val="005F0703"/>
    <w:rsid w:val="005F091F"/>
    <w:rsid w:val="005F09E2"/>
    <w:rsid w:val="005F0C05"/>
    <w:rsid w:val="005F1E56"/>
    <w:rsid w:val="005F2105"/>
    <w:rsid w:val="005F23E1"/>
    <w:rsid w:val="005F2904"/>
    <w:rsid w:val="005F2CE2"/>
    <w:rsid w:val="005F3006"/>
    <w:rsid w:val="005F3ADE"/>
    <w:rsid w:val="005F3D26"/>
    <w:rsid w:val="005F4194"/>
    <w:rsid w:val="005F41CC"/>
    <w:rsid w:val="005F46AE"/>
    <w:rsid w:val="005F4A07"/>
    <w:rsid w:val="005F4C03"/>
    <w:rsid w:val="005F4F75"/>
    <w:rsid w:val="005F5079"/>
    <w:rsid w:val="005F5B16"/>
    <w:rsid w:val="005F5C90"/>
    <w:rsid w:val="005F63D4"/>
    <w:rsid w:val="005F6940"/>
    <w:rsid w:val="005F69E5"/>
    <w:rsid w:val="005F72CD"/>
    <w:rsid w:val="005F7E9A"/>
    <w:rsid w:val="0060028F"/>
    <w:rsid w:val="006004DB"/>
    <w:rsid w:val="00600797"/>
    <w:rsid w:val="0060081A"/>
    <w:rsid w:val="00600F77"/>
    <w:rsid w:val="00601504"/>
    <w:rsid w:val="006016A5"/>
    <w:rsid w:val="00601C6A"/>
    <w:rsid w:val="00601D29"/>
    <w:rsid w:val="00602002"/>
    <w:rsid w:val="00602883"/>
    <w:rsid w:val="00603361"/>
    <w:rsid w:val="006033C7"/>
    <w:rsid w:val="00603D51"/>
    <w:rsid w:val="00604113"/>
    <w:rsid w:val="00604978"/>
    <w:rsid w:val="006051FE"/>
    <w:rsid w:val="006052BC"/>
    <w:rsid w:val="0060532F"/>
    <w:rsid w:val="006054FA"/>
    <w:rsid w:val="0060667E"/>
    <w:rsid w:val="00606774"/>
    <w:rsid w:val="00606847"/>
    <w:rsid w:val="0060692A"/>
    <w:rsid w:val="00606962"/>
    <w:rsid w:val="00607144"/>
    <w:rsid w:val="00607253"/>
    <w:rsid w:val="00607D5B"/>
    <w:rsid w:val="0061015D"/>
    <w:rsid w:val="006105F0"/>
    <w:rsid w:val="00610E38"/>
    <w:rsid w:val="0061154A"/>
    <w:rsid w:val="0061180A"/>
    <w:rsid w:val="00612047"/>
    <w:rsid w:val="0061215A"/>
    <w:rsid w:val="0061291C"/>
    <w:rsid w:val="00612BC3"/>
    <w:rsid w:val="00612F1E"/>
    <w:rsid w:val="006135D1"/>
    <w:rsid w:val="006139F2"/>
    <w:rsid w:val="00613A93"/>
    <w:rsid w:val="00613E5F"/>
    <w:rsid w:val="0061468C"/>
    <w:rsid w:val="00615364"/>
    <w:rsid w:val="00615754"/>
    <w:rsid w:val="00615CAB"/>
    <w:rsid w:val="00616139"/>
    <w:rsid w:val="00616A7B"/>
    <w:rsid w:val="00616E34"/>
    <w:rsid w:val="00616F11"/>
    <w:rsid w:val="006178A6"/>
    <w:rsid w:val="00620857"/>
    <w:rsid w:val="00620B46"/>
    <w:rsid w:val="00620C82"/>
    <w:rsid w:val="00620D4B"/>
    <w:rsid w:val="00620F7F"/>
    <w:rsid w:val="0062163F"/>
    <w:rsid w:val="00621805"/>
    <w:rsid w:val="00621D91"/>
    <w:rsid w:val="00621E51"/>
    <w:rsid w:val="00621E7C"/>
    <w:rsid w:val="0062207D"/>
    <w:rsid w:val="006236AD"/>
    <w:rsid w:val="00623785"/>
    <w:rsid w:val="00623CFE"/>
    <w:rsid w:val="00624B4C"/>
    <w:rsid w:val="00624B86"/>
    <w:rsid w:val="00625418"/>
    <w:rsid w:val="00626218"/>
    <w:rsid w:val="00626925"/>
    <w:rsid w:val="00626A4A"/>
    <w:rsid w:val="00626EEC"/>
    <w:rsid w:val="00626FA2"/>
    <w:rsid w:val="006272A9"/>
    <w:rsid w:val="0062735A"/>
    <w:rsid w:val="00627379"/>
    <w:rsid w:val="00627661"/>
    <w:rsid w:val="006301DE"/>
    <w:rsid w:val="00630553"/>
    <w:rsid w:val="00630BF8"/>
    <w:rsid w:val="006310F3"/>
    <w:rsid w:val="00631629"/>
    <w:rsid w:val="00631B3B"/>
    <w:rsid w:val="00632374"/>
    <w:rsid w:val="00634133"/>
    <w:rsid w:val="006351E0"/>
    <w:rsid w:val="00635698"/>
    <w:rsid w:val="006356E5"/>
    <w:rsid w:val="00635986"/>
    <w:rsid w:val="00635FE2"/>
    <w:rsid w:val="0063634D"/>
    <w:rsid w:val="00636368"/>
    <w:rsid w:val="00636811"/>
    <w:rsid w:val="00636D30"/>
    <w:rsid w:val="00636FE8"/>
    <w:rsid w:val="006371E0"/>
    <w:rsid w:val="00637CDF"/>
    <w:rsid w:val="006404F2"/>
    <w:rsid w:val="0064079D"/>
    <w:rsid w:val="00640887"/>
    <w:rsid w:val="00640C1E"/>
    <w:rsid w:val="00640F0B"/>
    <w:rsid w:val="0064136F"/>
    <w:rsid w:val="00641BCA"/>
    <w:rsid w:val="00641EF6"/>
    <w:rsid w:val="0064255C"/>
    <w:rsid w:val="00642648"/>
    <w:rsid w:val="00642A6F"/>
    <w:rsid w:val="00642ACA"/>
    <w:rsid w:val="00642E07"/>
    <w:rsid w:val="006430D6"/>
    <w:rsid w:val="006434BF"/>
    <w:rsid w:val="00643500"/>
    <w:rsid w:val="00643A6E"/>
    <w:rsid w:val="00643E4D"/>
    <w:rsid w:val="00644A25"/>
    <w:rsid w:val="00645763"/>
    <w:rsid w:val="006457EF"/>
    <w:rsid w:val="006459DE"/>
    <w:rsid w:val="00645A0B"/>
    <w:rsid w:val="00645B73"/>
    <w:rsid w:val="00645C0D"/>
    <w:rsid w:val="00646327"/>
    <w:rsid w:val="006465FC"/>
    <w:rsid w:val="00646757"/>
    <w:rsid w:val="0064697F"/>
    <w:rsid w:val="00646A9A"/>
    <w:rsid w:val="00647343"/>
    <w:rsid w:val="0064757F"/>
    <w:rsid w:val="00647820"/>
    <w:rsid w:val="00647B31"/>
    <w:rsid w:val="00647BDB"/>
    <w:rsid w:val="00650C91"/>
    <w:rsid w:val="00651B35"/>
    <w:rsid w:val="0065236E"/>
    <w:rsid w:val="00652D5D"/>
    <w:rsid w:val="00652F16"/>
    <w:rsid w:val="00653201"/>
    <w:rsid w:val="0065356B"/>
    <w:rsid w:val="00653FBC"/>
    <w:rsid w:val="00654A42"/>
    <w:rsid w:val="00654BFB"/>
    <w:rsid w:val="00654E76"/>
    <w:rsid w:val="00655171"/>
    <w:rsid w:val="0065527F"/>
    <w:rsid w:val="00655AA6"/>
    <w:rsid w:val="00655CC9"/>
    <w:rsid w:val="00655EAE"/>
    <w:rsid w:val="00655EF9"/>
    <w:rsid w:val="00656432"/>
    <w:rsid w:val="00656549"/>
    <w:rsid w:val="00656556"/>
    <w:rsid w:val="00657131"/>
    <w:rsid w:val="0065770C"/>
    <w:rsid w:val="006577C1"/>
    <w:rsid w:val="00657CF2"/>
    <w:rsid w:val="00657FAD"/>
    <w:rsid w:val="00660D27"/>
    <w:rsid w:val="00661855"/>
    <w:rsid w:val="0066223B"/>
    <w:rsid w:val="00662D3D"/>
    <w:rsid w:val="00662D4F"/>
    <w:rsid w:val="00662F72"/>
    <w:rsid w:val="00663FB3"/>
    <w:rsid w:val="00664598"/>
    <w:rsid w:val="00664B4A"/>
    <w:rsid w:val="006658DA"/>
    <w:rsid w:val="00665BC9"/>
    <w:rsid w:val="0066646F"/>
    <w:rsid w:val="006665CC"/>
    <w:rsid w:val="006667B1"/>
    <w:rsid w:val="00666F3D"/>
    <w:rsid w:val="006672CB"/>
    <w:rsid w:val="0066752C"/>
    <w:rsid w:val="0066776F"/>
    <w:rsid w:val="00667F9F"/>
    <w:rsid w:val="00670503"/>
    <w:rsid w:val="0067070B"/>
    <w:rsid w:val="00671252"/>
    <w:rsid w:val="00671C07"/>
    <w:rsid w:val="00671E01"/>
    <w:rsid w:val="0067245C"/>
    <w:rsid w:val="00672AD6"/>
    <w:rsid w:val="00673050"/>
    <w:rsid w:val="006736E3"/>
    <w:rsid w:val="006738B8"/>
    <w:rsid w:val="0067395F"/>
    <w:rsid w:val="006740D3"/>
    <w:rsid w:val="006740EF"/>
    <w:rsid w:val="006743F1"/>
    <w:rsid w:val="00674401"/>
    <w:rsid w:val="00674480"/>
    <w:rsid w:val="00674553"/>
    <w:rsid w:val="00675DEA"/>
    <w:rsid w:val="00676087"/>
    <w:rsid w:val="0067617F"/>
    <w:rsid w:val="0067651D"/>
    <w:rsid w:val="00676830"/>
    <w:rsid w:val="006769CF"/>
    <w:rsid w:val="00676FDB"/>
    <w:rsid w:val="00677568"/>
    <w:rsid w:val="00677B55"/>
    <w:rsid w:val="00680119"/>
    <w:rsid w:val="006804ED"/>
    <w:rsid w:val="006807F1"/>
    <w:rsid w:val="00680B3A"/>
    <w:rsid w:val="00680C2B"/>
    <w:rsid w:val="00680E27"/>
    <w:rsid w:val="00681180"/>
    <w:rsid w:val="00681B9F"/>
    <w:rsid w:val="00681BB1"/>
    <w:rsid w:val="00682010"/>
    <w:rsid w:val="00682342"/>
    <w:rsid w:val="00682B34"/>
    <w:rsid w:val="00682D01"/>
    <w:rsid w:val="006831C7"/>
    <w:rsid w:val="00683875"/>
    <w:rsid w:val="00685376"/>
    <w:rsid w:val="00685472"/>
    <w:rsid w:val="00685963"/>
    <w:rsid w:val="00685F80"/>
    <w:rsid w:val="00685FED"/>
    <w:rsid w:val="00686887"/>
    <w:rsid w:val="00686B81"/>
    <w:rsid w:val="00686C72"/>
    <w:rsid w:val="0068720C"/>
    <w:rsid w:val="0069137A"/>
    <w:rsid w:val="00691456"/>
    <w:rsid w:val="006919B7"/>
    <w:rsid w:val="00691B57"/>
    <w:rsid w:val="00691D82"/>
    <w:rsid w:val="00692541"/>
    <w:rsid w:val="00692E1F"/>
    <w:rsid w:val="00692FFA"/>
    <w:rsid w:val="00693250"/>
    <w:rsid w:val="006935E1"/>
    <w:rsid w:val="006939A2"/>
    <w:rsid w:val="006939A7"/>
    <w:rsid w:val="00693D7F"/>
    <w:rsid w:val="00693EAB"/>
    <w:rsid w:val="00694B85"/>
    <w:rsid w:val="0069543A"/>
    <w:rsid w:val="0069599E"/>
    <w:rsid w:val="00695A26"/>
    <w:rsid w:val="00696235"/>
    <w:rsid w:val="006970E8"/>
    <w:rsid w:val="00697D9C"/>
    <w:rsid w:val="006A0B70"/>
    <w:rsid w:val="006A0CDF"/>
    <w:rsid w:val="006A1193"/>
    <w:rsid w:val="006A166E"/>
    <w:rsid w:val="006A1696"/>
    <w:rsid w:val="006A1AC0"/>
    <w:rsid w:val="006A1B80"/>
    <w:rsid w:val="006A1CA9"/>
    <w:rsid w:val="006A2982"/>
    <w:rsid w:val="006A2ECB"/>
    <w:rsid w:val="006A3421"/>
    <w:rsid w:val="006A3753"/>
    <w:rsid w:val="006A38FC"/>
    <w:rsid w:val="006A3B73"/>
    <w:rsid w:val="006A3E0A"/>
    <w:rsid w:val="006A41E9"/>
    <w:rsid w:val="006A444C"/>
    <w:rsid w:val="006A44CB"/>
    <w:rsid w:val="006A49ED"/>
    <w:rsid w:val="006A504B"/>
    <w:rsid w:val="006A54D6"/>
    <w:rsid w:val="006A67C1"/>
    <w:rsid w:val="006A67CE"/>
    <w:rsid w:val="006A6C41"/>
    <w:rsid w:val="006A7229"/>
    <w:rsid w:val="006A72A4"/>
    <w:rsid w:val="006A74EB"/>
    <w:rsid w:val="006A7ADD"/>
    <w:rsid w:val="006B004E"/>
    <w:rsid w:val="006B0168"/>
    <w:rsid w:val="006B05AE"/>
    <w:rsid w:val="006B09AB"/>
    <w:rsid w:val="006B0BD6"/>
    <w:rsid w:val="006B1257"/>
    <w:rsid w:val="006B12C5"/>
    <w:rsid w:val="006B190C"/>
    <w:rsid w:val="006B1E49"/>
    <w:rsid w:val="006B22AB"/>
    <w:rsid w:val="006B22AD"/>
    <w:rsid w:val="006B26D4"/>
    <w:rsid w:val="006B2FBA"/>
    <w:rsid w:val="006B325A"/>
    <w:rsid w:val="006B33D2"/>
    <w:rsid w:val="006B36A4"/>
    <w:rsid w:val="006B3885"/>
    <w:rsid w:val="006B3B0D"/>
    <w:rsid w:val="006B3C26"/>
    <w:rsid w:val="006B4F07"/>
    <w:rsid w:val="006B56C5"/>
    <w:rsid w:val="006B5C9E"/>
    <w:rsid w:val="006B5EB3"/>
    <w:rsid w:val="006B5F17"/>
    <w:rsid w:val="006B6205"/>
    <w:rsid w:val="006B6843"/>
    <w:rsid w:val="006B693F"/>
    <w:rsid w:val="006B6D4B"/>
    <w:rsid w:val="006B74F4"/>
    <w:rsid w:val="006B771F"/>
    <w:rsid w:val="006B78AE"/>
    <w:rsid w:val="006B78F9"/>
    <w:rsid w:val="006C07BF"/>
    <w:rsid w:val="006C0E9C"/>
    <w:rsid w:val="006C109C"/>
    <w:rsid w:val="006C15ED"/>
    <w:rsid w:val="006C1768"/>
    <w:rsid w:val="006C1C4B"/>
    <w:rsid w:val="006C212A"/>
    <w:rsid w:val="006C2135"/>
    <w:rsid w:val="006C24BC"/>
    <w:rsid w:val="006C2591"/>
    <w:rsid w:val="006C28F5"/>
    <w:rsid w:val="006C322A"/>
    <w:rsid w:val="006C3273"/>
    <w:rsid w:val="006C37C3"/>
    <w:rsid w:val="006C45FE"/>
    <w:rsid w:val="006C4D7B"/>
    <w:rsid w:val="006C4E80"/>
    <w:rsid w:val="006C5565"/>
    <w:rsid w:val="006C57D5"/>
    <w:rsid w:val="006C6194"/>
    <w:rsid w:val="006C64F7"/>
    <w:rsid w:val="006C6508"/>
    <w:rsid w:val="006C6552"/>
    <w:rsid w:val="006C67DC"/>
    <w:rsid w:val="006C70BD"/>
    <w:rsid w:val="006C7E8D"/>
    <w:rsid w:val="006C7F91"/>
    <w:rsid w:val="006D0399"/>
    <w:rsid w:val="006D0873"/>
    <w:rsid w:val="006D09DD"/>
    <w:rsid w:val="006D0CDF"/>
    <w:rsid w:val="006D0D7B"/>
    <w:rsid w:val="006D0F23"/>
    <w:rsid w:val="006D1224"/>
    <w:rsid w:val="006D141D"/>
    <w:rsid w:val="006D1752"/>
    <w:rsid w:val="006D1773"/>
    <w:rsid w:val="006D178C"/>
    <w:rsid w:val="006D194A"/>
    <w:rsid w:val="006D1972"/>
    <w:rsid w:val="006D1B80"/>
    <w:rsid w:val="006D1EB8"/>
    <w:rsid w:val="006D2861"/>
    <w:rsid w:val="006D2E29"/>
    <w:rsid w:val="006D308A"/>
    <w:rsid w:val="006D3F3A"/>
    <w:rsid w:val="006D4366"/>
    <w:rsid w:val="006D44ED"/>
    <w:rsid w:val="006D4602"/>
    <w:rsid w:val="006D4731"/>
    <w:rsid w:val="006D4A75"/>
    <w:rsid w:val="006D4D5A"/>
    <w:rsid w:val="006D526C"/>
    <w:rsid w:val="006D5A00"/>
    <w:rsid w:val="006D5DF0"/>
    <w:rsid w:val="006D6621"/>
    <w:rsid w:val="006D69C8"/>
    <w:rsid w:val="006D6EFC"/>
    <w:rsid w:val="006D7464"/>
    <w:rsid w:val="006D7D99"/>
    <w:rsid w:val="006D7DB6"/>
    <w:rsid w:val="006E078E"/>
    <w:rsid w:val="006E0BAC"/>
    <w:rsid w:val="006E0FD0"/>
    <w:rsid w:val="006E15B6"/>
    <w:rsid w:val="006E22AC"/>
    <w:rsid w:val="006E29B3"/>
    <w:rsid w:val="006E3729"/>
    <w:rsid w:val="006E407E"/>
    <w:rsid w:val="006E47C7"/>
    <w:rsid w:val="006E4B11"/>
    <w:rsid w:val="006E521B"/>
    <w:rsid w:val="006E5D7D"/>
    <w:rsid w:val="006E6241"/>
    <w:rsid w:val="006E6245"/>
    <w:rsid w:val="006E6549"/>
    <w:rsid w:val="006E6873"/>
    <w:rsid w:val="006E78B8"/>
    <w:rsid w:val="006F05B5"/>
    <w:rsid w:val="006F0A0B"/>
    <w:rsid w:val="006F10E3"/>
    <w:rsid w:val="006F13B1"/>
    <w:rsid w:val="006F19DF"/>
    <w:rsid w:val="006F1C8D"/>
    <w:rsid w:val="006F2B84"/>
    <w:rsid w:val="006F2BB0"/>
    <w:rsid w:val="006F3813"/>
    <w:rsid w:val="006F3C1C"/>
    <w:rsid w:val="006F420F"/>
    <w:rsid w:val="006F4CC6"/>
    <w:rsid w:val="006F4D3F"/>
    <w:rsid w:val="006F5158"/>
    <w:rsid w:val="006F54AB"/>
    <w:rsid w:val="006F55DB"/>
    <w:rsid w:val="006F5C8C"/>
    <w:rsid w:val="006F5D24"/>
    <w:rsid w:val="006F62D7"/>
    <w:rsid w:val="006F6D2F"/>
    <w:rsid w:val="006F702E"/>
    <w:rsid w:val="006F7A7E"/>
    <w:rsid w:val="006F7B74"/>
    <w:rsid w:val="00700057"/>
    <w:rsid w:val="007000C4"/>
    <w:rsid w:val="00700138"/>
    <w:rsid w:val="00700350"/>
    <w:rsid w:val="00700352"/>
    <w:rsid w:val="00700F46"/>
    <w:rsid w:val="00700F63"/>
    <w:rsid w:val="00700F8C"/>
    <w:rsid w:val="007011ED"/>
    <w:rsid w:val="007014EC"/>
    <w:rsid w:val="007031D1"/>
    <w:rsid w:val="0070332D"/>
    <w:rsid w:val="007033F0"/>
    <w:rsid w:val="007038B9"/>
    <w:rsid w:val="00703C0A"/>
    <w:rsid w:val="0070404A"/>
    <w:rsid w:val="00704054"/>
    <w:rsid w:val="007044BA"/>
    <w:rsid w:val="00704D5F"/>
    <w:rsid w:val="00704F34"/>
    <w:rsid w:val="007054A8"/>
    <w:rsid w:val="007058AF"/>
    <w:rsid w:val="00705CAE"/>
    <w:rsid w:val="00705F21"/>
    <w:rsid w:val="00706014"/>
    <w:rsid w:val="007064C0"/>
    <w:rsid w:val="007065B7"/>
    <w:rsid w:val="00706CDF"/>
    <w:rsid w:val="00706DD3"/>
    <w:rsid w:val="00706FD7"/>
    <w:rsid w:val="00707585"/>
    <w:rsid w:val="007077C7"/>
    <w:rsid w:val="007078C7"/>
    <w:rsid w:val="00707B79"/>
    <w:rsid w:val="00707D71"/>
    <w:rsid w:val="0071008A"/>
    <w:rsid w:val="0071072F"/>
    <w:rsid w:val="00710899"/>
    <w:rsid w:val="00712445"/>
    <w:rsid w:val="0071281C"/>
    <w:rsid w:val="00713391"/>
    <w:rsid w:val="00713F57"/>
    <w:rsid w:val="00713FC7"/>
    <w:rsid w:val="0071475E"/>
    <w:rsid w:val="0071480A"/>
    <w:rsid w:val="00714D0F"/>
    <w:rsid w:val="00714F87"/>
    <w:rsid w:val="00715554"/>
    <w:rsid w:val="007158F6"/>
    <w:rsid w:val="00715A94"/>
    <w:rsid w:val="00716675"/>
    <w:rsid w:val="00716D53"/>
    <w:rsid w:val="00717345"/>
    <w:rsid w:val="00717356"/>
    <w:rsid w:val="0071751D"/>
    <w:rsid w:val="0071764B"/>
    <w:rsid w:val="00717E40"/>
    <w:rsid w:val="00717E81"/>
    <w:rsid w:val="00720452"/>
    <w:rsid w:val="00720A5A"/>
    <w:rsid w:val="00720BCC"/>
    <w:rsid w:val="00720CD8"/>
    <w:rsid w:val="00720DD0"/>
    <w:rsid w:val="00720FFF"/>
    <w:rsid w:val="007214BA"/>
    <w:rsid w:val="007215A7"/>
    <w:rsid w:val="00722B83"/>
    <w:rsid w:val="00722FDA"/>
    <w:rsid w:val="00723073"/>
    <w:rsid w:val="00723297"/>
    <w:rsid w:val="007241AC"/>
    <w:rsid w:val="0072471B"/>
    <w:rsid w:val="00724ED9"/>
    <w:rsid w:val="00724FE7"/>
    <w:rsid w:val="007250E5"/>
    <w:rsid w:val="007254E9"/>
    <w:rsid w:val="007257C9"/>
    <w:rsid w:val="00725BBA"/>
    <w:rsid w:val="00725BE9"/>
    <w:rsid w:val="00725DF3"/>
    <w:rsid w:val="00725E35"/>
    <w:rsid w:val="00725EEC"/>
    <w:rsid w:val="007262F1"/>
    <w:rsid w:val="0072644D"/>
    <w:rsid w:val="007267EB"/>
    <w:rsid w:val="00726E6A"/>
    <w:rsid w:val="007270B0"/>
    <w:rsid w:val="007273EF"/>
    <w:rsid w:val="00727501"/>
    <w:rsid w:val="007302D1"/>
    <w:rsid w:val="00730B1E"/>
    <w:rsid w:val="00731229"/>
    <w:rsid w:val="00731303"/>
    <w:rsid w:val="00731A0C"/>
    <w:rsid w:val="0073226C"/>
    <w:rsid w:val="00732333"/>
    <w:rsid w:val="0073242C"/>
    <w:rsid w:val="007324D3"/>
    <w:rsid w:val="0073257F"/>
    <w:rsid w:val="00732824"/>
    <w:rsid w:val="00733006"/>
    <w:rsid w:val="00733101"/>
    <w:rsid w:val="0073329F"/>
    <w:rsid w:val="0073430C"/>
    <w:rsid w:val="00734E57"/>
    <w:rsid w:val="00734FDB"/>
    <w:rsid w:val="00735859"/>
    <w:rsid w:val="00736044"/>
    <w:rsid w:val="0073623F"/>
    <w:rsid w:val="007363A8"/>
    <w:rsid w:val="00736B7F"/>
    <w:rsid w:val="00736C99"/>
    <w:rsid w:val="007370D9"/>
    <w:rsid w:val="0073723F"/>
    <w:rsid w:val="00737286"/>
    <w:rsid w:val="007377AD"/>
    <w:rsid w:val="007377F2"/>
    <w:rsid w:val="00737B39"/>
    <w:rsid w:val="00737F65"/>
    <w:rsid w:val="007402D3"/>
    <w:rsid w:val="00740628"/>
    <w:rsid w:val="00740C19"/>
    <w:rsid w:val="00740C39"/>
    <w:rsid w:val="007410E9"/>
    <w:rsid w:val="00741A30"/>
    <w:rsid w:val="007425A5"/>
    <w:rsid w:val="007435F0"/>
    <w:rsid w:val="0074382A"/>
    <w:rsid w:val="00743936"/>
    <w:rsid w:val="00743CC8"/>
    <w:rsid w:val="00745017"/>
    <w:rsid w:val="00745623"/>
    <w:rsid w:val="0074584B"/>
    <w:rsid w:val="00745B5E"/>
    <w:rsid w:val="00745D61"/>
    <w:rsid w:val="0074614D"/>
    <w:rsid w:val="00746228"/>
    <w:rsid w:val="0074659A"/>
    <w:rsid w:val="00746E5F"/>
    <w:rsid w:val="007476B2"/>
    <w:rsid w:val="007478D3"/>
    <w:rsid w:val="0075018A"/>
    <w:rsid w:val="00750A3E"/>
    <w:rsid w:val="007510FC"/>
    <w:rsid w:val="0075142A"/>
    <w:rsid w:val="00751821"/>
    <w:rsid w:val="00751AAC"/>
    <w:rsid w:val="00752426"/>
    <w:rsid w:val="00752798"/>
    <w:rsid w:val="00752884"/>
    <w:rsid w:val="00752C48"/>
    <w:rsid w:val="00752D35"/>
    <w:rsid w:val="0075307A"/>
    <w:rsid w:val="0075499B"/>
    <w:rsid w:val="00754DF9"/>
    <w:rsid w:val="00754F14"/>
    <w:rsid w:val="00754F39"/>
    <w:rsid w:val="007550C9"/>
    <w:rsid w:val="007552FF"/>
    <w:rsid w:val="00755735"/>
    <w:rsid w:val="007560C7"/>
    <w:rsid w:val="0075642B"/>
    <w:rsid w:val="00756556"/>
    <w:rsid w:val="0075693E"/>
    <w:rsid w:val="007571D7"/>
    <w:rsid w:val="0075791B"/>
    <w:rsid w:val="00757E7B"/>
    <w:rsid w:val="00757E9E"/>
    <w:rsid w:val="00757F19"/>
    <w:rsid w:val="007607F8"/>
    <w:rsid w:val="00760CB4"/>
    <w:rsid w:val="00760CF5"/>
    <w:rsid w:val="00760D95"/>
    <w:rsid w:val="007614CE"/>
    <w:rsid w:val="0076216F"/>
    <w:rsid w:val="0076230E"/>
    <w:rsid w:val="00762412"/>
    <w:rsid w:val="007627F6"/>
    <w:rsid w:val="00762A91"/>
    <w:rsid w:val="00762CBC"/>
    <w:rsid w:val="00762E9D"/>
    <w:rsid w:val="007639A7"/>
    <w:rsid w:val="00763A96"/>
    <w:rsid w:val="00763E6D"/>
    <w:rsid w:val="007642BA"/>
    <w:rsid w:val="0076483B"/>
    <w:rsid w:val="007648EB"/>
    <w:rsid w:val="00764F8B"/>
    <w:rsid w:val="007652B8"/>
    <w:rsid w:val="00765B1C"/>
    <w:rsid w:val="00765CCC"/>
    <w:rsid w:val="00765E65"/>
    <w:rsid w:val="00765F7F"/>
    <w:rsid w:val="0076629E"/>
    <w:rsid w:val="00767242"/>
    <w:rsid w:val="00767448"/>
    <w:rsid w:val="0076756B"/>
    <w:rsid w:val="00767725"/>
    <w:rsid w:val="007678FF"/>
    <w:rsid w:val="00767A53"/>
    <w:rsid w:val="00767FC2"/>
    <w:rsid w:val="0077089E"/>
    <w:rsid w:val="00770903"/>
    <w:rsid w:val="007709E1"/>
    <w:rsid w:val="007710F0"/>
    <w:rsid w:val="0077121F"/>
    <w:rsid w:val="007716D2"/>
    <w:rsid w:val="007719B3"/>
    <w:rsid w:val="00771B39"/>
    <w:rsid w:val="00771B6F"/>
    <w:rsid w:val="00771FF1"/>
    <w:rsid w:val="00772446"/>
    <w:rsid w:val="00772D1D"/>
    <w:rsid w:val="00772D9B"/>
    <w:rsid w:val="00772DE6"/>
    <w:rsid w:val="007734D2"/>
    <w:rsid w:val="00773678"/>
    <w:rsid w:val="00773B82"/>
    <w:rsid w:val="00773C32"/>
    <w:rsid w:val="00773D86"/>
    <w:rsid w:val="00773F8C"/>
    <w:rsid w:val="00773FF9"/>
    <w:rsid w:val="00774051"/>
    <w:rsid w:val="00774582"/>
    <w:rsid w:val="007745C7"/>
    <w:rsid w:val="00774747"/>
    <w:rsid w:val="0077488E"/>
    <w:rsid w:val="007748B4"/>
    <w:rsid w:val="00774B1E"/>
    <w:rsid w:val="00774F68"/>
    <w:rsid w:val="00775B76"/>
    <w:rsid w:val="00775B78"/>
    <w:rsid w:val="007762B3"/>
    <w:rsid w:val="007771C5"/>
    <w:rsid w:val="0077735A"/>
    <w:rsid w:val="00777AB2"/>
    <w:rsid w:val="00777FAF"/>
    <w:rsid w:val="0078028D"/>
    <w:rsid w:val="007803C0"/>
    <w:rsid w:val="00780484"/>
    <w:rsid w:val="0078096A"/>
    <w:rsid w:val="00781375"/>
    <w:rsid w:val="007814A2"/>
    <w:rsid w:val="00781714"/>
    <w:rsid w:val="00781BBF"/>
    <w:rsid w:val="00781BF8"/>
    <w:rsid w:val="007836BE"/>
    <w:rsid w:val="00783762"/>
    <w:rsid w:val="00783BE4"/>
    <w:rsid w:val="007841B7"/>
    <w:rsid w:val="00784F96"/>
    <w:rsid w:val="00785C5B"/>
    <w:rsid w:val="00785CC0"/>
    <w:rsid w:val="00786BE1"/>
    <w:rsid w:val="00786CFE"/>
    <w:rsid w:val="00786F1E"/>
    <w:rsid w:val="00787299"/>
    <w:rsid w:val="007878B2"/>
    <w:rsid w:val="007902B1"/>
    <w:rsid w:val="007904C6"/>
    <w:rsid w:val="00790C19"/>
    <w:rsid w:val="00791314"/>
    <w:rsid w:val="007915D1"/>
    <w:rsid w:val="00791F7F"/>
    <w:rsid w:val="00791FCC"/>
    <w:rsid w:val="00792C16"/>
    <w:rsid w:val="007934DE"/>
    <w:rsid w:val="00793C41"/>
    <w:rsid w:val="0079411E"/>
    <w:rsid w:val="0079426B"/>
    <w:rsid w:val="0079439C"/>
    <w:rsid w:val="00794A86"/>
    <w:rsid w:val="00794AC4"/>
    <w:rsid w:val="00794E66"/>
    <w:rsid w:val="00794F62"/>
    <w:rsid w:val="00795435"/>
    <w:rsid w:val="0079566A"/>
    <w:rsid w:val="00795AEA"/>
    <w:rsid w:val="00796150"/>
    <w:rsid w:val="00796E49"/>
    <w:rsid w:val="00796FA9"/>
    <w:rsid w:val="00797020"/>
    <w:rsid w:val="007A042F"/>
    <w:rsid w:val="007A04FE"/>
    <w:rsid w:val="007A08EF"/>
    <w:rsid w:val="007A12CD"/>
    <w:rsid w:val="007A1AF2"/>
    <w:rsid w:val="007A24E3"/>
    <w:rsid w:val="007A27CD"/>
    <w:rsid w:val="007A285E"/>
    <w:rsid w:val="007A29CC"/>
    <w:rsid w:val="007A2A26"/>
    <w:rsid w:val="007A2E7F"/>
    <w:rsid w:val="007A32B2"/>
    <w:rsid w:val="007A330E"/>
    <w:rsid w:val="007A34AC"/>
    <w:rsid w:val="007A371E"/>
    <w:rsid w:val="007A43FB"/>
    <w:rsid w:val="007A4572"/>
    <w:rsid w:val="007A45C7"/>
    <w:rsid w:val="007A5140"/>
    <w:rsid w:val="007A5B59"/>
    <w:rsid w:val="007A5D39"/>
    <w:rsid w:val="007A5F4F"/>
    <w:rsid w:val="007A6513"/>
    <w:rsid w:val="007A6C56"/>
    <w:rsid w:val="007A6DF4"/>
    <w:rsid w:val="007A73F6"/>
    <w:rsid w:val="007B0414"/>
    <w:rsid w:val="007B0667"/>
    <w:rsid w:val="007B0842"/>
    <w:rsid w:val="007B08D7"/>
    <w:rsid w:val="007B096B"/>
    <w:rsid w:val="007B0A43"/>
    <w:rsid w:val="007B0B51"/>
    <w:rsid w:val="007B12C5"/>
    <w:rsid w:val="007B1734"/>
    <w:rsid w:val="007B1D2F"/>
    <w:rsid w:val="007B1F62"/>
    <w:rsid w:val="007B2020"/>
    <w:rsid w:val="007B265C"/>
    <w:rsid w:val="007B26D4"/>
    <w:rsid w:val="007B33E0"/>
    <w:rsid w:val="007B3B76"/>
    <w:rsid w:val="007B3DE7"/>
    <w:rsid w:val="007B4363"/>
    <w:rsid w:val="007B4806"/>
    <w:rsid w:val="007B49EB"/>
    <w:rsid w:val="007B4EBA"/>
    <w:rsid w:val="007B5560"/>
    <w:rsid w:val="007B5633"/>
    <w:rsid w:val="007B59D2"/>
    <w:rsid w:val="007B5E02"/>
    <w:rsid w:val="007B5FD5"/>
    <w:rsid w:val="007B64A0"/>
    <w:rsid w:val="007B6DB0"/>
    <w:rsid w:val="007B7898"/>
    <w:rsid w:val="007C0A14"/>
    <w:rsid w:val="007C0F27"/>
    <w:rsid w:val="007C193F"/>
    <w:rsid w:val="007C1B71"/>
    <w:rsid w:val="007C27D7"/>
    <w:rsid w:val="007C2C01"/>
    <w:rsid w:val="007C2D39"/>
    <w:rsid w:val="007C34E8"/>
    <w:rsid w:val="007C35B9"/>
    <w:rsid w:val="007C395E"/>
    <w:rsid w:val="007C3D13"/>
    <w:rsid w:val="007C3D8C"/>
    <w:rsid w:val="007C4927"/>
    <w:rsid w:val="007C4934"/>
    <w:rsid w:val="007C4ED2"/>
    <w:rsid w:val="007C57C7"/>
    <w:rsid w:val="007C5BB3"/>
    <w:rsid w:val="007C606E"/>
    <w:rsid w:val="007C613F"/>
    <w:rsid w:val="007C618C"/>
    <w:rsid w:val="007C662C"/>
    <w:rsid w:val="007C6881"/>
    <w:rsid w:val="007C6DFD"/>
    <w:rsid w:val="007C6E9B"/>
    <w:rsid w:val="007C6F8A"/>
    <w:rsid w:val="007C733F"/>
    <w:rsid w:val="007C73D6"/>
    <w:rsid w:val="007C748F"/>
    <w:rsid w:val="007D051E"/>
    <w:rsid w:val="007D0567"/>
    <w:rsid w:val="007D0A0D"/>
    <w:rsid w:val="007D11FA"/>
    <w:rsid w:val="007D1FD3"/>
    <w:rsid w:val="007D2196"/>
    <w:rsid w:val="007D25BA"/>
    <w:rsid w:val="007D3076"/>
    <w:rsid w:val="007D3556"/>
    <w:rsid w:val="007D3AEC"/>
    <w:rsid w:val="007D3C3D"/>
    <w:rsid w:val="007D3CC7"/>
    <w:rsid w:val="007D3D19"/>
    <w:rsid w:val="007D3D1B"/>
    <w:rsid w:val="007D3D60"/>
    <w:rsid w:val="007D3D80"/>
    <w:rsid w:val="007D4F1C"/>
    <w:rsid w:val="007D5365"/>
    <w:rsid w:val="007D54A6"/>
    <w:rsid w:val="007D5795"/>
    <w:rsid w:val="007D5C00"/>
    <w:rsid w:val="007D6E5E"/>
    <w:rsid w:val="007D7882"/>
    <w:rsid w:val="007D7BC3"/>
    <w:rsid w:val="007D7C6A"/>
    <w:rsid w:val="007D7FA5"/>
    <w:rsid w:val="007E03C5"/>
    <w:rsid w:val="007E07F7"/>
    <w:rsid w:val="007E098B"/>
    <w:rsid w:val="007E0BA2"/>
    <w:rsid w:val="007E0CE5"/>
    <w:rsid w:val="007E0EAE"/>
    <w:rsid w:val="007E11D4"/>
    <w:rsid w:val="007E1247"/>
    <w:rsid w:val="007E1A14"/>
    <w:rsid w:val="007E1C8A"/>
    <w:rsid w:val="007E1CE0"/>
    <w:rsid w:val="007E1FFA"/>
    <w:rsid w:val="007E248F"/>
    <w:rsid w:val="007E25FE"/>
    <w:rsid w:val="007E2826"/>
    <w:rsid w:val="007E32D1"/>
    <w:rsid w:val="007E362A"/>
    <w:rsid w:val="007E37CA"/>
    <w:rsid w:val="007E3BC1"/>
    <w:rsid w:val="007E413F"/>
    <w:rsid w:val="007E4D25"/>
    <w:rsid w:val="007E5343"/>
    <w:rsid w:val="007E58A5"/>
    <w:rsid w:val="007E5B9D"/>
    <w:rsid w:val="007E5C7F"/>
    <w:rsid w:val="007E5D8B"/>
    <w:rsid w:val="007E5E4E"/>
    <w:rsid w:val="007E60C8"/>
    <w:rsid w:val="007E67C0"/>
    <w:rsid w:val="007E6990"/>
    <w:rsid w:val="007F12BF"/>
    <w:rsid w:val="007F12FE"/>
    <w:rsid w:val="007F13F3"/>
    <w:rsid w:val="007F1635"/>
    <w:rsid w:val="007F225D"/>
    <w:rsid w:val="007F24A8"/>
    <w:rsid w:val="007F2778"/>
    <w:rsid w:val="007F2869"/>
    <w:rsid w:val="007F2B37"/>
    <w:rsid w:val="007F35EC"/>
    <w:rsid w:val="007F37AB"/>
    <w:rsid w:val="007F39F1"/>
    <w:rsid w:val="007F3E5B"/>
    <w:rsid w:val="007F452D"/>
    <w:rsid w:val="007F46C0"/>
    <w:rsid w:val="007F4830"/>
    <w:rsid w:val="007F4F72"/>
    <w:rsid w:val="007F55CB"/>
    <w:rsid w:val="007F656D"/>
    <w:rsid w:val="007F75B6"/>
    <w:rsid w:val="007F7DDA"/>
    <w:rsid w:val="00800258"/>
    <w:rsid w:val="00800613"/>
    <w:rsid w:val="00800BA9"/>
    <w:rsid w:val="00800EA7"/>
    <w:rsid w:val="008010F2"/>
    <w:rsid w:val="00802459"/>
    <w:rsid w:val="0080267C"/>
    <w:rsid w:val="008026AE"/>
    <w:rsid w:val="00802973"/>
    <w:rsid w:val="00802B5A"/>
    <w:rsid w:val="00802F82"/>
    <w:rsid w:val="00803339"/>
    <w:rsid w:val="008035AA"/>
    <w:rsid w:val="00803F62"/>
    <w:rsid w:val="0080424C"/>
    <w:rsid w:val="00804354"/>
    <w:rsid w:val="00804DC0"/>
    <w:rsid w:val="00805825"/>
    <w:rsid w:val="00805A97"/>
    <w:rsid w:val="0080629D"/>
    <w:rsid w:val="008069F7"/>
    <w:rsid w:val="00806D99"/>
    <w:rsid w:val="0080709F"/>
    <w:rsid w:val="008075DA"/>
    <w:rsid w:val="0080775A"/>
    <w:rsid w:val="00807810"/>
    <w:rsid w:val="00807ACF"/>
    <w:rsid w:val="00810914"/>
    <w:rsid w:val="00811D0E"/>
    <w:rsid w:val="008124A1"/>
    <w:rsid w:val="00813402"/>
    <w:rsid w:val="00813593"/>
    <w:rsid w:val="00813792"/>
    <w:rsid w:val="008138A3"/>
    <w:rsid w:val="00813B54"/>
    <w:rsid w:val="00813FDC"/>
    <w:rsid w:val="008146DE"/>
    <w:rsid w:val="008148FE"/>
    <w:rsid w:val="0081494E"/>
    <w:rsid w:val="00814C3F"/>
    <w:rsid w:val="00815108"/>
    <w:rsid w:val="00815676"/>
    <w:rsid w:val="00815E52"/>
    <w:rsid w:val="00815F24"/>
    <w:rsid w:val="00816180"/>
    <w:rsid w:val="00816E53"/>
    <w:rsid w:val="008170FD"/>
    <w:rsid w:val="008173BE"/>
    <w:rsid w:val="00817D29"/>
    <w:rsid w:val="00820C70"/>
    <w:rsid w:val="00821400"/>
    <w:rsid w:val="00821507"/>
    <w:rsid w:val="008219E0"/>
    <w:rsid w:val="008223A1"/>
    <w:rsid w:val="0082244E"/>
    <w:rsid w:val="0082273F"/>
    <w:rsid w:val="00822C8A"/>
    <w:rsid w:val="00822F1E"/>
    <w:rsid w:val="00823497"/>
    <w:rsid w:val="00823D51"/>
    <w:rsid w:val="00823DA1"/>
    <w:rsid w:val="00824067"/>
    <w:rsid w:val="00824701"/>
    <w:rsid w:val="00824766"/>
    <w:rsid w:val="0082481B"/>
    <w:rsid w:val="00824995"/>
    <w:rsid w:val="00824ECD"/>
    <w:rsid w:val="00825C73"/>
    <w:rsid w:val="008260E5"/>
    <w:rsid w:val="008262B4"/>
    <w:rsid w:val="00826EC1"/>
    <w:rsid w:val="00830684"/>
    <w:rsid w:val="0083081C"/>
    <w:rsid w:val="00831223"/>
    <w:rsid w:val="00831467"/>
    <w:rsid w:val="008317B9"/>
    <w:rsid w:val="0083242D"/>
    <w:rsid w:val="00832551"/>
    <w:rsid w:val="0083287B"/>
    <w:rsid w:val="0083291D"/>
    <w:rsid w:val="00832F34"/>
    <w:rsid w:val="00832F4B"/>
    <w:rsid w:val="008336A6"/>
    <w:rsid w:val="00833795"/>
    <w:rsid w:val="00833816"/>
    <w:rsid w:val="00834174"/>
    <w:rsid w:val="0083450B"/>
    <w:rsid w:val="00834615"/>
    <w:rsid w:val="00834725"/>
    <w:rsid w:val="00834763"/>
    <w:rsid w:val="00835019"/>
    <w:rsid w:val="00835D04"/>
    <w:rsid w:val="00835D24"/>
    <w:rsid w:val="008361E6"/>
    <w:rsid w:val="00836F19"/>
    <w:rsid w:val="00836FEE"/>
    <w:rsid w:val="008372A9"/>
    <w:rsid w:val="00837822"/>
    <w:rsid w:val="008378E3"/>
    <w:rsid w:val="00837C37"/>
    <w:rsid w:val="0084001A"/>
    <w:rsid w:val="00840163"/>
    <w:rsid w:val="008402E2"/>
    <w:rsid w:val="00840810"/>
    <w:rsid w:val="008413D4"/>
    <w:rsid w:val="008417BB"/>
    <w:rsid w:val="00841BCA"/>
    <w:rsid w:val="00842337"/>
    <w:rsid w:val="00842372"/>
    <w:rsid w:val="0084255F"/>
    <w:rsid w:val="00842786"/>
    <w:rsid w:val="00842805"/>
    <w:rsid w:val="00842951"/>
    <w:rsid w:val="00842C2A"/>
    <w:rsid w:val="00842F2F"/>
    <w:rsid w:val="008430A4"/>
    <w:rsid w:val="00843D32"/>
    <w:rsid w:val="00844804"/>
    <w:rsid w:val="0084566C"/>
    <w:rsid w:val="00845861"/>
    <w:rsid w:val="00845E51"/>
    <w:rsid w:val="00845E8E"/>
    <w:rsid w:val="008466F9"/>
    <w:rsid w:val="00846F00"/>
    <w:rsid w:val="00846F43"/>
    <w:rsid w:val="00846FD6"/>
    <w:rsid w:val="00847140"/>
    <w:rsid w:val="00847F46"/>
    <w:rsid w:val="008502EF"/>
    <w:rsid w:val="0085046F"/>
    <w:rsid w:val="00851496"/>
    <w:rsid w:val="00851BAD"/>
    <w:rsid w:val="00851BCD"/>
    <w:rsid w:val="008521E7"/>
    <w:rsid w:val="00852286"/>
    <w:rsid w:val="0085269A"/>
    <w:rsid w:val="008530D7"/>
    <w:rsid w:val="00853444"/>
    <w:rsid w:val="00853B81"/>
    <w:rsid w:val="00854318"/>
    <w:rsid w:val="00854845"/>
    <w:rsid w:val="00854893"/>
    <w:rsid w:val="00854D2E"/>
    <w:rsid w:val="00855829"/>
    <w:rsid w:val="008559FB"/>
    <w:rsid w:val="00855D44"/>
    <w:rsid w:val="00855DAA"/>
    <w:rsid w:val="00855E8B"/>
    <w:rsid w:val="008562EB"/>
    <w:rsid w:val="0085636E"/>
    <w:rsid w:val="00856B3C"/>
    <w:rsid w:val="00856F52"/>
    <w:rsid w:val="00857019"/>
    <w:rsid w:val="00857471"/>
    <w:rsid w:val="00857673"/>
    <w:rsid w:val="00857D2D"/>
    <w:rsid w:val="00860314"/>
    <w:rsid w:val="00860869"/>
    <w:rsid w:val="00860AF4"/>
    <w:rsid w:val="00860B44"/>
    <w:rsid w:val="00860D2E"/>
    <w:rsid w:val="00860F5B"/>
    <w:rsid w:val="0086126F"/>
    <w:rsid w:val="008615AD"/>
    <w:rsid w:val="00861A98"/>
    <w:rsid w:val="00861D76"/>
    <w:rsid w:val="00861F0B"/>
    <w:rsid w:val="00861F68"/>
    <w:rsid w:val="00862007"/>
    <w:rsid w:val="00862774"/>
    <w:rsid w:val="0086362D"/>
    <w:rsid w:val="0086370D"/>
    <w:rsid w:val="00864073"/>
    <w:rsid w:val="008642B7"/>
    <w:rsid w:val="008642CC"/>
    <w:rsid w:val="0086456B"/>
    <w:rsid w:val="008646D0"/>
    <w:rsid w:val="00864AF9"/>
    <w:rsid w:val="00865133"/>
    <w:rsid w:val="00865486"/>
    <w:rsid w:val="00865A31"/>
    <w:rsid w:val="00865D29"/>
    <w:rsid w:val="00866911"/>
    <w:rsid w:val="00866E8E"/>
    <w:rsid w:val="00866E9C"/>
    <w:rsid w:val="00867078"/>
    <w:rsid w:val="008671C0"/>
    <w:rsid w:val="008671F3"/>
    <w:rsid w:val="00867250"/>
    <w:rsid w:val="008679F4"/>
    <w:rsid w:val="00867C12"/>
    <w:rsid w:val="00870534"/>
    <w:rsid w:val="0087057B"/>
    <w:rsid w:val="00870A1E"/>
    <w:rsid w:val="00870ABD"/>
    <w:rsid w:val="00871711"/>
    <w:rsid w:val="0087175A"/>
    <w:rsid w:val="00871783"/>
    <w:rsid w:val="0087186A"/>
    <w:rsid w:val="008718FC"/>
    <w:rsid w:val="008719AE"/>
    <w:rsid w:val="00871EA0"/>
    <w:rsid w:val="00871F2A"/>
    <w:rsid w:val="00872175"/>
    <w:rsid w:val="008724E6"/>
    <w:rsid w:val="00873130"/>
    <w:rsid w:val="008736E1"/>
    <w:rsid w:val="00874AD1"/>
    <w:rsid w:val="008754C3"/>
    <w:rsid w:val="008757A8"/>
    <w:rsid w:val="00875A5F"/>
    <w:rsid w:val="00875D1B"/>
    <w:rsid w:val="00876A6C"/>
    <w:rsid w:val="00877616"/>
    <w:rsid w:val="00877930"/>
    <w:rsid w:val="00877B75"/>
    <w:rsid w:val="00877CE9"/>
    <w:rsid w:val="008804A8"/>
    <w:rsid w:val="0088056F"/>
    <w:rsid w:val="008807C5"/>
    <w:rsid w:val="00880887"/>
    <w:rsid w:val="00880ADD"/>
    <w:rsid w:val="0088197A"/>
    <w:rsid w:val="00881C33"/>
    <w:rsid w:val="008823E0"/>
    <w:rsid w:val="0088339D"/>
    <w:rsid w:val="0088366F"/>
    <w:rsid w:val="008838CA"/>
    <w:rsid w:val="008839DB"/>
    <w:rsid w:val="00883C01"/>
    <w:rsid w:val="00883C9C"/>
    <w:rsid w:val="0088407F"/>
    <w:rsid w:val="008852C5"/>
    <w:rsid w:val="00885601"/>
    <w:rsid w:val="008857A2"/>
    <w:rsid w:val="00885992"/>
    <w:rsid w:val="00885C25"/>
    <w:rsid w:val="00885CDC"/>
    <w:rsid w:val="0088610B"/>
    <w:rsid w:val="00886236"/>
    <w:rsid w:val="008863F3"/>
    <w:rsid w:val="00886412"/>
    <w:rsid w:val="00886618"/>
    <w:rsid w:val="00886CB3"/>
    <w:rsid w:val="00886ECE"/>
    <w:rsid w:val="00887326"/>
    <w:rsid w:val="00887466"/>
    <w:rsid w:val="00887CC4"/>
    <w:rsid w:val="008911D0"/>
    <w:rsid w:val="00891B07"/>
    <w:rsid w:val="008928BC"/>
    <w:rsid w:val="008929CB"/>
    <w:rsid w:val="00892E75"/>
    <w:rsid w:val="00892FD6"/>
    <w:rsid w:val="0089310D"/>
    <w:rsid w:val="00893E21"/>
    <w:rsid w:val="00893EB5"/>
    <w:rsid w:val="00893EE5"/>
    <w:rsid w:val="00894041"/>
    <w:rsid w:val="00894F0D"/>
    <w:rsid w:val="00895382"/>
    <w:rsid w:val="008969E9"/>
    <w:rsid w:val="008969F9"/>
    <w:rsid w:val="00896ABD"/>
    <w:rsid w:val="00896C51"/>
    <w:rsid w:val="00897651"/>
    <w:rsid w:val="008977D4"/>
    <w:rsid w:val="008A0210"/>
    <w:rsid w:val="008A06C1"/>
    <w:rsid w:val="008A252E"/>
    <w:rsid w:val="008A3AEA"/>
    <w:rsid w:val="008A3E93"/>
    <w:rsid w:val="008A44C1"/>
    <w:rsid w:val="008A4538"/>
    <w:rsid w:val="008A4C0A"/>
    <w:rsid w:val="008A4C98"/>
    <w:rsid w:val="008A5056"/>
    <w:rsid w:val="008A5859"/>
    <w:rsid w:val="008A603E"/>
    <w:rsid w:val="008A6134"/>
    <w:rsid w:val="008A641E"/>
    <w:rsid w:val="008A6A20"/>
    <w:rsid w:val="008A7853"/>
    <w:rsid w:val="008A7B76"/>
    <w:rsid w:val="008A7BA5"/>
    <w:rsid w:val="008B00BD"/>
    <w:rsid w:val="008B049A"/>
    <w:rsid w:val="008B084E"/>
    <w:rsid w:val="008B0C5D"/>
    <w:rsid w:val="008B0C92"/>
    <w:rsid w:val="008B10C3"/>
    <w:rsid w:val="008B166E"/>
    <w:rsid w:val="008B1CA1"/>
    <w:rsid w:val="008B1D76"/>
    <w:rsid w:val="008B1E87"/>
    <w:rsid w:val="008B22CA"/>
    <w:rsid w:val="008B22E2"/>
    <w:rsid w:val="008B38AF"/>
    <w:rsid w:val="008B3F82"/>
    <w:rsid w:val="008B41F4"/>
    <w:rsid w:val="008B4346"/>
    <w:rsid w:val="008B445D"/>
    <w:rsid w:val="008B5251"/>
    <w:rsid w:val="008B5B4E"/>
    <w:rsid w:val="008B5D59"/>
    <w:rsid w:val="008B60F1"/>
    <w:rsid w:val="008B61C5"/>
    <w:rsid w:val="008B6642"/>
    <w:rsid w:val="008B7066"/>
    <w:rsid w:val="008B7500"/>
    <w:rsid w:val="008B7A8B"/>
    <w:rsid w:val="008B7EA6"/>
    <w:rsid w:val="008C008C"/>
    <w:rsid w:val="008C0308"/>
    <w:rsid w:val="008C0824"/>
    <w:rsid w:val="008C0B7D"/>
    <w:rsid w:val="008C1687"/>
    <w:rsid w:val="008C1D34"/>
    <w:rsid w:val="008C1E62"/>
    <w:rsid w:val="008C21BC"/>
    <w:rsid w:val="008C21E9"/>
    <w:rsid w:val="008C271C"/>
    <w:rsid w:val="008C2BFA"/>
    <w:rsid w:val="008C3CCE"/>
    <w:rsid w:val="008C3CD8"/>
    <w:rsid w:val="008C4246"/>
    <w:rsid w:val="008C4300"/>
    <w:rsid w:val="008C48FD"/>
    <w:rsid w:val="008C4940"/>
    <w:rsid w:val="008C549D"/>
    <w:rsid w:val="008C564F"/>
    <w:rsid w:val="008C5796"/>
    <w:rsid w:val="008C5E4E"/>
    <w:rsid w:val="008C6A1A"/>
    <w:rsid w:val="008C6AC4"/>
    <w:rsid w:val="008C7105"/>
    <w:rsid w:val="008C7259"/>
    <w:rsid w:val="008C7265"/>
    <w:rsid w:val="008C7642"/>
    <w:rsid w:val="008C764E"/>
    <w:rsid w:val="008C76D5"/>
    <w:rsid w:val="008C7A5B"/>
    <w:rsid w:val="008C7C9D"/>
    <w:rsid w:val="008D0351"/>
    <w:rsid w:val="008D065F"/>
    <w:rsid w:val="008D08E7"/>
    <w:rsid w:val="008D0D4B"/>
    <w:rsid w:val="008D1353"/>
    <w:rsid w:val="008D1A4B"/>
    <w:rsid w:val="008D294C"/>
    <w:rsid w:val="008D3168"/>
    <w:rsid w:val="008D33FA"/>
    <w:rsid w:val="008D36A1"/>
    <w:rsid w:val="008D3798"/>
    <w:rsid w:val="008D3BE1"/>
    <w:rsid w:val="008D4170"/>
    <w:rsid w:val="008D43B0"/>
    <w:rsid w:val="008D4648"/>
    <w:rsid w:val="008D4C04"/>
    <w:rsid w:val="008D52AB"/>
    <w:rsid w:val="008D5AD8"/>
    <w:rsid w:val="008D5BAB"/>
    <w:rsid w:val="008D5DB0"/>
    <w:rsid w:val="008D6738"/>
    <w:rsid w:val="008D674B"/>
    <w:rsid w:val="008D6A13"/>
    <w:rsid w:val="008D70A0"/>
    <w:rsid w:val="008D7605"/>
    <w:rsid w:val="008D79DA"/>
    <w:rsid w:val="008D7AEA"/>
    <w:rsid w:val="008E0157"/>
    <w:rsid w:val="008E0B25"/>
    <w:rsid w:val="008E0CBF"/>
    <w:rsid w:val="008E0E64"/>
    <w:rsid w:val="008E0F32"/>
    <w:rsid w:val="008E0F4D"/>
    <w:rsid w:val="008E1394"/>
    <w:rsid w:val="008E14DB"/>
    <w:rsid w:val="008E15F8"/>
    <w:rsid w:val="008E16B7"/>
    <w:rsid w:val="008E18B2"/>
    <w:rsid w:val="008E1A85"/>
    <w:rsid w:val="008E1CEB"/>
    <w:rsid w:val="008E20A8"/>
    <w:rsid w:val="008E2593"/>
    <w:rsid w:val="008E2860"/>
    <w:rsid w:val="008E28B5"/>
    <w:rsid w:val="008E2BA6"/>
    <w:rsid w:val="008E36DE"/>
    <w:rsid w:val="008E36F3"/>
    <w:rsid w:val="008E3DA6"/>
    <w:rsid w:val="008E3FD7"/>
    <w:rsid w:val="008E401A"/>
    <w:rsid w:val="008E44F1"/>
    <w:rsid w:val="008E478A"/>
    <w:rsid w:val="008E5620"/>
    <w:rsid w:val="008E634B"/>
    <w:rsid w:val="008E7306"/>
    <w:rsid w:val="008E76D3"/>
    <w:rsid w:val="008E7CA7"/>
    <w:rsid w:val="008F0E56"/>
    <w:rsid w:val="008F0FCC"/>
    <w:rsid w:val="008F1334"/>
    <w:rsid w:val="008F169B"/>
    <w:rsid w:val="008F1C22"/>
    <w:rsid w:val="008F1FD8"/>
    <w:rsid w:val="008F21E4"/>
    <w:rsid w:val="008F2254"/>
    <w:rsid w:val="008F293D"/>
    <w:rsid w:val="008F2A18"/>
    <w:rsid w:val="008F3275"/>
    <w:rsid w:val="008F36BA"/>
    <w:rsid w:val="008F3B86"/>
    <w:rsid w:val="008F3D8F"/>
    <w:rsid w:val="008F4B03"/>
    <w:rsid w:val="008F4DDA"/>
    <w:rsid w:val="008F4EC8"/>
    <w:rsid w:val="008F4F29"/>
    <w:rsid w:val="008F5078"/>
    <w:rsid w:val="008F5123"/>
    <w:rsid w:val="008F5292"/>
    <w:rsid w:val="008F5983"/>
    <w:rsid w:val="008F59B2"/>
    <w:rsid w:val="008F5A19"/>
    <w:rsid w:val="008F5B15"/>
    <w:rsid w:val="008F6435"/>
    <w:rsid w:val="008F64C1"/>
    <w:rsid w:val="008F7056"/>
    <w:rsid w:val="008F76E1"/>
    <w:rsid w:val="008F76F9"/>
    <w:rsid w:val="009005A4"/>
    <w:rsid w:val="0090079D"/>
    <w:rsid w:val="009017DC"/>
    <w:rsid w:val="009032CF"/>
    <w:rsid w:val="0090377F"/>
    <w:rsid w:val="00903789"/>
    <w:rsid w:val="00903F57"/>
    <w:rsid w:val="0090406B"/>
    <w:rsid w:val="00904905"/>
    <w:rsid w:val="00905522"/>
    <w:rsid w:val="00905C39"/>
    <w:rsid w:val="00905D93"/>
    <w:rsid w:val="00905E8B"/>
    <w:rsid w:val="009066AC"/>
    <w:rsid w:val="009066D4"/>
    <w:rsid w:val="0090738B"/>
    <w:rsid w:val="009078E1"/>
    <w:rsid w:val="009079D5"/>
    <w:rsid w:val="00907E73"/>
    <w:rsid w:val="00907FAB"/>
    <w:rsid w:val="00910262"/>
    <w:rsid w:val="009105FE"/>
    <w:rsid w:val="00910BA7"/>
    <w:rsid w:val="00911446"/>
    <w:rsid w:val="009114C5"/>
    <w:rsid w:val="00911EC6"/>
    <w:rsid w:val="00912323"/>
    <w:rsid w:val="00912711"/>
    <w:rsid w:val="0091288E"/>
    <w:rsid w:val="009128B1"/>
    <w:rsid w:val="00912E6B"/>
    <w:rsid w:val="00913019"/>
    <w:rsid w:val="009145B3"/>
    <w:rsid w:val="009146B2"/>
    <w:rsid w:val="00914855"/>
    <w:rsid w:val="009148AF"/>
    <w:rsid w:val="009149C1"/>
    <w:rsid w:val="00914C63"/>
    <w:rsid w:val="009152FB"/>
    <w:rsid w:val="0091625A"/>
    <w:rsid w:val="00916277"/>
    <w:rsid w:val="0091688A"/>
    <w:rsid w:val="00916CE7"/>
    <w:rsid w:val="00917910"/>
    <w:rsid w:val="00917B02"/>
    <w:rsid w:val="00917DCF"/>
    <w:rsid w:val="009205CD"/>
    <w:rsid w:val="009205E4"/>
    <w:rsid w:val="00921C24"/>
    <w:rsid w:val="00922088"/>
    <w:rsid w:val="0092231A"/>
    <w:rsid w:val="00922420"/>
    <w:rsid w:val="0092271F"/>
    <w:rsid w:val="0092297D"/>
    <w:rsid w:val="00922A31"/>
    <w:rsid w:val="00922B5B"/>
    <w:rsid w:val="00923207"/>
    <w:rsid w:val="00923AFB"/>
    <w:rsid w:val="00923CFD"/>
    <w:rsid w:val="009240C8"/>
    <w:rsid w:val="00924366"/>
    <w:rsid w:val="009248F0"/>
    <w:rsid w:val="0092495A"/>
    <w:rsid w:val="00924A6F"/>
    <w:rsid w:val="00924AC2"/>
    <w:rsid w:val="0092522E"/>
    <w:rsid w:val="0092541D"/>
    <w:rsid w:val="0092566E"/>
    <w:rsid w:val="00925C05"/>
    <w:rsid w:val="00925DAD"/>
    <w:rsid w:val="009262FE"/>
    <w:rsid w:val="00926A3C"/>
    <w:rsid w:val="00926C88"/>
    <w:rsid w:val="00926D56"/>
    <w:rsid w:val="00926E93"/>
    <w:rsid w:val="0092760F"/>
    <w:rsid w:val="00927971"/>
    <w:rsid w:val="00927CC7"/>
    <w:rsid w:val="0093002A"/>
    <w:rsid w:val="00930172"/>
    <w:rsid w:val="00930313"/>
    <w:rsid w:val="0093195D"/>
    <w:rsid w:val="00931D4D"/>
    <w:rsid w:val="0093219B"/>
    <w:rsid w:val="009322E0"/>
    <w:rsid w:val="00932313"/>
    <w:rsid w:val="009323E2"/>
    <w:rsid w:val="00932FA0"/>
    <w:rsid w:val="00933126"/>
    <w:rsid w:val="00933246"/>
    <w:rsid w:val="0093346B"/>
    <w:rsid w:val="00933609"/>
    <w:rsid w:val="00933641"/>
    <w:rsid w:val="009350F4"/>
    <w:rsid w:val="00935203"/>
    <w:rsid w:val="009354F4"/>
    <w:rsid w:val="00935C52"/>
    <w:rsid w:val="009362B7"/>
    <w:rsid w:val="00936CCE"/>
    <w:rsid w:val="00936FB4"/>
    <w:rsid w:val="00937682"/>
    <w:rsid w:val="009379C7"/>
    <w:rsid w:val="0094009E"/>
    <w:rsid w:val="00940782"/>
    <w:rsid w:val="00940848"/>
    <w:rsid w:val="009408EF"/>
    <w:rsid w:val="009412D3"/>
    <w:rsid w:val="009414ED"/>
    <w:rsid w:val="00941CA6"/>
    <w:rsid w:val="00941E2D"/>
    <w:rsid w:val="00941E7C"/>
    <w:rsid w:val="00941F20"/>
    <w:rsid w:val="0094213F"/>
    <w:rsid w:val="00942B89"/>
    <w:rsid w:val="00942C74"/>
    <w:rsid w:val="00942EFC"/>
    <w:rsid w:val="009434F3"/>
    <w:rsid w:val="00943514"/>
    <w:rsid w:val="0094370C"/>
    <w:rsid w:val="00944520"/>
    <w:rsid w:val="009445A2"/>
    <w:rsid w:val="00944A33"/>
    <w:rsid w:val="00944C48"/>
    <w:rsid w:val="00945180"/>
    <w:rsid w:val="009453CD"/>
    <w:rsid w:val="00945EBE"/>
    <w:rsid w:val="0094655A"/>
    <w:rsid w:val="009468BC"/>
    <w:rsid w:val="00946C88"/>
    <w:rsid w:val="009470B9"/>
    <w:rsid w:val="0094775D"/>
    <w:rsid w:val="00950B56"/>
    <w:rsid w:val="00950F8B"/>
    <w:rsid w:val="00951658"/>
    <w:rsid w:val="00951C2F"/>
    <w:rsid w:val="00951FEC"/>
    <w:rsid w:val="0095228D"/>
    <w:rsid w:val="00952B30"/>
    <w:rsid w:val="0095300F"/>
    <w:rsid w:val="0095315D"/>
    <w:rsid w:val="0095332A"/>
    <w:rsid w:val="009533AE"/>
    <w:rsid w:val="00953E43"/>
    <w:rsid w:val="00953FA0"/>
    <w:rsid w:val="00954361"/>
    <w:rsid w:val="00955D0B"/>
    <w:rsid w:val="00955D4D"/>
    <w:rsid w:val="0095605D"/>
    <w:rsid w:val="009562C2"/>
    <w:rsid w:val="009564A8"/>
    <w:rsid w:val="009564D0"/>
    <w:rsid w:val="00956503"/>
    <w:rsid w:val="00957842"/>
    <w:rsid w:val="00957E65"/>
    <w:rsid w:val="00962A15"/>
    <w:rsid w:val="00962EDD"/>
    <w:rsid w:val="009632C0"/>
    <w:rsid w:val="009637EC"/>
    <w:rsid w:val="009638E7"/>
    <w:rsid w:val="00963AC2"/>
    <w:rsid w:val="00963C32"/>
    <w:rsid w:val="0096438D"/>
    <w:rsid w:val="009647A0"/>
    <w:rsid w:val="00964BAF"/>
    <w:rsid w:val="00964C90"/>
    <w:rsid w:val="00964E35"/>
    <w:rsid w:val="0096567D"/>
    <w:rsid w:val="00965F08"/>
    <w:rsid w:val="00967710"/>
    <w:rsid w:val="00967721"/>
    <w:rsid w:val="00967736"/>
    <w:rsid w:val="009701B1"/>
    <w:rsid w:val="0097042A"/>
    <w:rsid w:val="00970A13"/>
    <w:rsid w:val="00970CBA"/>
    <w:rsid w:val="009715D0"/>
    <w:rsid w:val="009716C1"/>
    <w:rsid w:val="0097187C"/>
    <w:rsid w:val="00972A55"/>
    <w:rsid w:val="00972F11"/>
    <w:rsid w:val="00973BCA"/>
    <w:rsid w:val="00973E27"/>
    <w:rsid w:val="00974071"/>
    <w:rsid w:val="00974159"/>
    <w:rsid w:val="009743DB"/>
    <w:rsid w:val="0097476E"/>
    <w:rsid w:val="00974C45"/>
    <w:rsid w:val="00975C9F"/>
    <w:rsid w:val="009760C1"/>
    <w:rsid w:val="009761E2"/>
    <w:rsid w:val="0097640C"/>
    <w:rsid w:val="009766A9"/>
    <w:rsid w:val="0097673F"/>
    <w:rsid w:val="00976967"/>
    <w:rsid w:val="00976D38"/>
    <w:rsid w:val="00976D69"/>
    <w:rsid w:val="0097722F"/>
    <w:rsid w:val="0097755E"/>
    <w:rsid w:val="009806D1"/>
    <w:rsid w:val="00980FE9"/>
    <w:rsid w:val="00982310"/>
    <w:rsid w:val="00982363"/>
    <w:rsid w:val="0098322D"/>
    <w:rsid w:val="009834BC"/>
    <w:rsid w:val="009835B9"/>
    <w:rsid w:val="0098388A"/>
    <w:rsid w:val="00984443"/>
    <w:rsid w:val="0098474B"/>
    <w:rsid w:val="0098480D"/>
    <w:rsid w:val="009848B6"/>
    <w:rsid w:val="009848F1"/>
    <w:rsid w:val="00984F0F"/>
    <w:rsid w:val="00985BB1"/>
    <w:rsid w:val="009863CF"/>
    <w:rsid w:val="009868F6"/>
    <w:rsid w:val="009870D8"/>
    <w:rsid w:val="009872C7"/>
    <w:rsid w:val="009873CF"/>
    <w:rsid w:val="0098767A"/>
    <w:rsid w:val="00987C02"/>
    <w:rsid w:val="00987DCB"/>
    <w:rsid w:val="0099012B"/>
    <w:rsid w:val="00990219"/>
    <w:rsid w:val="00990E84"/>
    <w:rsid w:val="00991179"/>
    <w:rsid w:val="009911A8"/>
    <w:rsid w:val="0099123A"/>
    <w:rsid w:val="0099130D"/>
    <w:rsid w:val="00991490"/>
    <w:rsid w:val="00992090"/>
    <w:rsid w:val="009920CF"/>
    <w:rsid w:val="00992222"/>
    <w:rsid w:val="0099295E"/>
    <w:rsid w:val="00992EA5"/>
    <w:rsid w:val="00992FF6"/>
    <w:rsid w:val="0099341A"/>
    <w:rsid w:val="00993448"/>
    <w:rsid w:val="00993527"/>
    <w:rsid w:val="0099410D"/>
    <w:rsid w:val="00994189"/>
    <w:rsid w:val="00994537"/>
    <w:rsid w:val="00994802"/>
    <w:rsid w:val="00994CA0"/>
    <w:rsid w:val="0099530F"/>
    <w:rsid w:val="0099595B"/>
    <w:rsid w:val="00995EEE"/>
    <w:rsid w:val="0099644D"/>
    <w:rsid w:val="009965AA"/>
    <w:rsid w:val="00996716"/>
    <w:rsid w:val="00996A26"/>
    <w:rsid w:val="00996CAE"/>
    <w:rsid w:val="00996D33"/>
    <w:rsid w:val="0099711B"/>
    <w:rsid w:val="009A05B1"/>
    <w:rsid w:val="009A0816"/>
    <w:rsid w:val="009A08F6"/>
    <w:rsid w:val="009A0970"/>
    <w:rsid w:val="009A09B8"/>
    <w:rsid w:val="009A0B4F"/>
    <w:rsid w:val="009A1801"/>
    <w:rsid w:val="009A1A2E"/>
    <w:rsid w:val="009A1F2E"/>
    <w:rsid w:val="009A23B9"/>
    <w:rsid w:val="009A2830"/>
    <w:rsid w:val="009A2ACE"/>
    <w:rsid w:val="009A2D02"/>
    <w:rsid w:val="009A2DAD"/>
    <w:rsid w:val="009A2EF4"/>
    <w:rsid w:val="009A3008"/>
    <w:rsid w:val="009A3B6F"/>
    <w:rsid w:val="009A413F"/>
    <w:rsid w:val="009A4300"/>
    <w:rsid w:val="009A464D"/>
    <w:rsid w:val="009A552E"/>
    <w:rsid w:val="009A5DBA"/>
    <w:rsid w:val="009A6BB3"/>
    <w:rsid w:val="009A6D3B"/>
    <w:rsid w:val="009A6E33"/>
    <w:rsid w:val="009A7E45"/>
    <w:rsid w:val="009A7E8B"/>
    <w:rsid w:val="009B0D0D"/>
    <w:rsid w:val="009B19C7"/>
    <w:rsid w:val="009B1C70"/>
    <w:rsid w:val="009B2901"/>
    <w:rsid w:val="009B33B0"/>
    <w:rsid w:val="009B3B52"/>
    <w:rsid w:val="009B3C9A"/>
    <w:rsid w:val="009B40E5"/>
    <w:rsid w:val="009B45BD"/>
    <w:rsid w:val="009B4829"/>
    <w:rsid w:val="009B4897"/>
    <w:rsid w:val="009B4A4A"/>
    <w:rsid w:val="009B4BCA"/>
    <w:rsid w:val="009B54DE"/>
    <w:rsid w:val="009B554F"/>
    <w:rsid w:val="009B55DE"/>
    <w:rsid w:val="009B5D2B"/>
    <w:rsid w:val="009B6493"/>
    <w:rsid w:val="009B6494"/>
    <w:rsid w:val="009B6499"/>
    <w:rsid w:val="009B6B9B"/>
    <w:rsid w:val="009B6BA6"/>
    <w:rsid w:val="009B6FE2"/>
    <w:rsid w:val="009B71B0"/>
    <w:rsid w:val="009B71C0"/>
    <w:rsid w:val="009B72E9"/>
    <w:rsid w:val="009B75B0"/>
    <w:rsid w:val="009B7CE1"/>
    <w:rsid w:val="009B7F31"/>
    <w:rsid w:val="009C0299"/>
    <w:rsid w:val="009C03DB"/>
    <w:rsid w:val="009C04EE"/>
    <w:rsid w:val="009C05AB"/>
    <w:rsid w:val="009C05C2"/>
    <w:rsid w:val="009C12E0"/>
    <w:rsid w:val="009C172A"/>
    <w:rsid w:val="009C1C5A"/>
    <w:rsid w:val="009C1C7E"/>
    <w:rsid w:val="009C1CAF"/>
    <w:rsid w:val="009C1E3D"/>
    <w:rsid w:val="009C2095"/>
    <w:rsid w:val="009C282D"/>
    <w:rsid w:val="009C33E6"/>
    <w:rsid w:val="009C3888"/>
    <w:rsid w:val="009C3B91"/>
    <w:rsid w:val="009C3BC7"/>
    <w:rsid w:val="009C40D7"/>
    <w:rsid w:val="009C4182"/>
    <w:rsid w:val="009C441A"/>
    <w:rsid w:val="009C4633"/>
    <w:rsid w:val="009C486E"/>
    <w:rsid w:val="009C4A1B"/>
    <w:rsid w:val="009C5113"/>
    <w:rsid w:val="009C5340"/>
    <w:rsid w:val="009C595B"/>
    <w:rsid w:val="009C61F7"/>
    <w:rsid w:val="009C635A"/>
    <w:rsid w:val="009C73D1"/>
    <w:rsid w:val="009C7BC7"/>
    <w:rsid w:val="009D060F"/>
    <w:rsid w:val="009D115E"/>
    <w:rsid w:val="009D1D78"/>
    <w:rsid w:val="009D2087"/>
    <w:rsid w:val="009D23F1"/>
    <w:rsid w:val="009D2A69"/>
    <w:rsid w:val="009D2D84"/>
    <w:rsid w:val="009D31EC"/>
    <w:rsid w:val="009D3860"/>
    <w:rsid w:val="009D3CA3"/>
    <w:rsid w:val="009D406B"/>
    <w:rsid w:val="009D4253"/>
    <w:rsid w:val="009D583F"/>
    <w:rsid w:val="009D5B67"/>
    <w:rsid w:val="009D5D7B"/>
    <w:rsid w:val="009D6BD4"/>
    <w:rsid w:val="009D6C16"/>
    <w:rsid w:val="009D6F06"/>
    <w:rsid w:val="009D6F67"/>
    <w:rsid w:val="009D7941"/>
    <w:rsid w:val="009D7AE8"/>
    <w:rsid w:val="009E1192"/>
    <w:rsid w:val="009E11D6"/>
    <w:rsid w:val="009E1777"/>
    <w:rsid w:val="009E1AED"/>
    <w:rsid w:val="009E1B5C"/>
    <w:rsid w:val="009E1DE0"/>
    <w:rsid w:val="009E251E"/>
    <w:rsid w:val="009E2B18"/>
    <w:rsid w:val="009E31FF"/>
    <w:rsid w:val="009E3470"/>
    <w:rsid w:val="009E37E2"/>
    <w:rsid w:val="009E3807"/>
    <w:rsid w:val="009E4039"/>
    <w:rsid w:val="009E40DA"/>
    <w:rsid w:val="009E4329"/>
    <w:rsid w:val="009E4D45"/>
    <w:rsid w:val="009E572F"/>
    <w:rsid w:val="009E575E"/>
    <w:rsid w:val="009E585E"/>
    <w:rsid w:val="009E5A98"/>
    <w:rsid w:val="009E61B1"/>
    <w:rsid w:val="009E7072"/>
    <w:rsid w:val="009E74F1"/>
    <w:rsid w:val="009E774E"/>
    <w:rsid w:val="009E78CC"/>
    <w:rsid w:val="009E7C64"/>
    <w:rsid w:val="009F06D3"/>
    <w:rsid w:val="009F0919"/>
    <w:rsid w:val="009F09D8"/>
    <w:rsid w:val="009F1CE2"/>
    <w:rsid w:val="009F1D5B"/>
    <w:rsid w:val="009F1FA6"/>
    <w:rsid w:val="009F2018"/>
    <w:rsid w:val="009F2777"/>
    <w:rsid w:val="009F3493"/>
    <w:rsid w:val="009F3897"/>
    <w:rsid w:val="009F3FE7"/>
    <w:rsid w:val="009F442C"/>
    <w:rsid w:val="009F459D"/>
    <w:rsid w:val="009F4605"/>
    <w:rsid w:val="009F4D5C"/>
    <w:rsid w:val="009F5600"/>
    <w:rsid w:val="009F5948"/>
    <w:rsid w:val="009F59E8"/>
    <w:rsid w:val="009F5A53"/>
    <w:rsid w:val="009F5BEA"/>
    <w:rsid w:val="009F5C82"/>
    <w:rsid w:val="009F62A5"/>
    <w:rsid w:val="009F62E9"/>
    <w:rsid w:val="009F6501"/>
    <w:rsid w:val="009F786B"/>
    <w:rsid w:val="009F7C8F"/>
    <w:rsid w:val="00A0027E"/>
    <w:rsid w:val="00A002C5"/>
    <w:rsid w:val="00A00720"/>
    <w:rsid w:val="00A010C1"/>
    <w:rsid w:val="00A013CA"/>
    <w:rsid w:val="00A01564"/>
    <w:rsid w:val="00A01A01"/>
    <w:rsid w:val="00A01B71"/>
    <w:rsid w:val="00A01F8F"/>
    <w:rsid w:val="00A02323"/>
    <w:rsid w:val="00A02350"/>
    <w:rsid w:val="00A02553"/>
    <w:rsid w:val="00A025A1"/>
    <w:rsid w:val="00A02EEF"/>
    <w:rsid w:val="00A0354A"/>
    <w:rsid w:val="00A03554"/>
    <w:rsid w:val="00A03BAD"/>
    <w:rsid w:val="00A03C77"/>
    <w:rsid w:val="00A04120"/>
    <w:rsid w:val="00A0444D"/>
    <w:rsid w:val="00A04516"/>
    <w:rsid w:val="00A04BE8"/>
    <w:rsid w:val="00A051A5"/>
    <w:rsid w:val="00A05521"/>
    <w:rsid w:val="00A057A6"/>
    <w:rsid w:val="00A05BAC"/>
    <w:rsid w:val="00A05D4A"/>
    <w:rsid w:val="00A05E72"/>
    <w:rsid w:val="00A0653E"/>
    <w:rsid w:val="00A06EED"/>
    <w:rsid w:val="00A0733C"/>
    <w:rsid w:val="00A07B0E"/>
    <w:rsid w:val="00A07E6F"/>
    <w:rsid w:val="00A1023E"/>
    <w:rsid w:val="00A1062E"/>
    <w:rsid w:val="00A10B1B"/>
    <w:rsid w:val="00A10F1D"/>
    <w:rsid w:val="00A11F15"/>
    <w:rsid w:val="00A12E1C"/>
    <w:rsid w:val="00A13221"/>
    <w:rsid w:val="00A134F8"/>
    <w:rsid w:val="00A13A96"/>
    <w:rsid w:val="00A13ED7"/>
    <w:rsid w:val="00A14290"/>
    <w:rsid w:val="00A145DD"/>
    <w:rsid w:val="00A14945"/>
    <w:rsid w:val="00A149E2"/>
    <w:rsid w:val="00A14ABB"/>
    <w:rsid w:val="00A14E75"/>
    <w:rsid w:val="00A151C1"/>
    <w:rsid w:val="00A15362"/>
    <w:rsid w:val="00A1554C"/>
    <w:rsid w:val="00A176C7"/>
    <w:rsid w:val="00A177BC"/>
    <w:rsid w:val="00A17A56"/>
    <w:rsid w:val="00A20371"/>
    <w:rsid w:val="00A205FB"/>
    <w:rsid w:val="00A2066F"/>
    <w:rsid w:val="00A20AB5"/>
    <w:rsid w:val="00A21B96"/>
    <w:rsid w:val="00A21F94"/>
    <w:rsid w:val="00A220B5"/>
    <w:rsid w:val="00A223C0"/>
    <w:rsid w:val="00A223CD"/>
    <w:rsid w:val="00A227C0"/>
    <w:rsid w:val="00A232FB"/>
    <w:rsid w:val="00A23457"/>
    <w:rsid w:val="00A234BC"/>
    <w:rsid w:val="00A236F8"/>
    <w:rsid w:val="00A23BD0"/>
    <w:rsid w:val="00A23FC9"/>
    <w:rsid w:val="00A24509"/>
    <w:rsid w:val="00A249ED"/>
    <w:rsid w:val="00A24D6B"/>
    <w:rsid w:val="00A2513D"/>
    <w:rsid w:val="00A25884"/>
    <w:rsid w:val="00A25C62"/>
    <w:rsid w:val="00A26110"/>
    <w:rsid w:val="00A27058"/>
    <w:rsid w:val="00A278BE"/>
    <w:rsid w:val="00A27DF7"/>
    <w:rsid w:val="00A30003"/>
    <w:rsid w:val="00A303D9"/>
    <w:rsid w:val="00A3063C"/>
    <w:rsid w:val="00A30A4C"/>
    <w:rsid w:val="00A30EDC"/>
    <w:rsid w:val="00A3169B"/>
    <w:rsid w:val="00A3186C"/>
    <w:rsid w:val="00A31991"/>
    <w:rsid w:val="00A31AD2"/>
    <w:rsid w:val="00A3237C"/>
    <w:rsid w:val="00A327EF"/>
    <w:rsid w:val="00A32A0F"/>
    <w:rsid w:val="00A33256"/>
    <w:rsid w:val="00A33B27"/>
    <w:rsid w:val="00A33DA1"/>
    <w:rsid w:val="00A348D2"/>
    <w:rsid w:val="00A3499B"/>
    <w:rsid w:val="00A34CC7"/>
    <w:rsid w:val="00A35010"/>
    <w:rsid w:val="00A3523F"/>
    <w:rsid w:val="00A35755"/>
    <w:rsid w:val="00A35854"/>
    <w:rsid w:val="00A35FB3"/>
    <w:rsid w:val="00A36675"/>
    <w:rsid w:val="00A36B15"/>
    <w:rsid w:val="00A373B6"/>
    <w:rsid w:val="00A374D2"/>
    <w:rsid w:val="00A37939"/>
    <w:rsid w:val="00A37A4D"/>
    <w:rsid w:val="00A37D0C"/>
    <w:rsid w:val="00A37EE5"/>
    <w:rsid w:val="00A40362"/>
    <w:rsid w:val="00A40568"/>
    <w:rsid w:val="00A406F1"/>
    <w:rsid w:val="00A40C4E"/>
    <w:rsid w:val="00A40F9F"/>
    <w:rsid w:val="00A41CC4"/>
    <w:rsid w:val="00A41EA1"/>
    <w:rsid w:val="00A41EDB"/>
    <w:rsid w:val="00A41FC4"/>
    <w:rsid w:val="00A423FA"/>
    <w:rsid w:val="00A42552"/>
    <w:rsid w:val="00A42A0A"/>
    <w:rsid w:val="00A42E88"/>
    <w:rsid w:val="00A43213"/>
    <w:rsid w:val="00A433BC"/>
    <w:rsid w:val="00A43468"/>
    <w:rsid w:val="00A4363D"/>
    <w:rsid w:val="00A438BA"/>
    <w:rsid w:val="00A43DC3"/>
    <w:rsid w:val="00A4404F"/>
    <w:rsid w:val="00A441AD"/>
    <w:rsid w:val="00A4525E"/>
    <w:rsid w:val="00A45466"/>
    <w:rsid w:val="00A45765"/>
    <w:rsid w:val="00A45A77"/>
    <w:rsid w:val="00A46023"/>
    <w:rsid w:val="00A461BE"/>
    <w:rsid w:val="00A461DD"/>
    <w:rsid w:val="00A46CD9"/>
    <w:rsid w:val="00A4758E"/>
    <w:rsid w:val="00A47735"/>
    <w:rsid w:val="00A47AC2"/>
    <w:rsid w:val="00A50111"/>
    <w:rsid w:val="00A5108D"/>
    <w:rsid w:val="00A516AC"/>
    <w:rsid w:val="00A51E88"/>
    <w:rsid w:val="00A5206F"/>
    <w:rsid w:val="00A5289A"/>
    <w:rsid w:val="00A52D00"/>
    <w:rsid w:val="00A53712"/>
    <w:rsid w:val="00A53715"/>
    <w:rsid w:val="00A54146"/>
    <w:rsid w:val="00A54C65"/>
    <w:rsid w:val="00A54DFB"/>
    <w:rsid w:val="00A54FF8"/>
    <w:rsid w:val="00A55664"/>
    <w:rsid w:val="00A55729"/>
    <w:rsid w:val="00A558EB"/>
    <w:rsid w:val="00A55D34"/>
    <w:rsid w:val="00A56745"/>
    <w:rsid w:val="00A568A1"/>
    <w:rsid w:val="00A569FA"/>
    <w:rsid w:val="00A56CEB"/>
    <w:rsid w:val="00A56D20"/>
    <w:rsid w:val="00A56FF4"/>
    <w:rsid w:val="00A573B5"/>
    <w:rsid w:val="00A57403"/>
    <w:rsid w:val="00A57499"/>
    <w:rsid w:val="00A575A9"/>
    <w:rsid w:val="00A605A1"/>
    <w:rsid w:val="00A60746"/>
    <w:rsid w:val="00A60AB8"/>
    <w:rsid w:val="00A613C1"/>
    <w:rsid w:val="00A6188D"/>
    <w:rsid w:val="00A61BC8"/>
    <w:rsid w:val="00A6205C"/>
    <w:rsid w:val="00A627FB"/>
    <w:rsid w:val="00A62850"/>
    <w:rsid w:val="00A62B65"/>
    <w:rsid w:val="00A62BDE"/>
    <w:rsid w:val="00A63940"/>
    <w:rsid w:val="00A64294"/>
    <w:rsid w:val="00A64506"/>
    <w:rsid w:val="00A648E0"/>
    <w:rsid w:val="00A64C6E"/>
    <w:rsid w:val="00A64E98"/>
    <w:rsid w:val="00A65169"/>
    <w:rsid w:val="00A65192"/>
    <w:rsid w:val="00A6528B"/>
    <w:rsid w:val="00A653BD"/>
    <w:rsid w:val="00A65A8F"/>
    <w:rsid w:val="00A65B6B"/>
    <w:rsid w:val="00A65C4E"/>
    <w:rsid w:val="00A65D07"/>
    <w:rsid w:val="00A66003"/>
    <w:rsid w:val="00A66481"/>
    <w:rsid w:val="00A66B4D"/>
    <w:rsid w:val="00A66CC5"/>
    <w:rsid w:val="00A67E42"/>
    <w:rsid w:val="00A67F6E"/>
    <w:rsid w:val="00A70039"/>
    <w:rsid w:val="00A70335"/>
    <w:rsid w:val="00A70B9C"/>
    <w:rsid w:val="00A70E98"/>
    <w:rsid w:val="00A7105E"/>
    <w:rsid w:val="00A711BC"/>
    <w:rsid w:val="00A712B2"/>
    <w:rsid w:val="00A713A3"/>
    <w:rsid w:val="00A72436"/>
    <w:rsid w:val="00A72661"/>
    <w:rsid w:val="00A72DFC"/>
    <w:rsid w:val="00A72DFF"/>
    <w:rsid w:val="00A73129"/>
    <w:rsid w:val="00A74972"/>
    <w:rsid w:val="00A749B2"/>
    <w:rsid w:val="00A751AB"/>
    <w:rsid w:val="00A75D61"/>
    <w:rsid w:val="00A76742"/>
    <w:rsid w:val="00A76A05"/>
    <w:rsid w:val="00A76A83"/>
    <w:rsid w:val="00A770CE"/>
    <w:rsid w:val="00A7721E"/>
    <w:rsid w:val="00A7775C"/>
    <w:rsid w:val="00A779C6"/>
    <w:rsid w:val="00A779E9"/>
    <w:rsid w:val="00A80250"/>
    <w:rsid w:val="00A802E1"/>
    <w:rsid w:val="00A8125E"/>
    <w:rsid w:val="00A81423"/>
    <w:rsid w:val="00A81A02"/>
    <w:rsid w:val="00A8284C"/>
    <w:rsid w:val="00A82854"/>
    <w:rsid w:val="00A82994"/>
    <w:rsid w:val="00A82A06"/>
    <w:rsid w:val="00A82D33"/>
    <w:rsid w:val="00A833CC"/>
    <w:rsid w:val="00A8373B"/>
    <w:rsid w:val="00A8409F"/>
    <w:rsid w:val="00A84231"/>
    <w:rsid w:val="00A84BD2"/>
    <w:rsid w:val="00A84D02"/>
    <w:rsid w:val="00A84EC2"/>
    <w:rsid w:val="00A8510F"/>
    <w:rsid w:val="00A85157"/>
    <w:rsid w:val="00A851BD"/>
    <w:rsid w:val="00A8530B"/>
    <w:rsid w:val="00A85809"/>
    <w:rsid w:val="00A8609C"/>
    <w:rsid w:val="00A86FCD"/>
    <w:rsid w:val="00A87102"/>
    <w:rsid w:val="00A87248"/>
    <w:rsid w:val="00A87743"/>
    <w:rsid w:val="00A879F9"/>
    <w:rsid w:val="00A87C2B"/>
    <w:rsid w:val="00A87D06"/>
    <w:rsid w:val="00A9090B"/>
    <w:rsid w:val="00A90B35"/>
    <w:rsid w:val="00A90C34"/>
    <w:rsid w:val="00A90CD6"/>
    <w:rsid w:val="00A91126"/>
    <w:rsid w:val="00A91579"/>
    <w:rsid w:val="00A9244A"/>
    <w:rsid w:val="00A92821"/>
    <w:rsid w:val="00A92B30"/>
    <w:rsid w:val="00A92CC9"/>
    <w:rsid w:val="00A92CEF"/>
    <w:rsid w:val="00A92D7E"/>
    <w:rsid w:val="00A9379B"/>
    <w:rsid w:val="00A93FE8"/>
    <w:rsid w:val="00A940C1"/>
    <w:rsid w:val="00A941DE"/>
    <w:rsid w:val="00A942C3"/>
    <w:rsid w:val="00A94791"/>
    <w:rsid w:val="00A94955"/>
    <w:rsid w:val="00A94D61"/>
    <w:rsid w:val="00A94DAE"/>
    <w:rsid w:val="00A953F9"/>
    <w:rsid w:val="00A95A73"/>
    <w:rsid w:val="00A95B07"/>
    <w:rsid w:val="00A95C5C"/>
    <w:rsid w:val="00A961C6"/>
    <w:rsid w:val="00A963F2"/>
    <w:rsid w:val="00A96509"/>
    <w:rsid w:val="00A96E5B"/>
    <w:rsid w:val="00A96FCC"/>
    <w:rsid w:val="00A975B3"/>
    <w:rsid w:val="00A9776E"/>
    <w:rsid w:val="00A9793B"/>
    <w:rsid w:val="00A97D12"/>
    <w:rsid w:val="00AA03E0"/>
    <w:rsid w:val="00AA0481"/>
    <w:rsid w:val="00AA0A97"/>
    <w:rsid w:val="00AA1C67"/>
    <w:rsid w:val="00AA240B"/>
    <w:rsid w:val="00AA2F7D"/>
    <w:rsid w:val="00AA35BD"/>
    <w:rsid w:val="00AA3C23"/>
    <w:rsid w:val="00AA408D"/>
    <w:rsid w:val="00AA416B"/>
    <w:rsid w:val="00AA496D"/>
    <w:rsid w:val="00AA4C1C"/>
    <w:rsid w:val="00AA4E54"/>
    <w:rsid w:val="00AA4EEA"/>
    <w:rsid w:val="00AA5379"/>
    <w:rsid w:val="00AA55F4"/>
    <w:rsid w:val="00AA5826"/>
    <w:rsid w:val="00AA5D63"/>
    <w:rsid w:val="00AA6828"/>
    <w:rsid w:val="00AA6A06"/>
    <w:rsid w:val="00AA7A74"/>
    <w:rsid w:val="00AB03BD"/>
    <w:rsid w:val="00AB0542"/>
    <w:rsid w:val="00AB0A68"/>
    <w:rsid w:val="00AB0B25"/>
    <w:rsid w:val="00AB0D0C"/>
    <w:rsid w:val="00AB0E11"/>
    <w:rsid w:val="00AB0F15"/>
    <w:rsid w:val="00AB15E6"/>
    <w:rsid w:val="00AB1DFF"/>
    <w:rsid w:val="00AB355A"/>
    <w:rsid w:val="00AB3A04"/>
    <w:rsid w:val="00AB3BBF"/>
    <w:rsid w:val="00AB3C17"/>
    <w:rsid w:val="00AB3E04"/>
    <w:rsid w:val="00AB3F6A"/>
    <w:rsid w:val="00AB4051"/>
    <w:rsid w:val="00AB4160"/>
    <w:rsid w:val="00AB5B67"/>
    <w:rsid w:val="00AB5BBC"/>
    <w:rsid w:val="00AB5C0D"/>
    <w:rsid w:val="00AB5DF4"/>
    <w:rsid w:val="00AB63DA"/>
    <w:rsid w:val="00AB6951"/>
    <w:rsid w:val="00AB6F5C"/>
    <w:rsid w:val="00AB7408"/>
    <w:rsid w:val="00AB7688"/>
    <w:rsid w:val="00AB7763"/>
    <w:rsid w:val="00AB7CA8"/>
    <w:rsid w:val="00AC07C5"/>
    <w:rsid w:val="00AC0C54"/>
    <w:rsid w:val="00AC0D49"/>
    <w:rsid w:val="00AC13A8"/>
    <w:rsid w:val="00AC199D"/>
    <w:rsid w:val="00AC1D4D"/>
    <w:rsid w:val="00AC23D8"/>
    <w:rsid w:val="00AC27D7"/>
    <w:rsid w:val="00AC281B"/>
    <w:rsid w:val="00AC292B"/>
    <w:rsid w:val="00AC2A2F"/>
    <w:rsid w:val="00AC310A"/>
    <w:rsid w:val="00AC3A34"/>
    <w:rsid w:val="00AC3E18"/>
    <w:rsid w:val="00AC3E90"/>
    <w:rsid w:val="00AC3F07"/>
    <w:rsid w:val="00AC4020"/>
    <w:rsid w:val="00AC4B10"/>
    <w:rsid w:val="00AC55B0"/>
    <w:rsid w:val="00AC5807"/>
    <w:rsid w:val="00AC5EC8"/>
    <w:rsid w:val="00AC6828"/>
    <w:rsid w:val="00AC703C"/>
    <w:rsid w:val="00AC7161"/>
    <w:rsid w:val="00AC7F9E"/>
    <w:rsid w:val="00AD04C2"/>
    <w:rsid w:val="00AD04D0"/>
    <w:rsid w:val="00AD0610"/>
    <w:rsid w:val="00AD0C5B"/>
    <w:rsid w:val="00AD1ABE"/>
    <w:rsid w:val="00AD1C10"/>
    <w:rsid w:val="00AD1C7F"/>
    <w:rsid w:val="00AD1DE7"/>
    <w:rsid w:val="00AD219F"/>
    <w:rsid w:val="00AD2236"/>
    <w:rsid w:val="00AD2543"/>
    <w:rsid w:val="00AD294E"/>
    <w:rsid w:val="00AD29D9"/>
    <w:rsid w:val="00AD2CDB"/>
    <w:rsid w:val="00AD30AB"/>
    <w:rsid w:val="00AD32DF"/>
    <w:rsid w:val="00AD4CC5"/>
    <w:rsid w:val="00AD4F68"/>
    <w:rsid w:val="00AD5421"/>
    <w:rsid w:val="00AD545E"/>
    <w:rsid w:val="00AD59B7"/>
    <w:rsid w:val="00AD5A0C"/>
    <w:rsid w:val="00AD5B0C"/>
    <w:rsid w:val="00AD5E5D"/>
    <w:rsid w:val="00AD5E97"/>
    <w:rsid w:val="00AD61BD"/>
    <w:rsid w:val="00AD6285"/>
    <w:rsid w:val="00AD676B"/>
    <w:rsid w:val="00AD6A72"/>
    <w:rsid w:val="00AD6E97"/>
    <w:rsid w:val="00AD7413"/>
    <w:rsid w:val="00AD75F7"/>
    <w:rsid w:val="00AD7733"/>
    <w:rsid w:val="00AD7FFC"/>
    <w:rsid w:val="00AE01E9"/>
    <w:rsid w:val="00AE0445"/>
    <w:rsid w:val="00AE0703"/>
    <w:rsid w:val="00AE143E"/>
    <w:rsid w:val="00AE152D"/>
    <w:rsid w:val="00AE1DCC"/>
    <w:rsid w:val="00AE1EC6"/>
    <w:rsid w:val="00AE20C8"/>
    <w:rsid w:val="00AE26A4"/>
    <w:rsid w:val="00AE2807"/>
    <w:rsid w:val="00AE4A04"/>
    <w:rsid w:val="00AE4BEE"/>
    <w:rsid w:val="00AE4C97"/>
    <w:rsid w:val="00AE4EF2"/>
    <w:rsid w:val="00AE54A4"/>
    <w:rsid w:val="00AE5A0B"/>
    <w:rsid w:val="00AE667E"/>
    <w:rsid w:val="00AE6963"/>
    <w:rsid w:val="00AE724D"/>
    <w:rsid w:val="00AF06D4"/>
    <w:rsid w:val="00AF1452"/>
    <w:rsid w:val="00AF157C"/>
    <w:rsid w:val="00AF1642"/>
    <w:rsid w:val="00AF1D73"/>
    <w:rsid w:val="00AF1E67"/>
    <w:rsid w:val="00AF2876"/>
    <w:rsid w:val="00AF2F70"/>
    <w:rsid w:val="00AF337C"/>
    <w:rsid w:val="00AF3411"/>
    <w:rsid w:val="00AF3451"/>
    <w:rsid w:val="00AF34D3"/>
    <w:rsid w:val="00AF3CF7"/>
    <w:rsid w:val="00AF4141"/>
    <w:rsid w:val="00AF478A"/>
    <w:rsid w:val="00AF4BFD"/>
    <w:rsid w:val="00AF4C22"/>
    <w:rsid w:val="00AF4FB3"/>
    <w:rsid w:val="00AF6B40"/>
    <w:rsid w:val="00AF6DB2"/>
    <w:rsid w:val="00AF6E7D"/>
    <w:rsid w:val="00AF6EB4"/>
    <w:rsid w:val="00AF6F32"/>
    <w:rsid w:val="00AF6F7A"/>
    <w:rsid w:val="00AF7692"/>
    <w:rsid w:val="00AF77EF"/>
    <w:rsid w:val="00AF7B6C"/>
    <w:rsid w:val="00AF7CC0"/>
    <w:rsid w:val="00AF7D28"/>
    <w:rsid w:val="00AF7F4B"/>
    <w:rsid w:val="00AF7F97"/>
    <w:rsid w:val="00B00326"/>
    <w:rsid w:val="00B007C3"/>
    <w:rsid w:val="00B00973"/>
    <w:rsid w:val="00B009B3"/>
    <w:rsid w:val="00B00A7F"/>
    <w:rsid w:val="00B01856"/>
    <w:rsid w:val="00B021DB"/>
    <w:rsid w:val="00B0243F"/>
    <w:rsid w:val="00B025F7"/>
    <w:rsid w:val="00B027A8"/>
    <w:rsid w:val="00B02C29"/>
    <w:rsid w:val="00B03B4A"/>
    <w:rsid w:val="00B03EA3"/>
    <w:rsid w:val="00B03F6B"/>
    <w:rsid w:val="00B04465"/>
    <w:rsid w:val="00B04604"/>
    <w:rsid w:val="00B048C9"/>
    <w:rsid w:val="00B04A13"/>
    <w:rsid w:val="00B04A88"/>
    <w:rsid w:val="00B04AF0"/>
    <w:rsid w:val="00B05C5E"/>
    <w:rsid w:val="00B05D16"/>
    <w:rsid w:val="00B071E9"/>
    <w:rsid w:val="00B0744E"/>
    <w:rsid w:val="00B101E7"/>
    <w:rsid w:val="00B10696"/>
    <w:rsid w:val="00B10941"/>
    <w:rsid w:val="00B10D46"/>
    <w:rsid w:val="00B1102C"/>
    <w:rsid w:val="00B11044"/>
    <w:rsid w:val="00B112D7"/>
    <w:rsid w:val="00B12225"/>
    <w:rsid w:val="00B126B0"/>
    <w:rsid w:val="00B139A1"/>
    <w:rsid w:val="00B14062"/>
    <w:rsid w:val="00B14393"/>
    <w:rsid w:val="00B149FE"/>
    <w:rsid w:val="00B14A60"/>
    <w:rsid w:val="00B151A5"/>
    <w:rsid w:val="00B153E8"/>
    <w:rsid w:val="00B16519"/>
    <w:rsid w:val="00B167CA"/>
    <w:rsid w:val="00B1726F"/>
    <w:rsid w:val="00B1759C"/>
    <w:rsid w:val="00B1776E"/>
    <w:rsid w:val="00B206FE"/>
    <w:rsid w:val="00B207D3"/>
    <w:rsid w:val="00B212B8"/>
    <w:rsid w:val="00B218B0"/>
    <w:rsid w:val="00B220DE"/>
    <w:rsid w:val="00B221C5"/>
    <w:rsid w:val="00B2265D"/>
    <w:rsid w:val="00B2274F"/>
    <w:rsid w:val="00B22814"/>
    <w:rsid w:val="00B22B81"/>
    <w:rsid w:val="00B22EC1"/>
    <w:rsid w:val="00B23358"/>
    <w:rsid w:val="00B238F3"/>
    <w:rsid w:val="00B23916"/>
    <w:rsid w:val="00B23E4E"/>
    <w:rsid w:val="00B24844"/>
    <w:rsid w:val="00B24B60"/>
    <w:rsid w:val="00B2501E"/>
    <w:rsid w:val="00B251A9"/>
    <w:rsid w:val="00B2526A"/>
    <w:rsid w:val="00B252C2"/>
    <w:rsid w:val="00B25B2A"/>
    <w:rsid w:val="00B25D84"/>
    <w:rsid w:val="00B25FEC"/>
    <w:rsid w:val="00B2627A"/>
    <w:rsid w:val="00B26762"/>
    <w:rsid w:val="00B26DB3"/>
    <w:rsid w:val="00B26F6E"/>
    <w:rsid w:val="00B27271"/>
    <w:rsid w:val="00B274E2"/>
    <w:rsid w:val="00B279DC"/>
    <w:rsid w:val="00B27BF8"/>
    <w:rsid w:val="00B3044E"/>
    <w:rsid w:val="00B308BC"/>
    <w:rsid w:val="00B308E1"/>
    <w:rsid w:val="00B30FAE"/>
    <w:rsid w:val="00B3161D"/>
    <w:rsid w:val="00B319E2"/>
    <w:rsid w:val="00B31B29"/>
    <w:rsid w:val="00B31D4D"/>
    <w:rsid w:val="00B325B3"/>
    <w:rsid w:val="00B32715"/>
    <w:rsid w:val="00B32BCE"/>
    <w:rsid w:val="00B33AB2"/>
    <w:rsid w:val="00B33B3C"/>
    <w:rsid w:val="00B33B52"/>
    <w:rsid w:val="00B33C4A"/>
    <w:rsid w:val="00B3410A"/>
    <w:rsid w:val="00B34EAA"/>
    <w:rsid w:val="00B35136"/>
    <w:rsid w:val="00B35437"/>
    <w:rsid w:val="00B356AE"/>
    <w:rsid w:val="00B357B1"/>
    <w:rsid w:val="00B358DE"/>
    <w:rsid w:val="00B36051"/>
    <w:rsid w:val="00B3723A"/>
    <w:rsid w:val="00B373DF"/>
    <w:rsid w:val="00B403C8"/>
    <w:rsid w:val="00B41697"/>
    <w:rsid w:val="00B42073"/>
    <w:rsid w:val="00B43583"/>
    <w:rsid w:val="00B43661"/>
    <w:rsid w:val="00B436AD"/>
    <w:rsid w:val="00B43AAC"/>
    <w:rsid w:val="00B43E0A"/>
    <w:rsid w:val="00B44242"/>
    <w:rsid w:val="00B44283"/>
    <w:rsid w:val="00B443E6"/>
    <w:rsid w:val="00B447DE"/>
    <w:rsid w:val="00B44DC9"/>
    <w:rsid w:val="00B44DCB"/>
    <w:rsid w:val="00B44E07"/>
    <w:rsid w:val="00B44F3E"/>
    <w:rsid w:val="00B45141"/>
    <w:rsid w:val="00B45314"/>
    <w:rsid w:val="00B4551F"/>
    <w:rsid w:val="00B46065"/>
    <w:rsid w:val="00B46338"/>
    <w:rsid w:val="00B467A0"/>
    <w:rsid w:val="00B467ED"/>
    <w:rsid w:val="00B46CEF"/>
    <w:rsid w:val="00B46F11"/>
    <w:rsid w:val="00B4752A"/>
    <w:rsid w:val="00B47C8E"/>
    <w:rsid w:val="00B50758"/>
    <w:rsid w:val="00B50816"/>
    <w:rsid w:val="00B508C0"/>
    <w:rsid w:val="00B509CE"/>
    <w:rsid w:val="00B50E6F"/>
    <w:rsid w:val="00B51299"/>
    <w:rsid w:val="00B51312"/>
    <w:rsid w:val="00B51A7E"/>
    <w:rsid w:val="00B51F9B"/>
    <w:rsid w:val="00B520A8"/>
    <w:rsid w:val="00B52340"/>
    <w:rsid w:val="00B53478"/>
    <w:rsid w:val="00B53D2A"/>
    <w:rsid w:val="00B53E40"/>
    <w:rsid w:val="00B53E63"/>
    <w:rsid w:val="00B540C0"/>
    <w:rsid w:val="00B540E8"/>
    <w:rsid w:val="00B54158"/>
    <w:rsid w:val="00B5478A"/>
    <w:rsid w:val="00B55515"/>
    <w:rsid w:val="00B55D3D"/>
    <w:rsid w:val="00B55DDB"/>
    <w:rsid w:val="00B56395"/>
    <w:rsid w:val="00B56AA4"/>
    <w:rsid w:val="00B56AF1"/>
    <w:rsid w:val="00B56EDE"/>
    <w:rsid w:val="00B57B8C"/>
    <w:rsid w:val="00B57BED"/>
    <w:rsid w:val="00B57DCD"/>
    <w:rsid w:val="00B6011A"/>
    <w:rsid w:val="00B60CF0"/>
    <w:rsid w:val="00B60D0A"/>
    <w:rsid w:val="00B610FF"/>
    <w:rsid w:val="00B61817"/>
    <w:rsid w:val="00B61AD0"/>
    <w:rsid w:val="00B62C3C"/>
    <w:rsid w:val="00B62D01"/>
    <w:rsid w:val="00B63318"/>
    <w:rsid w:val="00B63792"/>
    <w:rsid w:val="00B64305"/>
    <w:rsid w:val="00B64333"/>
    <w:rsid w:val="00B64610"/>
    <w:rsid w:val="00B646D0"/>
    <w:rsid w:val="00B64A21"/>
    <w:rsid w:val="00B64AAF"/>
    <w:rsid w:val="00B64B4E"/>
    <w:rsid w:val="00B64F80"/>
    <w:rsid w:val="00B65397"/>
    <w:rsid w:val="00B6558E"/>
    <w:rsid w:val="00B6580C"/>
    <w:rsid w:val="00B65824"/>
    <w:rsid w:val="00B65889"/>
    <w:rsid w:val="00B65B00"/>
    <w:rsid w:val="00B6608B"/>
    <w:rsid w:val="00B662E2"/>
    <w:rsid w:val="00B667DA"/>
    <w:rsid w:val="00B6697C"/>
    <w:rsid w:val="00B66B24"/>
    <w:rsid w:val="00B66CBC"/>
    <w:rsid w:val="00B66E6C"/>
    <w:rsid w:val="00B67018"/>
    <w:rsid w:val="00B6701D"/>
    <w:rsid w:val="00B676A5"/>
    <w:rsid w:val="00B67A48"/>
    <w:rsid w:val="00B67C07"/>
    <w:rsid w:val="00B67CC9"/>
    <w:rsid w:val="00B67EF9"/>
    <w:rsid w:val="00B705B8"/>
    <w:rsid w:val="00B70B0D"/>
    <w:rsid w:val="00B712AC"/>
    <w:rsid w:val="00B713A0"/>
    <w:rsid w:val="00B72A67"/>
    <w:rsid w:val="00B72C86"/>
    <w:rsid w:val="00B730F1"/>
    <w:rsid w:val="00B73565"/>
    <w:rsid w:val="00B73578"/>
    <w:rsid w:val="00B737F3"/>
    <w:rsid w:val="00B738B8"/>
    <w:rsid w:val="00B7401F"/>
    <w:rsid w:val="00B74782"/>
    <w:rsid w:val="00B7490F"/>
    <w:rsid w:val="00B759CD"/>
    <w:rsid w:val="00B76095"/>
    <w:rsid w:val="00B762CB"/>
    <w:rsid w:val="00B765B7"/>
    <w:rsid w:val="00B76C81"/>
    <w:rsid w:val="00B76F61"/>
    <w:rsid w:val="00B771A1"/>
    <w:rsid w:val="00B7723D"/>
    <w:rsid w:val="00B7730A"/>
    <w:rsid w:val="00B77608"/>
    <w:rsid w:val="00B80D42"/>
    <w:rsid w:val="00B8203A"/>
    <w:rsid w:val="00B820D6"/>
    <w:rsid w:val="00B83355"/>
    <w:rsid w:val="00B833EA"/>
    <w:rsid w:val="00B83851"/>
    <w:rsid w:val="00B838B7"/>
    <w:rsid w:val="00B83AB0"/>
    <w:rsid w:val="00B83BB6"/>
    <w:rsid w:val="00B83E7D"/>
    <w:rsid w:val="00B8446B"/>
    <w:rsid w:val="00B84A17"/>
    <w:rsid w:val="00B84E6C"/>
    <w:rsid w:val="00B85099"/>
    <w:rsid w:val="00B8524C"/>
    <w:rsid w:val="00B85498"/>
    <w:rsid w:val="00B85C6C"/>
    <w:rsid w:val="00B85D77"/>
    <w:rsid w:val="00B866CA"/>
    <w:rsid w:val="00B8689E"/>
    <w:rsid w:val="00B86958"/>
    <w:rsid w:val="00B86E53"/>
    <w:rsid w:val="00B87044"/>
    <w:rsid w:val="00B87286"/>
    <w:rsid w:val="00B873E2"/>
    <w:rsid w:val="00B8770C"/>
    <w:rsid w:val="00B9045A"/>
    <w:rsid w:val="00B90741"/>
    <w:rsid w:val="00B90AA7"/>
    <w:rsid w:val="00B90C05"/>
    <w:rsid w:val="00B912DA"/>
    <w:rsid w:val="00B91480"/>
    <w:rsid w:val="00B9210F"/>
    <w:rsid w:val="00B92197"/>
    <w:rsid w:val="00B92270"/>
    <w:rsid w:val="00B923C2"/>
    <w:rsid w:val="00B92838"/>
    <w:rsid w:val="00B92D2D"/>
    <w:rsid w:val="00B92D3F"/>
    <w:rsid w:val="00B92F50"/>
    <w:rsid w:val="00B936D5"/>
    <w:rsid w:val="00B93705"/>
    <w:rsid w:val="00B93BA7"/>
    <w:rsid w:val="00B93D71"/>
    <w:rsid w:val="00B93E36"/>
    <w:rsid w:val="00B93EFD"/>
    <w:rsid w:val="00B94043"/>
    <w:rsid w:val="00B947D3"/>
    <w:rsid w:val="00B94A54"/>
    <w:rsid w:val="00B94C82"/>
    <w:rsid w:val="00B95410"/>
    <w:rsid w:val="00B95701"/>
    <w:rsid w:val="00B95836"/>
    <w:rsid w:val="00B95DA3"/>
    <w:rsid w:val="00B96297"/>
    <w:rsid w:val="00B9638E"/>
    <w:rsid w:val="00B964B3"/>
    <w:rsid w:val="00B966FC"/>
    <w:rsid w:val="00B9684A"/>
    <w:rsid w:val="00B96CC2"/>
    <w:rsid w:val="00B96E08"/>
    <w:rsid w:val="00B97244"/>
    <w:rsid w:val="00B975B3"/>
    <w:rsid w:val="00B97628"/>
    <w:rsid w:val="00BA0556"/>
    <w:rsid w:val="00BA0778"/>
    <w:rsid w:val="00BA1BB1"/>
    <w:rsid w:val="00BA23C6"/>
    <w:rsid w:val="00BA2546"/>
    <w:rsid w:val="00BA266A"/>
    <w:rsid w:val="00BA2C5B"/>
    <w:rsid w:val="00BA3752"/>
    <w:rsid w:val="00BA3A60"/>
    <w:rsid w:val="00BA4480"/>
    <w:rsid w:val="00BA4E58"/>
    <w:rsid w:val="00BA5A6D"/>
    <w:rsid w:val="00BA5C5F"/>
    <w:rsid w:val="00BA5D55"/>
    <w:rsid w:val="00BA5EC2"/>
    <w:rsid w:val="00BA6123"/>
    <w:rsid w:val="00BA6E22"/>
    <w:rsid w:val="00BA7678"/>
    <w:rsid w:val="00BA7A9A"/>
    <w:rsid w:val="00BA7AB4"/>
    <w:rsid w:val="00BA7BA1"/>
    <w:rsid w:val="00BA7D29"/>
    <w:rsid w:val="00BB0247"/>
    <w:rsid w:val="00BB0635"/>
    <w:rsid w:val="00BB15FF"/>
    <w:rsid w:val="00BB1A84"/>
    <w:rsid w:val="00BB1CA7"/>
    <w:rsid w:val="00BB20F6"/>
    <w:rsid w:val="00BB2293"/>
    <w:rsid w:val="00BB27D5"/>
    <w:rsid w:val="00BB294A"/>
    <w:rsid w:val="00BB3CEE"/>
    <w:rsid w:val="00BB42A0"/>
    <w:rsid w:val="00BB4596"/>
    <w:rsid w:val="00BB46F5"/>
    <w:rsid w:val="00BB471C"/>
    <w:rsid w:val="00BB4C98"/>
    <w:rsid w:val="00BB53E8"/>
    <w:rsid w:val="00BB5536"/>
    <w:rsid w:val="00BB5E6E"/>
    <w:rsid w:val="00BB5F23"/>
    <w:rsid w:val="00BB6453"/>
    <w:rsid w:val="00BB689E"/>
    <w:rsid w:val="00BB6A10"/>
    <w:rsid w:val="00BB6B6F"/>
    <w:rsid w:val="00BB73E8"/>
    <w:rsid w:val="00BB779D"/>
    <w:rsid w:val="00BB7C9A"/>
    <w:rsid w:val="00BC10BB"/>
    <w:rsid w:val="00BC1DEC"/>
    <w:rsid w:val="00BC205D"/>
    <w:rsid w:val="00BC24B0"/>
    <w:rsid w:val="00BC2653"/>
    <w:rsid w:val="00BC2699"/>
    <w:rsid w:val="00BC34B3"/>
    <w:rsid w:val="00BC3A96"/>
    <w:rsid w:val="00BC41D7"/>
    <w:rsid w:val="00BC4EBB"/>
    <w:rsid w:val="00BC576A"/>
    <w:rsid w:val="00BC5AE1"/>
    <w:rsid w:val="00BC7421"/>
    <w:rsid w:val="00BC747E"/>
    <w:rsid w:val="00BC77E8"/>
    <w:rsid w:val="00BC7EDD"/>
    <w:rsid w:val="00BD04A5"/>
    <w:rsid w:val="00BD0AE2"/>
    <w:rsid w:val="00BD0C0B"/>
    <w:rsid w:val="00BD1295"/>
    <w:rsid w:val="00BD136A"/>
    <w:rsid w:val="00BD14BD"/>
    <w:rsid w:val="00BD189C"/>
    <w:rsid w:val="00BD1B26"/>
    <w:rsid w:val="00BD1C59"/>
    <w:rsid w:val="00BD1D31"/>
    <w:rsid w:val="00BD1ED8"/>
    <w:rsid w:val="00BD27FF"/>
    <w:rsid w:val="00BD28E0"/>
    <w:rsid w:val="00BD2EC0"/>
    <w:rsid w:val="00BD2F89"/>
    <w:rsid w:val="00BD4A34"/>
    <w:rsid w:val="00BD4CD4"/>
    <w:rsid w:val="00BD4E04"/>
    <w:rsid w:val="00BD508E"/>
    <w:rsid w:val="00BD65EB"/>
    <w:rsid w:val="00BD6FAF"/>
    <w:rsid w:val="00BD70D9"/>
    <w:rsid w:val="00BD731C"/>
    <w:rsid w:val="00BD756D"/>
    <w:rsid w:val="00BD7A0C"/>
    <w:rsid w:val="00BD7A84"/>
    <w:rsid w:val="00BD7CB2"/>
    <w:rsid w:val="00BD7E2F"/>
    <w:rsid w:val="00BE0782"/>
    <w:rsid w:val="00BE159E"/>
    <w:rsid w:val="00BE1679"/>
    <w:rsid w:val="00BE1881"/>
    <w:rsid w:val="00BE1BF3"/>
    <w:rsid w:val="00BE1C3F"/>
    <w:rsid w:val="00BE1D76"/>
    <w:rsid w:val="00BE3ACC"/>
    <w:rsid w:val="00BE3C9F"/>
    <w:rsid w:val="00BE3E72"/>
    <w:rsid w:val="00BE457A"/>
    <w:rsid w:val="00BE4739"/>
    <w:rsid w:val="00BE4F4A"/>
    <w:rsid w:val="00BE4FF0"/>
    <w:rsid w:val="00BE54DB"/>
    <w:rsid w:val="00BE5BBA"/>
    <w:rsid w:val="00BE798A"/>
    <w:rsid w:val="00BE7A07"/>
    <w:rsid w:val="00BE7C12"/>
    <w:rsid w:val="00BE7C96"/>
    <w:rsid w:val="00BF03CF"/>
    <w:rsid w:val="00BF0503"/>
    <w:rsid w:val="00BF0D64"/>
    <w:rsid w:val="00BF0EBE"/>
    <w:rsid w:val="00BF0F76"/>
    <w:rsid w:val="00BF1288"/>
    <w:rsid w:val="00BF12A9"/>
    <w:rsid w:val="00BF1BBA"/>
    <w:rsid w:val="00BF1EE1"/>
    <w:rsid w:val="00BF202A"/>
    <w:rsid w:val="00BF22E6"/>
    <w:rsid w:val="00BF255E"/>
    <w:rsid w:val="00BF2E88"/>
    <w:rsid w:val="00BF2FDA"/>
    <w:rsid w:val="00BF3235"/>
    <w:rsid w:val="00BF3588"/>
    <w:rsid w:val="00BF36C5"/>
    <w:rsid w:val="00BF37DC"/>
    <w:rsid w:val="00BF416D"/>
    <w:rsid w:val="00BF4308"/>
    <w:rsid w:val="00BF486E"/>
    <w:rsid w:val="00BF49BE"/>
    <w:rsid w:val="00BF49DE"/>
    <w:rsid w:val="00BF4B9A"/>
    <w:rsid w:val="00BF4F29"/>
    <w:rsid w:val="00BF5105"/>
    <w:rsid w:val="00BF5598"/>
    <w:rsid w:val="00BF606B"/>
    <w:rsid w:val="00BF6160"/>
    <w:rsid w:val="00BF6187"/>
    <w:rsid w:val="00BF678D"/>
    <w:rsid w:val="00BF6A6A"/>
    <w:rsid w:val="00BF6AAC"/>
    <w:rsid w:val="00BF6B9D"/>
    <w:rsid w:val="00BF76EA"/>
    <w:rsid w:val="00C002A9"/>
    <w:rsid w:val="00C00E4B"/>
    <w:rsid w:val="00C00F60"/>
    <w:rsid w:val="00C0137E"/>
    <w:rsid w:val="00C0195C"/>
    <w:rsid w:val="00C01A96"/>
    <w:rsid w:val="00C021AB"/>
    <w:rsid w:val="00C0222D"/>
    <w:rsid w:val="00C02507"/>
    <w:rsid w:val="00C02652"/>
    <w:rsid w:val="00C0290F"/>
    <w:rsid w:val="00C02F10"/>
    <w:rsid w:val="00C03285"/>
    <w:rsid w:val="00C032F2"/>
    <w:rsid w:val="00C034C8"/>
    <w:rsid w:val="00C034ED"/>
    <w:rsid w:val="00C0354E"/>
    <w:rsid w:val="00C03A11"/>
    <w:rsid w:val="00C03EF9"/>
    <w:rsid w:val="00C040AE"/>
    <w:rsid w:val="00C043A5"/>
    <w:rsid w:val="00C0462F"/>
    <w:rsid w:val="00C046CB"/>
    <w:rsid w:val="00C0478F"/>
    <w:rsid w:val="00C04978"/>
    <w:rsid w:val="00C04F59"/>
    <w:rsid w:val="00C050D1"/>
    <w:rsid w:val="00C05860"/>
    <w:rsid w:val="00C05BE2"/>
    <w:rsid w:val="00C05D19"/>
    <w:rsid w:val="00C06BBA"/>
    <w:rsid w:val="00C06BEE"/>
    <w:rsid w:val="00C07D15"/>
    <w:rsid w:val="00C105CD"/>
    <w:rsid w:val="00C109E1"/>
    <w:rsid w:val="00C1106C"/>
    <w:rsid w:val="00C112D2"/>
    <w:rsid w:val="00C117DA"/>
    <w:rsid w:val="00C1189D"/>
    <w:rsid w:val="00C119D6"/>
    <w:rsid w:val="00C11B12"/>
    <w:rsid w:val="00C11C02"/>
    <w:rsid w:val="00C11DE0"/>
    <w:rsid w:val="00C12414"/>
    <w:rsid w:val="00C13FF2"/>
    <w:rsid w:val="00C1444A"/>
    <w:rsid w:val="00C148FF"/>
    <w:rsid w:val="00C14C2A"/>
    <w:rsid w:val="00C14D46"/>
    <w:rsid w:val="00C14D92"/>
    <w:rsid w:val="00C150BE"/>
    <w:rsid w:val="00C155CE"/>
    <w:rsid w:val="00C158EE"/>
    <w:rsid w:val="00C160B0"/>
    <w:rsid w:val="00C163B3"/>
    <w:rsid w:val="00C1683D"/>
    <w:rsid w:val="00C16C00"/>
    <w:rsid w:val="00C17243"/>
    <w:rsid w:val="00C17E78"/>
    <w:rsid w:val="00C202D0"/>
    <w:rsid w:val="00C2073F"/>
    <w:rsid w:val="00C207C7"/>
    <w:rsid w:val="00C20A1A"/>
    <w:rsid w:val="00C21550"/>
    <w:rsid w:val="00C21B72"/>
    <w:rsid w:val="00C21CC1"/>
    <w:rsid w:val="00C224CE"/>
    <w:rsid w:val="00C228F8"/>
    <w:rsid w:val="00C22B49"/>
    <w:rsid w:val="00C22EB9"/>
    <w:rsid w:val="00C2321A"/>
    <w:rsid w:val="00C23877"/>
    <w:rsid w:val="00C23A9E"/>
    <w:rsid w:val="00C23E64"/>
    <w:rsid w:val="00C23F12"/>
    <w:rsid w:val="00C2407E"/>
    <w:rsid w:val="00C2411C"/>
    <w:rsid w:val="00C24E9B"/>
    <w:rsid w:val="00C2529F"/>
    <w:rsid w:val="00C252E5"/>
    <w:rsid w:val="00C25B76"/>
    <w:rsid w:val="00C25DBE"/>
    <w:rsid w:val="00C26131"/>
    <w:rsid w:val="00C26F34"/>
    <w:rsid w:val="00C2710A"/>
    <w:rsid w:val="00C2738F"/>
    <w:rsid w:val="00C27913"/>
    <w:rsid w:val="00C27F70"/>
    <w:rsid w:val="00C3000A"/>
    <w:rsid w:val="00C303EB"/>
    <w:rsid w:val="00C30944"/>
    <w:rsid w:val="00C30E2D"/>
    <w:rsid w:val="00C3175C"/>
    <w:rsid w:val="00C31A4A"/>
    <w:rsid w:val="00C31CE2"/>
    <w:rsid w:val="00C31DF2"/>
    <w:rsid w:val="00C31F3D"/>
    <w:rsid w:val="00C31F81"/>
    <w:rsid w:val="00C32359"/>
    <w:rsid w:val="00C3270C"/>
    <w:rsid w:val="00C32B64"/>
    <w:rsid w:val="00C32B70"/>
    <w:rsid w:val="00C32CD1"/>
    <w:rsid w:val="00C32F09"/>
    <w:rsid w:val="00C33051"/>
    <w:rsid w:val="00C3310E"/>
    <w:rsid w:val="00C33509"/>
    <w:rsid w:val="00C33876"/>
    <w:rsid w:val="00C33CA3"/>
    <w:rsid w:val="00C344B7"/>
    <w:rsid w:val="00C34896"/>
    <w:rsid w:val="00C348D7"/>
    <w:rsid w:val="00C34962"/>
    <w:rsid w:val="00C34BB5"/>
    <w:rsid w:val="00C35148"/>
    <w:rsid w:val="00C351D7"/>
    <w:rsid w:val="00C355EB"/>
    <w:rsid w:val="00C35D4A"/>
    <w:rsid w:val="00C3688B"/>
    <w:rsid w:val="00C368D6"/>
    <w:rsid w:val="00C36C57"/>
    <w:rsid w:val="00C371B6"/>
    <w:rsid w:val="00C3769E"/>
    <w:rsid w:val="00C37B0A"/>
    <w:rsid w:val="00C4026D"/>
    <w:rsid w:val="00C404C7"/>
    <w:rsid w:val="00C408D9"/>
    <w:rsid w:val="00C4095E"/>
    <w:rsid w:val="00C40C06"/>
    <w:rsid w:val="00C41307"/>
    <w:rsid w:val="00C41382"/>
    <w:rsid w:val="00C41561"/>
    <w:rsid w:val="00C41599"/>
    <w:rsid w:val="00C41C20"/>
    <w:rsid w:val="00C4270C"/>
    <w:rsid w:val="00C42F20"/>
    <w:rsid w:val="00C431B5"/>
    <w:rsid w:val="00C43208"/>
    <w:rsid w:val="00C43273"/>
    <w:rsid w:val="00C432BE"/>
    <w:rsid w:val="00C43A09"/>
    <w:rsid w:val="00C43C8E"/>
    <w:rsid w:val="00C43ECD"/>
    <w:rsid w:val="00C452B8"/>
    <w:rsid w:val="00C4539F"/>
    <w:rsid w:val="00C46217"/>
    <w:rsid w:val="00C46950"/>
    <w:rsid w:val="00C469BB"/>
    <w:rsid w:val="00C46A4A"/>
    <w:rsid w:val="00C4707A"/>
    <w:rsid w:val="00C477D2"/>
    <w:rsid w:val="00C47C0B"/>
    <w:rsid w:val="00C47CFB"/>
    <w:rsid w:val="00C504CD"/>
    <w:rsid w:val="00C51411"/>
    <w:rsid w:val="00C5197E"/>
    <w:rsid w:val="00C519DE"/>
    <w:rsid w:val="00C52359"/>
    <w:rsid w:val="00C531DF"/>
    <w:rsid w:val="00C53294"/>
    <w:rsid w:val="00C53328"/>
    <w:rsid w:val="00C53500"/>
    <w:rsid w:val="00C535CE"/>
    <w:rsid w:val="00C53B5A"/>
    <w:rsid w:val="00C53B9D"/>
    <w:rsid w:val="00C53CC0"/>
    <w:rsid w:val="00C54543"/>
    <w:rsid w:val="00C5470A"/>
    <w:rsid w:val="00C54EA0"/>
    <w:rsid w:val="00C55997"/>
    <w:rsid w:val="00C55B70"/>
    <w:rsid w:val="00C55CC5"/>
    <w:rsid w:val="00C567C6"/>
    <w:rsid w:val="00C57041"/>
    <w:rsid w:val="00C573FB"/>
    <w:rsid w:val="00C57DC7"/>
    <w:rsid w:val="00C57F55"/>
    <w:rsid w:val="00C601FB"/>
    <w:rsid w:val="00C6072E"/>
    <w:rsid w:val="00C608CE"/>
    <w:rsid w:val="00C60A46"/>
    <w:rsid w:val="00C60F40"/>
    <w:rsid w:val="00C60FC6"/>
    <w:rsid w:val="00C60FFA"/>
    <w:rsid w:val="00C612FB"/>
    <w:rsid w:val="00C61481"/>
    <w:rsid w:val="00C619A4"/>
    <w:rsid w:val="00C61BE4"/>
    <w:rsid w:val="00C6277C"/>
    <w:rsid w:val="00C62AE4"/>
    <w:rsid w:val="00C630DC"/>
    <w:rsid w:val="00C6354D"/>
    <w:rsid w:val="00C64352"/>
    <w:rsid w:val="00C64D3D"/>
    <w:rsid w:val="00C64E0F"/>
    <w:rsid w:val="00C65252"/>
    <w:rsid w:val="00C655D1"/>
    <w:rsid w:val="00C66483"/>
    <w:rsid w:val="00C6666A"/>
    <w:rsid w:val="00C6666C"/>
    <w:rsid w:val="00C6685A"/>
    <w:rsid w:val="00C6720D"/>
    <w:rsid w:val="00C701D3"/>
    <w:rsid w:val="00C70583"/>
    <w:rsid w:val="00C70802"/>
    <w:rsid w:val="00C70BAF"/>
    <w:rsid w:val="00C71007"/>
    <w:rsid w:val="00C713DE"/>
    <w:rsid w:val="00C71470"/>
    <w:rsid w:val="00C718C7"/>
    <w:rsid w:val="00C718D9"/>
    <w:rsid w:val="00C71997"/>
    <w:rsid w:val="00C722C5"/>
    <w:rsid w:val="00C72C2A"/>
    <w:rsid w:val="00C72FD1"/>
    <w:rsid w:val="00C7354E"/>
    <w:rsid w:val="00C73924"/>
    <w:rsid w:val="00C73E8C"/>
    <w:rsid w:val="00C74049"/>
    <w:rsid w:val="00C74B96"/>
    <w:rsid w:val="00C74CE8"/>
    <w:rsid w:val="00C75005"/>
    <w:rsid w:val="00C75C66"/>
    <w:rsid w:val="00C76497"/>
    <w:rsid w:val="00C7666F"/>
    <w:rsid w:val="00C771AE"/>
    <w:rsid w:val="00C7734D"/>
    <w:rsid w:val="00C7795D"/>
    <w:rsid w:val="00C8020A"/>
    <w:rsid w:val="00C80566"/>
    <w:rsid w:val="00C809BE"/>
    <w:rsid w:val="00C80BF5"/>
    <w:rsid w:val="00C80F53"/>
    <w:rsid w:val="00C81162"/>
    <w:rsid w:val="00C8156B"/>
    <w:rsid w:val="00C815C4"/>
    <w:rsid w:val="00C81761"/>
    <w:rsid w:val="00C82689"/>
    <w:rsid w:val="00C833E2"/>
    <w:rsid w:val="00C83A3B"/>
    <w:rsid w:val="00C852B6"/>
    <w:rsid w:val="00C855BC"/>
    <w:rsid w:val="00C85EDF"/>
    <w:rsid w:val="00C86914"/>
    <w:rsid w:val="00C86C6D"/>
    <w:rsid w:val="00C86ECF"/>
    <w:rsid w:val="00C87C8B"/>
    <w:rsid w:val="00C87D20"/>
    <w:rsid w:val="00C90A9B"/>
    <w:rsid w:val="00C90E24"/>
    <w:rsid w:val="00C913FF"/>
    <w:rsid w:val="00C91CB7"/>
    <w:rsid w:val="00C928EF"/>
    <w:rsid w:val="00C935CF"/>
    <w:rsid w:val="00C935F1"/>
    <w:rsid w:val="00C93ACD"/>
    <w:rsid w:val="00C94024"/>
    <w:rsid w:val="00C9416A"/>
    <w:rsid w:val="00C942E6"/>
    <w:rsid w:val="00C9437F"/>
    <w:rsid w:val="00C9443C"/>
    <w:rsid w:val="00C94719"/>
    <w:rsid w:val="00C94DB6"/>
    <w:rsid w:val="00C9518E"/>
    <w:rsid w:val="00C951A0"/>
    <w:rsid w:val="00C95719"/>
    <w:rsid w:val="00C95782"/>
    <w:rsid w:val="00C9598D"/>
    <w:rsid w:val="00C95ECD"/>
    <w:rsid w:val="00C961CD"/>
    <w:rsid w:val="00C967AA"/>
    <w:rsid w:val="00C972EA"/>
    <w:rsid w:val="00C97887"/>
    <w:rsid w:val="00C97906"/>
    <w:rsid w:val="00C97BA5"/>
    <w:rsid w:val="00C97D84"/>
    <w:rsid w:val="00CA0E6E"/>
    <w:rsid w:val="00CA0E80"/>
    <w:rsid w:val="00CA0F20"/>
    <w:rsid w:val="00CA0F54"/>
    <w:rsid w:val="00CA1364"/>
    <w:rsid w:val="00CA13EC"/>
    <w:rsid w:val="00CA1A22"/>
    <w:rsid w:val="00CA1DC9"/>
    <w:rsid w:val="00CA2023"/>
    <w:rsid w:val="00CA2ECA"/>
    <w:rsid w:val="00CA3C2D"/>
    <w:rsid w:val="00CA4698"/>
    <w:rsid w:val="00CA4F05"/>
    <w:rsid w:val="00CA53D8"/>
    <w:rsid w:val="00CA5627"/>
    <w:rsid w:val="00CA717B"/>
    <w:rsid w:val="00CA7343"/>
    <w:rsid w:val="00CA74AB"/>
    <w:rsid w:val="00CA7ADC"/>
    <w:rsid w:val="00CA7E69"/>
    <w:rsid w:val="00CB0888"/>
    <w:rsid w:val="00CB0E51"/>
    <w:rsid w:val="00CB113F"/>
    <w:rsid w:val="00CB1287"/>
    <w:rsid w:val="00CB172D"/>
    <w:rsid w:val="00CB1C85"/>
    <w:rsid w:val="00CB1D51"/>
    <w:rsid w:val="00CB219F"/>
    <w:rsid w:val="00CB278F"/>
    <w:rsid w:val="00CB286F"/>
    <w:rsid w:val="00CB2BA7"/>
    <w:rsid w:val="00CB31CF"/>
    <w:rsid w:val="00CB3669"/>
    <w:rsid w:val="00CB3832"/>
    <w:rsid w:val="00CB3A03"/>
    <w:rsid w:val="00CB4560"/>
    <w:rsid w:val="00CB4BE0"/>
    <w:rsid w:val="00CB4C0E"/>
    <w:rsid w:val="00CB5899"/>
    <w:rsid w:val="00CB58D4"/>
    <w:rsid w:val="00CB5948"/>
    <w:rsid w:val="00CB5FEE"/>
    <w:rsid w:val="00CB624F"/>
    <w:rsid w:val="00CB6385"/>
    <w:rsid w:val="00CB6400"/>
    <w:rsid w:val="00CB6BCE"/>
    <w:rsid w:val="00CB7619"/>
    <w:rsid w:val="00CB7D36"/>
    <w:rsid w:val="00CB7E05"/>
    <w:rsid w:val="00CC0213"/>
    <w:rsid w:val="00CC07D8"/>
    <w:rsid w:val="00CC0D9B"/>
    <w:rsid w:val="00CC14AC"/>
    <w:rsid w:val="00CC179F"/>
    <w:rsid w:val="00CC184E"/>
    <w:rsid w:val="00CC1DA8"/>
    <w:rsid w:val="00CC22F8"/>
    <w:rsid w:val="00CC3600"/>
    <w:rsid w:val="00CC3A77"/>
    <w:rsid w:val="00CC3D7A"/>
    <w:rsid w:val="00CC45C1"/>
    <w:rsid w:val="00CC46B8"/>
    <w:rsid w:val="00CC4A06"/>
    <w:rsid w:val="00CC4CD6"/>
    <w:rsid w:val="00CC5429"/>
    <w:rsid w:val="00CC5651"/>
    <w:rsid w:val="00CC573C"/>
    <w:rsid w:val="00CC5AB4"/>
    <w:rsid w:val="00CC5C2E"/>
    <w:rsid w:val="00CC5E59"/>
    <w:rsid w:val="00CC6042"/>
    <w:rsid w:val="00CC699E"/>
    <w:rsid w:val="00CC6A4D"/>
    <w:rsid w:val="00CC6D5F"/>
    <w:rsid w:val="00CC7284"/>
    <w:rsid w:val="00CC7446"/>
    <w:rsid w:val="00CC7532"/>
    <w:rsid w:val="00CC7574"/>
    <w:rsid w:val="00CC7D35"/>
    <w:rsid w:val="00CC7E62"/>
    <w:rsid w:val="00CD002F"/>
    <w:rsid w:val="00CD0121"/>
    <w:rsid w:val="00CD053C"/>
    <w:rsid w:val="00CD0567"/>
    <w:rsid w:val="00CD06BD"/>
    <w:rsid w:val="00CD070A"/>
    <w:rsid w:val="00CD1063"/>
    <w:rsid w:val="00CD1641"/>
    <w:rsid w:val="00CD2201"/>
    <w:rsid w:val="00CD2B0D"/>
    <w:rsid w:val="00CD2E61"/>
    <w:rsid w:val="00CD2F00"/>
    <w:rsid w:val="00CD36DF"/>
    <w:rsid w:val="00CD3B40"/>
    <w:rsid w:val="00CD432A"/>
    <w:rsid w:val="00CD4624"/>
    <w:rsid w:val="00CD46E9"/>
    <w:rsid w:val="00CD4770"/>
    <w:rsid w:val="00CD4883"/>
    <w:rsid w:val="00CD48AE"/>
    <w:rsid w:val="00CD4918"/>
    <w:rsid w:val="00CD4962"/>
    <w:rsid w:val="00CD4DFE"/>
    <w:rsid w:val="00CD52D7"/>
    <w:rsid w:val="00CD5370"/>
    <w:rsid w:val="00CD5AA3"/>
    <w:rsid w:val="00CD64BA"/>
    <w:rsid w:val="00CD685F"/>
    <w:rsid w:val="00CD6C58"/>
    <w:rsid w:val="00CE040E"/>
    <w:rsid w:val="00CE0460"/>
    <w:rsid w:val="00CE0793"/>
    <w:rsid w:val="00CE0915"/>
    <w:rsid w:val="00CE14C2"/>
    <w:rsid w:val="00CE1633"/>
    <w:rsid w:val="00CE175C"/>
    <w:rsid w:val="00CE1788"/>
    <w:rsid w:val="00CE1C68"/>
    <w:rsid w:val="00CE26CB"/>
    <w:rsid w:val="00CE2752"/>
    <w:rsid w:val="00CE2BEA"/>
    <w:rsid w:val="00CE2E4C"/>
    <w:rsid w:val="00CE3012"/>
    <w:rsid w:val="00CE39DC"/>
    <w:rsid w:val="00CE3D62"/>
    <w:rsid w:val="00CE3D86"/>
    <w:rsid w:val="00CE401B"/>
    <w:rsid w:val="00CE4456"/>
    <w:rsid w:val="00CE4674"/>
    <w:rsid w:val="00CE4847"/>
    <w:rsid w:val="00CE4F13"/>
    <w:rsid w:val="00CE500B"/>
    <w:rsid w:val="00CE51FC"/>
    <w:rsid w:val="00CE717F"/>
    <w:rsid w:val="00CE736B"/>
    <w:rsid w:val="00CE73A7"/>
    <w:rsid w:val="00CE7499"/>
    <w:rsid w:val="00CE7BB1"/>
    <w:rsid w:val="00CF000A"/>
    <w:rsid w:val="00CF04C5"/>
    <w:rsid w:val="00CF0777"/>
    <w:rsid w:val="00CF192B"/>
    <w:rsid w:val="00CF1CDC"/>
    <w:rsid w:val="00CF1DCC"/>
    <w:rsid w:val="00CF25D4"/>
    <w:rsid w:val="00CF2DA6"/>
    <w:rsid w:val="00CF32E6"/>
    <w:rsid w:val="00CF35FD"/>
    <w:rsid w:val="00CF38C5"/>
    <w:rsid w:val="00CF3DB7"/>
    <w:rsid w:val="00CF447F"/>
    <w:rsid w:val="00CF57F8"/>
    <w:rsid w:val="00CF5B3A"/>
    <w:rsid w:val="00CF5C2A"/>
    <w:rsid w:val="00CF607E"/>
    <w:rsid w:val="00CF6267"/>
    <w:rsid w:val="00CF6509"/>
    <w:rsid w:val="00CF6D66"/>
    <w:rsid w:val="00CF6DFD"/>
    <w:rsid w:val="00CF703D"/>
    <w:rsid w:val="00CF70C5"/>
    <w:rsid w:val="00CF7443"/>
    <w:rsid w:val="00CF77B7"/>
    <w:rsid w:val="00CF77F0"/>
    <w:rsid w:val="00CF7A40"/>
    <w:rsid w:val="00CF7E72"/>
    <w:rsid w:val="00D006EA"/>
    <w:rsid w:val="00D00A27"/>
    <w:rsid w:val="00D011D5"/>
    <w:rsid w:val="00D01494"/>
    <w:rsid w:val="00D0161B"/>
    <w:rsid w:val="00D02087"/>
    <w:rsid w:val="00D02356"/>
    <w:rsid w:val="00D025A5"/>
    <w:rsid w:val="00D030E0"/>
    <w:rsid w:val="00D034C9"/>
    <w:rsid w:val="00D038EA"/>
    <w:rsid w:val="00D03D89"/>
    <w:rsid w:val="00D03E24"/>
    <w:rsid w:val="00D04127"/>
    <w:rsid w:val="00D04193"/>
    <w:rsid w:val="00D04197"/>
    <w:rsid w:val="00D041B8"/>
    <w:rsid w:val="00D045DA"/>
    <w:rsid w:val="00D045E9"/>
    <w:rsid w:val="00D047A5"/>
    <w:rsid w:val="00D054E9"/>
    <w:rsid w:val="00D05761"/>
    <w:rsid w:val="00D05CA6"/>
    <w:rsid w:val="00D06000"/>
    <w:rsid w:val="00D0659F"/>
    <w:rsid w:val="00D067DE"/>
    <w:rsid w:val="00D07206"/>
    <w:rsid w:val="00D0743D"/>
    <w:rsid w:val="00D076A5"/>
    <w:rsid w:val="00D07EE9"/>
    <w:rsid w:val="00D1030F"/>
    <w:rsid w:val="00D10B5E"/>
    <w:rsid w:val="00D10DF4"/>
    <w:rsid w:val="00D10E50"/>
    <w:rsid w:val="00D10F35"/>
    <w:rsid w:val="00D1109A"/>
    <w:rsid w:val="00D11175"/>
    <w:rsid w:val="00D111EC"/>
    <w:rsid w:val="00D11864"/>
    <w:rsid w:val="00D1235A"/>
    <w:rsid w:val="00D12452"/>
    <w:rsid w:val="00D128C0"/>
    <w:rsid w:val="00D12BB1"/>
    <w:rsid w:val="00D13988"/>
    <w:rsid w:val="00D14B91"/>
    <w:rsid w:val="00D15278"/>
    <w:rsid w:val="00D15281"/>
    <w:rsid w:val="00D15645"/>
    <w:rsid w:val="00D15C4A"/>
    <w:rsid w:val="00D162D1"/>
    <w:rsid w:val="00D167C3"/>
    <w:rsid w:val="00D168D3"/>
    <w:rsid w:val="00D16AD1"/>
    <w:rsid w:val="00D16DB8"/>
    <w:rsid w:val="00D17554"/>
    <w:rsid w:val="00D17E45"/>
    <w:rsid w:val="00D203A9"/>
    <w:rsid w:val="00D2049D"/>
    <w:rsid w:val="00D20698"/>
    <w:rsid w:val="00D2072A"/>
    <w:rsid w:val="00D20FF7"/>
    <w:rsid w:val="00D2103A"/>
    <w:rsid w:val="00D21C6F"/>
    <w:rsid w:val="00D21DC9"/>
    <w:rsid w:val="00D22160"/>
    <w:rsid w:val="00D22282"/>
    <w:rsid w:val="00D227E9"/>
    <w:rsid w:val="00D2342B"/>
    <w:rsid w:val="00D2356E"/>
    <w:rsid w:val="00D237FF"/>
    <w:rsid w:val="00D23CAB"/>
    <w:rsid w:val="00D24030"/>
    <w:rsid w:val="00D24627"/>
    <w:rsid w:val="00D2498A"/>
    <w:rsid w:val="00D253F6"/>
    <w:rsid w:val="00D257BA"/>
    <w:rsid w:val="00D25A38"/>
    <w:rsid w:val="00D25F1B"/>
    <w:rsid w:val="00D26A33"/>
    <w:rsid w:val="00D26D8D"/>
    <w:rsid w:val="00D27028"/>
    <w:rsid w:val="00D275E1"/>
    <w:rsid w:val="00D304BE"/>
    <w:rsid w:val="00D3097C"/>
    <w:rsid w:val="00D30CCA"/>
    <w:rsid w:val="00D31142"/>
    <w:rsid w:val="00D31CDF"/>
    <w:rsid w:val="00D32300"/>
    <w:rsid w:val="00D3279D"/>
    <w:rsid w:val="00D32B5D"/>
    <w:rsid w:val="00D33A5F"/>
    <w:rsid w:val="00D33FA5"/>
    <w:rsid w:val="00D340C9"/>
    <w:rsid w:val="00D3415A"/>
    <w:rsid w:val="00D34E0E"/>
    <w:rsid w:val="00D3517A"/>
    <w:rsid w:val="00D3581C"/>
    <w:rsid w:val="00D3587D"/>
    <w:rsid w:val="00D35897"/>
    <w:rsid w:val="00D35B99"/>
    <w:rsid w:val="00D365A4"/>
    <w:rsid w:val="00D365CE"/>
    <w:rsid w:val="00D3676A"/>
    <w:rsid w:val="00D369D0"/>
    <w:rsid w:val="00D36BF6"/>
    <w:rsid w:val="00D36E2F"/>
    <w:rsid w:val="00D36F20"/>
    <w:rsid w:val="00D37CB3"/>
    <w:rsid w:val="00D37D2A"/>
    <w:rsid w:val="00D37FC2"/>
    <w:rsid w:val="00D401E8"/>
    <w:rsid w:val="00D4071C"/>
    <w:rsid w:val="00D40FDC"/>
    <w:rsid w:val="00D4111E"/>
    <w:rsid w:val="00D4130B"/>
    <w:rsid w:val="00D4177A"/>
    <w:rsid w:val="00D41AB6"/>
    <w:rsid w:val="00D4246C"/>
    <w:rsid w:val="00D428E8"/>
    <w:rsid w:val="00D42AE3"/>
    <w:rsid w:val="00D42B22"/>
    <w:rsid w:val="00D42ECE"/>
    <w:rsid w:val="00D4319C"/>
    <w:rsid w:val="00D4343A"/>
    <w:rsid w:val="00D44077"/>
    <w:rsid w:val="00D4415F"/>
    <w:rsid w:val="00D4416C"/>
    <w:rsid w:val="00D44221"/>
    <w:rsid w:val="00D44528"/>
    <w:rsid w:val="00D4488D"/>
    <w:rsid w:val="00D4496C"/>
    <w:rsid w:val="00D44BFB"/>
    <w:rsid w:val="00D4626C"/>
    <w:rsid w:val="00D46334"/>
    <w:rsid w:val="00D46ABA"/>
    <w:rsid w:val="00D47119"/>
    <w:rsid w:val="00D478BD"/>
    <w:rsid w:val="00D479A8"/>
    <w:rsid w:val="00D50035"/>
    <w:rsid w:val="00D505D4"/>
    <w:rsid w:val="00D508A9"/>
    <w:rsid w:val="00D50B6F"/>
    <w:rsid w:val="00D50E3B"/>
    <w:rsid w:val="00D517CA"/>
    <w:rsid w:val="00D51AA2"/>
    <w:rsid w:val="00D51B17"/>
    <w:rsid w:val="00D51DCE"/>
    <w:rsid w:val="00D52659"/>
    <w:rsid w:val="00D52878"/>
    <w:rsid w:val="00D52D9C"/>
    <w:rsid w:val="00D52FF4"/>
    <w:rsid w:val="00D53663"/>
    <w:rsid w:val="00D53777"/>
    <w:rsid w:val="00D540A1"/>
    <w:rsid w:val="00D54190"/>
    <w:rsid w:val="00D54867"/>
    <w:rsid w:val="00D54F5E"/>
    <w:rsid w:val="00D5500D"/>
    <w:rsid w:val="00D55532"/>
    <w:rsid w:val="00D559D0"/>
    <w:rsid w:val="00D55DD4"/>
    <w:rsid w:val="00D55F1A"/>
    <w:rsid w:val="00D55FB6"/>
    <w:rsid w:val="00D5648B"/>
    <w:rsid w:val="00D5681A"/>
    <w:rsid w:val="00D56868"/>
    <w:rsid w:val="00D5689C"/>
    <w:rsid w:val="00D56D37"/>
    <w:rsid w:val="00D56D81"/>
    <w:rsid w:val="00D56DAC"/>
    <w:rsid w:val="00D577D9"/>
    <w:rsid w:val="00D57978"/>
    <w:rsid w:val="00D57FD8"/>
    <w:rsid w:val="00D601F3"/>
    <w:rsid w:val="00D60234"/>
    <w:rsid w:val="00D60849"/>
    <w:rsid w:val="00D608B6"/>
    <w:rsid w:val="00D614FC"/>
    <w:rsid w:val="00D618D8"/>
    <w:rsid w:val="00D61935"/>
    <w:rsid w:val="00D61BFA"/>
    <w:rsid w:val="00D61D8E"/>
    <w:rsid w:val="00D61DE0"/>
    <w:rsid w:val="00D62489"/>
    <w:rsid w:val="00D625A2"/>
    <w:rsid w:val="00D631AB"/>
    <w:rsid w:val="00D631EF"/>
    <w:rsid w:val="00D63251"/>
    <w:rsid w:val="00D645A8"/>
    <w:rsid w:val="00D647DB"/>
    <w:rsid w:val="00D6529D"/>
    <w:rsid w:val="00D65760"/>
    <w:rsid w:val="00D657F0"/>
    <w:rsid w:val="00D65968"/>
    <w:rsid w:val="00D65D72"/>
    <w:rsid w:val="00D65FFB"/>
    <w:rsid w:val="00D6601C"/>
    <w:rsid w:val="00D660D9"/>
    <w:rsid w:val="00D66835"/>
    <w:rsid w:val="00D66965"/>
    <w:rsid w:val="00D670BE"/>
    <w:rsid w:val="00D67205"/>
    <w:rsid w:val="00D67EFF"/>
    <w:rsid w:val="00D67F3D"/>
    <w:rsid w:val="00D7010C"/>
    <w:rsid w:val="00D7047F"/>
    <w:rsid w:val="00D707BB"/>
    <w:rsid w:val="00D7119B"/>
    <w:rsid w:val="00D714B6"/>
    <w:rsid w:val="00D7151F"/>
    <w:rsid w:val="00D71527"/>
    <w:rsid w:val="00D7172C"/>
    <w:rsid w:val="00D71B51"/>
    <w:rsid w:val="00D723F1"/>
    <w:rsid w:val="00D7259E"/>
    <w:rsid w:val="00D73334"/>
    <w:rsid w:val="00D73372"/>
    <w:rsid w:val="00D73CCD"/>
    <w:rsid w:val="00D73EDB"/>
    <w:rsid w:val="00D7412C"/>
    <w:rsid w:val="00D746A0"/>
    <w:rsid w:val="00D74859"/>
    <w:rsid w:val="00D74C0A"/>
    <w:rsid w:val="00D74EB8"/>
    <w:rsid w:val="00D74EF8"/>
    <w:rsid w:val="00D758B5"/>
    <w:rsid w:val="00D75B26"/>
    <w:rsid w:val="00D75B7D"/>
    <w:rsid w:val="00D75C3D"/>
    <w:rsid w:val="00D75E5F"/>
    <w:rsid w:val="00D763D2"/>
    <w:rsid w:val="00D76768"/>
    <w:rsid w:val="00D76C84"/>
    <w:rsid w:val="00D77287"/>
    <w:rsid w:val="00D773C7"/>
    <w:rsid w:val="00D775EC"/>
    <w:rsid w:val="00D80591"/>
    <w:rsid w:val="00D80972"/>
    <w:rsid w:val="00D821F6"/>
    <w:rsid w:val="00D825D4"/>
    <w:rsid w:val="00D8341A"/>
    <w:rsid w:val="00D83845"/>
    <w:rsid w:val="00D83D98"/>
    <w:rsid w:val="00D83E45"/>
    <w:rsid w:val="00D84120"/>
    <w:rsid w:val="00D8432F"/>
    <w:rsid w:val="00D8513B"/>
    <w:rsid w:val="00D855D3"/>
    <w:rsid w:val="00D8631D"/>
    <w:rsid w:val="00D8632C"/>
    <w:rsid w:val="00D86E39"/>
    <w:rsid w:val="00D8772C"/>
    <w:rsid w:val="00D87998"/>
    <w:rsid w:val="00D87D9E"/>
    <w:rsid w:val="00D906A9"/>
    <w:rsid w:val="00D90DCD"/>
    <w:rsid w:val="00D91017"/>
    <w:rsid w:val="00D9151E"/>
    <w:rsid w:val="00D91603"/>
    <w:rsid w:val="00D918F5"/>
    <w:rsid w:val="00D91BE6"/>
    <w:rsid w:val="00D91DB2"/>
    <w:rsid w:val="00D92AE2"/>
    <w:rsid w:val="00D92C7A"/>
    <w:rsid w:val="00D93041"/>
    <w:rsid w:val="00D936A6"/>
    <w:rsid w:val="00D93AB4"/>
    <w:rsid w:val="00D9426E"/>
    <w:rsid w:val="00D9448D"/>
    <w:rsid w:val="00D94BE1"/>
    <w:rsid w:val="00D95292"/>
    <w:rsid w:val="00D956FF"/>
    <w:rsid w:val="00D95914"/>
    <w:rsid w:val="00D95A70"/>
    <w:rsid w:val="00D9624B"/>
    <w:rsid w:val="00D97659"/>
    <w:rsid w:val="00D976DC"/>
    <w:rsid w:val="00DA045E"/>
    <w:rsid w:val="00DA071B"/>
    <w:rsid w:val="00DA0BD9"/>
    <w:rsid w:val="00DA0F9D"/>
    <w:rsid w:val="00DA1A50"/>
    <w:rsid w:val="00DA1D56"/>
    <w:rsid w:val="00DA1D61"/>
    <w:rsid w:val="00DA22E4"/>
    <w:rsid w:val="00DA33DA"/>
    <w:rsid w:val="00DA3613"/>
    <w:rsid w:val="00DA38BB"/>
    <w:rsid w:val="00DA4888"/>
    <w:rsid w:val="00DA5D50"/>
    <w:rsid w:val="00DA5EAA"/>
    <w:rsid w:val="00DA5EBA"/>
    <w:rsid w:val="00DA5F62"/>
    <w:rsid w:val="00DA6491"/>
    <w:rsid w:val="00DA6754"/>
    <w:rsid w:val="00DA67C6"/>
    <w:rsid w:val="00DA6A04"/>
    <w:rsid w:val="00DA6EF1"/>
    <w:rsid w:val="00DA7039"/>
    <w:rsid w:val="00DA7571"/>
    <w:rsid w:val="00DA7753"/>
    <w:rsid w:val="00DB05C3"/>
    <w:rsid w:val="00DB083D"/>
    <w:rsid w:val="00DB0A2D"/>
    <w:rsid w:val="00DB0A4C"/>
    <w:rsid w:val="00DB0C3E"/>
    <w:rsid w:val="00DB0CBB"/>
    <w:rsid w:val="00DB1548"/>
    <w:rsid w:val="00DB19D2"/>
    <w:rsid w:val="00DB1AB0"/>
    <w:rsid w:val="00DB1CDA"/>
    <w:rsid w:val="00DB1D9F"/>
    <w:rsid w:val="00DB1DFA"/>
    <w:rsid w:val="00DB1E46"/>
    <w:rsid w:val="00DB224B"/>
    <w:rsid w:val="00DB230D"/>
    <w:rsid w:val="00DB25DE"/>
    <w:rsid w:val="00DB2FA2"/>
    <w:rsid w:val="00DB3314"/>
    <w:rsid w:val="00DB38BD"/>
    <w:rsid w:val="00DB3CA7"/>
    <w:rsid w:val="00DB3FA6"/>
    <w:rsid w:val="00DB4040"/>
    <w:rsid w:val="00DB4099"/>
    <w:rsid w:val="00DB40FB"/>
    <w:rsid w:val="00DB41BD"/>
    <w:rsid w:val="00DB42A5"/>
    <w:rsid w:val="00DB457E"/>
    <w:rsid w:val="00DB4D00"/>
    <w:rsid w:val="00DB4D53"/>
    <w:rsid w:val="00DB519A"/>
    <w:rsid w:val="00DB568D"/>
    <w:rsid w:val="00DB6019"/>
    <w:rsid w:val="00DB6126"/>
    <w:rsid w:val="00DB6469"/>
    <w:rsid w:val="00DB68DC"/>
    <w:rsid w:val="00DB6BC2"/>
    <w:rsid w:val="00DB7517"/>
    <w:rsid w:val="00DB76C5"/>
    <w:rsid w:val="00DB7710"/>
    <w:rsid w:val="00DB7804"/>
    <w:rsid w:val="00DB7887"/>
    <w:rsid w:val="00DB7EB0"/>
    <w:rsid w:val="00DB7F86"/>
    <w:rsid w:val="00DC003D"/>
    <w:rsid w:val="00DC08F5"/>
    <w:rsid w:val="00DC0B2E"/>
    <w:rsid w:val="00DC0BF1"/>
    <w:rsid w:val="00DC1056"/>
    <w:rsid w:val="00DC1F8E"/>
    <w:rsid w:val="00DC2568"/>
    <w:rsid w:val="00DC2672"/>
    <w:rsid w:val="00DC29AE"/>
    <w:rsid w:val="00DC2B7F"/>
    <w:rsid w:val="00DC2D7D"/>
    <w:rsid w:val="00DC3B91"/>
    <w:rsid w:val="00DC3C70"/>
    <w:rsid w:val="00DC4179"/>
    <w:rsid w:val="00DC44DD"/>
    <w:rsid w:val="00DC458B"/>
    <w:rsid w:val="00DC45DE"/>
    <w:rsid w:val="00DC4604"/>
    <w:rsid w:val="00DC4663"/>
    <w:rsid w:val="00DC46AE"/>
    <w:rsid w:val="00DC4712"/>
    <w:rsid w:val="00DC48D9"/>
    <w:rsid w:val="00DC502F"/>
    <w:rsid w:val="00DC5094"/>
    <w:rsid w:val="00DC50C6"/>
    <w:rsid w:val="00DC7981"/>
    <w:rsid w:val="00DC7E57"/>
    <w:rsid w:val="00DC7EB4"/>
    <w:rsid w:val="00DC7F30"/>
    <w:rsid w:val="00DD0215"/>
    <w:rsid w:val="00DD0409"/>
    <w:rsid w:val="00DD0505"/>
    <w:rsid w:val="00DD0733"/>
    <w:rsid w:val="00DD0799"/>
    <w:rsid w:val="00DD0950"/>
    <w:rsid w:val="00DD0C18"/>
    <w:rsid w:val="00DD12A5"/>
    <w:rsid w:val="00DD142F"/>
    <w:rsid w:val="00DD17F9"/>
    <w:rsid w:val="00DD1D08"/>
    <w:rsid w:val="00DD25BC"/>
    <w:rsid w:val="00DD293D"/>
    <w:rsid w:val="00DD2F6B"/>
    <w:rsid w:val="00DD3179"/>
    <w:rsid w:val="00DD34D0"/>
    <w:rsid w:val="00DD3521"/>
    <w:rsid w:val="00DD3BB0"/>
    <w:rsid w:val="00DD42DD"/>
    <w:rsid w:val="00DD4432"/>
    <w:rsid w:val="00DD4DAC"/>
    <w:rsid w:val="00DD55C8"/>
    <w:rsid w:val="00DD55F4"/>
    <w:rsid w:val="00DD5D4B"/>
    <w:rsid w:val="00DD5DF6"/>
    <w:rsid w:val="00DD60D4"/>
    <w:rsid w:val="00DD63FA"/>
    <w:rsid w:val="00DD67F9"/>
    <w:rsid w:val="00DD6C7F"/>
    <w:rsid w:val="00DD6F46"/>
    <w:rsid w:val="00DD7127"/>
    <w:rsid w:val="00DD72DB"/>
    <w:rsid w:val="00DD7542"/>
    <w:rsid w:val="00DD75A2"/>
    <w:rsid w:val="00DD78A2"/>
    <w:rsid w:val="00DE017F"/>
    <w:rsid w:val="00DE0250"/>
    <w:rsid w:val="00DE03BC"/>
    <w:rsid w:val="00DE0476"/>
    <w:rsid w:val="00DE0A93"/>
    <w:rsid w:val="00DE0D83"/>
    <w:rsid w:val="00DE0D8B"/>
    <w:rsid w:val="00DE19B9"/>
    <w:rsid w:val="00DE1DCE"/>
    <w:rsid w:val="00DE1E7F"/>
    <w:rsid w:val="00DE2063"/>
    <w:rsid w:val="00DE20E5"/>
    <w:rsid w:val="00DE25D3"/>
    <w:rsid w:val="00DE2880"/>
    <w:rsid w:val="00DE308A"/>
    <w:rsid w:val="00DE31F3"/>
    <w:rsid w:val="00DE35EA"/>
    <w:rsid w:val="00DE391D"/>
    <w:rsid w:val="00DE3A7B"/>
    <w:rsid w:val="00DE41B4"/>
    <w:rsid w:val="00DE429B"/>
    <w:rsid w:val="00DE4800"/>
    <w:rsid w:val="00DE4878"/>
    <w:rsid w:val="00DE4958"/>
    <w:rsid w:val="00DE4D35"/>
    <w:rsid w:val="00DE553A"/>
    <w:rsid w:val="00DE5D81"/>
    <w:rsid w:val="00DE601A"/>
    <w:rsid w:val="00DE6661"/>
    <w:rsid w:val="00DE6A4A"/>
    <w:rsid w:val="00DE72E7"/>
    <w:rsid w:val="00DE7484"/>
    <w:rsid w:val="00DE7549"/>
    <w:rsid w:val="00DE7DBD"/>
    <w:rsid w:val="00DE7F31"/>
    <w:rsid w:val="00DF0468"/>
    <w:rsid w:val="00DF054F"/>
    <w:rsid w:val="00DF09BD"/>
    <w:rsid w:val="00DF0B87"/>
    <w:rsid w:val="00DF0C1C"/>
    <w:rsid w:val="00DF1085"/>
    <w:rsid w:val="00DF1AD3"/>
    <w:rsid w:val="00DF1FD8"/>
    <w:rsid w:val="00DF2242"/>
    <w:rsid w:val="00DF257B"/>
    <w:rsid w:val="00DF2B3A"/>
    <w:rsid w:val="00DF2C76"/>
    <w:rsid w:val="00DF2E75"/>
    <w:rsid w:val="00DF38C7"/>
    <w:rsid w:val="00DF399B"/>
    <w:rsid w:val="00DF3EAC"/>
    <w:rsid w:val="00DF4040"/>
    <w:rsid w:val="00DF42B1"/>
    <w:rsid w:val="00DF55C1"/>
    <w:rsid w:val="00DF585A"/>
    <w:rsid w:val="00DF5A09"/>
    <w:rsid w:val="00DF5A9F"/>
    <w:rsid w:val="00DF5D46"/>
    <w:rsid w:val="00DF66B0"/>
    <w:rsid w:val="00DF6F4B"/>
    <w:rsid w:val="00DF72D1"/>
    <w:rsid w:val="00DF7A53"/>
    <w:rsid w:val="00DF7B04"/>
    <w:rsid w:val="00DF7DC1"/>
    <w:rsid w:val="00DF7E9D"/>
    <w:rsid w:val="00E00044"/>
    <w:rsid w:val="00E00865"/>
    <w:rsid w:val="00E0095A"/>
    <w:rsid w:val="00E00ADB"/>
    <w:rsid w:val="00E00AFB"/>
    <w:rsid w:val="00E01127"/>
    <w:rsid w:val="00E01BE2"/>
    <w:rsid w:val="00E021DE"/>
    <w:rsid w:val="00E02F82"/>
    <w:rsid w:val="00E031AB"/>
    <w:rsid w:val="00E03B7F"/>
    <w:rsid w:val="00E03CDB"/>
    <w:rsid w:val="00E04084"/>
    <w:rsid w:val="00E04247"/>
    <w:rsid w:val="00E04D86"/>
    <w:rsid w:val="00E05A97"/>
    <w:rsid w:val="00E07BBC"/>
    <w:rsid w:val="00E10D8B"/>
    <w:rsid w:val="00E1104F"/>
    <w:rsid w:val="00E11C07"/>
    <w:rsid w:val="00E11F28"/>
    <w:rsid w:val="00E11FE4"/>
    <w:rsid w:val="00E12065"/>
    <w:rsid w:val="00E1274B"/>
    <w:rsid w:val="00E12D37"/>
    <w:rsid w:val="00E1303A"/>
    <w:rsid w:val="00E13684"/>
    <w:rsid w:val="00E13AC2"/>
    <w:rsid w:val="00E13CE9"/>
    <w:rsid w:val="00E150F9"/>
    <w:rsid w:val="00E1526D"/>
    <w:rsid w:val="00E15451"/>
    <w:rsid w:val="00E171C8"/>
    <w:rsid w:val="00E17280"/>
    <w:rsid w:val="00E17368"/>
    <w:rsid w:val="00E2023B"/>
    <w:rsid w:val="00E207EC"/>
    <w:rsid w:val="00E2096A"/>
    <w:rsid w:val="00E20A01"/>
    <w:rsid w:val="00E215AC"/>
    <w:rsid w:val="00E215D5"/>
    <w:rsid w:val="00E2160A"/>
    <w:rsid w:val="00E21782"/>
    <w:rsid w:val="00E21C48"/>
    <w:rsid w:val="00E21D61"/>
    <w:rsid w:val="00E22536"/>
    <w:rsid w:val="00E22566"/>
    <w:rsid w:val="00E2265A"/>
    <w:rsid w:val="00E22D89"/>
    <w:rsid w:val="00E23154"/>
    <w:rsid w:val="00E234FD"/>
    <w:rsid w:val="00E2381C"/>
    <w:rsid w:val="00E23A64"/>
    <w:rsid w:val="00E24057"/>
    <w:rsid w:val="00E24851"/>
    <w:rsid w:val="00E249C2"/>
    <w:rsid w:val="00E25529"/>
    <w:rsid w:val="00E25831"/>
    <w:rsid w:val="00E25B35"/>
    <w:rsid w:val="00E2611B"/>
    <w:rsid w:val="00E265E0"/>
    <w:rsid w:val="00E26F71"/>
    <w:rsid w:val="00E2725E"/>
    <w:rsid w:val="00E272E2"/>
    <w:rsid w:val="00E27AC1"/>
    <w:rsid w:val="00E27EDD"/>
    <w:rsid w:val="00E302A6"/>
    <w:rsid w:val="00E3031E"/>
    <w:rsid w:val="00E303EF"/>
    <w:rsid w:val="00E30532"/>
    <w:rsid w:val="00E30C58"/>
    <w:rsid w:val="00E30C82"/>
    <w:rsid w:val="00E30DB5"/>
    <w:rsid w:val="00E30E40"/>
    <w:rsid w:val="00E317D7"/>
    <w:rsid w:val="00E31B0E"/>
    <w:rsid w:val="00E31CB4"/>
    <w:rsid w:val="00E32468"/>
    <w:rsid w:val="00E32AD9"/>
    <w:rsid w:val="00E32B2A"/>
    <w:rsid w:val="00E33480"/>
    <w:rsid w:val="00E3382E"/>
    <w:rsid w:val="00E33CF9"/>
    <w:rsid w:val="00E33D32"/>
    <w:rsid w:val="00E33D90"/>
    <w:rsid w:val="00E346A0"/>
    <w:rsid w:val="00E34733"/>
    <w:rsid w:val="00E3492A"/>
    <w:rsid w:val="00E34A4F"/>
    <w:rsid w:val="00E35589"/>
    <w:rsid w:val="00E36FD1"/>
    <w:rsid w:val="00E371CB"/>
    <w:rsid w:val="00E40086"/>
    <w:rsid w:val="00E40491"/>
    <w:rsid w:val="00E40625"/>
    <w:rsid w:val="00E40D9A"/>
    <w:rsid w:val="00E40EB9"/>
    <w:rsid w:val="00E4147C"/>
    <w:rsid w:val="00E418AB"/>
    <w:rsid w:val="00E41DE2"/>
    <w:rsid w:val="00E4213B"/>
    <w:rsid w:val="00E42A4C"/>
    <w:rsid w:val="00E42C0C"/>
    <w:rsid w:val="00E433E0"/>
    <w:rsid w:val="00E434B9"/>
    <w:rsid w:val="00E436F7"/>
    <w:rsid w:val="00E439B8"/>
    <w:rsid w:val="00E43AE5"/>
    <w:rsid w:val="00E443FD"/>
    <w:rsid w:val="00E4450C"/>
    <w:rsid w:val="00E44984"/>
    <w:rsid w:val="00E44E8E"/>
    <w:rsid w:val="00E46887"/>
    <w:rsid w:val="00E46930"/>
    <w:rsid w:val="00E469EF"/>
    <w:rsid w:val="00E46D40"/>
    <w:rsid w:val="00E46F3A"/>
    <w:rsid w:val="00E476C3"/>
    <w:rsid w:val="00E47970"/>
    <w:rsid w:val="00E51283"/>
    <w:rsid w:val="00E514E3"/>
    <w:rsid w:val="00E516D2"/>
    <w:rsid w:val="00E51FA9"/>
    <w:rsid w:val="00E52517"/>
    <w:rsid w:val="00E52712"/>
    <w:rsid w:val="00E52E25"/>
    <w:rsid w:val="00E53C26"/>
    <w:rsid w:val="00E53E37"/>
    <w:rsid w:val="00E540D2"/>
    <w:rsid w:val="00E5415C"/>
    <w:rsid w:val="00E54292"/>
    <w:rsid w:val="00E54300"/>
    <w:rsid w:val="00E547FE"/>
    <w:rsid w:val="00E54FFF"/>
    <w:rsid w:val="00E5505D"/>
    <w:rsid w:val="00E5517D"/>
    <w:rsid w:val="00E5534F"/>
    <w:rsid w:val="00E5564D"/>
    <w:rsid w:val="00E55915"/>
    <w:rsid w:val="00E55E11"/>
    <w:rsid w:val="00E55FA7"/>
    <w:rsid w:val="00E56055"/>
    <w:rsid w:val="00E563AB"/>
    <w:rsid w:val="00E569E2"/>
    <w:rsid w:val="00E57268"/>
    <w:rsid w:val="00E574AA"/>
    <w:rsid w:val="00E574BE"/>
    <w:rsid w:val="00E57689"/>
    <w:rsid w:val="00E577C9"/>
    <w:rsid w:val="00E60726"/>
    <w:rsid w:val="00E6085A"/>
    <w:rsid w:val="00E60FDB"/>
    <w:rsid w:val="00E61232"/>
    <w:rsid w:val="00E61907"/>
    <w:rsid w:val="00E61F7C"/>
    <w:rsid w:val="00E6327E"/>
    <w:rsid w:val="00E6350A"/>
    <w:rsid w:val="00E63A57"/>
    <w:rsid w:val="00E63F13"/>
    <w:rsid w:val="00E63F4F"/>
    <w:rsid w:val="00E64468"/>
    <w:rsid w:val="00E646F7"/>
    <w:rsid w:val="00E64702"/>
    <w:rsid w:val="00E64B43"/>
    <w:rsid w:val="00E66197"/>
    <w:rsid w:val="00E66260"/>
    <w:rsid w:val="00E66ACD"/>
    <w:rsid w:val="00E66D14"/>
    <w:rsid w:val="00E673AF"/>
    <w:rsid w:val="00E67493"/>
    <w:rsid w:val="00E67ADB"/>
    <w:rsid w:val="00E67BC6"/>
    <w:rsid w:val="00E67E9B"/>
    <w:rsid w:val="00E70499"/>
    <w:rsid w:val="00E70683"/>
    <w:rsid w:val="00E706EC"/>
    <w:rsid w:val="00E70880"/>
    <w:rsid w:val="00E709FD"/>
    <w:rsid w:val="00E70D96"/>
    <w:rsid w:val="00E71065"/>
    <w:rsid w:val="00E721BC"/>
    <w:rsid w:val="00E72C43"/>
    <w:rsid w:val="00E72EF2"/>
    <w:rsid w:val="00E7317D"/>
    <w:rsid w:val="00E732D9"/>
    <w:rsid w:val="00E732EE"/>
    <w:rsid w:val="00E7330C"/>
    <w:rsid w:val="00E735EE"/>
    <w:rsid w:val="00E73A5B"/>
    <w:rsid w:val="00E73AFE"/>
    <w:rsid w:val="00E742FE"/>
    <w:rsid w:val="00E74582"/>
    <w:rsid w:val="00E74801"/>
    <w:rsid w:val="00E7481C"/>
    <w:rsid w:val="00E7484B"/>
    <w:rsid w:val="00E74BCE"/>
    <w:rsid w:val="00E7524A"/>
    <w:rsid w:val="00E760EF"/>
    <w:rsid w:val="00E76394"/>
    <w:rsid w:val="00E76A28"/>
    <w:rsid w:val="00E76D50"/>
    <w:rsid w:val="00E76D62"/>
    <w:rsid w:val="00E76FBB"/>
    <w:rsid w:val="00E77366"/>
    <w:rsid w:val="00E774CB"/>
    <w:rsid w:val="00E80038"/>
    <w:rsid w:val="00E8012E"/>
    <w:rsid w:val="00E80478"/>
    <w:rsid w:val="00E80538"/>
    <w:rsid w:val="00E805E6"/>
    <w:rsid w:val="00E80C2E"/>
    <w:rsid w:val="00E813FB"/>
    <w:rsid w:val="00E8180B"/>
    <w:rsid w:val="00E82526"/>
    <w:rsid w:val="00E827CB"/>
    <w:rsid w:val="00E82985"/>
    <w:rsid w:val="00E82FB6"/>
    <w:rsid w:val="00E8347C"/>
    <w:rsid w:val="00E83C07"/>
    <w:rsid w:val="00E83F75"/>
    <w:rsid w:val="00E846A3"/>
    <w:rsid w:val="00E84868"/>
    <w:rsid w:val="00E84BE9"/>
    <w:rsid w:val="00E84C6E"/>
    <w:rsid w:val="00E84F8A"/>
    <w:rsid w:val="00E859D1"/>
    <w:rsid w:val="00E85C85"/>
    <w:rsid w:val="00E85F1B"/>
    <w:rsid w:val="00E863CB"/>
    <w:rsid w:val="00E86AB7"/>
    <w:rsid w:val="00E87553"/>
    <w:rsid w:val="00E87E11"/>
    <w:rsid w:val="00E90251"/>
    <w:rsid w:val="00E90266"/>
    <w:rsid w:val="00E90FF8"/>
    <w:rsid w:val="00E91516"/>
    <w:rsid w:val="00E92281"/>
    <w:rsid w:val="00E924EF"/>
    <w:rsid w:val="00E9376C"/>
    <w:rsid w:val="00E93BAA"/>
    <w:rsid w:val="00E93CC9"/>
    <w:rsid w:val="00E963EE"/>
    <w:rsid w:val="00E9678A"/>
    <w:rsid w:val="00E9728A"/>
    <w:rsid w:val="00E97480"/>
    <w:rsid w:val="00E97694"/>
    <w:rsid w:val="00E976AB"/>
    <w:rsid w:val="00E9771E"/>
    <w:rsid w:val="00E97ED7"/>
    <w:rsid w:val="00EA0243"/>
    <w:rsid w:val="00EA04CC"/>
    <w:rsid w:val="00EA04F9"/>
    <w:rsid w:val="00EA0C83"/>
    <w:rsid w:val="00EA0EAF"/>
    <w:rsid w:val="00EA108C"/>
    <w:rsid w:val="00EA1432"/>
    <w:rsid w:val="00EA1A97"/>
    <w:rsid w:val="00EA2000"/>
    <w:rsid w:val="00EA26E8"/>
    <w:rsid w:val="00EA2922"/>
    <w:rsid w:val="00EA2B57"/>
    <w:rsid w:val="00EA3017"/>
    <w:rsid w:val="00EA3173"/>
    <w:rsid w:val="00EA3453"/>
    <w:rsid w:val="00EA35FB"/>
    <w:rsid w:val="00EA3787"/>
    <w:rsid w:val="00EA3FE9"/>
    <w:rsid w:val="00EA4769"/>
    <w:rsid w:val="00EA4BE9"/>
    <w:rsid w:val="00EA4FAF"/>
    <w:rsid w:val="00EA5036"/>
    <w:rsid w:val="00EA50BB"/>
    <w:rsid w:val="00EA520B"/>
    <w:rsid w:val="00EA571D"/>
    <w:rsid w:val="00EA648E"/>
    <w:rsid w:val="00EA690F"/>
    <w:rsid w:val="00EA6EFB"/>
    <w:rsid w:val="00EA6FD9"/>
    <w:rsid w:val="00EA7429"/>
    <w:rsid w:val="00EA77D0"/>
    <w:rsid w:val="00EA7C41"/>
    <w:rsid w:val="00EA7F3F"/>
    <w:rsid w:val="00EB0318"/>
    <w:rsid w:val="00EB0370"/>
    <w:rsid w:val="00EB07E6"/>
    <w:rsid w:val="00EB0CC1"/>
    <w:rsid w:val="00EB1109"/>
    <w:rsid w:val="00EB129F"/>
    <w:rsid w:val="00EB20E2"/>
    <w:rsid w:val="00EB256D"/>
    <w:rsid w:val="00EB25AA"/>
    <w:rsid w:val="00EB2A5C"/>
    <w:rsid w:val="00EB2E2E"/>
    <w:rsid w:val="00EB3EDF"/>
    <w:rsid w:val="00EB40B5"/>
    <w:rsid w:val="00EB41D0"/>
    <w:rsid w:val="00EB49D3"/>
    <w:rsid w:val="00EB49D5"/>
    <w:rsid w:val="00EB536E"/>
    <w:rsid w:val="00EB5B30"/>
    <w:rsid w:val="00EB5DD9"/>
    <w:rsid w:val="00EB5FA5"/>
    <w:rsid w:val="00EB60C4"/>
    <w:rsid w:val="00EB69EE"/>
    <w:rsid w:val="00EB6DD4"/>
    <w:rsid w:val="00EB7021"/>
    <w:rsid w:val="00EB70B0"/>
    <w:rsid w:val="00EB75A9"/>
    <w:rsid w:val="00EC00C3"/>
    <w:rsid w:val="00EC08F7"/>
    <w:rsid w:val="00EC10A4"/>
    <w:rsid w:val="00EC15BA"/>
    <w:rsid w:val="00EC16AE"/>
    <w:rsid w:val="00EC1745"/>
    <w:rsid w:val="00EC1A82"/>
    <w:rsid w:val="00EC1DBF"/>
    <w:rsid w:val="00EC2217"/>
    <w:rsid w:val="00EC24A3"/>
    <w:rsid w:val="00EC24D4"/>
    <w:rsid w:val="00EC2656"/>
    <w:rsid w:val="00EC3A53"/>
    <w:rsid w:val="00EC3D25"/>
    <w:rsid w:val="00EC40CD"/>
    <w:rsid w:val="00EC4129"/>
    <w:rsid w:val="00EC568A"/>
    <w:rsid w:val="00EC5787"/>
    <w:rsid w:val="00EC5C98"/>
    <w:rsid w:val="00EC5F05"/>
    <w:rsid w:val="00EC6279"/>
    <w:rsid w:val="00EC6329"/>
    <w:rsid w:val="00EC63B0"/>
    <w:rsid w:val="00EC6912"/>
    <w:rsid w:val="00EC6A56"/>
    <w:rsid w:val="00EC6F35"/>
    <w:rsid w:val="00EC7459"/>
    <w:rsid w:val="00EC758F"/>
    <w:rsid w:val="00EC7CD8"/>
    <w:rsid w:val="00ED038C"/>
    <w:rsid w:val="00ED03A2"/>
    <w:rsid w:val="00ED03D7"/>
    <w:rsid w:val="00ED0999"/>
    <w:rsid w:val="00ED0B66"/>
    <w:rsid w:val="00ED0D3E"/>
    <w:rsid w:val="00ED15F5"/>
    <w:rsid w:val="00ED1C06"/>
    <w:rsid w:val="00ED2588"/>
    <w:rsid w:val="00ED276A"/>
    <w:rsid w:val="00ED2990"/>
    <w:rsid w:val="00ED3987"/>
    <w:rsid w:val="00ED39D2"/>
    <w:rsid w:val="00ED49D4"/>
    <w:rsid w:val="00ED51BE"/>
    <w:rsid w:val="00ED5C94"/>
    <w:rsid w:val="00ED5DDC"/>
    <w:rsid w:val="00ED6037"/>
    <w:rsid w:val="00ED630C"/>
    <w:rsid w:val="00ED673D"/>
    <w:rsid w:val="00ED6DAC"/>
    <w:rsid w:val="00ED6FDF"/>
    <w:rsid w:val="00ED7A24"/>
    <w:rsid w:val="00ED7FA0"/>
    <w:rsid w:val="00EE0585"/>
    <w:rsid w:val="00EE0693"/>
    <w:rsid w:val="00EE0E65"/>
    <w:rsid w:val="00EE0EA4"/>
    <w:rsid w:val="00EE1083"/>
    <w:rsid w:val="00EE12BA"/>
    <w:rsid w:val="00EE13C0"/>
    <w:rsid w:val="00EE1519"/>
    <w:rsid w:val="00EE1568"/>
    <w:rsid w:val="00EE1EEF"/>
    <w:rsid w:val="00EE2004"/>
    <w:rsid w:val="00EE207F"/>
    <w:rsid w:val="00EE2364"/>
    <w:rsid w:val="00EE25E5"/>
    <w:rsid w:val="00EE2C6B"/>
    <w:rsid w:val="00EE39E8"/>
    <w:rsid w:val="00EE43E2"/>
    <w:rsid w:val="00EE4B2A"/>
    <w:rsid w:val="00EE4C97"/>
    <w:rsid w:val="00EE4D36"/>
    <w:rsid w:val="00EE4FD8"/>
    <w:rsid w:val="00EE503F"/>
    <w:rsid w:val="00EE5116"/>
    <w:rsid w:val="00EE6E7F"/>
    <w:rsid w:val="00EE70B2"/>
    <w:rsid w:val="00EE72C0"/>
    <w:rsid w:val="00EE7398"/>
    <w:rsid w:val="00EE741C"/>
    <w:rsid w:val="00EE7472"/>
    <w:rsid w:val="00EE7A5B"/>
    <w:rsid w:val="00EE7DE9"/>
    <w:rsid w:val="00EF08BC"/>
    <w:rsid w:val="00EF09B1"/>
    <w:rsid w:val="00EF0EE0"/>
    <w:rsid w:val="00EF1420"/>
    <w:rsid w:val="00EF188D"/>
    <w:rsid w:val="00EF19B2"/>
    <w:rsid w:val="00EF1BF8"/>
    <w:rsid w:val="00EF2422"/>
    <w:rsid w:val="00EF280C"/>
    <w:rsid w:val="00EF2CC8"/>
    <w:rsid w:val="00EF3A3D"/>
    <w:rsid w:val="00EF3B5E"/>
    <w:rsid w:val="00EF41DC"/>
    <w:rsid w:val="00EF48A1"/>
    <w:rsid w:val="00EF49EC"/>
    <w:rsid w:val="00EF4BA8"/>
    <w:rsid w:val="00EF4F2D"/>
    <w:rsid w:val="00EF51F7"/>
    <w:rsid w:val="00EF521B"/>
    <w:rsid w:val="00EF59FE"/>
    <w:rsid w:val="00EF629B"/>
    <w:rsid w:val="00EF63AF"/>
    <w:rsid w:val="00EF676C"/>
    <w:rsid w:val="00EF67F5"/>
    <w:rsid w:val="00EF6DA4"/>
    <w:rsid w:val="00EF7249"/>
    <w:rsid w:val="00EF748B"/>
    <w:rsid w:val="00EF7905"/>
    <w:rsid w:val="00EF7C6F"/>
    <w:rsid w:val="00EF7D97"/>
    <w:rsid w:val="00EF7E82"/>
    <w:rsid w:val="00F009E4"/>
    <w:rsid w:val="00F00D51"/>
    <w:rsid w:val="00F0108D"/>
    <w:rsid w:val="00F010AC"/>
    <w:rsid w:val="00F0113B"/>
    <w:rsid w:val="00F012D9"/>
    <w:rsid w:val="00F012FA"/>
    <w:rsid w:val="00F013D7"/>
    <w:rsid w:val="00F01C56"/>
    <w:rsid w:val="00F02664"/>
    <w:rsid w:val="00F02DA1"/>
    <w:rsid w:val="00F02DD1"/>
    <w:rsid w:val="00F02F28"/>
    <w:rsid w:val="00F02FB8"/>
    <w:rsid w:val="00F0306B"/>
    <w:rsid w:val="00F030AE"/>
    <w:rsid w:val="00F033A4"/>
    <w:rsid w:val="00F03770"/>
    <w:rsid w:val="00F03BBA"/>
    <w:rsid w:val="00F04950"/>
    <w:rsid w:val="00F04D47"/>
    <w:rsid w:val="00F056F0"/>
    <w:rsid w:val="00F05D1E"/>
    <w:rsid w:val="00F05E62"/>
    <w:rsid w:val="00F06114"/>
    <w:rsid w:val="00F07311"/>
    <w:rsid w:val="00F079FC"/>
    <w:rsid w:val="00F07E19"/>
    <w:rsid w:val="00F07E2D"/>
    <w:rsid w:val="00F07EF4"/>
    <w:rsid w:val="00F07F5D"/>
    <w:rsid w:val="00F100B0"/>
    <w:rsid w:val="00F10157"/>
    <w:rsid w:val="00F10848"/>
    <w:rsid w:val="00F1084F"/>
    <w:rsid w:val="00F10D73"/>
    <w:rsid w:val="00F11674"/>
    <w:rsid w:val="00F11BFE"/>
    <w:rsid w:val="00F1228C"/>
    <w:rsid w:val="00F126CD"/>
    <w:rsid w:val="00F126E7"/>
    <w:rsid w:val="00F12777"/>
    <w:rsid w:val="00F13670"/>
    <w:rsid w:val="00F13840"/>
    <w:rsid w:val="00F1389B"/>
    <w:rsid w:val="00F13FDE"/>
    <w:rsid w:val="00F14492"/>
    <w:rsid w:val="00F14944"/>
    <w:rsid w:val="00F15062"/>
    <w:rsid w:val="00F1506F"/>
    <w:rsid w:val="00F15359"/>
    <w:rsid w:val="00F15362"/>
    <w:rsid w:val="00F15649"/>
    <w:rsid w:val="00F159F0"/>
    <w:rsid w:val="00F15A42"/>
    <w:rsid w:val="00F15C73"/>
    <w:rsid w:val="00F15E0F"/>
    <w:rsid w:val="00F15FD1"/>
    <w:rsid w:val="00F16DB1"/>
    <w:rsid w:val="00F16FB8"/>
    <w:rsid w:val="00F17710"/>
    <w:rsid w:val="00F2000E"/>
    <w:rsid w:val="00F20417"/>
    <w:rsid w:val="00F21035"/>
    <w:rsid w:val="00F2132E"/>
    <w:rsid w:val="00F216D7"/>
    <w:rsid w:val="00F219F5"/>
    <w:rsid w:val="00F21A0A"/>
    <w:rsid w:val="00F21C52"/>
    <w:rsid w:val="00F222AD"/>
    <w:rsid w:val="00F225F3"/>
    <w:rsid w:val="00F227C3"/>
    <w:rsid w:val="00F22C92"/>
    <w:rsid w:val="00F23819"/>
    <w:rsid w:val="00F23828"/>
    <w:rsid w:val="00F23AAA"/>
    <w:rsid w:val="00F23D19"/>
    <w:rsid w:val="00F23E81"/>
    <w:rsid w:val="00F23F77"/>
    <w:rsid w:val="00F245C3"/>
    <w:rsid w:val="00F24BDF"/>
    <w:rsid w:val="00F25D76"/>
    <w:rsid w:val="00F26376"/>
    <w:rsid w:val="00F264E3"/>
    <w:rsid w:val="00F27165"/>
    <w:rsid w:val="00F27283"/>
    <w:rsid w:val="00F27475"/>
    <w:rsid w:val="00F27856"/>
    <w:rsid w:val="00F30097"/>
    <w:rsid w:val="00F30761"/>
    <w:rsid w:val="00F30B6C"/>
    <w:rsid w:val="00F312A2"/>
    <w:rsid w:val="00F315C6"/>
    <w:rsid w:val="00F315E5"/>
    <w:rsid w:val="00F316C5"/>
    <w:rsid w:val="00F31BD0"/>
    <w:rsid w:val="00F32E4B"/>
    <w:rsid w:val="00F3362D"/>
    <w:rsid w:val="00F33DCC"/>
    <w:rsid w:val="00F34C4F"/>
    <w:rsid w:val="00F34D7C"/>
    <w:rsid w:val="00F35AA1"/>
    <w:rsid w:val="00F35B6E"/>
    <w:rsid w:val="00F35B81"/>
    <w:rsid w:val="00F35CD0"/>
    <w:rsid w:val="00F36C00"/>
    <w:rsid w:val="00F36C6C"/>
    <w:rsid w:val="00F36F59"/>
    <w:rsid w:val="00F37D3C"/>
    <w:rsid w:val="00F40D0D"/>
    <w:rsid w:val="00F413DB"/>
    <w:rsid w:val="00F41D4C"/>
    <w:rsid w:val="00F41F5E"/>
    <w:rsid w:val="00F41F8C"/>
    <w:rsid w:val="00F42DC1"/>
    <w:rsid w:val="00F437E5"/>
    <w:rsid w:val="00F43A1A"/>
    <w:rsid w:val="00F43F46"/>
    <w:rsid w:val="00F4473B"/>
    <w:rsid w:val="00F447FE"/>
    <w:rsid w:val="00F44A5F"/>
    <w:rsid w:val="00F44D6F"/>
    <w:rsid w:val="00F45182"/>
    <w:rsid w:val="00F453B1"/>
    <w:rsid w:val="00F4588E"/>
    <w:rsid w:val="00F45B11"/>
    <w:rsid w:val="00F45D67"/>
    <w:rsid w:val="00F468E9"/>
    <w:rsid w:val="00F46927"/>
    <w:rsid w:val="00F4693E"/>
    <w:rsid w:val="00F47241"/>
    <w:rsid w:val="00F47407"/>
    <w:rsid w:val="00F4764F"/>
    <w:rsid w:val="00F47EEF"/>
    <w:rsid w:val="00F47FA6"/>
    <w:rsid w:val="00F50109"/>
    <w:rsid w:val="00F504EF"/>
    <w:rsid w:val="00F50D3C"/>
    <w:rsid w:val="00F50E8C"/>
    <w:rsid w:val="00F50EFC"/>
    <w:rsid w:val="00F511D1"/>
    <w:rsid w:val="00F5121A"/>
    <w:rsid w:val="00F51647"/>
    <w:rsid w:val="00F51892"/>
    <w:rsid w:val="00F5190D"/>
    <w:rsid w:val="00F520A0"/>
    <w:rsid w:val="00F52182"/>
    <w:rsid w:val="00F523DB"/>
    <w:rsid w:val="00F52451"/>
    <w:rsid w:val="00F52484"/>
    <w:rsid w:val="00F52636"/>
    <w:rsid w:val="00F52860"/>
    <w:rsid w:val="00F528A8"/>
    <w:rsid w:val="00F52EDC"/>
    <w:rsid w:val="00F531E2"/>
    <w:rsid w:val="00F53245"/>
    <w:rsid w:val="00F53345"/>
    <w:rsid w:val="00F534AD"/>
    <w:rsid w:val="00F53792"/>
    <w:rsid w:val="00F5397E"/>
    <w:rsid w:val="00F54384"/>
    <w:rsid w:val="00F543AC"/>
    <w:rsid w:val="00F5557E"/>
    <w:rsid w:val="00F559E4"/>
    <w:rsid w:val="00F5616E"/>
    <w:rsid w:val="00F5675D"/>
    <w:rsid w:val="00F56A4A"/>
    <w:rsid w:val="00F56D64"/>
    <w:rsid w:val="00F570C7"/>
    <w:rsid w:val="00F57374"/>
    <w:rsid w:val="00F603B5"/>
    <w:rsid w:val="00F60D9E"/>
    <w:rsid w:val="00F61587"/>
    <w:rsid w:val="00F61C11"/>
    <w:rsid w:val="00F61F2E"/>
    <w:rsid w:val="00F6253D"/>
    <w:rsid w:val="00F631F6"/>
    <w:rsid w:val="00F63715"/>
    <w:rsid w:val="00F63AA5"/>
    <w:rsid w:val="00F63BE4"/>
    <w:rsid w:val="00F64466"/>
    <w:rsid w:val="00F64529"/>
    <w:rsid w:val="00F6534A"/>
    <w:rsid w:val="00F67409"/>
    <w:rsid w:val="00F676BD"/>
    <w:rsid w:val="00F678B9"/>
    <w:rsid w:val="00F67C9D"/>
    <w:rsid w:val="00F67D0A"/>
    <w:rsid w:val="00F7006D"/>
    <w:rsid w:val="00F70559"/>
    <w:rsid w:val="00F70647"/>
    <w:rsid w:val="00F70F0F"/>
    <w:rsid w:val="00F70FD4"/>
    <w:rsid w:val="00F711E1"/>
    <w:rsid w:val="00F715A5"/>
    <w:rsid w:val="00F72517"/>
    <w:rsid w:val="00F729BC"/>
    <w:rsid w:val="00F72FF9"/>
    <w:rsid w:val="00F73003"/>
    <w:rsid w:val="00F732A3"/>
    <w:rsid w:val="00F734E6"/>
    <w:rsid w:val="00F74637"/>
    <w:rsid w:val="00F750F4"/>
    <w:rsid w:val="00F75491"/>
    <w:rsid w:val="00F75528"/>
    <w:rsid w:val="00F7694B"/>
    <w:rsid w:val="00F76B38"/>
    <w:rsid w:val="00F77137"/>
    <w:rsid w:val="00F774B0"/>
    <w:rsid w:val="00F77612"/>
    <w:rsid w:val="00F80122"/>
    <w:rsid w:val="00F80396"/>
    <w:rsid w:val="00F80586"/>
    <w:rsid w:val="00F80683"/>
    <w:rsid w:val="00F81104"/>
    <w:rsid w:val="00F811C4"/>
    <w:rsid w:val="00F81242"/>
    <w:rsid w:val="00F812B0"/>
    <w:rsid w:val="00F8179A"/>
    <w:rsid w:val="00F81C91"/>
    <w:rsid w:val="00F83D9A"/>
    <w:rsid w:val="00F83E34"/>
    <w:rsid w:val="00F83E4E"/>
    <w:rsid w:val="00F84AE1"/>
    <w:rsid w:val="00F851EB"/>
    <w:rsid w:val="00F85439"/>
    <w:rsid w:val="00F86223"/>
    <w:rsid w:val="00F8646B"/>
    <w:rsid w:val="00F86494"/>
    <w:rsid w:val="00F87DEA"/>
    <w:rsid w:val="00F900DA"/>
    <w:rsid w:val="00F90A4C"/>
    <w:rsid w:val="00F90D2B"/>
    <w:rsid w:val="00F90D5A"/>
    <w:rsid w:val="00F91758"/>
    <w:rsid w:val="00F91C57"/>
    <w:rsid w:val="00F91CEE"/>
    <w:rsid w:val="00F91E80"/>
    <w:rsid w:val="00F91F14"/>
    <w:rsid w:val="00F920C4"/>
    <w:rsid w:val="00F92189"/>
    <w:rsid w:val="00F94075"/>
    <w:rsid w:val="00F94253"/>
    <w:rsid w:val="00F94884"/>
    <w:rsid w:val="00F94A9D"/>
    <w:rsid w:val="00F94BB7"/>
    <w:rsid w:val="00F94C71"/>
    <w:rsid w:val="00F950D4"/>
    <w:rsid w:val="00F951BC"/>
    <w:rsid w:val="00F9554F"/>
    <w:rsid w:val="00F95901"/>
    <w:rsid w:val="00F966DC"/>
    <w:rsid w:val="00F9698A"/>
    <w:rsid w:val="00F96A1F"/>
    <w:rsid w:val="00F96A54"/>
    <w:rsid w:val="00F971A4"/>
    <w:rsid w:val="00F97629"/>
    <w:rsid w:val="00F9768F"/>
    <w:rsid w:val="00F97B4B"/>
    <w:rsid w:val="00F97D71"/>
    <w:rsid w:val="00F97F39"/>
    <w:rsid w:val="00FA0124"/>
    <w:rsid w:val="00FA02E9"/>
    <w:rsid w:val="00FA0C27"/>
    <w:rsid w:val="00FA0CE9"/>
    <w:rsid w:val="00FA0DCF"/>
    <w:rsid w:val="00FA116F"/>
    <w:rsid w:val="00FA1E60"/>
    <w:rsid w:val="00FA2827"/>
    <w:rsid w:val="00FA2973"/>
    <w:rsid w:val="00FA2A4A"/>
    <w:rsid w:val="00FA3779"/>
    <w:rsid w:val="00FA3C76"/>
    <w:rsid w:val="00FA3CEF"/>
    <w:rsid w:val="00FA3F6C"/>
    <w:rsid w:val="00FA490D"/>
    <w:rsid w:val="00FA4C0D"/>
    <w:rsid w:val="00FA4D97"/>
    <w:rsid w:val="00FA50EC"/>
    <w:rsid w:val="00FA568A"/>
    <w:rsid w:val="00FA5EEE"/>
    <w:rsid w:val="00FA6891"/>
    <w:rsid w:val="00FA6DD8"/>
    <w:rsid w:val="00FA6F99"/>
    <w:rsid w:val="00FA7904"/>
    <w:rsid w:val="00FA7A0E"/>
    <w:rsid w:val="00FA7AC2"/>
    <w:rsid w:val="00FA7BFF"/>
    <w:rsid w:val="00FA7C95"/>
    <w:rsid w:val="00FB0C36"/>
    <w:rsid w:val="00FB104C"/>
    <w:rsid w:val="00FB11B4"/>
    <w:rsid w:val="00FB1533"/>
    <w:rsid w:val="00FB1AA8"/>
    <w:rsid w:val="00FB1D60"/>
    <w:rsid w:val="00FB1F54"/>
    <w:rsid w:val="00FB22A7"/>
    <w:rsid w:val="00FB2343"/>
    <w:rsid w:val="00FB2C13"/>
    <w:rsid w:val="00FB2C65"/>
    <w:rsid w:val="00FB3312"/>
    <w:rsid w:val="00FB39F6"/>
    <w:rsid w:val="00FB3C7B"/>
    <w:rsid w:val="00FB3E63"/>
    <w:rsid w:val="00FB45A7"/>
    <w:rsid w:val="00FB496C"/>
    <w:rsid w:val="00FB5419"/>
    <w:rsid w:val="00FB55A0"/>
    <w:rsid w:val="00FB5643"/>
    <w:rsid w:val="00FB5AF1"/>
    <w:rsid w:val="00FB6554"/>
    <w:rsid w:val="00FB6649"/>
    <w:rsid w:val="00FB6953"/>
    <w:rsid w:val="00FB6D7D"/>
    <w:rsid w:val="00FB746B"/>
    <w:rsid w:val="00FC1860"/>
    <w:rsid w:val="00FC1BCA"/>
    <w:rsid w:val="00FC261B"/>
    <w:rsid w:val="00FC3866"/>
    <w:rsid w:val="00FC3903"/>
    <w:rsid w:val="00FC4DB8"/>
    <w:rsid w:val="00FC4DE2"/>
    <w:rsid w:val="00FC55F2"/>
    <w:rsid w:val="00FC5AD4"/>
    <w:rsid w:val="00FC6375"/>
    <w:rsid w:val="00FC6A1A"/>
    <w:rsid w:val="00FC6ACB"/>
    <w:rsid w:val="00FC6C93"/>
    <w:rsid w:val="00FC6D06"/>
    <w:rsid w:val="00FC770A"/>
    <w:rsid w:val="00FC7C76"/>
    <w:rsid w:val="00FC7D5B"/>
    <w:rsid w:val="00FD013E"/>
    <w:rsid w:val="00FD01C9"/>
    <w:rsid w:val="00FD0287"/>
    <w:rsid w:val="00FD07A1"/>
    <w:rsid w:val="00FD08B6"/>
    <w:rsid w:val="00FD0AB9"/>
    <w:rsid w:val="00FD0E59"/>
    <w:rsid w:val="00FD0FF0"/>
    <w:rsid w:val="00FD1839"/>
    <w:rsid w:val="00FD19CD"/>
    <w:rsid w:val="00FD21EF"/>
    <w:rsid w:val="00FD24FA"/>
    <w:rsid w:val="00FD2C03"/>
    <w:rsid w:val="00FD2D3F"/>
    <w:rsid w:val="00FD39D8"/>
    <w:rsid w:val="00FD3A4C"/>
    <w:rsid w:val="00FD3D5B"/>
    <w:rsid w:val="00FD400F"/>
    <w:rsid w:val="00FD4671"/>
    <w:rsid w:val="00FD4D0B"/>
    <w:rsid w:val="00FD4E6F"/>
    <w:rsid w:val="00FD55D0"/>
    <w:rsid w:val="00FD5E38"/>
    <w:rsid w:val="00FD6027"/>
    <w:rsid w:val="00FD6399"/>
    <w:rsid w:val="00FD64F6"/>
    <w:rsid w:val="00FD6830"/>
    <w:rsid w:val="00FD69DE"/>
    <w:rsid w:val="00FD7297"/>
    <w:rsid w:val="00FD766D"/>
    <w:rsid w:val="00FD76CF"/>
    <w:rsid w:val="00FD7C9B"/>
    <w:rsid w:val="00FD7DB6"/>
    <w:rsid w:val="00FD7E37"/>
    <w:rsid w:val="00FE0E82"/>
    <w:rsid w:val="00FE1D4B"/>
    <w:rsid w:val="00FE1D9F"/>
    <w:rsid w:val="00FE1E26"/>
    <w:rsid w:val="00FE1F06"/>
    <w:rsid w:val="00FE1F3E"/>
    <w:rsid w:val="00FE2703"/>
    <w:rsid w:val="00FE31C7"/>
    <w:rsid w:val="00FE3322"/>
    <w:rsid w:val="00FE3518"/>
    <w:rsid w:val="00FE3A00"/>
    <w:rsid w:val="00FE3B8B"/>
    <w:rsid w:val="00FE3D96"/>
    <w:rsid w:val="00FE3E46"/>
    <w:rsid w:val="00FE442D"/>
    <w:rsid w:val="00FE617F"/>
    <w:rsid w:val="00FE6C57"/>
    <w:rsid w:val="00FE6D04"/>
    <w:rsid w:val="00FE799F"/>
    <w:rsid w:val="00FE7BE8"/>
    <w:rsid w:val="00FE7CE2"/>
    <w:rsid w:val="00FE7DBC"/>
    <w:rsid w:val="00FE7FDF"/>
    <w:rsid w:val="00FF01CE"/>
    <w:rsid w:val="00FF091C"/>
    <w:rsid w:val="00FF1002"/>
    <w:rsid w:val="00FF1085"/>
    <w:rsid w:val="00FF10CE"/>
    <w:rsid w:val="00FF10E2"/>
    <w:rsid w:val="00FF13C9"/>
    <w:rsid w:val="00FF1AC9"/>
    <w:rsid w:val="00FF2165"/>
    <w:rsid w:val="00FF22C9"/>
    <w:rsid w:val="00FF24EA"/>
    <w:rsid w:val="00FF2C71"/>
    <w:rsid w:val="00FF2C7F"/>
    <w:rsid w:val="00FF2C8E"/>
    <w:rsid w:val="00FF2E55"/>
    <w:rsid w:val="00FF3324"/>
    <w:rsid w:val="00FF3525"/>
    <w:rsid w:val="00FF3565"/>
    <w:rsid w:val="00FF3B66"/>
    <w:rsid w:val="00FF3BE8"/>
    <w:rsid w:val="00FF4025"/>
    <w:rsid w:val="00FF411A"/>
    <w:rsid w:val="00FF4255"/>
    <w:rsid w:val="00FF431A"/>
    <w:rsid w:val="00FF47DE"/>
    <w:rsid w:val="00FF4A1D"/>
    <w:rsid w:val="00FF4EFA"/>
    <w:rsid w:val="00FF5C97"/>
    <w:rsid w:val="00FF6725"/>
    <w:rsid w:val="00FF6AF1"/>
    <w:rsid w:val="00FF6D13"/>
    <w:rsid w:val="00FF72FF"/>
    <w:rsid w:val="00FF789C"/>
    <w:rsid w:val="00FF7B8F"/>
    <w:rsid w:val="00FF7C6B"/>
    <w:rsid w:val="00FF7C92"/>
    <w:rsid w:val="00FF7FA5"/>
    <w:rsid w:val="7B2B79E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BAC02"/>
  <w15:docId w15:val="{76B8060B-3338-4451-89B5-9DBBA9ED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DD"/>
  </w:style>
  <w:style w:type="paragraph" w:styleId="Heading1">
    <w:name w:val="heading 1"/>
    <w:basedOn w:val="Normal"/>
    <w:next w:val="Normal"/>
    <w:link w:val="Heading1Char"/>
    <w:uiPriority w:val="9"/>
    <w:qFormat/>
    <w:rsid w:val="00E52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1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0EFC"/>
  </w:style>
  <w:style w:type="paragraph" w:customStyle="1" w:styleId="Default">
    <w:name w:val="Default"/>
    <w:link w:val="DefaultChar"/>
    <w:rsid w:val="005727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22A7"/>
    <w:rPr>
      <w:color w:val="0000FF"/>
      <w:u w:val="single"/>
    </w:rPr>
  </w:style>
  <w:style w:type="paragraph" w:styleId="NormalWeb">
    <w:name w:val="Normal (Web)"/>
    <w:basedOn w:val="Normal"/>
    <w:uiPriority w:val="99"/>
    <w:unhideWhenUsed/>
    <w:rsid w:val="005803D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15362"/>
    <w:pPr>
      <w:spacing w:after="0" w:line="240" w:lineRule="auto"/>
    </w:pPr>
    <w:rPr>
      <w:sz w:val="20"/>
      <w:szCs w:val="20"/>
    </w:rPr>
  </w:style>
  <w:style w:type="character" w:customStyle="1" w:styleId="FootnoteTextChar">
    <w:name w:val="Footnote Text Char"/>
    <w:basedOn w:val="DefaultParagraphFont"/>
    <w:link w:val="FootnoteText"/>
    <w:uiPriority w:val="99"/>
    <w:rsid w:val="00A15362"/>
    <w:rPr>
      <w:sz w:val="20"/>
      <w:szCs w:val="20"/>
    </w:rPr>
  </w:style>
  <w:style w:type="character" w:styleId="FootnoteReference">
    <w:name w:val="footnote reference"/>
    <w:basedOn w:val="DefaultParagraphFont"/>
    <w:uiPriority w:val="99"/>
    <w:unhideWhenUsed/>
    <w:rsid w:val="00A15362"/>
    <w:rPr>
      <w:vertAlign w:val="superscript"/>
    </w:rPr>
  </w:style>
  <w:style w:type="paragraph" w:styleId="BalloonText">
    <w:name w:val="Balloon Text"/>
    <w:basedOn w:val="Normal"/>
    <w:link w:val="BalloonTextChar"/>
    <w:uiPriority w:val="99"/>
    <w:semiHidden/>
    <w:unhideWhenUsed/>
    <w:rsid w:val="00BD6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AF"/>
    <w:rPr>
      <w:rFonts w:ascii="Tahoma" w:hAnsi="Tahoma" w:cs="Tahoma"/>
      <w:sz w:val="16"/>
      <w:szCs w:val="16"/>
    </w:rPr>
  </w:style>
  <w:style w:type="character" w:styleId="Emphasis">
    <w:name w:val="Emphasis"/>
    <w:basedOn w:val="DefaultParagraphFont"/>
    <w:uiPriority w:val="20"/>
    <w:qFormat/>
    <w:rsid w:val="00671E01"/>
    <w:rPr>
      <w:i/>
      <w:iCs/>
    </w:rPr>
  </w:style>
  <w:style w:type="character" w:customStyle="1" w:styleId="Heading2Char">
    <w:name w:val="Heading 2 Char"/>
    <w:basedOn w:val="DefaultParagraphFont"/>
    <w:link w:val="Heading2"/>
    <w:uiPriority w:val="9"/>
    <w:rsid w:val="00BB15FF"/>
    <w:rPr>
      <w:rFonts w:ascii="Times New Roman" w:eastAsia="Times New Roman" w:hAnsi="Times New Roman" w:cs="Times New Roman"/>
      <w:b/>
      <w:bCs/>
      <w:sz w:val="36"/>
      <w:szCs w:val="36"/>
    </w:rPr>
  </w:style>
  <w:style w:type="character" w:customStyle="1" w:styleId="showinstr">
    <w:name w:val="showinstr"/>
    <w:basedOn w:val="DefaultParagraphFont"/>
    <w:rsid w:val="00BB15FF"/>
  </w:style>
  <w:style w:type="paragraph" w:styleId="Header">
    <w:name w:val="header"/>
    <w:basedOn w:val="Normal"/>
    <w:link w:val="HeaderChar"/>
    <w:uiPriority w:val="99"/>
    <w:unhideWhenUsed/>
    <w:rsid w:val="003E0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58E"/>
  </w:style>
  <w:style w:type="paragraph" w:styleId="Footer">
    <w:name w:val="footer"/>
    <w:basedOn w:val="Normal"/>
    <w:link w:val="FooterChar"/>
    <w:uiPriority w:val="99"/>
    <w:unhideWhenUsed/>
    <w:rsid w:val="003E0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58E"/>
  </w:style>
  <w:style w:type="numbering" w:customStyle="1" w:styleId="NoList1">
    <w:name w:val="No List1"/>
    <w:next w:val="NoList"/>
    <w:uiPriority w:val="99"/>
    <w:semiHidden/>
    <w:unhideWhenUsed/>
    <w:rsid w:val="00E3031E"/>
  </w:style>
  <w:style w:type="paragraph" w:styleId="Caption">
    <w:name w:val="caption"/>
    <w:basedOn w:val="Normal"/>
    <w:next w:val="Normal"/>
    <w:qFormat/>
    <w:rsid w:val="00E3031E"/>
    <w:pPr>
      <w:spacing w:after="0" w:line="240" w:lineRule="auto"/>
    </w:pPr>
    <w:rPr>
      <w:rFonts w:ascii="Times New Roman" w:eastAsia="SimSun" w:hAnsi="Times New Roman" w:cs="Times New Roman"/>
      <w:b/>
      <w:bCs/>
      <w:sz w:val="20"/>
      <w:szCs w:val="20"/>
      <w:lang w:val="en-US" w:eastAsia="zh-CN"/>
    </w:rPr>
  </w:style>
  <w:style w:type="paragraph" w:styleId="ListParagraph">
    <w:name w:val="List Paragraph"/>
    <w:basedOn w:val="Normal"/>
    <w:link w:val="ListParagraphChar"/>
    <w:uiPriority w:val="34"/>
    <w:qFormat/>
    <w:rsid w:val="00E3031E"/>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D3168"/>
    <w:rPr>
      <w:color w:val="800080" w:themeColor="followedHyperlink"/>
      <w:u w:val="single"/>
    </w:rPr>
  </w:style>
  <w:style w:type="table" w:styleId="TableGrid">
    <w:name w:val="Table Grid"/>
    <w:basedOn w:val="TableNormal"/>
    <w:uiPriority w:val="39"/>
    <w:rsid w:val="00DF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271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712C4"/>
    <w:rPr>
      <w:sz w:val="16"/>
      <w:szCs w:val="16"/>
    </w:rPr>
  </w:style>
  <w:style w:type="paragraph" w:styleId="CommentText">
    <w:name w:val="annotation text"/>
    <w:basedOn w:val="Normal"/>
    <w:link w:val="CommentTextChar"/>
    <w:uiPriority w:val="99"/>
    <w:semiHidden/>
    <w:unhideWhenUsed/>
    <w:rsid w:val="002712C4"/>
    <w:pPr>
      <w:spacing w:line="240" w:lineRule="auto"/>
    </w:pPr>
    <w:rPr>
      <w:sz w:val="20"/>
      <w:szCs w:val="20"/>
    </w:rPr>
  </w:style>
  <w:style w:type="character" w:customStyle="1" w:styleId="CommentTextChar">
    <w:name w:val="Comment Text Char"/>
    <w:basedOn w:val="DefaultParagraphFont"/>
    <w:link w:val="CommentText"/>
    <w:uiPriority w:val="99"/>
    <w:semiHidden/>
    <w:rsid w:val="002712C4"/>
    <w:rPr>
      <w:sz w:val="20"/>
      <w:szCs w:val="20"/>
    </w:rPr>
  </w:style>
  <w:style w:type="paragraph" w:styleId="CommentSubject">
    <w:name w:val="annotation subject"/>
    <w:basedOn w:val="CommentText"/>
    <w:next w:val="CommentText"/>
    <w:link w:val="CommentSubjectChar"/>
    <w:uiPriority w:val="99"/>
    <w:semiHidden/>
    <w:unhideWhenUsed/>
    <w:rsid w:val="002712C4"/>
    <w:rPr>
      <w:b/>
      <w:bCs/>
    </w:rPr>
  </w:style>
  <w:style w:type="character" w:customStyle="1" w:styleId="CommentSubjectChar">
    <w:name w:val="Comment Subject Char"/>
    <w:basedOn w:val="CommentTextChar"/>
    <w:link w:val="CommentSubject"/>
    <w:uiPriority w:val="99"/>
    <w:semiHidden/>
    <w:rsid w:val="002712C4"/>
    <w:rPr>
      <w:b/>
      <w:bCs/>
      <w:sz w:val="20"/>
      <w:szCs w:val="20"/>
    </w:rPr>
  </w:style>
  <w:style w:type="character" w:customStyle="1" w:styleId="hps">
    <w:name w:val="hps"/>
    <w:basedOn w:val="DefaultParagraphFont"/>
    <w:rsid w:val="00C32B64"/>
  </w:style>
  <w:style w:type="character" w:customStyle="1" w:styleId="st">
    <w:name w:val="st"/>
    <w:basedOn w:val="DefaultParagraphFont"/>
    <w:rsid w:val="00C951A0"/>
  </w:style>
  <w:style w:type="table" w:customStyle="1" w:styleId="TableGrid1">
    <w:name w:val="Table Grid1"/>
    <w:basedOn w:val="TableNormal"/>
    <w:next w:val="TableGrid"/>
    <w:uiPriority w:val="59"/>
    <w:rsid w:val="0051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22E85"/>
  </w:style>
  <w:style w:type="table" w:customStyle="1" w:styleId="TableGrid2">
    <w:name w:val="Table Grid2"/>
    <w:basedOn w:val="TableNormal"/>
    <w:next w:val="TableGrid"/>
    <w:uiPriority w:val="59"/>
    <w:rsid w:val="00322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22E8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D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0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C55F2"/>
    <w:pPr>
      <w:spacing w:after="0" w:line="240" w:lineRule="auto"/>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NoteLevel11">
    <w:name w:val="Note Level 11"/>
    <w:basedOn w:val="Normal"/>
    <w:uiPriority w:val="99"/>
    <w:unhideWhenUsed/>
    <w:rsid w:val="009C4A1B"/>
    <w:pPr>
      <w:keepNext/>
      <w:numPr>
        <w:numId w:val="15"/>
      </w:numPr>
      <w:spacing w:before="120" w:after="0" w:line="360" w:lineRule="auto"/>
      <w:contextualSpacing/>
      <w:jc w:val="both"/>
      <w:outlineLvl w:val="0"/>
    </w:pPr>
    <w:rPr>
      <w:rFonts w:ascii="Verdana" w:eastAsia="MS Gothic" w:hAnsi="Verdana"/>
      <w:sz w:val="24"/>
      <w:lang w:eastAsia="en-US"/>
    </w:rPr>
  </w:style>
  <w:style w:type="paragraph" w:customStyle="1" w:styleId="NoteLevel21">
    <w:name w:val="Note Level 21"/>
    <w:basedOn w:val="Normal"/>
    <w:uiPriority w:val="99"/>
    <w:unhideWhenUsed/>
    <w:rsid w:val="009C4A1B"/>
    <w:pPr>
      <w:keepNext/>
      <w:numPr>
        <w:ilvl w:val="1"/>
        <w:numId w:val="15"/>
      </w:numPr>
      <w:spacing w:before="120" w:after="0" w:line="360" w:lineRule="auto"/>
      <w:contextualSpacing/>
      <w:jc w:val="both"/>
      <w:outlineLvl w:val="1"/>
    </w:pPr>
    <w:rPr>
      <w:rFonts w:ascii="Verdana" w:eastAsia="MS Gothic" w:hAnsi="Verdana"/>
      <w:sz w:val="24"/>
      <w:lang w:eastAsia="en-US"/>
    </w:rPr>
  </w:style>
  <w:style w:type="paragraph" w:customStyle="1" w:styleId="NoteLevel31">
    <w:name w:val="Note Level 31"/>
    <w:basedOn w:val="Normal"/>
    <w:uiPriority w:val="99"/>
    <w:semiHidden/>
    <w:unhideWhenUsed/>
    <w:rsid w:val="009C4A1B"/>
    <w:pPr>
      <w:keepNext/>
      <w:numPr>
        <w:ilvl w:val="2"/>
        <w:numId w:val="15"/>
      </w:numPr>
      <w:tabs>
        <w:tab w:val="clear" w:pos="1440"/>
        <w:tab w:val="num" w:pos="360"/>
      </w:tabs>
      <w:spacing w:before="120" w:after="0" w:line="360" w:lineRule="auto"/>
      <w:ind w:left="0" w:firstLine="0"/>
      <w:contextualSpacing/>
      <w:jc w:val="both"/>
      <w:outlineLvl w:val="2"/>
    </w:pPr>
    <w:rPr>
      <w:rFonts w:ascii="Verdana" w:eastAsia="MS Gothic" w:hAnsi="Verdana"/>
      <w:sz w:val="24"/>
      <w:lang w:eastAsia="en-US"/>
    </w:rPr>
  </w:style>
  <w:style w:type="paragraph" w:customStyle="1" w:styleId="NoteLevel41">
    <w:name w:val="Note Level 41"/>
    <w:basedOn w:val="Normal"/>
    <w:uiPriority w:val="99"/>
    <w:semiHidden/>
    <w:unhideWhenUsed/>
    <w:rsid w:val="009C4A1B"/>
    <w:pPr>
      <w:keepNext/>
      <w:numPr>
        <w:ilvl w:val="3"/>
        <w:numId w:val="15"/>
      </w:numPr>
      <w:spacing w:before="120" w:after="0" w:line="360" w:lineRule="auto"/>
      <w:contextualSpacing/>
      <w:jc w:val="both"/>
      <w:outlineLvl w:val="3"/>
    </w:pPr>
    <w:rPr>
      <w:rFonts w:ascii="Verdana" w:eastAsia="MS Gothic" w:hAnsi="Verdana"/>
      <w:sz w:val="24"/>
      <w:lang w:eastAsia="en-US"/>
    </w:rPr>
  </w:style>
  <w:style w:type="paragraph" w:customStyle="1" w:styleId="NoteLevel51">
    <w:name w:val="Note Level 51"/>
    <w:basedOn w:val="Normal"/>
    <w:uiPriority w:val="99"/>
    <w:semiHidden/>
    <w:unhideWhenUsed/>
    <w:rsid w:val="009C4A1B"/>
    <w:pPr>
      <w:keepNext/>
      <w:numPr>
        <w:ilvl w:val="4"/>
        <w:numId w:val="15"/>
      </w:numPr>
      <w:spacing w:before="120" w:after="0" w:line="360" w:lineRule="auto"/>
      <w:contextualSpacing/>
      <w:jc w:val="both"/>
      <w:outlineLvl w:val="4"/>
    </w:pPr>
    <w:rPr>
      <w:rFonts w:ascii="Verdana" w:eastAsia="MS Gothic" w:hAnsi="Verdana"/>
      <w:sz w:val="24"/>
      <w:lang w:eastAsia="en-US"/>
    </w:rPr>
  </w:style>
  <w:style w:type="paragraph" w:customStyle="1" w:styleId="NoteLevel61">
    <w:name w:val="Note Level 61"/>
    <w:basedOn w:val="Normal"/>
    <w:uiPriority w:val="99"/>
    <w:semiHidden/>
    <w:unhideWhenUsed/>
    <w:rsid w:val="009C4A1B"/>
    <w:pPr>
      <w:keepNext/>
      <w:numPr>
        <w:ilvl w:val="5"/>
        <w:numId w:val="15"/>
      </w:numPr>
      <w:spacing w:before="120" w:after="0" w:line="360" w:lineRule="auto"/>
      <w:contextualSpacing/>
      <w:jc w:val="both"/>
      <w:outlineLvl w:val="5"/>
    </w:pPr>
    <w:rPr>
      <w:rFonts w:ascii="Verdana" w:eastAsia="MS Gothic" w:hAnsi="Verdana"/>
      <w:sz w:val="24"/>
      <w:lang w:eastAsia="en-US"/>
    </w:rPr>
  </w:style>
  <w:style w:type="paragraph" w:customStyle="1" w:styleId="NoteLevel71">
    <w:name w:val="Note Level 71"/>
    <w:basedOn w:val="Normal"/>
    <w:uiPriority w:val="99"/>
    <w:semiHidden/>
    <w:unhideWhenUsed/>
    <w:rsid w:val="009C4A1B"/>
    <w:pPr>
      <w:keepNext/>
      <w:numPr>
        <w:ilvl w:val="6"/>
        <w:numId w:val="15"/>
      </w:numPr>
      <w:spacing w:before="120" w:after="0" w:line="360" w:lineRule="auto"/>
      <w:contextualSpacing/>
      <w:jc w:val="both"/>
      <w:outlineLvl w:val="6"/>
    </w:pPr>
    <w:rPr>
      <w:rFonts w:ascii="Verdana" w:eastAsia="MS Gothic" w:hAnsi="Verdana"/>
      <w:sz w:val="24"/>
      <w:lang w:eastAsia="en-US"/>
    </w:rPr>
  </w:style>
  <w:style w:type="paragraph" w:customStyle="1" w:styleId="NoteLevel81">
    <w:name w:val="Note Level 81"/>
    <w:basedOn w:val="Normal"/>
    <w:uiPriority w:val="99"/>
    <w:semiHidden/>
    <w:unhideWhenUsed/>
    <w:rsid w:val="009C4A1B"/>
    <w:pPr>
      <w:keepNext/>
      <w:numPr>
        <w:ilvl w:val="7"/>
        <w:numId w:val="15"/>
      </w:numPr>
      <w:spacing w:before="120" w:after="0" w:line="360" w:lineRule="auto"/>
      <w:contextualSpacing/>
      <w:jc w:val="both"/>
      <w:outlineLvl w:val="7"/>
    </w:pPr>
    <w:rPr>
      <w:rFonts w:ascii="Verdana" w:eastAsia="MS Gothic" w:hAnsi="Verdana"/>
      <w:sz w:val="24"/>
      <w:lang w:eastAsia="en-US"/>
    </w:rPr>
  </w:style>
  <w:style w:type="paragraph" w:customStyle="1" w:styleId="NoteLevel91">
    <w:name w:val="Note Level 91"/>
    <w:basedOn w:val="Normal"/>
    <w:uiPriority w:val="99"/>
    <w:semiHidden/>
    <w:unhideWhenUsed/>
    <w:rsid w:val="009C4A1B"/>
    <w:pPr>
      <w:keepNext/>
      <w:numPr>
        <w:ilvl w:val="8"/>
        <w:numId w:val="15"/>
      </w:numPr>
      <w:spacing w:before="120" w:after="0" w:line="360" w:lineRule="auto"/>
      <w:contextualSpacing/>
      <w:jc w:val="both"/>
      <w:outlineLvl w:val="8"/>
    </w:pPr>
    <w:rPr>
      <w:rFonts w:ascii="Verdana" w:eastAsia="MS Gothic" w:hAnsi="Verdana"/>
      <w:sz w:val="24"/>
      <w:lang w:eastAsia="en-US"/>
    </w:rPr>
  </w:style>
  <w:style w:type="paragraph" w:styleId="Revision">
    <w:name w:val="Revision"/>
    <w:hidden/>
    <w:uiPriority w:val="99"/>
    <w:semiHidden/>
    <w:rsid w:val="00D36E2F"/>
    <w:pPr>
      <w:spacing w:after="0" w:line="240" w:lineRule="auto"/>
    </w:pPr>
  </w:style>
  <w:style w:type="character" w:customStyle="1" w:styleId="text">
    <w:name w:val="text"/>
    <w:basedOn w:val="DefaultParagraphFont"/>
    <w:rsid w:val="00F851EB"/>
  </w:style>
  <w:style w:type="table" w:customStyle="1" w:styleId="TableGrid12">
    <w:name w:val="Table Grid12"/>
    <w:basedOn w:val="TableNormal"/>
    <w:next w:val="TableGrid"/>
    <w:uiPriority w:val="59"/>
    <w:rsid w:val="00C8176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76CD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964F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33F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F650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E70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0424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A571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text">
    <w:name w:val="citation_text"/>
    <w:basedOn w:val="DefaultParagraphFont"/>
    <w:rsid w:val="008A7B76"/>
  </w:style>
  <w:style w:type="character" w:customStyle="1" w:styleId="highlight">
    <w:name w:val="highlight"/>
    <w:basedOn w:val="DefaultParagraphFont"/>
    <w:rsid w:val="002E0880"/>
  </w:style>
  <w:style w:type="paragraph" w:styleId="NoSpacing">
    <w:name w:val="No Spacing"/>
    <w:uiPriority w:val="1"/>
    <w:qFormat/>
    <w:rsid w:val="00F52451"/>
    <w:pPr>
      <w:spacing w:after="0" w:line="240" w:lineRule="auto"/>
    </w:pPr>
    <w:rPr>
      <w:rFonts w:ascii="Arial" w:hAnsi="Arial" w:cs="Arial"/>
      <w:lang w:eastAsia="en-US"/>
    </w:rPr>
  </w:style>
  <w:style w:type="paragraph" w:customStyle="1" w:styleId="Style1">
    <w:name w:val="Style1"/>
    <w:basedOn w:val="Heading1"/>
    <w:next w:val="Heading1"/>
    <w:link w:val="Style1Char"/>
    <w:qFormat/>
    <w:rsid w:val="00B44E07"/>
    <w:pPr>
      <w:numPr>
        <w:numId w:val="17"/>
      </w:numPr>
      <w:spacing w:line="480" w:lineRule="auto"/>
      <w:ind w:right="96"/>
      <w:jc w:val="both"/>
    </w:pPr>
    <w:rPr>
      <w:b w:val="0"/>
    </w:rPr>
  </w:style>
  <w:style w:type="paragraph" w:customStyle="1" w:styleId="Style2">
    <w:name w:val="Style2"/>
    <w:basedOn w:val="ListParagraph"/>
    <w:link w:val="Style2Char"/>
    <w:qFormat/>
    <w:rsid w:val="000F39A6"/>
    <w:pPr>
      <w:spacing w:line="360" w:lineRule="auto"/>
      <w:ind w:left="0"/>
      <w:jc w:val="both"/>
    </w:pPr>
    <w:rPr>
      <w:bCs/>
      <w:i/>
      <w:iCs/>
    </w:rPr>
  </w:style>
  <w:style w:type="character" w:customStyle="1" w:styleId="Style1Char">
    <w:name w:val="Style1 Char"/>
    <w:basedOn w:val="Heading1Char"/>
    <w:link w:val="Style1"/>
    <w:rsid w:val="00B44E07"/>
    <w:rPr>
      <w:rFonts w:asciiTheme="majorHAnsi" w:eastAsiaTheme="majorEastAsia" w:hAnsiTheme="majorHAnsi" w:cstheme="majorBidi"/>
      <w:b w:val="0"/>
      <w:bCs/>
      <w:color w:val="365F91" w:themeColor="accent1" w:themeShade="BF"/>
      <w:sz w:val="28"/>
      <w:szCs w:val="28"/>
    </w:rPr>
  </w:style>
  <w:style w:type="character" w:customStyle="1" w:styleId="ListParagraphChar">
    <w:name w:val="List Paragraph Char"/>
    <w:basedOn w:val="DefaultParagraphFont"/>
    <w:link w:val="ListParagraph"/>
    <w:uiPriority w:val="34"/>
    <w:rsid w:val="000F39A6"/>
    <w:rPr>
      <w:rFonts w:ascii="Times New Roman" w:eastAsia="Times New Roman" w:hAnsi="Times New Roman" w:cs="Times New Roman"/>
      <w:sz w:val="24"/>
      <w:szCs w:val="24"/>
    </w:rPr>
  </w:style>
  <w:style w:type="character" w:customStyle="1" w:styleId="Style2Char">
    <w:name w:val="Style2 Char"/>
    <w:basedOn w:val="ListParagraphChar"/>
    <w:link w:val="Style2"/>
    <w:rsid w:val="000F39A6"/>
    <w:rPr>
      <w:rFonts w:ascii="Times New Roman" w:eastAsia="Times New Roman" w:hAnsi="Times New Roman" w:cs="Times New Roman"/>
      <w:bCs/>
      <w:i/>
      <w:iCs/>
      <w:sz w:val="24"/>
      <w:szCs w:val="24"/>
    </w:rPr>
  </w:style>
  <w:style w:type="paragraph" w:customStyle="1" w:styleId="msonormal0">
    <w:name w:val="msonormal"/>
    <w:basedOn w:val="Normal"/>
    <w:rsid w:val="00ED7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D7A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67">
    <w:name w:val="xl67"/>
    <w:basedOn w:val="Normal"/>
    <w:rsid w:val="00ED7A24"/>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ED7A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ED7A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70">
    <w:name w:val="xl70"/>
    <w:basedOn w:val="Normal"/>
    <w:rsid w:val="00ED7A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71">
    <w:name w:val="xl71"/>
    <w:basedOn w:val="Normal"/>
    <w:rsid w:val="00ED7A2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ED7A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ED7A24"/>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ED7A2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ED7A2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6">
    <w:name w:val="xl76"/>
    <w:basedOn w:val="Normal"/>
    <w:rsid w:val="00ED7A2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7">
    <w:name w:val="xl77"/>
    <w:basedOn w:val="Normal"/>
    <w:rsid w:val="00ED7A2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Normal"/>
    <w:rsid w:val="00ED7A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9">
    <w:name w:val="xl79"/>
    <w:basedOn w:val="Normal"/>
    <w:rsid w:val="00ED7A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rsid w:val="00ED7A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A31A9"/>
    <w:rPr>
      <w:color w:val="808080"/>
    </w:rPr>
  </w:style>
  <w:style w:type="character" w:customStyle="1" w:styleId="DefaultChar">
    <w:name w:val="Default Char"/>
    <w:basedOn w:val="DefaultParagraphFont"/>
    <w:link w:val="Default"/>
    <w:rsid w:val="000839E4"/>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7A29CC"/>
    <w:rPr>
      <w:color w:val="605E5C"/>
      <w:shd w:val="clear" w:color="auto" w:fill="E1DFDD"/>
    </w:rPr>
  </w:style>
  <w:style w:type="character" w:customStyle="1" w:styleId="hlfld-contribauthor">
    <w:name w:val="hlfld-contribauthor"/>
    <w:basedOn w:val="DefaultParagraphFont"/>
    <w:rsid w:val="00F811C4"/>
  </w:style>
  <w:style w:type="character" w:customStyle="1" w:styleId="nlmgiven-names">
    <w:name w:val="nlm_given-names"/>
    <w:basedOn w:val="DefaultParagraphFont"/>
    <w:rsid w:val="00F811C4"/>
  </w:style>
  <w:style w:type="character" w:customStyle="1" w:styleId="nlmyear">
    <w:name w:val="nlm_year"/>
    <w:basedOn w:val="DefaultParagraphFont"/>
    <w:rsid w:val="00F811C4"/>
  </w:style>
  <w:style w:type="character" w:customStyle="1" w:styleId="authors">
    <w:name w:val="authors"/>
    <w:basedOn w:val="DefaultParagraphFont"/>
    <w:rsid w:val="00F811C4"/>
  </w:style>
  <w:style w:type="character" w:customStyle="1" w:styleId="Date1">
    <w:name w:val="Date1"/>
    <w:basedOn w:val="DefaultParagraphFont"/>
    <w:rsid w:val="00F811C4"/>
  </w:style>
  <w:style w:type="character" w:customStyle="1" w:styleId="arttitle">
    <w:name w:val="art_title"/>
    <w:basedOn w:val="DefaultParagraphFont"/>
    <w:rsid w:val="00F811C4"/>
  </w:style>
  <w:style w:type="character" w:customStyle="1" w:styleId="serialtitle">
    <w:name w:val="serial_title"/>
    <w:basedOn w:val="DefaultParagraphFont"/>
    <w:rsid w:val="00F811C4"/>
  </w:style>
  <w:style w:type="character" w:customStyle="1" w:styleId="volumeissue">
    <w:name w:val="volume_issue"/>
    <w:basedOn w:val="DefaultParagraphFont"/>
    <w:rsid w:val="00F811C4"/>
  </w:style>
  <w:style w:type="character" w:customStyle="1" w:styleId="pagerange">
    <w:name w:val="page_range"/>
    <w:basedOn w:val="DefaultParagraphFont"/>
    <w:rsid w:val="00F811C4"/>
  </w:style>
  <w:style w:type="character" w:customStyle="1" w:styleId="nlmarticle-title">
    <w:name w:val="nlm_article-title"/>
    <w:basedOn w:val="DefaultParagraphFont"/>
    <w:rsid w:val="00B9684A"/>
  </w:style>
  <w:style w:type="character" w:customStyle="1" w:styleId="nlmfpage">
    <w:name w:val="nlm_fpage"/>
    <w:basedOn w:val="DefaultParagraphFont"/>
    <w:rsid w:val="00B9684A"/>
  </w:style>
  <w:style w:type="character" w:customStyle="1" w:styleId="nlmlpage">
    <w:name w:val="nlm_lpage"/>
    <w:basedOn w:val="DefaultParagraphFont"/>
    <w:rsid w:val="00B9684A"/>
  </w:style>
  <w:style w:type="character" w:customStyle="1" w:styleId="pagelast">
    <w:name w:val="pagelast"/>
    <w:basedOn w:val="DefaultParagraphFont"/>
    <w:rsid w:val="006D0873"/>
  </w:style>
  <w:style w:type="table" w:customStyle="1" w:styleId="TableGrid7">
    <w:name w:val="Table Grid7"/>
    <w:basedOn w:val="TableNormal"/>
    <w:next w:val="TableGrid"/>
    <w:uiPriority w:val="39"/>
    <w:rsid w:val="0052067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2902">
      <w:bodyDiv w:val="1"/>
      <w:marLeft w:val="0"/>
      <w:marRight w:val="0"/>
      <w:marTop w:val="0"/>
      <w:marBottom w:val="0"/>
      <w:divBdr>
        <w:top w:val="none" w:sz="0" w:space="0" w:color="auto"/>
        <w:left w:val="none" w:sz="0" w:space="0" w:color="auto"/>
        <w:bottom w:val="none" w:sz="0" w:space="0" w:color="auto"/>
        <w:right w:val="none" w:sz="0" w:space="0" w:color="auto"/>
      </w:divBdr>
      <w:divsChild>
        <w:div w:id="958418021">
          <w:marLeft w:val="0"/>
          <w:marRight w:val="0"/>
          <w:marTop w:val="0"/>
          <w:marBottom w:val="0"/>
          <w:divBdr>
            <w:top w:val="none" w:sz="0" w:space="0" w:color="auto"/>
            <w:left w:val="none" w:sz="0" w:space="0" w:color="auto"/>
            <w:bottom w:val="none" w:sz="0" w:space="0" w:color="auto"/>
            <w:right w:val="none" w:sz="0" w:space="0" w:color="auto"/>
          </w:divBdr>
        </w:div>
        <w:div w:id="1416827874">
          <w:marLeft w:val="0"/>
          <w:marRight w:val="0"/>
          <w:marTop w:val="0"/>
          <w:marBottom w:val="0"/>
          <w:divBdr>
            <w:top w:val="none" w:sz="0" w:space="0" w:color="auto"/>
            <w:left w:val="none" w:sz="0" w:space="0" w:color="auto"/>
            <w:bottom w:val="none" w:sz="0" w:space="0" w:color="auto"/>
            <w:right w:val="none" w:sz="0" w:space="0" w:color="auto"/>
          </w:divBdr>
        </w:div>
        <w:div w:id="1384407131">
          <w:marLeft w:val="0"/>
          <w:marRight w:val="0"/>
          <w:marTop w:val="0"/>
          <w:marBottom w:val="0"/>
          <w:divBdr>
            <w:top w:val="none" w:sz="0" w:space="0" w:color="auto"/>
            <w:left w:val="none" w:sz="0" w:space="0" w:color="auto"/>
            <w:bottom w:val="none" w:sz="0" w:space="0" w:color="auto"/>
            <w:right w:val="none" w:sz="0" w:space="0" w:color="auto"/>
          </w:divBdr>
        </w:div>
        <w:div w:id="747846728">
          <w:marLeft w:val="0"/>
          <w:marRight w:val="0"/>
          <w:marTop w:val="0"/>
          <w:marBottom w:val="0"/>
          <w:divBdr>
            <w:top w:val="none" w:sz="0" w:space="0" w:color="auto"/>
            <w:left w:val="none" w:sz="0" w:space="0" w:color="auto"/>
            <w:bottom w:val="none" w:sz="0" w:space="0" w:color="auto"/>
            <w:right w:val="none" w:sz="0" w:space="0" w:color="auto"/>
          </w:divBdr>
        </w:div>
        <w:div w:id="1009063374">
          <w:marLeft w:val="0"/>
          <w:marRight w:val="0"/>
          <w:marTop w:val="0"/>
          <w:marBottom w:val="0"/>
          <w:divBdr>
            <w:top w:val="none" w:sz="0" w:space="0" w:color="auto"/>
            <w:left w:val="none" w:sz="0" w:space="0" w:color="auto"/>
            <w:bottom w:val="none" w:sz="0" w:space="0" w:color="auto"/>
            <w:right w:val="none" w:sz="0" w:space="0" w:color="auto"/>
          </w:divBdr>
        </w:div>
      </w:divsChild>
    </w:div>
    <w:div w:id="49577445">
      <w:bodyDiv w:val="1"/>
      <w:marLeft w:val="0"/>
      <w:marRight w:val="0"/>
      <w:marTop w:val="0"/>
      <w:marBottom w:val="0"/>
      <w:divBdr>
        <w:top w:val="none" w:sz="0" w:space="0" w:color="auto"/>
        <w:left w:val="none" w:sz="0" w:space="0" w:color="auto"/>
        <w:bottom w:val="none" w:sz="0" w:space="0" w:color="auto"/>
        <w:right w:val="none" w:sz="0" w:space="0" w:color="auto"/>
      </w:divBdr>
      <w:divsChild>
        <w:div w:id="1055809406">
          <w:marLeft w:val="0"/>
          <w:marRight w:val="0"/>
          <w:marTop w:val="0"/>
          <w:marBottom w:val="0"/>
          <w:divBdr>
            <w:top w:val="none" w:sz="0" w:space="0" w:color="auto"/>
            <w:left w:val="none" w:sz="0" w:space="0" w:color="auto"/>
            <w:bottom w:val="none" w:sz="0" w:space="0" w:color="auto"/>
            <w:right w:val="none" w:sz="0" w:space="0" w:color="auto"/>
          </w:divBdr>
        </w:div>
      </w:divsChild>
    </w:div>
    <w:div w:id="62266349">
      <w:bodyDiv w:val="1"/>
      <w:marLeft w:val="0"/>
      <w:marRight w:val="0"/>
      <w:marTop w:val="0"/>
      <w:marBottom w:val="0"/>
      <w:divBdr>
        <w:top w:val="none" w:sz="0" w:space="0" w:color="auto"/>
        <w:left w:val="none" w:sz="0" w:space="0" w:color="auto"/>
        <w:bottom w:val="none" w:sz="0" w:space="0" w:color="auto"/>
        <w:right w:val="none" w:sz="0" w:space="0" w:color="auto"/>
      </w:divBdr>
      <w:divsChild>
        <w:div w:id="1110736158">
          <w:marLeft w:val="0"/>
          <w:marRight w:val="0"/>
          <w:marTop w:val="0"/>
          <w:marBottom w:val="0"/>
          <w:divBdr>
            <w:top w:val="none" w:sz="0" w:space="0" w:color="auto"/>
            <w:left w:val="none" w:sz="0" w:space="0" w:color="auto"/>
            <w:bottom w:val="none" w:sz="0" w:space="0" w:color="auto"/>
            <w:right w:val="none" w:sz="0" w:space="0" w:color="auto"/>
          </w:divBdr>
        </w:div>
      </w:divsChild>
    </w:div>
    <w:div w:id="218178498">
      <w:bodyDiv w:val="1"/>
      <w:marLeft w:val="0"/>
      <w:marRight w:val="0"/>
      <w:marTop w:val="0"/>
      <w:marBottom w:val="0"/>
      <w:divBdr>
        <w:top w:val="none" w:sz="0" w:space="0" w:color="auto"/>
        <w:left w:val="none" w:sz="0" w:space="0" w:color="auto"/>
        <w:bottom w:val="none" w:sz="0" w:space="0" w:color="auto"/>
        <w:right w:val="none" w:sz="0" w:space="0" w:color="auto"/>
      </w:divBdr>
      <w:divsChild>
        <w:div w:id="402458298">
          <w:marLeft w:val="0"/>
          <w:marRight w:val="0"/>
          <w:marTop w:val="0"/>
          <w:marBottom w:val="0"/>
          <w:divBdr>
            <w:top w:val="none" w:sz="0" w:space="0" w:color="auto"/>
            <w:left w:val="none" w:sz="0" w:space="0" w:color="auto"/>
            <w:bottom w:val="none" w:sz="0" w:space="0" w:color="auto"/>
            <w:right w:val="none" w:sz="0" w:space="0" w:color="auto"/>
          </w:divBdr>
        </w:div>
      </w:divsChild>
    </w:div>
    <w:div w:id="263731939">
      <w:bodyDiv w:val="1"/>
      <w:marLeft w:val="0"/>
      <w:marRight w:val="0"/>
      <w:marTop w:val="0"/>
      <w:marBottom w:val="0"/>
      <w:divBdr>
        <w:top w:val="none" w:sz="0" w:space="0" w:color="auto"/>
        <w:left w:val="none" w:sz="0" w:space="0" w:color="auto"/>
        <w:bottom w:val="none" w:sz="0" w:space="0" w:color="auto"/>
        <w:right w:val="none" w:sz="0" w:space="0" w:color="auto"/>
      </w:divBdr>
      <w:divsChild>
        <w:div w:id="1172262224">
          <w:marLeft w:val="0"/>
          <w:marRight w:val="0"/>
          <w:marTop w:val="0"/>
          <w:marBottom w:val="0"/>
          <w:divBdr>
            <w:top w:val="none" w:sz="0" w:space="0" w:color="auto"/>
            <w:left w:val="none" w:sz="0" w:space="0" w:color="auto"/>
            <w:bottom w:val="none" w:sz="0" w:space="0" w:color="auto"/>
            <w:right w:val="none" w:sz="0" w:space="0" w:color="auto"/>
          </w:divBdr>
        </w:div>
      </w:divsChild>
    </w:div>
    <w:div w:id="296842751">
      <w:bodyDiv w:val="1"/>
      <w:marLeft w:val="0"/>
      <w:marRight w:val="0"/>
      <w:marTop w:val="0"/>
      <w:marBottom w:val="0"/>
      <w:divBdr>
        <w:top w:val="none" w:sz="0" w:space="0" w:color="auto"/>
        <w:left w:val="none" w:sz="0" w:space="0" w:color="auto"/>
        <w:bottom w:val="none" w:sz="0" w:space="0" w:color="auto"/>
        <w:right w:val="none" w:sz="0" w:space="0" w:color="auto"/>
      </w:divBdr>
    </w:div>
    <w:div w:id="308555596">
      <w:bodyDiv w:val="1"/>
      <w:marLeft w:val="0"/>
      <w:marRight w:val="0"/>
      <w:marTop w:val="0"/>
      <w:marBottom w:val="0"/>
      <w:divBdr>
        <w:top w:val="none" w:sz="0" w:space="0" w:color="auto"/>
        <w:left w:val="none" w:sz="0" w:space="0" w:color="auto"/>
        <w:bottom w:val="none" w:sz="0" w:space="0" w:color="auto"/>
        <w:right w:val="none" w:sz="0" w:space="0" w:color="auto"/>
      </w:divBdr>
      <w:divsChild>
        <w:div w:id="1428621034">
          <w:marLeft w:val="0"/>
          <w:marRight w:val="0"/>
          <w:marTop w:val="0"/>
          <w:marBottom w:val="0"/>
          <w:divBdr>
            <w:top w:val="none" w:sz="0" w:space="0" w:color="auto"/>
            <w:left w:val="none" w:sz="0" w:space="0" w:color="auto"/>
            <w:bottom w:val="none" w:sz="0" w:space="0" w:color="auto"/>
            <w:right w:val="none" w:sz="0" w:space="0" w:color="auto"/>
          </w:divBdr>
        </w:div>
        <w:div w:id="924916214">
          <w:marLeft w:val="0"/>
          <w:marRight w:val="0"/>
          <w:marTop w:val="0"/>
          <w:marBottom w:val="0"/>
          <w:divBdr>
            <w:top w:val="none" w:sz="0" w:space="0" w:color="auto"/>
            <w:left w:val="none" w:sz="0" w:space="0" w:color="auto"/>
            <w:bottom w:val="none" w:sz="0" w:space="0" w:color="auto"/>
            <w:right w:val="none" w:sz="0" w:space="0" w:color="auto"/>
          </w:divBdr>
        </w:div>
        <w:div w:id="2071150967">
          <w:marLeft w:val="0"/>
          <w:marRight w:val="0"/>
          <w:marTop w:val="0"/>
          <w:marBottom w:val="0"/>
          <w:divBdr>
            <w:top w:val="none" w:sz="0" w:space="0" w:color="auto"/>
            <w:left w:val="none" w:sz="0" w:space="0" w:color="auto"/>
            <w:bottom w:val="none" w:sz="0" w:space="0" w:color="auto"/>
            <w:right w:val="none" w:sz="0" w:space="0" w:color="auto"/>
          </w:divBdr>
        </w:div>
      </w:divsChild>
    </w:div>
    <w:div w:id="332605107">
      <w:bodyDiv w:val="1"/>
      <w:marLeft w:val="0"/>
      <w:marRight w:val="0"/>
      <w:marTop w:val="0"/>
      <w:marBottom w:val="0"/>
      <w:divBdr>
        <w:top w:val="none" w:sz="0" w:space="0" w:color="auto"/>
        <w:left w:val="none" w:sz="0" w:space="0" w:color="auto"/>
        <w:bottom w:val="none" w:sz="0" w:space="0" w:color="auto"/>
        <w:right w:val="none" w:sz="0" w:space="0" w:color="auto"/>
      </w:divBdr>
      <w:divsChild>
        <w:div w:id="999306471">
          <w:marLeft w:val="0"/>
          <w:marRight w:val="0"/>
          <w:marTop w:val="0"/>
          <w:marBottom w:val="0"/>
          <w:divBdr>
            <w:top w:val="none" w:sz="0" w:space="0" w:color="auto"/>
            <w:left w:val="none" w:sz="0" w:space="0" w:color="auto"/>
            <w:bottom w:val="none" w:sz="0" w:space="0" w:color="auto"/>
            <w:right w:val="none" w:sz="0" w:space="0" w:color="auto"/>
          </w:divBdr>
        </w:div>
      </w:divsChild>
    </w:div>
    <w:div w:id="339159661">
      <w:bodyDiv w:val="1"/>
      <w:marLeft w:val="0"/>
      <w:marRight w:val="0"/>
      <w:marTop w:val="0"/>
      <w:marBottom w:val="0"/>
      <w:divBdr>
        <w:top w:val="none" w:sz="0" w:space="0" w:color="auto"/>
        <w:left w:val="none" w:sz="0" w:space="0" w:color="auto"/>
        <w:bottom w:val="none" w:sz="0" w:space="0" w:color="auto"/>
        <w:right w:val="none" w:sz="0" w:space="0" w:color="auto"/>
      </w:divBdr>
      <w:divsChild>
        <w:div w:id="985358488">
          <w:marLeft w:val="0"/>
          <w:marRight w:val="0"/>
          <w:marTop w:val="0"/>
          <w:marBottom w:val="0"/>
          <w:divBdr>
            <w:top w:val="none" w:sz="0" w:space="0" w:color="auto"/>
            <w:left w:val="none" w:sz="0" w:space="0" w:color="auto"/>
            <w:bottom w:val="none" w:sz="0" w:space="0" w:color="auto"/>
            <w:right w:val="none" w:sz="0" w:space="0" w:color="auto"/>
          </w:divBdr>
        </w:div>
        <w:div w:id="1328753054">
          <w:marLeft w:val="0"/>
          <w:marRight w:val="0"/>
          <w:marTop w:val="0"/>
          <w:marBottom w:val="0"/>
          <w:divBdr>
            <w:top w:val="none" w:sz="0" w:space="0" w:color="auto"/>
            <w:left w:val="none" w:sz="0" w:space="0" w:color="auto"/>
            <w:bottom w:val="none" w:sz="0" w:space="0" w:color="auto"/>
            <w:right w:val="none" w:sz="0" w:space="0" w:color="auto"/>
          </w:divBdr>
        </w:div>
      </w:divsChild>
    </w:div>
    <w:div w:id="349531164">
      <w:bodyDiv w:val="1"/>
      <w:marLeft w:val="0"/>
      <w:marRight w:val="0"/>
      <w:marTop w:val="0"/>
      <w:marBottom w:val="0"/>
      <w:divBdr>
        <w:top w:val="none" w:sz="0" w:space="0" w:color="auto"/>
        <w:left w:val="none" w:sz="0" w:space="0" w:color="auto"/>
        <w:bottom w:val="none" w:sz="0" w:space="0" w:color="auto"/>
        <w:right w:val="none" w:sz="0" w:space="0" w:color="auto"/>
      </w:divBdr>
      <w:divsChild>
        <w:div w:id="840126854">
          <w:marLeft w:val="0"/>
          <w:marRight w:val="0"/>
          <w:marTop w:val="0"/>
          <w:marBottom w:val="0"/>
          <w:divBdr>
            <w:top w:val="none" w:sz="0" w:space="0" w:color="auto"/>
            <w:left w:val="none" w:sz="0" w:space="0" w:color="auto"/>
            <w:bottom w:val="none" w:sz="0" w:space="0" w:color="auto"/>
            <w:right w:val="none" w:sz="0" w:space="0" w:color="auto"/>
          </w:divBdr>
        </w:div>
      </w:divsChild>
    </w:div>
    <w:div w:id="375395608">
      <w:bodyDiv w:val="1"/>
      <w:marLeft w:val="0"/>
      <w:marRight w:val="0"/>
      <w:marTop w:val="0"/>
      <w:marBottom w:val="0"/>
      <w:divBdr>
        <w:top w:val="none" w:sz="0" w:space="0" w:color="auto"/>
        <w:left w:val="none" w:sz="0" w:space="0" w:color="auto"/>
        <w:bottom w:val="none" w:sz="0" w:space="0" w:color="auto"/>
        <w:right w:val="none" w:sz="0" w:space="0" w:color="auto"/>
      </w:divBdr>
    </w:div>
    <w:div w:id="467823938">
      <w:bodyDiv w:val="1"/>
      <w:marLeft w:val="0"/>
      <w:marRight w:val="0"/>
      <w:marTop w:val="0"/>
      <w:marBottom w:val="0"/>
      <w:divBdr>
        <w:top w:val="none" w:sz="0" w:space="0" w:color="auto"/>
        <w:left w:val="none" w:sz="0" w:space="0" w:color="auto"/>
        <w:bottom w:val="none" w:sz="0" w:space="0" w:color="auto"/>
        <w:right w:val="none" w:sz="0" w:space="0" w:color="auto"/>
      </w:divBdr>
      <w:divsChild>
        <w:div w:id="116916785">
          <w:marLeft w:val="0"/>
          <w:marRight w:val="0"/>
          <w:marTop w:val="0"/>
          <w:marBottom w:val="0"/>
          <w:divBdr>
            <w:top w:val="none" w:sz="0" w:space="0" w:color="auto"/>
            <w:left w:val="none" w:sz="0" w:space="0" w:color="auto"/>
            <w:bottom w:val="none" w:sz="0" w:space="0" w:color="auto"/>
            <w:right w:val="none" w:sz="0" w:space="0" w:color="auto"/>
          </w:divBdr>
        </w:div>
      </w:divsChild>
    </w:div>
    <w:div w:id="495419383">
      <w:bodyDiv w:val="1"/>
      <w:marLeft w:val="0"/>
      <w:marRight w:val="0"/>
      <w:marTop w:val="0"/>
      <w:marBottom w:val="0"/>
      <w:divBdr>
        <w:top w:val="none" w:sz="0" w:space="0" w:color="auto"/>
        <w:left w:val="none" w:sz="0" w:space="0" w:color="auto"/>
        <w:bottom w:val="none" w:sz="0" w:space="0" w:color="auto"/>
        <w:right w:val="none" w:sz="0" w:space="0" w:color="auto"/>
      </w:divBdr>
    </w:div>
    <w:div w:id="499004170">
      <w:bodyDiv w:val="1"/>
      <w:marLeft w:val="0"/>
      <w:marRight w:val="0"/>
      <w:marTop w:val="0"/>
      <w:marBottom w:val="0"/>
      <w:divBdr>
        <w:top w:val="none" w:sz="0" w:space="0" w:color="auto"/>
        <w:left w:val="none" w:sz="0" w:space="0" w:color="auto"/>
        <w:bottom w:val="none" w:sz="0" w:space="0" w:color="auto"/>
        <w:right w:val="none" w:sz="0" w:space="0" w:color="auto"/>
      </w:divBdr>
      <w:divsChild>
        <w:div w:id="666909234">
          <w:marLeft w:val="0"/>
          <w:marRight w:val="0"/>
          <w:marTop w:val="0"/>
          <w:marBottom w:val="0"/>
          <w:divBdr>
            <w:top w:val="none" w:sz="0" w:space="0" w:color="auto"/>
            <w:left w:val="none" w:sz="0" w:space="0" w:color="auto"/>
            <w:bottom w:val="none" w:sz="0" w:space="0" w:color="auto"/>
            <w:right w:val="none" w:sz="0" w:space="0" w:color="auto"/>
          </w:divBdr>
        </w:div>
      </w:divsChild>
    </w:div>
    <w:div w:id="569583497">
      <w:bodyDiv w:val="1"/>
      <w:marLeft w:val="0"/>
      <w:marRight w:val="0"/>
      <w:marTop w:val="0"/>
      <w:marBottom w:val="0"/>
      <w:divBdr>
        <w:top w:val="none" w:sz="0" w:space="0" w:color="auto"/>
        <w:left w:val="none" w:sz="0" w:space="0" w:color="auto"/>
        <w:bottom w:val="none" w:sz="0" w:space="0" w:color="auto"/>
        <w:right w:val="none" w:sz="0" w:space="0" w:color="auto"/>
      </w:divBdr>
    </w:div>
    <w:div w:id="620845950">
      <w:bodyDiv w:val="1"/>
      <w:marLeft w:val="0"/>
      <w:marRight w:val="0"/>
      <w:marTop w:val="0"/>
      <w:marBottom w:val="0"/>
      <w:divBdr>
        <w:top w:val="none" w:sz="0" w:space="0" w:color="auto"/>
        <w:left w:val="none" w:sz="0" w:space="0" w:color="auto"/>
        <w:bottom w:val="none" w:sz="0" w:space="0" w:color="auto"/>
        <w:right w:val="none" w:sz="0" w:space="0" w:color="auto"/>
      </w:divBdr>
    </w:div>
    <w:div w:id="643655957">
      <w:bodyDiv w:val="1"/>
      <w:marLeft w:val="0"/>
      <w:marRight w:val="0"/>
      <w:marTop w:val="0"/>
      <w:marBottom w:val="0"/>
      <w:divBdr>
        <w:top w:val="none" w:sz="0" w:space="0" w:color="auto"/>
        <w:left w:val="none" w:sz="0" w:space="0" w:color="auto"/>
        <w:bottom w:val="none" w:sz="0" w:space="0" w:color="auto"/>
        <w:right w:val="none" w:sz="0" w:space="0" w:color="auto"/>
      </w:divBdr>
    </w:div>
    <w:div w:id="647395432">
      <w:bodyDiv w:val="1"/>
      <w:marLeft w:val="0"/>
      <w:marRight w:val="0"/>
      <w:marTop w:val="0"/>
      <w:marBottom w:val="0"/>
      <w:divBdr>
        <w:top w:val="none" w:sz="0" w:space="0" w:color="auto"/>
        <w:left w:val="none" w:sz="0" w:space="0" w:color="auto"/>
        <w:bottom w:val="none" w:sz="0" w:space="0" w:color="auto"/>
        <w:right w:val="none" w:sz="0" w:space="0" w:color="auto"/>
      </w:divBdr>
    </w:div>
    <w:div w:id="680788474">
      <w:bodyDiv w:val="1"/>
      <w:marLeft w:val="0"/>
      <w:marRight w:val="0"/>
      <w:marTop w:val="0"/>
      <w:marBottom w:val="0"/>
      <w:divBdr>
        <w:top w:val="none" w:sz="0" w:space="0" w:color="auto"/>
        <w:left w:val="none" w:sz="0" w:space="0" w:color="auto"/>
        <w:bottom w:val="none" w:sz="0" w:space="0" w:color="auto"/>
        <w:right w:val="none" w:sz="0" w:space="0" w:color="auto"/>
      </w:divBdr>
      <w:divsChild>
        <w:div w:id="1919362128">
          <w:marLeft w:val="0"/>
          <w:marRight w:val="0"/>
          <w:marTop w:val="0"/>
          <w:marBottom w:val="0"/>
          <w:divBdr>
            <w:top w:val="none" w:sz="0" w:space="0" w:color="auto"/>
            <w:left w:val="none" w:sz="0" w:space="0" w:color="auto"/>
            <w:bottom w:val="none" w:sz="0" w:space="0" w:color="auto"/>
            <w:right w:val="none" w:sz="0" w:space="0" w:color="auto"/>
          </w:divBdr>
        </w:div>
      </w:divsChild>
    </w:div>
    <w:div w:id="708795727">
      <w:bodyDiv w:val="1"/>
      <w:marLeft w:val="0"/>
      <w:marRight w:val="0"/>
      <w:marTop w:val="0"/>
      <w:marBottom w:val="0"/>
      <w:divBdr>
        <w:top w:val="none" w:sz="0" w:space="0" w:color="auto"/>
        <w:left w:val="none" w:sz="0" w:space="0" w:color="auto"/>
        <w:bottom w:val="none" w:sz="0" w:space="0" w:color="auto"/>
        <w:right w:val="none" w:sz="0" w:space="0" w:color="auto"/>
      </w:divBdr>
      <w:divsChild>
        <w:div w:id="1715615719">
          <w:marLeft w:val="0"/>
          <w:marRight w:val="0"/>
          <w:marTop w:val="0"/>
          <w:marBottom w:val="0"/>
          <w:divBdr>
            <w:top w:val="none" w:sz="0" w:space="0" w:color="auto"/>
            <w:left w:val="none" w:sz="0" w:space="0" w:color="auto"/>
            <w:bottom w:val="none" w:sz="0" w:space="0" w:color="auto"/>
            <w:right w:val="none" w:sz="0" w:space="0" w:color="auto"/>
          </w:divBdr>
        </w:div>
      </w:divsChild>
    </w:div>
    <w:div w:id="723916633">
      <w:bodyDiv w:val="1"/>
      <w:marLeft w:val="0"/>
      <w:marRight w:val="0"/>
      <w:marTop w:val="0"/>
      <w:marBottom w:val="0"/>
      <w:divBdr>
        <w:top w:val="none" w:sz="0" w:space="0" w:color="auto"/>
        <w:left w:val="none" w:sz="0" w:space="0" w:color="auto"/>
        <w:bottom w:val="none" w:sz="0" w:space="0" w:color="auto"/>
        <w:right w:val="none" w:sz="0" w:space="0" w:color="auto"/>
      </w:divBdr>
    </w:div>
    <w:div w:id="746732900">
      <w:bodyDiv w:val="1"/>
      <w:marLeft w:val="0"/>
      <w:marRight w:val="0"/>
      <w:marTop w:val="0"/>
      <w:marBottom w:val="0"/>
      <w:divBdr>
        <w:top w:val="none" w:sz="0" w:space="0" w:color="auto"/>
        <w:left w:val="none" w:sz="0" w:space="0" w:color="auto"/>
        <w:bottom w:val="none" w:sz="0" w:space="0" w:color="auto"/>
        <w:right w:val="none" w:sz="0" w:space="0" w:color="auto"/>
      </w:divBdr>
      <w:divsChild>
        <w:div w:id="1522082533">
          <w:marLeft w:val="0"/>
          <w:marRight w:val="0"/>
          <w:marTop w:val="0"/>
          <w:marBottom w:val="0"/>
          <w:divBdr>
            <w:top w:val="none" w:sz="0" w:space="0" w:color="auto"/>
            <w:left w:val="none" w:sz="0" w:space="0" w:color="auto"/>
            <w:bottom w:val="none" w:sz="0" w:space="0" w:color="auto"/>
            <w:right w:val="none" w:sz="0" w:space="0" w:color="auto"/>
          </w:divBdr>
        </w:div>
      </w:divsChild>
    </w:div>
    <w:div w:id="778329879">
      <w:bodyDiv w:val="1"/>
      <w:marLeft w:val="0"/>
      <w:marRight w:val="0"/>
      <w:marTop w:val="0"/>
      <w:marBottom w:val="0"/>
      <w:divBdr>
        <w:top w:val="none" w:sz="0" w:space="0" w:color="auto"/>
        <w:left w:val="none" w:sz="0" w:space="0" w:color="auto"/>
        <w:bottom w:val="none" w:sz="0" w:space="0" w:color="auto"/>
        <w:right w:val="none" w:sz="0" w:space="0" w:color="auto"/>
      </w:divBdr>
      <w:divsChild>
        <w:div w:id="1589037">
          <w:marLeft w:val="0"/>
          <w:marRight w:val="0"/>
          <w:marTop w:val="0"/>
          <w:marBottom w:val="0"/>
          <w:divBdr>
            <w:top w:val="none" w:sz="0" w:space="0" w:color="auto"/>
            <w:left w:val="none" w:sz="0" w:space="0" w:color="auto"/>
            <w:bottom w:val="none" w:sz="0" w:space="0" w:color="auto"/>
            <w:right w:val="none" w:sz="0" w:space="0" w:color="auto"/>
          </w:divBdr>
        </w:div>
      </w:divsChild>
    </w:div>
    <w:div w:id="779641189">
      <w:bodyDiv w:val="1"/>
      <w:marLeft w:val="0"/>
      <w:marRight w:val="0"/>
      <w:marTop w:val="0"/>
      <w:marBottom w:val="0"/>
      <w:divBdr>
        <w:top w:val="none" w:sz="0" w:space="0" w:color="auto"/>
        <w:left w:val="none" w:sz="0" w:space="0" w:color="auto"/>
        <w:bottom w:val="none" w:sz="0" w:space="0" w:color="auto"/>
        <w:right w:val="none" w:sz="0" w:space="0" w:color="auto"/>
      </w:divBdr>
      <w:divsChild>
        <w:div w:id="920875988">
          <w:marLeft w:val="0"/>
          <w:marRight w:val="0"/>
          <w:marTop w:val="0"/>
          <w:marBottom w:val="0"/>
          <w:divBdr>
            <w:top w:val="none" w:sz="0" w:space="0" w:color="auto"/>
            <w:left w:val="none" w:sz="0" w:space="0" w:color="auto"/>
            <w:bottom w:val="none" w:sz="0" w:space="0" w:color="auto"/>
            <w:right w:val="none" w:sz="0" w:space="0" w:color="auto"/>
          </w:divBdr>
        </w:div>
      </w:divsChild>
    </w:div>
    <w:div w:id="813108417">
      <w:bodyDiv w:val="1"/>
      <w:marLeft w:val="0"/>
      <w:marRight w:val="0"/>
      <w:marTop w:val="0"/>
      <w:marBottom w:val="0"/>
      <w:divBdr>
        <w:top w:val="none" w:sz="0" w:space="0" w:color="auto"/>
        <w:left w:val="none" w:sz="0" w:space="0" w:color="auto"/>
        <w:bottom w:val="none" w:sz="0" w:space="0" w:color="auto"/>
        <w:right w:val="none" w:sz="0" w:space="0" w:color="auto"/>
      </w:divBdr>
    </w:div>
    <w:div w:id="926963235">
      <w:bodyDiv w:val="1"/>
      <w:marLeft w:val="0"/>
      <w:marRight w:val="0"/>
      <w:marTop w:val="0"/>
      <w:marBottom w:val="0"/>
      <w:divBdr>
        <w:top w:val="none" w:sz="0" w:space="0" w:color="auto"/>
        <w:left w:val="none" w:sz="0" w:space="0" w:color="auto"/>
        <w:bottom w:val="none" w:sz="0" w:space="0" w:color="auto"/>
        <w:right w:val="none" w:sz="0" w:space="0" w:color="auto"/>
      </w:divBdr>
    </w:div>
    <w:div w:id="947931008">
      <w:bodyDiv w:val="1"/>
      <w:marLeft w:val="0"/>
      <w:marRight w:val="0"/>
      <w:marTop w:val="0"/>
      <w:marBottom w:val="0"/>
      <w:divBdr>
        <w:top w:val="none" w:sz="0" w:space="0" w:color="auto"/>
        <w:left w:val="none" w:sz="0" w:space="0" w:color="auto"/>
        <w:bottom w:val="none" w:sz="0" w:space="0" w:color="auto"/>
        <w:right w:val="none" w:sz="0" w:space="0" w:color="auto"/>
      </w:divBdr>
    </w:div>
    <w:div w:id="962275181">
      <w:bodyDiv w:val="1"/>
      <w:marLeft w:val="0"/>
      <w:marRight w:val="0"/>
      <w:marTop w:val="0"/>
      <w:marBottom w:val="0"/>
      <w:divBdr>
        <w:top w:val="none" w:sz="0" w:space="0" w:color="auto"/>
        <w:left w:val="none" w:sz="0" w:space="0" w:color="auto"/>
        <w:bottom w:val="none" w:sz="0" w:space="0" w:color="auto"/>
        <w:right w:val="none" w:sz="0" w:space="0" w:color="auto"/>
      </w:divBdr>
      <w:divsChild>
        <w:div w:id="213350197">
          <w:marLeft w:val="0"/>
          <w:marRight w:val="0"/>
          <w:marTop w:val="0"/>
          <w:marBottom w:val="0"/>
          <w:divBdr>
            <w:top w:val="none" w:sz="0" w:space="0" w:color="auto"/>
            <w:left w:val="none" w:sz="0" w:space="0" w:color="auto"/>
            <w:bottom w:val="none" w:sz="0" w:space="0" w:color="auto"/>
            <w:right w:val="none" w:sz="0" w:space="0" w:color="auto"/>
          </w:divBdr>
        </w:div>
        <w:div w:id="1263418869">
          <w:marLeft w:val="0"/>
          <w:marRight w:val="0"/>
          <w:marTop w:val="0"/>
          <w:marBottom w:val="0"/>
          <w:divBdr>
            <w:top w:val="none" w:sz="0" w:space="0" w:color="auto"/>
            <w:left w:val="none" w:sz="0" w:space="0" w:color="auto"/>
            <w:bottom w:val="none" w:sz="0" w:space="0" w:color="auto"/>
            <w:right w:val="none" w:sz="0" w:space="0" w:color="auto"/>
          </w:divBdr>
        </w:div>
        <w:div w:id="76942630">
          <w:marLeft w:val="0"/>
          <w:marRight w:val="0"/>
          <w:marTop w:val="0"/>
          <w:marBottom w:val="0"/>
          <w:divBdr>
            <w:top w:val="none" w:sz="0" w:space="0" w:color="auto"/>
            <w:left w:val="none" w:sz="0" w:space="0" w:color="auto"/>
            <w:bottom w:val="none" w:sz="0" w:space="0" w:color="auto"/>
            <w:right w:val="none" w:sz="0" w:space="0" w:color="auto"/>
          </w:divBdr>
        </w:div>
        <w:div w:id="1696807520">
          <w:marLeft w:val="0"/>
          <w:marRight w:val="0"/>
          <w:marTop w:val="0"/>
          <w:marBottom w:val="0"/>
          <w:divBdr>
            <w:top w:val="none" w:sz="0" w:space="0" w:color="auto"/>
            <w:left w:val="none" w:sz="0" w:space="0" w:color="auto"/>
            <w:bottom w:val="none" w:sz="0" w:space="0" w:color="auto"/>
            <w:right w:val="none" w:sz="0" w:space="0" w:color="auto"/>
          </w:divBdr>
        </w:div>
        <w:div w:id="449054435">
          <w:marLeft w:val="0"/>
          <w:marRight w:val="0"/>
          <w:marTop w:val="0"/>
          <w:marBottom w:val="0"/>
          <w:divBdr>
            <w:top w:val="none" w:sz="0" w:space="0" w:color="auto"/>
            <w:left w:val="none" w:sz="0" w:space="0" w:color="auto"/>
            <w:bottom w:val="none" w:sz="0" w:space="0" w:color="auto"/>
            <w:right w:val="none" w:sz="0" w:space="0" w:color="auto"/>
          </w:divBdr>
        </w:div>
        <w:div w:id="916087395">
          <w:marLeft w:val="0"/>
          <w:marRight w:val="0"/>
          <w:marTop w:val="0"/>
          <w:marBottom w:val="0"/>
          <w:divBdr>
            <w:top w:val="none" w:sz="0" w:space="0" w:color="auto"/>
            <w:left w:val="none" w:sz="0" w:space="0" w:color="auto"/>
            <w:bottom w:val="none" w:sz="0" w:space="0" w:color="auto"/>
            <w:right w:val="none" w:sz="0" w:space="0" w:color="auto"/>
          </w:divBdr>
        </w:div>
        <w:div w:id="644310308">
          <w:marLeft w:val="0"/>
          <w:marRight w:val="0"/>
          <w:marTop w:val="0"/>
          <w:marBottom w:val="0"/>
          <w:divBdr>
            <w:top w:val="none" w:sz="0" w:space="0" w:color="auto"/>
            <w:left w:val="none" w:sz="0" w:space="0" w:color="auto"/>
            <w:bottom w:val="none" w:sz="0" w:space="0" w:color="auto"/>
            <w:right w:val="none" w:sz="0" w:space="0" w:color="auto"/>
          </w:divBdr>
        </w:div>
      </w:divsChild>
    </w:div>
    <w:div w:id="974873478">
      <w:bodyDiv w:val="1"/>
      <w:marLeft w:val="0"/>
      <w:marRight w:val="0"/>
      <w:marTop w:val="0"/>
      <w:marBottom w:val="0"/>
      <w:divBdr>
        <w:top w:val="none" w:sz="0" w:space="0" w:color="auto"/>
        <w:left w:val="none" w:sz="0" w:space="0" w:color="auto"/>
        <w:bottom w:val="none" w:sz="0" w:space="0" w:color="auto"/>
        <w:right w:val="none" w:sz="0" w:space="0" w:color="auto"/>
      </w:divBdr>
      <w:divsChild>
        <w:div w:id="1889295835">
          <w:marLeft w:val="0"/>
          <w:marRight w:val="0"/>
          <w:marTop w:val="0"/>
          <w:marBottom w:val="0"/>
          <w:divBdr>
            <w:top w:val="none" w:sz="0" w:space="0" w:color="auto"/>
            <w:left w:val="none" w:sz="0" w:space="0" w:color="auto"/>
            <w:bottom w:val="none" w:sz="0" w:space="0" w:color="auto"/>
            <w:right w:val="none" w:sz="0" w:space="0" w:color="auto"/>
          </w:divBdr>
        </w:div>
      </w:divsChild>
    </w:div>
    <w:div w:id="1028289454">
      <w:bodyDiv w:val="1"/>
      <w:marLeft w:val="0"/>
      <w:marRight w:val="0"/>
      <w:marTop w:val="0"/>
      <w:marBottom w:val="0"/>
      <w:divBdr>
        <w:top w:val="none" w:sz="0" w:space="0" w:color="auto"/>
        <w:left w:val="none" w:sz="0" w:space="0" w:color="auto"/>
        <w:bottom w:val="none" w:sz="0" w:space="0" w:color="auto"/>
        <w:right w:val="none" w:sz="0" w:space="0" w:color="auto"/>
      </w:divBdr>
    </w:div>
    <w:div w:id="1030884863">
      <w:bodyDiv w:val="1"/>
      <w:marLeft w:val="0"/>
      <w:marRight w:val="0"/>
      <w:marTop w:val="0"/>
      <w:marBottom w:val="0"/>
      <w:divBdr>
        <w:top w:val="none" w:sz="0" w:space="0" w:color="auto"/>
        <w:left w:val="none" w:sz="0" w:space="0" w:color="auto"/>
        <w:bottom w:val="none" w:sz="0" w:space="0" w:color="auto"/>
        <w:right w:val="none" w:sz="0" w:space="0" w:color="auto"/>
      </w:divBdr>
    </w:div>
    <w:div w:id="1060786157">
      <w:bodyDiv w:val="1"/>
      <w:marLeft w:val="0"/>
      <w:marRight w:val="0"/>
      <w:marTop w:val="0"/>
      <w:marBottom w:val="0"/>
      <w:divBdr>
        <w:top w:val="none" w:sz="0" w:space="0" w:color="auto"/>
        <w:left w:val="none" w:sz="0" w:space="0" w:color="auto"/>
        <w:bottom w:val="none" w:sz="0" w:space="0" w:color="auto"/>
        <w:right w:val="none" w:sz="0" w:space="0" w:color="auto"/>
      </w:divBdr>
    </w:div>
    <w:div w:id="1060985571">
      <w:bodyDiv w:val="1"/>
      <w:marLeft w:val="0"/>
      <w:marRight w:val="0"/>
      <w:marTop w:val="0"/>
      <w:marBottom w:val="0"/>
      <w:divBdr>
        <w:top w:val="none" w:sz="0" w:space="0" w:color="auto"/>
        <w:left w:val="none" w:sz="0" w:space="0" w:color="auto"/>
        <w:bottom w:val="none" w:sz="0" w:space="0" w:color="auto"/>
        <w:right w:val="none" w:sz="0" w:space="0" w:color="auto"/>
      </w:divBdr>
      <w:divsChild>
        <w:div w:id="834491565">
          <w:marLeft w:val="0"/>
          <w:marRight w:val="0"/>
          <w:marTop w:val="0"/>
          <w:marBottom w:val="0"/>
          <w:divBdr>
            <w:top w:val="none" w:sz="0" w:space="0" w:color="auto"/>
            <w:left w:val="none" w:sz="0" w:space="0" w:color="auto"/>
            <w:bottom w:val="none" w:sz="0" w:space="0" w:color="auto"/>
            <w:right w:val="none" w:sz="0" w:space="0" w:color="auto"/>
          </w:divBdr>
        </w:div>
        <w:div w:id="64378958">
          <w:marLeft w:val="0"/>
          <w:marRight w:val="0"/>
          <w:marTop w:val="0"/>
          <w:marBottom w:val="0"/>
          <w:divBdr>
            <w:top w:val="none" w:sz="0" w:space="0" w:color="auto"/>
            <w:left w:val="none" w:sz="0" w:space="0" w:color="auto"/>
            <w:bottom w:val="none" w:sz="0" w:space="0" w:color="auto"/>
            <w:right w:val="none" w:sz="0" w:space="0" w:color="auto"/>
          </w:divBdr>
        </w:div>
        <w:div w:id="1142968203">
          <w:marLeft w:val="0"/>
          <w:marRight w:val="0"/>
          <w:marTop w:val="0"/>
          <w:marBottom w:val="0"/>
          <w:divBdr>
            <w:top w:val="none" w:sz="0" w:space="0" w:color="auto"/>
            <w:left w:val="none" w:sz="0" w:space="0" w:color="auto"/>
            <w:bottom w:val="none" w:sz="0" w:space="0" w:color="auto"/>
            <w:right w:val="none" w:sz="0" w:space="0" w:color="auto"/>
          </w:divBdr>
        </w:div>
        <w:div w:id="351953767">
          <w:marLeft w:val="0"/>
          <w:marRight w:val="0"/>
          <w:marTop w:val="0"/>
          <w:marBottom w:val="0"/>
          <w:divBdr>
            <w:top w:val="none" w:sz="0" w:space="0" w:color="auto"/>
            <w:left w:val="none" w:sz="0" w:space="0" w:color="auto"/>
            <w:bottom w:val="none" w:sz="0" w:space="0" w:color="auto"/>
            <w:right w:val="none" w:sz="0" w:space="0" w:color="auto"/>
          </w:divBdr>
        </w:div>
        <w:div w:id="337925231">
          <w:marLeft w:val="0"/>
          <w:marRight w:val="0"/>
          <w:marTop w:val="0"/>
          <w:marBottom w:val="0"/>
          <w:divBdr>
            <w:top w:val="none" w:sz="0" w:space="0" w:color="auto"/>
            <w:left w:val="none" w:sz="0" w:space="0" w:color="auto"/>
            <w:bottom w:val="none" w:sz="0" w:space="0" w:color="auto"/>
            <w:right w:val="none" w:sz="0" w:space="0" w:color="auto"/>
          </w:divBdr>
        </w:div>
        <w:div w:id="933783878">
          <w:marLeft w:val="0"/>
          <w:marRight w:val="0"/>
          <w:marTop w:val="0"/>
          <w:marBottom w:val="0"/>
          <w:divBdr>
            <w:top w:val="none" w:sz="0" w:space="0" w:color="auto"/>
            <w:left w:val="none" w:sz="0" w:space="0" w:color="auto"/>
            <w:bottom w:val="none" w:sz="0" w:space="0" w:color="auto"/>
            <w:right w:val="none" w:sz="0" w:space="0" w:color="auto"/>
          </w:divBdr>
        </w:div>
      </w:divsChild>
    </w:div>
    <w:div w:id="1065878585">
      <w:bodyDiv w:val="1"/>
      <w:marLeft w:val="0"/>
      <w:marRight w:val="0"/>
      <w:marTop w:val="0"/>
      <w:marBottom w:val="0"/>
      <w:divBdr>
        <w:top w:val="none" w:sz="0" w:space="0" w:color="auto"/>
        <w:left w:val="none" w:sz="0" w:space="0" w:color="auto"/>
        <w:bottom w:val="none" w:sz="0" w:space="0" w:color="auto"/>
        <w:right w:val="none" w:sz="0" w:space="0" w:color="auto"/>
      </w:divBdr>
    </w:div>
    <w:div w:id="1093165928">
      <w:bodyDiv w:val="1"/>
      <w:marLeft w:val="0"/>
      <w:marRight w:val="0"/>
      <w:marTop w:val="0"/>
      <w:marBottom w:val="0"/>
      <w:divBdr>
        <w:top w:val="none" w:sz="0" w:space="0" w:color="auto"/>
        <w:left w:val="none" w:sz="0" w:space="0" w:color="auto"/>
        <w:bottom w:val="none" w:sz="0" w:space="0" w:color="auto"/>
        <w:right w:val="none" w:sz="0" w:space="0" w:color="auto"/>
      </w:divBdr>
      <w:divsChild>
        <w:div w:id="628779184">
          <w:marLeft w:val="0"/>
          <w:marRight w:val="0"/>
          <w:marTop w:val="0"/>
          <w:marBottom w:val="0"/>
          <w:divBdr>
            <w:top w:val="none" w:sz="0" w:space="0" w:color="auto"/>
            <w:left w:val="none" w:sz="0" w:space="0" w:color="auto"/>
            <w:bottom w:val="none" w:sz="0" w:space="0" w:color="auto"/>
            <w:right w:val="none" w:sz="0" w:space="0" w:color="auto"/>
          </w:divBdr>
        </w:div>
      </w:divsChild>
    </w:div>
    <w:div w:id="1099328784">
      <w:bodyDiv w:val="1"/>
      <w:marLeft w:val="0"/>
      <w:marRight w:val="0"/>
      <w:marTop w:val="0"/>
      <w:marBottom w:val="0"/>
      <w:divBdr>
        <w:top w:val="none" w:sz="0" w:space="0" w:color="auto"/>
        <w:left w:val="none" w:sz="0" w:space="0" w:color="auto"/>
        <w:bottom w:val="none" w:sz="0" w:space="0" w:color="auto"/>
        <w:right w:val="none" w:sz="0" w:space="0" w:color="auto"/>
      </w:divBdr>
    </w:div>
    <w:div w:id="1108741155">
      <w:bodyDiv w:val="1"/>
      <w:marLeft w:val="0"/>
      <w:marRight w:val="0"/>
      <w:marTop w:val="0"/>
      <w:marBottom w:val="0"/>
      <w:divBdr>
        <w:top w:val="none" w:sz="0" w:space="0" w:color="auto"/>
        <w:left w:val="none" w:sz="0" w:space="0" w:color="auto"/>
        <w:bottom w:val="none" w:sz="0" w:space="0" w:color="auto"/>
        <w:right w:val="none" w:sz="0" w:space="0" w:color="auto"/>
      </w:divBdr>
      <w:divsChild>
        <w:div w:id="540750792">
          <w:marLeft w:val="0"/>
          <w:marRight w:val="0"/>
          <w:marTop w:val="0"/>
          <w:marBottom w:val="0"/>
          <w:divBdr>
            <w:top w:val="none" w:sz="0" w:space="0" w:color="auto"/>
            <w:left w:val="none" w:sz="0" w:space="0" w:color="auto"/>
            <w:bottom w:val="none" w:sz="0" w:space="0" w:color="auto"/>
            <w:right w:val="none" w:sz="0" w:space="0" w:color="auto"/>
          </w:divBdr>
        </w:div>
        <w:div w:id="314917143">
          <w:marLeft w:val="0"/>
          <w:marRight w:val="0"/>
          <w:marTop w:val="0"/>
          <w:marBottom w:val="0"/>
          <w:divBdr>
            <w:top w:val="none" w:sz="0" w:space="0" w:color="auto"/>
            <w:left w:val="none" w:sz="0" w:space="0" w:color="auto"/>
            <w:bottom w:val="none" w:sz="0" w:space="0" w:color="auto"/>
            <w:right w:val="none" w:sz="0" w:space="0" w:color="auto"/>
          </w:divBdr>
        </w:div>
        <w:div w:id="1000545073">
          <w:marLeft w:val="0"/>
          <w:marRight w:val="0"/>
          <w:marTop w:val="0"/>
          <w:marBottom w:val="0"/>
          <w:divBdr>
            <w:top w:val="none" w:sz="0" w:space="0" w:color="auto"/>
            <w:left w:val="none" w:sz="0" w:space="0" w:color="auto"/>
            <w:bottom w:val="none" w:sz="0" w:space="0" w:color="auto"/>
            <w:right w:val="none" w:sz="0" w:space="0" w:color="auto"/>
          </w:divBdr>
        </w:div>
      </w:divsChild>
    </w:div>
    <w:div w:id="1115101333">
      <w:bodyDiv w:val="1"/>
      <w:marLeft w:val="0"/>
      <w:marRight w:val="0"/>
      <w:marTop w:val="0"/>
      <w:marBottom w:val="0"/>
      <w:divBdr>
        <w:top w:val="none" w:sz="0" w:space="0" w:color="auto"/>
        <w:left w:val="none" w:sz="0" w:space="0" w:color="auto"/>
        <w:bottom w:val="none" w:sz="0" w:space="0" w:color="auto"/>
        <w:right w:val="none" w:sz="0" w:space="0" w:color="auto"/>
      </w:divBdr>
      <w:divsChild>
        <w:div w:id="114980450">
          <w:marLeft w:val="0"/>
          <w:marRight w:val="0"/>
          <w:marTop w:val="0"/>
          <w:marBottom w:val="0"/>
          <w:divBdr>
            <w:top w:val="none" w:sz="0" w:space="0" w:color="auto"/>
            <w:left w:val="none" w:sz="0" w:space="0" w:color="auto"/>
            <w:bottom w:val="none" w:sz="0" w:space="0" w:color="auto"/>
            <w:right w:val="none" w:sz="0" w:space="0" w:color="auto"/>
          </w:divBdr>
        </w:div>
        <w:div w:id="1835491802">
          <w:marLeft w:val="0"/>
          <w:marRight w:val="0"/>
          <w:marTop w:val="0"/>
          <w:marBottom w:val="0"/>
          <w:divBdr>
            <w:top w:val="none" w:sz="0" w:space="0" w:color="auto"/>
            <w:left w:val="none" w:sz="0" w:space="0" w:color="auto"/>
            <w:bottom w:val="none" w:sz="0" w:space="0" w:color="auto"/>
            <w:right w:val="none" w:sz="0" w:space="0" w:color="auto"/>
          </w:divBdr>
        </w:div>
      </w:divsChild>
    </w:div>
    <w:div w:id="1196233694">
      <w:bodyDiv w:val="1"/>
      <w:marLeft w:val="0"/>
      <w:marRight w:val="0"/>
      <w:marTop w:val="0"/>
      <w:marBottom w:val="0"/>
      <w:divBdr>
        <w:top w:val="none" w:sz="0" w:space="0" w:color="auto"/>
        <w:left w:val="none" w:sz="0" w:space="0" w:color="auto"/>
        <w:bottom w:val="none" w:sz="0" w:space="0" w:color="auto"/>
        <w:right w:val="none" w:sz="0" w:space="0" w:color="auto"/>
      </w:divBdr>
    </w:div>
    <w:div w:id="1246915345">
      <w:bodyDiv w:val="1"/>
      <w:marLeft w:val="0"/>
      <w:marRight w:val="0"/>
      <w:marTop w:val="0"/>
      <w:marBottom w:val="0"/>
      <w:divBdr>
        <w:top w:val="none" w:sz="0" w:space="0" w:color="auto"/>
        <w:left w:val="none" w:sz="0" w:space="0" w:color="auto"/>
        <w:bottom w:val="none" w:sz="0" w:space="0" w:color="auto"/>
        <w:right w:val="none" w:sz="0" w:space="0" w:color="auto"/>
      </w:divBdr>
      <w:divsChild>
        <w:div w:id="1870603111">
          <w:marLeft w:val="0"/>
          <w:marRight w:val="0"/>
          <w:marTop w:val="0"/>
          <w:marBottom w:val="0"/>
          <w:divBdr>
            <w:top w:val="none" w:sz="0" w:space="0" w:color="auto"/>
            <w:left w:val="none" w:sz="0" w:space="0" w:color="auto"/>
            <w:bottom w:val="none" w:sz="0" w:space="0" w:color="auto"/>
            <w:right w:val="none" w:sz="0" w:space="0" w:color="auto"/>
          </w:divBdr>
        </w:div>
      </w:divsChild>
    </w:div>
    <w:div w:id="1279289071">
      <w:bodyDiv w:val="1"/>
      <w:marLeft w:val="0"/>
      <w:marRight w:val="0"/>
      <w:marTop w:val="0"/>
      <w:marBottom w:val="0"/>
      <w:divBdr>
        <w:top w:val="none" w:sz="0" w:space="0" w:color="auto"/>
        <w:left w:val="none" w:sz="0" w:space="0" w:color="auto"/>
        <w:bottom w:val="none" w:sz="0" w:space="0" w:color="auto"/>
        <w:right w:val="none" w:sz="0" w:space="0" w:color="auto"/>
      </w:divBdr>
    </w:div>
    <w:div w:id="1317224557">
      <w:bodyDiv w:val="1"/>
      <w:marLeft w:val="0"/>
      <w:marRight w:val="0"/>
      <w:marTop w:val="0"/>
      <w:marBottom w:val="0"/>
      <w:divBdr>
        <w:top w:val="none" w:sz="0" w:space="0" w:color="auto"/>
        <w:left w:val="none" w:sz="0" w:space="0" w:color="auto"/>
        <w:bottom w:val="none" w:sz="0" w:space="0" w:color="auto"/>
        <w:right w:val="none" w:sz="0" w:space="0" w:color="auto"/>
      </w:divBdr>
      <w:divsChild>
        <w:div w:id="1134257361">
          <w:marLeft w:val="0"/>
          <w:marRight w:val="0"/>
          <w:marTop w:val="0"/>
          <w:marBottom w:val="0"/>
          <w:divBdr>
            <w:top w:val="none" w:sz="0" w:space="0" w:color="auto"/>
            <w:left w:val="none" w:sz="0" w:space="0" w:color="auto"/>
            <w:bottom w:val="none" w:sz="0" w:space="0" w:color="auto"/>
            <w:right w:val="none" w:sz="0" w:space="0" w:color="auto"/>
          </w:divBdr>
        </w:div>
      </w:divsChild>
    </w:div>
    <w:div w:id="1348602866">
      <w:bodyDiv w:val="1"/>
      <w:marLeft w:val="0"/>
      <w:marRight w:val="0"/>
      <w:marTop w:val="0"/>
      <w:marBottom w:val="0"/>
      <w:divBdr>
        <w:top w:val="none" w:sz="0" w:space="0" w:color="auto"/>
        <w:left w:val="none" w:sz="0" w:space="0" w:color="auto"/>
        <w:bottom w:val="none" w:sz="0" w:space="0" w:color="auto"/>
        <w:right w:val="none" w:sz="0" w:space="0" w:color="auto"/>
      </w:divBdr>
      <w:divsChild>
        <w:div w:id="1408575783">
          <w:marLeft w:val="0"/>
          <w:marRight w:val="0"/>
          <w:marTop w:val="0"/>
          <w:marBottom w:val="0"/>
          <w:divBdr>
            <w:top w:val="none" w:sz="0" w:space="0" w:color="auto"/>
            <w:left w:val="none" w:sz="0" w:space="0" w:color="auto"/>
            <w:bottom w:val="none" w:sz="0" w:space="0" w:color="auto"/>
            <w:right w:val="none" w:sz="0" w:space="0" w:color="auto"/>
          </w:divBdr>
        </w:div>
      </w:divsChild>
    </w:div>
    <w:div w:id="1402366642">
      <w:bodyDiv w:val="1"/>
      <w:marLeft w:val="0"/>
      <w:marRight w:val="0"/>
      <w:marTop w:val="0"/>
      <w:marBottom w:val="0"/>
      <w:divBdr>
        <w:top w:val="none" w:sz="0" w:space="0" w:color="auto"/>
        <w:left w:val="none" w:sz="0" w:space="0" w:color="auto"/>
        <w:bottom w:val="none" w:sz="0" w:space="0" w:color="auto"/>
        <w:right w:val="none" w:sz="0" w:space="0" w:color="auto"/>
      </w:divBdr>
    </w:div>
    <w:div w:id="1446920750">
      <w:bodyDiv w:val="1"/>
      <w:marLeft w:val="0"/>
      <w:marRight w:val="0"/>
      <w:marTop w:val="0"/>
      <w:marBottom w:val="0"/>
      <w:divBdr>
        <w:top w:val="none" w:sz="0" w:space="0" w:color="auto"/>
        <w:left w:val="none" w:sz="0" w:space="0" w:color="auto"/>
        <w:bottom w:val="none" w:sz="0" w:space="0" w:color="auto"/>
        <w:right w:val="none" w:sz="0" w:space="0" w:color="auto"/>
      </w:divBdr>
      <w:divsChild>
        <w:div w:id="682437033">
          <w:marLeft w:val="0"/>
          <w:marRight w:val="0"/>
          <w:marTop w:val="0"/>
          <w:marBottom w:val="0"/>
          <w:divBdr>
            <w:top w:val="none" w:sz="0" w:space="0" w:color="auto"/>
            <w:left w:val="none" w:sz="0" w:space="0" w:color="auto"/>
            <w:bottom w:val="none" w:sz="0" w:space="0" w:color="auto"/>
            <w:right w:val="none" w:sz="0" w:space="0" w:color="auto"/>
          </w:divBdr>
        </w:div>
      </w:divsChild>
    </w:div>
    <w:div w:id="1449277451">
      <w:bodyDiv w:val="1"/>
      <w:marLeft w:val="0"/>
      <w:marRight w:val="0"/>
      <w:marTop w:val="0"/>
      <w:marBottom w:val="0"/>
      <w:divBdr>
        <w:top w:val="none" w:sz="0" w:space="0" w:color="auto"/>
        <w:left w:val="none" w:sz="0" w:space="0" w:color="auto"/>
        <w:bottom w:val="none" w:sz="0" w:space="0" w:color="auto"/>
        <w:right w:val="none" w:sz="0" w:space="0" w:color="auto"/>
      </w:divBdr>
    </w:div>
    <w:div w:id="1453594965">
      <w:bodyDiv w:val="1"/>
      <w:marLeft w:val="0"/>
      <w:marRight w:val="0"/>
      <w:marTop w:val="0"/>
      <w:marBottom w:val="0"/>
      <w:divBdr>
        <w:top w:val="none" w:sz="0" w:space="0" w:color="auto"/>
        <w:left w:val="none" w:sz="0" w:space="0" w:color="auto"/>
        <w:bottom w:val="none" w:sz="0" w:space="0" w:color="auto"/>
        <w:right w:val="none" w:sz="0" w:space="0" w:color="auto"/>
      </w:divBdr>
    </w:div>
    <w:div w:id="15016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9255">
          <w:marLeft w:val="0"/>
          <w:marRight w:val="0"/>
          <w:marTop w:val="0"/>
          <w:marBottom w:val="0"/>
          <w:divBdr>
            <w:top w:val="none" w:sz="0" w:space="0" w:color="auto"/>
            <w:left w:val="none" w:sz="0" w:space="0" w:color="auto"/>
            <w:bottom w:val="none" w:sz="0" w:space="0" w:color="auto"/>
            <w:right w:val="none" w:sz="0" w:space="0" w:color="auto"/>
          </w:divBdr>
        </w:div>
      </w:divsChild>
    </w:div>
    <w:div w:id="1512060381">
      <w:bodyDiv w:val="1"/>
      <w:marLeft w:val="0"/>
      <w:marRight w:val="0"/>
      <w:marTop w:val="0"/>
      <w:marBottom w:val="0"/>
      <w:divBdr>
        <w:top w:val="none" w:sz="0" w:space="0" w:color="auto"/>
        <w:left w:val="none" w:sz="0" w:space="0" w:color="auto"/>
        <w:bottom w:val="none" w:sz="0" w:space="0" w:color="auto"/>
        <w:right w:val="none" w:sz="0" w:space="0" w:color="auto"/>
      </w:divBdr>
    </w:div>
    <w:div w:id="1524055363">
      <w:bodyDiv w:val="1"/>
      <w:marLeft w:val="0"/>
      <w:marRight w:val="0"/>
      <w:marTop w:val="0"/>
      <w:marBottom w:val="0"/>
      <w:divBdr>
        <w:top w:val="none" w:sz="0" w:space="0" w:color="auto"/>
        <w:left w:val="none" w:sz="0" w:space="0" w:color="auto"/>
        <w:bottom w:val="none" w:sz="0" w:space="0" w:color="auto"/>
        <w:right w:val="none" w:sz="0" w:space="0" w:color="auto"/>
      </w:divBdr>
    </w:div>
    <w:div w:id="1557351458">
      <w:bodyDiv w:val="1"/>
      <w:marLeft w:val="0"/>
      <w:marRight w:val="0"/>
      <w:marTop w:val="0"/>
      <w:marBottom w:val="0"/>
      <w:divBdr>
        <w:top w:val="none" w:sz="0" w:space="0" w:color="auto"/>
        <w:left w:val="none" w:sz="0" w:space="0" w:color="auto"/>
        <w:bottom w:val="none" w:sz="0" w:space="0" w:color="auto"/>
        <w:right w:val="none" w:sz="0" w:space="0" w:color="auto"/>
      </w:divBdr>
    </w:div>
    <w:div w:id="1641809042">
      <w:bodyDiv w:val="1"/>
      <w:marLeft w:val="0"/>
      <w:marRight w:val="0"/>
      <w:marTop w:val="0"/>
      <w:marBottom w:val="0"/>
      <w:divBdr>
        <w:top w:val="none" w:sz="0" w:space="0" w:color="auto"/>
        <w:left w:val="none" w:sz="0" w:space="0" w:color="auto"/>
        <w:bottom w:val="none" w:sz="0" w:space="0" w:color="auto"/>
        <w:right w:val="none" w:sz="0" w:space="0" w:color="auto"/>
      </w:divBdr>
      <w:divsChild>
        <w:div w:id="1468669700">
          <w:marLeft w:val="0"/>
          <w:marRight w:val="0"/>
          <w:marTop w:val="0"/>
          <w:marBottom w:val="0"/>
          <w:divBdr>
            <w:top w:val="none" w:sz="0" w:space="0" w:color="auto"/>
            <w:left w:val="none" w:sz="0" w:space="0" w:color="auto"/>
            <w:bottom w:val="none" w:sz="0" w:space="0" w:color="auto"/>
            <w:right w:val="none" w:sz="0" w:space="0" w:color="auto"/>
          </w:divBdr>
        </w:div>
      </w:divsChild>
    </w:div>
    <w:div w:id="1665744173">
      <w:bodyDiv w:val="1"/>
      <w:marLeft w:val="0"/>
      <w:marRight w:val="0"/>
      <w:marTop w:val="0"/>
      <w:marBottom w:val="0"/>
      <w:divBdr>
        <w:top w:val="none" w:sz="0" w:space="0" w:color="auto"/>
        <w:left w:val="none" w:sz="0" w:space="0" w:color="auto"/>
        <w:bottom w:val="none" w:sz="0" w:space="0" w:color="auto"/>
        <w:right w:val="none" w:sz="0" w:space="0" w:color="auto"/>
      </w:divBdr>
      <w:divsChild>
        <w:div w:id="1439106708">
          <w:marLeft w:val="0"/>
          <w:marRight w:val="0"/>
          <w:marTop w:val="0"/>
          <w:marBottom w:val="0"/>
          <w:divBdr>
            <w:top w:val="none" w:sz="0" w:space="0" w:color="auto"/>
            <w:left w:val="none" w:sz="0" w:space="0" w:color="auto"/>
            <w:bottom w:val="none" w:sz="0" w:space="0" w:color="auto"/>
            <w:right w:val="none" w:sz="0" w:space="0" w:color="auto"/>
          </w:divBdr>
        </w:div>
      </w:divsChild>
    </w:div>
    <w:div w:id="1666670397">
      <w:bodyDiv w:val="1"/>
      <w:marLeft w:val="0"/>
      <w:marRight w:val="0"/>
      <w:marTop w:val="0"/>
      <w:marBottom w:val="0"/>
      <w:divBdr>
        <w:top w:val="none" w:sz="0" w:space="0" w:color="auto"/>
        <w:left w:val="none" w:sz="0" w:space="0" w:color="auto"/>
        <w:bottom w:val="none" w:sz="0" w:space="0" w:color="auto"/>
        <w:right w:val="none" w:sz="0" w:space="0" w:color="auto"/>
      </w:divBdr>
      <w:divsChild>
        <w:div w:id="104346270">
          <w:marLeft w:val="0"/>
          <w:marRight w:val="0"/>
          <w:marTop w:val="0"/>
          <w:marBottom w:val="0"/>
          <w:divBdr>
            <w:top w:val="none" w:sz="0" w:space="0" w:color="auto"/>
            <w:left w:val="none" w:sz="0" w:space="0" w:color="auto"/>
            <w:bottom w:val="none" w:sz="0" w:space="0" w:color="auto"/>
            <w:right w:val="none" w:sz="0" w:space="0" w:color="auto"/>
          </w:divBdr>
        </w:div>
      </w:divsChild>
    </w:div>
    <w:div w:id="1673607133">
      <w:bodyDiv w:val="1"/>
      <w:marLeft w:val="0"/>
      <w:marRight w:val="0"/>
      <w:marTop w:val="0"/>
      <w:marBottom w:val="0"/>
      <w:divBdr>
        <w:top w:val="none" w:sz="0" w:space="0" w:color="auto"/>
        <w:left w:val="none" w:sz="0" w:space="0" w:color="auto"/>
        <w:bottom w:val="none" w:sz="0" w:space="0" w:color="auto"/>
        <w:right w:val="none" w:sz="0" w:space="0" w:color="auto"/>
      </w:divBdr>
      <w:divsChild>
        <w:div w:id="643124148">
          <w:marLeft w:val="0"/>
          <w:marRight w:val="0"/>
          <w:marTop w:val="0"/>
          <w:marBottom w:val="0"/>
          <w:divBdr>
            <w:top w:val="none" w:sz="0" w:space="0" w:color="auto"/>
            <w:left w:val="none" w:sz="0" w:space="0" w:color="auto"/>
            <w:bottom w:val="none" w:sz="0" w:space="0" w:color="auto"/>
            <w:right w:val="none" w:sz="0" w:space="0" w:color="auto"/>
          </w:divBdr>
        </w:div>
      </w:divsChild>
    </w:div>
    <w:div w:id="1733697591">
      <w:bodyDiv w:val="1"/>
      <w:marLeft w:val="0"/>
      <w:marRight w:val="0"/>
      <w:marTop w:val="0"/>
      <w:marBottom w:val="0"/>
      <w:divBdr>
        <w:top w:val="none" w:sz="0" w:space="0" w:color="auto"/>
        <w:left w:val="none" w:sz="0" w:space="0" w:color="auto"/>
        <w:bottom w:val="none" w:sz="0" w:space="0" w:color="auto"/>
        <w:right w:val="none" w:sz="0" w:space="0" w:color="auto"/>
      </w:divBdr>
    </w:div>
    <w:div w:id="1761829135">
      <w:bodyDiv w:val="1"/>
      <w:marLeft w:val="0"/>
      <w:marRight w:val="0"/>
      <w:marTop w:val="0"/>
      <w:marBottom w:val="0"/>
      <w:divBdr>
        <w:top w:val="none" w:sz="0" w:space="0" w:color="auto"/>
        <w:left w:val="none" w:sz="0" w:space="0" w:color="auto"/>
        <w:bottom w:val="none" w:sz="0" w:space="0" w:color="auto"/>
        <w:right w:val="none" w:sz="0" w:space="0" w:color="auto"/>
      </w:divBdr>
      <w:divsChild>
        <w:div w:id="1732272121">
          <w:marLeft w:val="0"/>
          <w:marRight w:val="0"/>
          <w:marTop w:val="0"/>
          <w:marBottom w:val="0"/>
          <w:divBdr>
            <w:top w:val="none" w:sz="0" w:space="0" w:color="auto"/>
            <w:left w:val="none" w:sz="0" w:space="0" w:color="auto"/>
            <w:bottom w:val="none" w:sz="0" w:space="0" w:color="auto"/>
            <w:right w:val="none" w:sz="0" w:space="0" w:color="auto"/>
          </w:divBdr>
        </w:div>
      </w:divsChild>
    </w:div>
    <w:div w:id="1778788065">
      <w:bodyDiv w:val="1"/>
      <w:marLeft w:val="0"/>
      <w:marRight w:val="0"/>
      <w:marTop w:val="0"/>
      <w:marBottom w:val="0"/>
      <w:divBdr>
        <w:top w:val="none" w:sz="0" w:space="0" w:color="auto"/>
        <w:left w:val="none" w:sz="0" w:space="0" w:color="auto"/>
        <w:bottom w:val="none" w:sz="0" w:space="0" w:color="auto"/>
        <w:right w:val="none" w:sz="0" w:space="0" w:color="auto"/>
      </w:divBdr>
      <w:divsChild>
        <w:div w:id="969285400">
          <w:marLeft w:val="0"/>
          <w:marRight w:val="0"/>
          <w:marTop w:val="0"/>
          <w:marBottom w:val="0"/>
          <w:divBdr>
            <w:top w:val="none" w:sz="0" w:space="0" w:color="auto"/>
            <w:left w:val="none" w:sz="0" w:space="0" w:color="auto"/>
            <w:bottom w:val="none" w:sz="0" w:space="0" w:color="auto"/>
            <w:right w:val="none" w:sz="0" w:space="0" w:color="auto"/>
          </w:divBdr>
        </w:div>
      </w:divsChild>
    </w:div>
    <w:div w:id="1788936293">
      <w:bodyDiv w:val="1"/>
      <w:marLeft w:val="0"/>
      <w:marRight w:val="0"/>
      <w:marTop w:val="0"/>
      <w:marBottom w:val="0"/>
      <w:divBdr>
        <w:top w:val="none" w:sz="0" w:space="0" w:color="auto"/>
        <w:left w:val="none" w:sz="0" w:space="0" w:color="auto"/>
        <w:bottom w:val="none" w:sz="0" w:space="0" w:color="auto"/>
        <w:right w:val="none" w:sz="0" w:space="0" w:color="auto"/>
      </w:divBdr>
    </w:div>
    <w:div w:id="1809467267">
      <w:bodyDiv w:val="1"/>
      <w:marLeft w:val="0"/>
      <w:marRight w:val="0"/>
      <w:marTop w:val="0"/>
      <w:marBottom w:val="0"/>
      <w:divBdr>
        <w:top w:val="none" w:sz="0" w:space="0" w:color="auto"/>
        <w:left w:val="none" w:sz="0" w:space="0" w:color="auto"/>
        <w:bottom w:val="none" w:sz="0" w:space="0" w:color="auto"/>
        <w:right w:val="none" w:sz="0" w:space="0" w:color="auto"/>
      </w:divBdr>
    </w:div>
    <w:div w:id="1826244716">
      <w:bodyDiv w:val="1"/>
      <w:marLeft w:val="0"/>
      <w:marRight w:val="0"/>
      <w:marTop w:val="0"/>
      <w:marBottom w:val="0"/>
      <w:divBdr>
        <w:top w:val="none" w:sz="0" w:space="0" w:color="auto"/>
        <w:left w:val="none" w:sz="0" w:space="0" w:color="auto"/>
        <w:bottom w:val="none" w:sz="0" w:space="0" w:color="auto"/>
        <w:right w:val="none" w:sz="0" w:space="0" w:color="auto"/>
      </w:divBdr>
    </w:div>
    <w:div w:id="1901593894">
      <w:bodyDiv w:val="1"/>
      <w:marLeft w:val="0"/>
      <w:marRight w:val="0"/>
      <w:marTop w:val="0"/>
      <w:marBottom w:val="0"/>
      <w:divBdr>
        <w:top w:val="none" w:sz="0" w:space="0" w:color="auto"/>
        <w:left w:val="none" w:sz="0" w:space="0" w:color="auto"/>
        <w:bottom w:val="none" w:sz="0" w:space="0" w:color="auto"/>
        <w:right w:val="none" w:sz="0" w:space="0" w:color="auto"/>
      </w:divBdr>
    </w:div>
    <w:div w:id="1932270758">
      <w:bodyDiv w:val="1"/>
      <w:marLeft w:val="0"/>
      <w:marRight w:val="0"/>
      <w:marTop w:val="0"/>
      <w:marBottom w:val="0"/>
      <w:divBdr>
        <w:top w:val="none" w:sz="0" w:space="0" w:color="auto"/>
        <w:left w:val="none" w:sz="0" w:space="0" w:color="auto"/>
        <w:bottom w:val="none" w:sz="0" w:space="0" w:color="auto"/>
        <w:right w:val="none" w:sz="0" w:space="0" w:color="auto"/>
      </w:divBdr>
      <w:divsChild>
        <w:div w:id="538249993">
          <w:marLeft w:val="0"/>
          <w:marRight w:val="0"/>
          <w:marTop w:val="0"/>
          <w:marBottom w:val="0"/>
          <w:divBdr>
            <w:top w:val="none" w:sz="0" w:space="0" w:color="auto"/>
            <w:left w:val="none" w:sz="0" w:space="0" w:color="auto"/>
            <w:bottom w:val="none" w:sz="0" w:space="0" w:color="auto"/>
            <w:right w:val="none" w:sz="0" w:space="0" w:color="auto"/>
          </w:divBdr>
        </w:div>
      </w:divsChild>
    </w:div>
    <w:div w:id="1963993030">
      <w:bodyDiv w:val="1"/>
      <w:marLeft w:val="0"/>
      <w:marRight w:val="0"/>
      <w:marTop w:val="0"/>
      <w:marBottom w:val="0"/>
      <w:divBdr>
        <w:top w:val="none" w:sz="0" w:space="0" w:color="auto"/>
        <w:left w:val="none" w:sz="0" w:space="0" w:color="auto"/>
        <w:bottom w:val="none" w:sz="0" w:space="0" w:color="auto"/>
        <w:right w:val="none" w:sz="0" w:space="0" w:color="auto"/>
      </w:divBdr>
    </w:div>
    <w:div w:id="1978022373">
      <w:bodyDiv w:val="1"/>
      <w:marLeft w:val="0"/>
      <w:marRight w:val="0"/>
      <w:marTop w:val="0"/>
      <w:marBottom w:val="0"/>
      <w:divBdr>
        <w:top w:val="none" w:sz="0" w:space="0" w:color="auto"/>
        <w:left w:val="none" w:sz="0" w:space="0" w:color="auto"/>
        <w:bottom w:val="none" w:sz="0" w:space="0" w:color="auto"/>
        <w:right w:val="none" w:sz="0" w:space="0" w:color="auto"/>
      </w:divBdr>
    </w:div>
    <w:div w:id="1992902955">
      <w:bodyDiv w:val="1"/>
      <w:marLeft w:val="0"/>
      <w:marRight w:val="0"/>
      <w:marTop w:val="0"/>
      <w:marBottom w:val="0"/>
      <w:divBdr>
        <w:top w:val="none" w:sz="0" w:space="0" w:color="auto"/>
        <w:left w:val="none" w:sz="0" w:space="0" w:color="auto"/>
        <w:bottom w:val="none" w:sz="0" w:space="0" w:color="auto"/>
        <w:right w:val="none" w:sz="0" w:space="0" w:color="auto"/>
      </w:divBdr>
      <w:divsChild>
        <w:div w:id="1786150303">
          <w:marLeft w:val="0"/>
          <w:marRight w:val="0"/>
          <w:marTop w:val="0"/>
          <w:marBottom w:val="0"/>
          <w:divBdr>
            <w:top w:val="none" w:sz="0" w:space="0" w:color="auto"/>
            <w:left w:val="none" w:sz="0" w:space="0" w:color="auto"/>
            <w:bottom w:val="none" w:sz="0" w:space="0" w:color="auto"/>
            <w:right w:val="none" w:sz="0" w:space="0" w:color="auto"/>
          </w:divBdr>
        </w:div>
      </w:divsChild>
    </w:div>
    <w:div w:id="2002928053">
      <w:bodyDiv w:val="1"/>
      <w:marLeft w:val="0"/>
      <w:marRight w:val="0"/>
      <w:marTop w:val="0"/>
      <w:marBottom w:val="0"/>
      <w:divBdr>
        <w:top w:val="none" w:sz="0" w:space="0" w:color="auto"/>
        <w:left w:val="none" w:sz="0" w:space="0" w:color="auto"/>
        <w:bottom w:val="none" w:sz="0" w:space="0" w:color="auto"/>
        <w:right w:val="none" w:sz="0" w:space="0" w:color="auto"/>
      </w:divBdr>
      <w:divsChild>
        <w:div w:id="387193514">
          <w:marLeft w:val="0"/>
          <w:marRight w:val="0"/>
          <w:marTop w:val="0"/>
          <w:marBottom w:val="0"/>
          <w:divBdr>
            <w:top w:val="none" w:sz="0" w:space="0" w:color="auto"/>
            <w:left w:val="none" w:sz="0" w:space="0" w:color="auto"/>
            <w:bottom w:val="none" w:sz="0" w:space="0" w:color="auto"/>
            <w:right w:val="none" w:sz="0" w:space="0" w:color="auto"/>
          </w:divBdr>
        </w:div>
      </w:divsChild>
    </w:div>
    <w:div w:id="20341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3555A42C3E14E8D0DFE7AB1473A14" ma:contentTypeVersion="13" ma:contentTypeDescription="Create a new document." ma:contentTypeScope="" ma:versionID="d728bb310d2ed2a91bca27d5e0f000fa">
  <xsd:schema xmlns:xsd="http://www.w3.org/2001/XMLSchema" xmlns:xs="http://www.w3.org/2001/XMLSchema" xmlns:p="http://schemas.microsoft.com/office/2006/metadata/properties" xmlns:ns3="69796684-4123-4b7a-b546-167c7cf3245f" xmlns:ns4="a8e7cf52-4f3b-43b8-82f2-40fa4c60a95a" targetNamespace="http://schemas.microsoft.com/office/2006/metadata/properties" ma:root="true" ma:fieldsID="b95b24d731a6a664ca0317bb6468f7b9" ns3:_="" ns4:_="">
    <xsd:import namespace="69796684-4123-4b7a-b546-167c7cf3245f"/>
    <xsd:import namespace="a8e7cf52-4f3b-43b8-82f2-40fa4c60a9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96684-4123-4b7a-b546-167c7cf324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7cf52-4f3b-43b8-82f2-40fa4c60a9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1341-574C-4CF5-BCC2-306F94EC0006}">
  <ds:schemaRefs>
    <ds:schemaRef ds:uri="http://schemas.microsoft.com/sharepoint/v3/contenttype/forms"/>
  </ds:schemaRefs>
</ds:datastoreItem>
</file>

<file path=customXml/itemProps2.xml><?xml version="1.0" encoding="utf-8"?>
<ds:datastoreItem xmlns:ds="http://schemas.openxmlformats.org/officeDocument/2006/customXml" ds:itemID="{363BD614-6440-490A-BC7A-C741E1EAD7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84BC46-7ACC-4F2E-AB44-1F15DDD37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96684-4123-4b7a-b546-167c7cf3245f"/>
    <ds:schemaRef ds:uri="a8e7cf52-4f3b-43b8-82f2-40fa4c60a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18A9A-5C5B-4357-A77D-A2DAE3D6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14661</Words>
  <Characters>83573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98038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Chizzy Wonu</dc:creator>
  <cp:keywords/>
  <dc:description/>
  <cp:lastModifiedBy>Andrews Owusu</cp:lastModifiedBy>
  <cp:revision>3</cp:revision>
  <cp:lastPrinted>2019-09-23T16:14:00Z</cp:lastPrinted>
  <dcterms:created xsi:type="dcterms:W3CDTF">2024-01-09T17:23:00Z</dcterms:created>
  <dcterms:modified xsi:type="dcterms:W3CDTF">2024-01-19T15:27:00Z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0x0101005A13555A42C3E14E8D0DFE7AB1473A14</vt:lpwstr>
  </property>
  <property fmtid="{D5CDD505-2E9C-101B-9397-08002B2CF9AE}" pid="3" name="GrammarlyDocumentId">
    <vt:lpwstr>e5613fd7a32a127f903871790e74170111c41785d15291f4f17eecf584d3b680</vt:lpwstr>
  </property>
</Properties>
</file>