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D6DB" w14:textId="058044F3" w:rsidR="00524A80" w:rsidRPr="00EF6D91" w:rsidRDefault="000D0B6A" w:rsidP="00524A80">
      <w:pPr>
        <w:pStyle w:val="Default"/>
        <w:jc w:val="center"/>
        <w:rPr>
          <w:color w:val="000000" w:themeColor="text1"/>
          <w:sz w:val="28"/>
          <w:szCs w:val="28"/>
        </w:rPr>
      </w:pPr>
      <w:r w:rsidRPr="00EF6D91">
        <w:rPr>
          <w:b/>
          <w:bCs/>
          <w:color w:val="000000" w:themeColor="text1"/>
          <w:sz w:val="28"/>
          <w:szCs w:val="28"/>
        </w:rPr>
        <w:t xml:space="preserve">An </w:t>
      </w:r>
      <w:r w:rsidR="00524A80" w:rsidRPr="00EF6D91">
        <w:rPr>
          <w:b/>
          <w:bCs/>
          <w:color w:val="000000" w:themeColor="text1"/>
          <w:sz w:val="28"/>
          <w:szCs w:val="28"/>
        </w:rPr>
        <w:t xml:space="preserve">Investigation </w:t>
      </w:r>
      <w:r w:rsidRPr="00EF6D91">
        <w:rPr>
          <w:b/>
          <w:bCs/>
          <w:color w:val="000000" w:themeColor="text1"/>
          <w:sz w:val="28"/>
          <w:szCs w:val="28"/>
        </w:rPr>
        <w:t xml:space="preserve">into the </w:t>
      </w:r>
      <w:r w:rsidR="00524A80" w:rsidRPr="00EF6D91">
        <w:rPr>
          <w:b/>
          <w:bCs/>
          <w:color w:val="000000" w:themeColor="text1"/>
          <w:sz w:val="28"/>
          <w:szCs w:val="28"/>
        </w:rPr>
        <w:t>Major Barriers to the Adoption of Electric Vehicles in Last Mile Deliveries for Sustainable Transport</w:t>
      </w:r>
    </w:p>
    <w:p w14:paraId="6ED3E418" w14:textId="77777777" w:rsidR="00524A80" w:rsidRPr="00EF6D91" w:rsidRDefault="00524A80" w:rsidP="00D5018D">
      <w:pPr>
        <w:jc w:val="both"/>
        <w:rPr>
          <w:color w:val="000000" w:themeColor="text1"/>
        </w:rPr>
      </w:pPr>
    </w:p>
    <w:p w14:paraId="77F7D70A" w14:textId="77777777" w:rsidR="00E10A3D" w:rsidRPr="00EF6D91" w:rsidRDefault="00E10A3D" w:rsidP="00D5018D">
      <w:pPr>
        <w:jc w:val="both"/>
        <w:rPr>
          <w:color w:val="000000" w:themeColor="text1"/>
        </w:rPr>
      </w:pPr>
    </w:p>
    <w:p w14:paraId="269E8388" w14:textId="77777777" w:rsidR="00E10A3D" w:rsidRPr="00EF6D91" w:rsidRDefault="00E10A3D" w:rsidP="00D5018D">
      <w:pPr>
        <w:jc w:val="both"/>
        <w:rPr>
          <w:color w:val="000000" w:themeColor="text1"/>
        </w:rPr>
      </w:pPr>
    </w:p>
    <w:p w14:paraId="536AA6CF" w14:textId="6CB4CAC5" w:rsidR="00D5018D" w:rsidRPr="00EF6D91" w:rsidRDefault="00D5018D" w:rsidP="00E10A3D">
      <w:pPr>
        <w:jc w:val="center"/>
        <w:rPr>
          <w:rFonts w:ascii="Times New Roman" w:hAnsi="Times New Roman" w:cs="Times New Roman"/>
          <w:b/>
          <w:bCs/>
          <w:i/>
          <w:iCs/>
          <w:color w:val="000000" w:themeColor="text1"/>
          <w:sz w:val="24"/>
          <w:szCs w:val="24"/>
        </w:rPr>
      </w:pPr>
      <w:r w:rsidRPr="00EF6D91">
        <w:rPr>
          <w:rFonts w:ascii="Times New Roman" w:hAnsi="Times New Roman" w:cs="Times New Roman"/>
          <w:b/>
          <w:bCs/>
          <w:i/>
          <w:iCs/>
          <w:color w:val="000000" w:themeColor="text1"/>
          <w:sz w:val="24"/>
          <w:szCs w:val="24"/>
        </w:rPr>
        <w:t>Abstract</w:t>
      </w:r>
    </w:p>
    <w:p w14:paraId="0B3594D6" w14:textId="360A39D0" w:rsidR="00366AA0" w:rsidRPr="00EF6D91" w:rsidRDefault="00FE587C" w:rsidP="00366AA0">
      <w:pPr>
        <w:spacing w:after="0"/>
        <w:jc w:val="both"/>
        <w:rPr>
          <w:rFonts w:ascii="Times New Roman" w:hAnsi="Times New Roman" w:cs="Times New Roman"/>
          <w:color w:val="000000" w:themeColor="text1"/>
          <w:sz w:val="24"/>
          <w:szCs w:val="24"/>
        </w:rPr>
      </w:pPr>
      <w:r w:rsidRPr="00EF6D91">
        <w:rPr>
          <w:rFonts w:ascii="Times New Roman" w:hAnsi="Times New Roman" w:cs="Times New Roman"/>
          <w:b/>
          <w:bCs/>
          <w:color w:val="000000" w:themeColor="text1"/>
          <w:sz w:val="24"/>
          <w:szCs w:val="24"/>
        </w:rPr>
        <w:t xml:space="preserve">Purpose </w:t>
      </w:r>
      <w:r w:rsidR="009C13C9">
        <w:rPr>
          <w:rFonts w:ascii="Times New Roman" w:hAnsi="Times New Roman" w:cs="Times New Roman"/>
          <w:b/>
          <w:bCs/>
          <w:color w:val="000000" w:themeColor="text1"/>
          <w:sz w:val="24"/>
          <w:szCs w:val="24"/>
        </w:rPr>
        <w:t>–</w:t>
      </w:r>
      <w:r w:rsidRPr="00EF6D91">
        <w:rPr>
          <w:rFonts w:ascii="Times New Roman" w:hAnsi="Times New Roman" w:cs="Times New Roman"/>
          <w:color w:val="000000" w:themeColor="text1"/>
          <w:sz w:val="24"/>
          <w:szCs w:val="24"/>
        </w:rPr>
        <w:t xml:space="preserve"> </w:t>
      </w:r>
      <w:r w:rsidR="009C13C9">
        <w:rPr>
          <w:rFonts w:ascii="Times New Roman" w:hAnsi="Times New Roman" w:cs="Times New Roman"/>
          <w:color w:val="000000" w:themeColor="text1"/>
          <w:sz w:val="24"/>
          <w:szCs w:val="24"/>
        </w:rPr>
        <w:t xml:space="preserve">Although </w:t>
      </w:r>
      <w:r w:rsidR="00C32397" w:rsidRPr="00EF6D91">
        <w:rPr>
          <w:rFonts w:ascii="Times New Roman" w:hAnsi="Times New Roman" w:cs="Times New Roman"/>
          <w:color w:val="000000" w:themeColor="text1"/>
          <w:sz w:val="24"/>
          <w:szCs w:val="24"/>
        </w:rPr>
        <w:t xml:space="preserve">electric vehicles (EVs) offer promising solutions for reducing transport emissions, several obstacles hinder their adoption, and supply chain stakeholders must systematically identify and address these challenges. </w:t>
      </w:r>
      <w:r w:rsidR="00AD2791" w:rsidRPr="00EF6D91">
        <w:rPr>
          <w:rFonts w:ascii="Times New Roman" w:hAnsi="Times New Roman" w:cs="Times New Roman"/>
          <w:color w:val="000000" w:themeColor="text1"/>
          <w:sz w:val="24"/>
          <w:szCs w:val="24"/>
        </w:rPr>
        <w:t xml:space="preserve">Prior research has explored barriers to EV adoption but lacks a global focus </w:t>
      </w:r>
      <w:r w:rsidR="0053418F" w:rsidRPr="00EF6D91">
        <w:rPr>
          <w:rFonts w:ascii="Times New Roman" w:hAnsi="Times New Roman" w:cs="Times New Roman"/>
          <w:color w:val="000000" w:themeColor="text1"/>
          <w:sz w:val="24"/>
          <w:szCs w:val="24"/>
        </w:rPr>
        <w:t>on</w:t>
      </w:r>
      <w:r w:rsidR="00AD2791" w:rsidRPr="00EF6D91">
        <w:rPr>
          <w:rFonts w:ascii="Times New Roman" w:hAnsi="Times New Roman" w:cs="Times New Roman"/>
          <w:color w:val="000000" w:themeColor="text1"/>
          <w:sz w:val="24"/>
          <w:szCs w:val="24"/>
        </w:rPr>
        <w:t xml:space="preserve"> last-mile delivery. Our study aims to fill this gap, providing a foundation for future research and aiding organizational shifts towards sustainable transportation.</w:t>
      </w:r>
    </w:p>
    <w:p w14:paraId="3DA811FE" w14:textId="55E657B4" w:rsidR="002C13CB" w:rsidRPr="00EF6D91" w:rsidRDefault="00366AA0" w:rsidP="00366AA0">
      <w:pPr>
        <w:spacing w:after="0"/>
        <w:jc w:val="both"/>
        <w:rPr>
          <w:rFonts w:ascii="Times New Roman" w:hAnsi="Times New Roman" w:cs="Times New Roman"/>
          <w:color w:val="000000" w:themeColor="text1"/>
          <w:sz w:val="24"/>
          <w:szCs w:val="24"/>
        </w:rPr>
      </w:pPr>
      <w:r w:rsidRPr="00EF6D91">
        <w:rPr>
          <w:rFonts w:ascii="Times New Roman" w:hAnsi="Times New Roman" w:cs="Times New Roman"/>
          <w:b/>
          <w:bCs/>
          <w:color w:val="000000" w:themeColor="text1"/>
          <w:sz w:val="24"/>
          <w:szCs w:val="24"/>
        </w:rPr>
        <w:t xml:space="preserve">Design/methodology/approach </w:t>
      </w:r>
      <w:r w:rsidR="00AF71F9" w:rsidRPr="00EF6D91">
        <w:rPr>
          <w:rFonts w:ascii="Times New Roman" w:hAnsi="Times New Roman" w:cs="Times New Roman"/>
          <w:b/>
          <w:bCs/>
          <w:color w:val="000000" w:themeColor="text1"/>
          <w:sz w:val="24"/>
          <w:szCs w:val="24"/>
        </w:rPr>
        <w:t xml:space="preserve">- </w:t>
      </w:r>
      <w:r w:rsidR="00AF71F9" w:rsidRPr="00EF6D91">
        <w:rPr>
          <w:rFonts w:ascii="Times New Roman" w:hAnsi="Times New Roman" w:cs="Times New Roman"/>
          <w:color w:val="000000" w:themeColor="text1"/>
          <w:sz w:val="24"/>
          <w:szCs w:val="24"/>
        </w:rPr>
        <w:t>Our</w:t>
      </w:r>
      <w:r w:rsidR="00AD2791" w:rsidRPr="00EF6D91">
        <w:rPr>
          <w:rFonts w:ascii="Times New Roman" w:hAnsi="Times New Roman" w:cs="Times New Roman"/>
          <w:color w:val="000000" w:themeColor="text1"/>
          <w:sz w:val="24"/>
          <w:szCs w:val="24"/>
        </w:rPr>
        <w:t xml:space="preserve"> </w:t>
      </w:r>
      <w:r w:rsidR="0053418F" w:rsidRPr="00EF6D91">
        <w:rPr>
          <w:rFonts w:ascii="Times New Roman" w:hAnsi="Times New Roman" w:cs="Times New Roman"/>
          <w:color w:val="000000" w:themeColor="text1"/>
          <w:sz w:val="24"/>
          <w:szCs w:val="24"/>
        </w:rPr>
        <w:t>study</w:t>
      </w:r>
      <w:r w:rsidR="00AD2791" w:rsidRPr="00EF6D91">
        <w:rPr>
          <w:rFonts w:ascii="Times New Roman" w:hAnsi="Times New Roman" w:cs="Times New Roman"/>
          <w:color w:val="000000" w:themeColor="text1"/>
          <w:sz w:val="24"/>
          <w:szCs w:val="24"/>
        </w:rPr>
        <w:t xml:space="preserve"> identifies 21 </w:t>
      </w:r>
      <w:r w:rsidR="0053418F" w:rsidRPr="00EF6D91">
        <w:rPr>
          <w:rFonts w:ascii="Times New Roman" w:hAnsi="Times New Roman" w:cs="Times New Roman"/>
          <w:color w:val="000000" w:themeColor="text1"/>
          <w:sz w:val="24"/>
          <w:szCs w:val="24"/>
        </w:rPr>
        <w:t>critical</w:t>
      </w:r>
      <w:r w:rsidR="00AD2791" w:rsidRPr="00EF6D91">
        <w:rPr>
          <w:rFonts w:ascii="Times New Roman" w:hAnsi="Times New Roman" w:cs="Times New Roman"/>
          <w:color w:val="000000" w:themeColor="text1"/>
          <w:sz w:val="24"/>
          <w:szCs w:val="24"/>
        </w:rPr>
        <w:t xml:space="preserve"> barriers to EV deployment in last-mile deliveries, validated through a quantitative survey involving 157 supply chain experts. The survey data is </w:t>
      </w:r>
      <w:r w:rsidR="00756271" w:rsidRPr="00EF6D91">
        <w:rPr>
          <w:rFonts w:ascii="Times New Roman" w:hAnsi="Times New Roman" w:cs="Times New Roman"/>
          <w:color w:val="000000" w:themeColor="text1"/>
          <w:sz w:val="24"/>
          <w:szCs w:val="24"/>
        </w:rPr>
        <w:t>analysed</w:t>
      </w:r>
      <w:r w:rsidR="00AD2791" w:rsidRPr="00EF6D91">
        <w:rPr>
          <w:rFonts w:ascii="Times New Roman" w:hAnsi="Times New Roman" w:cs="Times New Roman"/>
          <w:color w:val="000000" w:themeColor="text1"/>
          <w:sz w:val="24"/>
          <w:szCs w:val="24"/>
        </w:rPr>
        <w:t xml:space="preserve"> </w:t>
      </w:r>
      <w:r w:rsidR="000E28FF">
        <w:rPr>
          <w:rFonts w:ascii="Times New Roman" w:hAnsi="Times New Roman" w:cs="Times New Roman"/>
          <w:color w:val="000000" w:themeColor="text1"/>
          <w:sz w:val="24"/>
          <w:szCs w:val="24"/>
        </w:rPr>
        <w:t xml:space="preserve">using </w:t>
      </w:r>
      <w:r w:rsidR="00AD2791" w:rsidRPr="00EF6D91">
        <w:rPr>
          <w:rFonts w:ascii="Times New Roman" w:hAnsi="Times New Roman" w:cs="Times New Roman"/>
          <w:color w:val="000000" w:themeColor="text1"/>
          <w:sz w:val="24"/>
          <w:szCs w:val="24"/>
        </w:rPr>
        <w:t xml:space="preserve">Exploratory Factor Analysis (EFA), which identifies four distinct dimensions encapsulating the identified barriers. </w:t>
      </w:r>
      <w:r w:rsidR="005F6DB6" w:rsidRPr="00EF6D91">
        <w:rPr>
          <w:rFonts w:ascii="Times New Roman" w:hAnsi="Times New Roman" w:cs="Times New Roman"/>
          <w:color w:val="000000" w:themeColor="text1"/>
          <w:sz w:val="24"/>
          <w:szCs w:val="24"/>
        </w:rPr>
        <w:t>Based on consultations with five experts, the Analytical Hierarchy Process (AHP) ranks these dimensions and individual impediments globally</w:t>
      </w:r>
      <w:r w:rsidR="00AD2791" w:rsidRPr="00EF6D91">
        <w:rPr>
          <w:rFonts w:ascii="Times New Roman" w:hAnsi="Times New Roman" w:cs="Times New Roman"/>
          <w:color w:val="000000" w:themeColor="text1"/>
          <w:sz w:val="24"/>
          <w:szCs w:val="24"/>
        </w:rPr>
        <w:t xml:space="preserve">. </w:t>
      </w:r>
    </w:p>
    <w:p w14:paraId="3CF255EA" w14:textId="12EE1C73" w:rsidR="002C13CB" w:rsidRPr="00EF6D91" w:rsidRDefault="007C0445" w:rsidP="00366AA0">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Findings</w:t>
      </w:r>
      <w:r w:rsidR="002C13CB" w:rsidRPr="00EF6D91">
        <w:rPr>
          <w:rFonts w:ascii="Times New Roman" w:hAnsi="Times New Roman" w:cs="Times New Roman"/>
          <w:b/>
          <w:bCs/>
          <w:color w:val="000000" w:themeColor="text1"/>
          <w:sz w:val="24"/>
          <w:szCs w:val="24"/>
        </w:rPr>
        <w:t xml:space="preserve"> -</w:t>
      </w:r>
      <w:r w:rsidR="002C13CB" w:rsidRPr="00EF6D91">
        <w:rPr>
          <w:rFonts w:ascii="Times New Roman" w:hAnsi="Times New Roman" w:cs="Times New Roman"/>
          <w:color w:val="000000" w:themeColor="text1"/>
          <w:sz w:val="24"/>
          <w:szCs w:val="24"/>
        </w:rPr>
        <w:t xml:space="preserve"> </w:t>
      </w:r>
      <w:r w:rsidR="00AD2791" w:rsidRPr="00EF6D91">
        <w:rPr>
          <w:rFonts w:ascii="Times New Roman" w:hAnsi="Times New Roman" w:cs="Times New Roman"/>
          <w:color w:val="000000" w:themeColor="text1"/>
          <w:sz w:val="24"/>
          <w:szCs w:val="24"/>
        </w:rPr>
        <w:t xml:space="preserve">The study finds 'Energy and Infrastructure Barriers' and 'Financial and Resource Barriers' </w:t>
      </w:r>
      <w:r w:rsidR="005F6DB6" w:rsidRPr="00EF6D91">
        <w:rPr>
          <w:rFonts w:ascii="Times New Roman" w:hAnsi="Times New Roman" w:cs="Times New Roman"/>
          <w:color w:val="000000" w:themeColor="text1"/>
          <w:sz w:val="24"/>
          <w:szCs w:val="24"/>
        </w:rPr>
        <w:t>to be</w:t>
      </w:r>
      <w:r w:rsidR="00AD2791" w:rsidRPr="00EF6D91">
        <w:rPr>
          <w:rFonts w:ascii="Times New Roman" w:hAnsi="Times New Roman" w:cs="Times New Roman"/>
          <w:color w:val="000000" w:themeColor="text1"/>
          <w:sz w:val="24"/>
          <w:szCs w:val="24"/>
        </w:rPr>
        <w:t xml:space="preserve"> the most significant hindrances. Noteworthy individual barriers include the absence of fast charging stations, insufficient electricity provision, and the need for investment in power grid upgrades. </w:t>
      </w:r>
    </w:p>
    <w:p w14:paraId="7D927E97" w14:textId="50A13FAE" w:rsidR="00AD2791" w:rsidRPr="00EF6D91" w:rsidRDefault="002C13CB" w:rsidP="002C13CB">
      <w:pPr>
        <w:spacing w:after="0"/>
        <w:jc w:val="both"/>
        <w:rPr>
          <w:rFonts w:ascii="Times New Roman" w:hAnsi="Times New Roman" w:cs="Times New Roman"/>
          <w:b/>
          <w:bCs/>
          <w:color w:val="000000" w:themeColor="text1"/>
          <w:sz w:val="24"/>
          <w:szCs w:val="24"/>
        </w:rPr>
      </w:pPr>
      <w:r w:rsidRPr="00EF6D91">
        <w:rPr>
          <w:rFonts w:ascii="Times New Roman" w:hAnsi="Times New Roman" w:cs="Times New Roman"/>
          <w:b/>
          <w:bCs/>
          <w:color w:val="000000" w:themeColor="text1"/>
          <w:sz w:val="24"/>
          <w:szCs w:val="24"/>
        </w:rPr>
        <w:t xml:space="preserve">Originality - </w:t>
      </w:r>
      <w:r w:rsidR="00AD2791" w:rsidRPr="00EF6D91">
        <w:rPr>
          <w:rFonts w:ascii="Times New Roman" w:hAnsi="Times New Roman" w:cs="Times New Roman"/>
          <w:color w:val="000000" w:themeColor="text1"/>
          <w:sz w:val="24"/>
          <w:szCs w:val="24"/>
        </w:rPr>
        <w:t xml:space="preserve">This research contributes to </w:t>
      </w:r>
      <w:r w:rsidR="0053418F" w:rsidRPr="00EF6D91">
        <w:rPr>
          <w:rFonts w:ascii="Times New Roman" w:hAnsi="Times New Roman" w:cs="Times New Roman"/>
          <w:color w:val="000000" w:themeColor="text1"/>
          <w:sz w:val="24"/>
          <w:szCs w:val="24"/>
        </w:rPr>
        <w:t xml:space="preserve">the </w:t>
      </w:r>
      <w:r w:rsidR="00AD2791" w:rsidRPr="00EF6D91">
        <w:rPr>
          <w:rFonts w:ascii="Times New Roman" w:hAnsi="Times New Roman" w:cs="Times New Roman"/>
          <w:color w:val="000000" w:themeColor="text1"/>
          <w:sz w:val="24"/>
          <w:szCs w:val="24"/>
        </w:rPr>
        <w:t>existing literature by offering a robust methodology for classifying and ranking EV adoption barriers through EFA and AHP. It thus provides a globally applicable framework for stakeholders to devise targeted strategies for overcoming these barriers.</w:t>
      </w:r>
    </w:p>
    <w:p w14:paraId="18F1A63F" w14:textId="77777777" w:rsidR="002C13CB" w:rsidRPr="00EF6D91" w:rsidRDefault="002C13CB" w:rsidP="002C13CB">
      <w:pPr>
        <w:spacing w:after="0"/>
        <w:jc w:val="both"/>
        <w:rPr>
          <w:rFonts w:ascii="Times New Roman" w:hAnsi="Times New Roman" w:cs="Times New Roman"/>
          <w:b/>
          <w:bCs/>
          <w:color w:val="000000" w:themeColor="text1"/>
          <w:sz w:val="24"/>
          <w:szCs w:val="24"/>
        </w:rPr>
      </w:pPr>
    </w:p>
    <w:p w14:paraId="2B59A04D" w14:textId="05D15490" w:rsidR="00EA0664" w:rsidRPr="00EF6D91" w:rsidRDefault="00EA0664" w:rsidP="002C13CB">
      <w:pPr>
        <w:spacing w:after="0"/>
        <w:jc w:val="both"/>
        <w:rPr>
          <w:rFonts w:ascii="Times New Roman" w:hAnsi="Times New Roman" w:cs="Times New Roman"/>
          <w:color w:val="000000" w:themeColor="text1"/>
          <w:sz w:val="24"/>
          <w:szCs w:val="24"/>
        </w:rPr>
      </w:pPr>
      <w:r w:rsidRPr="00EF6D91">
        <w:rPr>
          <w:rFonts w:ascii="Times New Roman" w:hAnsi="Times New Roman" w:cs="Times New Roman"/>
          <w:b/>
          <w:bCs/>
          <w:color w:val="000000" w:themeColor="text1"/>
          <w:sz w:val="24"/>
          <w:szCs w:val="24"/>
        </w:rPr>
        <w:t>Key Words</w:t>
      </w:r>
      <w:r w:rsidR="00834932" w:rsidRPr="00EF6D91">
        <w:rPr>
          <w:rFonts w:ascii="Times New Roman" w:hAnsi="Times New Roman" w:cs="Times New Roman"/>
          <w:color w:val="000000" w:themeColor="text1"/>
          <w:sz w:val="24"/>
          <w:szCs w:val="24"/>
        </w:rPr>
        <w:t>:</w:t>
      </w:r>
      <w:r w:rsidR="00664F54" w:rsidRPr="00EF6D91">
        <w:rPr>
          <w:rFonts w:ascii="Times New Roman" w:hAnsi="Times New Roman" w:cs="Times New Roman"/>
          <w:color w:val="000000" w:themeColor="text1"/>
          <w:sz w:val="24"/>
          <w:szCs w:val="24"/>
        </w:rPr>
        <w:t xml:space="preserve"> </w:t>
      </w:r>
      <w:r w:rsidR="00196194" w:rsidRPr="00EF6D91">
        <w:rPr>
          <w:rFonts w:ascii="Times New Roman" w:hAnsi="Times New Roman" w:cs="Times New Roman"/>
          <w:color w:val="000000" w:themeColor="text1"/>
          <w:sz w:val="24"/>
          <w:szCs w:val="24"/>
        </w:rPr>
        <w:t>L</w:t>
      </w:r>
      <w:r w:rsidR="00CB0BF7" w:rsidRPr="00EF6D91">
        <w:rPr>
          <w:rFonts w:ascii="Times New Roman" w:hAnsi="Times New Roman" w:cs="Times New Roman"/>
          <w:color w:val="000000" w:themeColor="text1"/>
          <w:sz w:val="24"/>
          <w:szCs w:val="24"/>
        </w:rPr>
        <w:t>ast mile</w:t>
      </w:r>
      <w:r w:rsidR="00196194" w:rsidRPr="00EF6D91">
        <w:rPr>
          <w:rFonts w:ascii="Times New Roman" w:hAnsi="Times New Roman" w:cs="Times New Roman"/>
          <w:color w:val="000000" w:themeColor="text1"/>
          <w:sz w:val="24"/>
          <w:szCs w:val="24"/>
        </w:rPr>
        <w:t xml:space="preserve"> </w:t>
      </w:r>
      <w:r w:rsidR="00664F54" w:rsidRPr="00EF6D91">
        <w:rPr>
          <w:rFonts w:ascii="Times New Roman" w:hAnsi="Times New Roman" w:cs="Times New Roman"/>
          <w:color w:val="000000" w:themeColor="text1"/>
          <w:sz w:val="24"/>
          <w:szCs w:val="24"/>
        </w:rPr>
        <w:t>deliveries</w:t>
      </w:r>
      <w:r w:rsidR="0053418F" w:rsidRPr="00EF6D91">
        <w:rPr>
          <w:rFonts w:ascii="Times New Roman" w:hAnsi="Times New Roman" w:cs="Times New Roman"/>
          <w:color w:val="000000" w:themeColor="text1"/>
          <w:sz w:val="24"/>
          <w:szCs w:val="24"/>
        </w:rPr>
        <w:t>;</w:t>
      </w:r>
      <w:r w:rsidR="00ED57F8" w:rsidRPr="00EF6D91">
        <w:rPr>
          <w:rFonts w:ascii="Times New Roman" w:hAnsi="Times New Roman" w:cs="Times New Roman"/>
          <w:color w:val="000000" w:themeColor="text1"/>
          <w:sz w:val="24"/>
          <w:szCs w:val="24"/>
        </w:rPr>
        <w:t xml:space="preserve"> </w:t>
      </w:r>
      <w:r w:rsidR="00664F54" w:rsidRPr="00EF6D91">
        <w:rPr>
          <w:rFonts w:ascii="Times New Roman" w:hAnsi="Times New Roman" w:cs="Times New Roman"/>
          <w:color w:val="000000" w:themeColor="text1"/>
          <w:sz w:val="24"/>
          <w:szCs w:val="24"/>
        </w:rPr>
        <w:t>electric vehicles</w:t>
      </w:r>
      <w:r w:rsidR="0053418F" w:rsidRPr="00EF6D91">
        <w:rPr>
          <w:rFonts w:ascii="Times New Roman" w:hAnsi="Times New Roman" w:cs="Times New Roman"/>
          <w:color w:val="000000" w:themeColor="text1"/>
          <w:sz w:val="24"/>
          <w:szCs w:val="24"/>
        </w:rPr>
        <w:t xml:space="preserve">; </w:t>
      </w:r>
      <w:r w:rsidR="00664F54" w:rsidRPr="00EF6D91">
        <w:rPr>
          <w:rFonts w:ascii="Times New Roman" w:hAnsi="Times New Roman" w:cs="Times New Roman"/>
          <w:color w:val="000000" w:themeColor="text1"/>
          <w:sz w:val="24"/>
          <w:szCs w:val="24"/>
        </w:rPr>
        <w:t>sustainable</w:t>
      </w:r>
      <w:r w:rsidR="00ED57F8" w:rsidRPr="00EF6D91">
        <w:rPr>
          <w:rFonts w:ascii="Times New Roman" w:hAnsi="Times New Roman" w:cs="Times New Roman"/>
          <w:color w:val="000000" w:themeColor="text1"/>
          <w:sz w:val="24"/>
          <w:szCs w:val="24"/>
        </w:rPr>
        <w:t xml:space="preserve"> </w:t>
      </w:r>
      <w:r w:rsidR="00664F54" w:rsidRPr="00EF6D91">
        <w:rPr>
          <w:rFonts w:ascii="Times New Roman" w:hAnsi="Times New Roman" w:cs="Times New Roman"/>
          <w:color w:val="000000" w:themeColor="text1"/>
          <w:sz w:val="24"/>
          <w:szCs w:val="24"/>
        </w:rPr>
        <w:t>freight</w:t>
      </w:r>
      <w:r w:rsidR="00ED57F8" w:rsidRPr="00EF6D91">
        <w:rPr>
          <w:rFonts w:ascii="Times New Roman" w:hAnsi="Times New Roman" w:cs="Times New Roman"/>
          <w:color w:val="000000" w:themeColor="text1"/>
          <w:sz w:val="24"/>
          <w:szCs w:val="24"/>
        </w:rPr>
        <w:t xml:space="preserve"> t</w:t>
      </w:r>
      <w:r w:rsidR="00664F54" w:rsidRPr="00EF6D91">
        <w:rPr>
          <w:rFonts w:ascii="Times New Roman" w:hAnsi="Times New Roman" w:cs="Times New Roman"/>
          <w:color w:val="000000" w:themeColor="text1"/>
          <w:sz w:val="24"/>
          <w:szCs w:val="24"/>
        </w:rPr>
        <w:t>ransportation</w:t>
      </w:r>
      <w:r w:rsidR="0053418F" w:rsidRPr="00EF6D91">
        <w:rPr>
          <w:rFonts w:ascii="Times New Roman" w:hAnsi="Times New Roman" w:cs="Times New Roman"/>
          <w:color w:val="000000" w:themeColor="text1"/>
          <w:sz w:val="24"/>
          <w:szCs w:val="24"/>
        </w:rPr>
        <w:t>;</w:t>
      </w:r>
      <w:r w:rsidR="00ED57F8" w:rsidRPr="00EF6D91">
        <w:rPr>
          <w:rFonts w:ascii="Times New Roman" w:hAnsi="Times New Roman" w:cs="Times New Roman"/>
          <w:color w:val="000000" w:themeColor="text1"/>
          <w:sz w:val="24"/>
          <w:szCs w:val="24"/>
        </w:rPr>
        <w:t xml:space="preserve"> </w:t>
      </w:r>
      <w:r w:rsidR="00664F54" w:rsidRPr="00EF6D91">
        <w:rPr>
          <w:rFonts w:ascii="Times New Roman" w:hAnsi="Times New Roman" w:cs="Times New Roman"/>
          <w:color w:val="000000" w:themeColor="text1"/>
          <w:sz w:val="24"/>
          <w:szCs w:val="24"/>
        </w:rPr>
        <w:t>barriers</w:t>
      </w:r>
      <w:r w:rsidR="00ED57F8" w:rsidRPr="00EF6D91">
        <w:rPr>
          <w:rFonts w:ascii="Times New Roman" w:hAnsi="Times New Roman" w:cs="Times New Roman"/>
          <w:color w:val="000000" w:themeColor="text1"/>
          <w:sz w:val="24"/>
          <w:szCs w:val="24"/>
        </w:rPr>
        <w:t>;</w:t>
      </w:r>
      <w:r w:rsidR="00664F54" w:rsidRPr="00EF6D91">
        <w:rPr>
          <w:rFonts w:ascii="Times New Roman" w:hAnsi="Times New Roman" w:cs="Times New Roman"/>
          <w:color w:val="000000" w:themeColor="text1"/>
          <w:sz w:val="24"/>
          <w:szCs w:val="24"/>
        </w:rPr>
        <w:t xml:space="preserve"> AHP</w:t>
      </w:r>
      <w:r w:rsidR="0053418F" w:rsidRPr="00EF6D91">
        <w:rPr>
          <w:rFonts w:ascii="Times New Roman" w:hAnsi="Times New Roman" w:cs="Times New Roman"/>
          <w:color w:val="000000" w:themeColor="text1"/>
          <w:sz w:val="24"/>
          <w:szCs w:val="24"/>
        </w:rPr>
        <w:t>;</w:t>
      </w:r>
      <w:r w:rsidR="00664F54" w:rsidRPr="00EF6D91">
        <w:rPr>
          <w:rFonts w:ascii="Times New Roman" w:hAnsi="Times New Roman" w:cs="Times New Roman"/>
          <w:color w:val="000000" w:themeColor="text1"/>
          <w:sz w:val="24"/>
          <w:szCs w:val="24"/>
        </w:rPr>
        <w:t xml:space="preserve"> EFA</w:t>
      </w:r>
      <w:r w:rsidR="0053418F" w:rsidRPr="00EF6D91">
        <w:rPr>
          <w:rFonts w:ascii="Times New Roman" w:hAnsi="Times New Roman" w:cs="Times New Roman"/>
          <w:color w:val="000000" w:themeColor="text1"/>
          <w:sz w:val="24"/>
          <w:szCs w:val="24"/>
        </w:rPr>
        <w:t>;</w:t>
      </w:r>
      <w:r w:rsidR="00664F54" w:rsidRPr="00EF6D91">
        <w:rPr>
          <w:rFonts w:ascii="Times New Roman" w:hAnsi="Times New Roman" w:cs="Times New Roman"/>
          <w:color w:val="000000" w:themeColor="text1"/>
          <w:sz w:val="24"/>
          <w:szCs w:val="24"/>
        </w:rPr>
        <w:t xml:space="preserve"> logistics</w:t>
      </w:r>
      <w:r w:rsidR="0053418F" w:rsidRPr="00EF6D91">
        <w:rPr>
          <w:rFonts w:ascii="Times New Roman" w:hAnsi="Times New Roman" w:cs="Times New Roman"/>
          <w:color w:val="000000" w:themeColor="text1"/>
          <w:sz w:val="24"/>
          <w:szCs w:val="24"/>
        </w:rPr>
        <w:t>;</w:t>
      </w:r>
      <w:r w:rsidR="00664F54" w:rsidRPr="00EF6D91">
        <w:rPr>
          <w:rFonts w:ascii="Times New Roman" w:hAnsi="Times New Roman" w:cs="Times New Roman"/>
          <w:color w:val="000000" w:themeColor="text1"/>
          <w:sz w:val="24"/>
          <w:szCs w:val="24"/>
        </w:rPr>
        <w:t xml:space="preserve"> </w:t>
      </w:r>
      <w:r w:rsidR="00ED57F8" w:rsidRPr="00EF6D91">
        <w:rPr>
          <w:rFonts w:ascii="Times New Roman" w:hAnsi="Times New Roman" w:cs="Times New Roman"/>
          <w:color w:val="000000" w:themeColor="text1"/>
          <w:sz w:val="24"/>
          <w:szCs w:val="24"/>
        </w:rPr>
        <w:t xml:space="preserve">green; </w:t>
      </w:r>
      <w:r w:rsidR="00664F54" w:rsidRPr="00EF6D91">
        <w:rPr>
          <w:rFonts w:ascii="Times New Roman" w:hAnsi="Times New Roman" w:cs="Times New Roman"/>
          <w:color w:val="000000" w:themeColor="text1"/>
          <w:sz w:val="24"/>
          <w:szCs w:val="24"/>
        </w:rPr>
        <w:t>supply chain.</w:t>
      </w:r>
    </w:p>
    <w:p w14:paraId="4074F077" w14:textId="77777777" w:rsidR="00A25857" w:rsidRPr="00EF6D91" w:rsidRDefault="00A25857" w:rsidP="00ED57F8">
      <w:pPr>
        <w:rPr>
          <w:rFonts w:ascii="Times New Roman" w:hAnsi="Times New Roman" w:cs="Times New Roman"/>
          <w:i/>
          <w:iCs/>
          <w:color w:val="000000" w:themeColor="text1"/>
          <w:sz w:val="24"/>
          <w:szCs w:val="24"/>
        </w:rPr>
      </w:pPr>
    </w:p>
    <w:p w14:paraId="51AF0EE5" w14:textId="77777777" w:rsidR="00AD5C71" w:rsidRPr="00EF6D91" w:rsidRDefault="00AD5C71" w:rsidP="00AD5C71">
      <w:pPr>
        <w:jc w:val="both"/>
        <w:rPr>
          <w:rFonts w:ascii="Times New Roman" w:eastAsia="Calibri" w:hAnsi="Times New Roman" w:cs="Times New Roman"/>
          <w:b/>
          <w:bCs/>
          <w:color w:val="000000"/>
          <w:sz w:val="24"/>
          <w:szCs w:val="24"/>
        </w:rPr>
      </w:pPr>
      <w:r w:rsidRPr="00EF6D91">
        <w:rPr>
          <w:rFonts w:ascii="Times New Roman" w:eastAsia="Calibri" w:hAnsi="Times New Roman" w:cs="Times New Roman"/>
          <w:b/>
          <w:bCs/>
          <w:color w:val="000000"/>
          <w:sz w:val="24"/>
          <w:szCs w:val="24"/>
        </w:rPr>
        <w:t>1. Introduction</w:t>
      </w:r>
    </w:p>
    <w:p w14:paraId="43DB4D65" w14:textId="59A52C87"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E-commerce's meteoric rise has transformed logistical frameworks, profoundly altering supply chain management, transportation networks, warehousing paradigms, and last-mile delivery (LMD) systems. </w:t>
      </w:r>
      <w:r w:rsidR="00561F3F">
        <w:rPr>
          <w:rFonts w:ascii="Times New Roman" w:eastAsia="Calibri" w:hAnsi="Times New Roman" w:cs="Times New Roman"/>
          <w:color w:val="000000"/>
          <w:sz w:val="24"/>
          <w:szCs w:val="24"/>
        </w:rPr>
        <w:t>E</w:t>
      </w:r>
      <w:r w:rsidRPr="00EF6D91">
        <w:rPr>
          <w:rFonts w:ascii="Times New Roman" w:eastAsia="Calibri" w:hAnsi="Times New Roman" w:cs="Times New Roman"/>
          <w:color w:val="000000"/>
          <w:sz w:val="24"/>
          <w:szCs w:val="24"/>
        </w:rPr>
        <w:t xml:space="preserve">xperts predict that the global e-commerce arena will eclipse $6.5 trillion by 2023 </w:t>
      </w:r>
      <w:r w:rsidRPr="00EF6D91">
        <w:rPr>
          <w:rFonts w:ascii="Times New Roman" w:eastAsia="Calibri" w:hAnsi="Times New Roman" w:cs="Times New Roman"/>
          <w:color w:val="000000"/>
          <w:sz w:val="24"/>
          <w:szCs w:val="24"/>
        </w:rPr>
        <w:fldChar w:fldCharType="begin"/>
      </w:r>
      <w:r w:rsidRPr="00EF6D91">
        <w:rPr>
          <w:rFonts w:ascii="Times New Roman" w:eastAsia="Calibri" w:hAnsi="Times New Roman" w:cs="Times New Roman"/>
          <w:color w:val="000000"/>
          <w:sz w:val="24"/>
          <w:szCs w:val="24"/>
        </w:rPr>
        <w:instrText xml:space="preserve"> ADDIN ZOTERO_ITEM CSL_CITATION {"citationID":"QS4vbF2h","properties":{"formattedCitation":"(\\uc0\\u8220{}Global ecommerce sales growth (2023\\uc0\\u8211{}2027) [aug 2023 update],\\uc0\\u8221{} n.d.)","plainCitation":"(“Global ecommerce sales growth (2023–2027) [aug 2023 update],” n.d.)","dontUpdate":true,"noteIndex":0},"citationItems":[{"id":31724,"uris":["http://zotero.org/users/10594755/items/PVBZVJJK"],"itemData":{"id":31724,"type":"webpage","abstract":"The global ecommerce growth rate is forecast at 8.9% in 2023. Here’s a look at the ecommerce growth rates from 2023 to 2027.","language":"en","title":"Global ecommerce sales growth (2023–2027) [aug 2023 update]","URL":"https://www.oberlo.com/statistics/global-ecommerce-sales-growth","accessed":{"date-parts":[["2023",10,16]]}},"label":"page"}],"schema":"https://github.com/citation-style-language/schema/raw/master/csl-citation.json"}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Pr="00EF6D91">
        <w:rPr>
          <w:rFonts w:ascii="Times New Roman" w:eastAsia="Calibri" w:hAnsi="Times New Roman" w:cs="Times New Roman"/>
          <w:color w:val="000000"/>
          <w:kern w:val="0"/>
          <w:sz w:val="24"/>
          <w:szCs w:val="24"/>
        </w:rPr>
        <w:t>(“Global e-commerce sales growth (2023–2027) [Aug 2023 update],” n.d.)</w:t>
      </w:r>
      <w:r w:rsidRPr="00EF6D91">
        <w:rPr>
          <w:rFonts w:ascii="Times New Roman" w:eastAsia="Calibri" w:hAnsi="Times New Roman" w:cs="Times New Roman"/>
          <w:color w:val="000000"/>
          <w:sz w:val="24"/>
          <w:szCs w:val="24"/>
        </w:rPr>
        <w:fldChar w:fldCharType="end"/>
      </w:r>
      <w:r w:rsidR="00614F5D">
        <w:rPr>
          <w:rFonts w:ascii="Times New Roman" w:eastAsia="Calibri" w:hAnsi="Times New Roman" w:cs="Times New Roman"/>
          <w:color w:val="000000"/>
          <w:sz w:val="24"/>
          <w:szCs w:val="24"/>
        </w:rPr>
        <w:t>.</w:t>
      </w:r>
      <w:r w:rsidRPr="00EF6D91">
        <w:rPr>
          <w:rFonts w:ascii="Times New Roman" w:eastAsia="Calibri" w:hAnsi="Times New Roman" w:cs="Times New Roman"/>
          <w:color w:val="000000"/>
          <w:sz w:val="24"/>
          <w:szCs w:val="24"/>
        </w:rPr>
        <w:t xml:space="preserve"> This growth and escalating delivery vehicle numbers exacerbate congestion and environmental issues </w:t>
      </w:r>
      <w:bookmarkStart w:id="0" w:name="_Hlk148348489"/>
      <w:r w:rsidRPr="00EF6D91">
        <w:rPr>
          <w:rFonts w:ascii="Times New Roman" w:eastAsia="Calibri" w:hAnsi="Times New Roman" w:cs="Times New Roman"/>
          <w:color w:val="000000"/>
          <w:sz w:val="24"/>
          <w:szCs w:val="24"/>
        </w:rPr>
        <w:fldChar w:fldCharType="begin"/>
      </w:r>
      <w:r w:rsidR="00E9108F" w:rsidRPr="00EF6D91">
        <w:rPr>
          <w:rFonts w:ascii="Times New Roman" w:eastAsia="Calibri" w:hAnsi="Times New Roman" w:cs="Times New Roman"/>
          <w:color w:val="000000"/>
          <w:sz w:val="24"/>
          <w:szCs w:val="24"/>
        </w:rPr>
        <w:instrText xml:space="preserve"> ADDIN ZOTERO_ITEM CSL_CITATION {"citationID":"gTm0x8wp","properties":{"formattedCitation":"(Ha {\\i{}et al.}, 2023)","plainCitation":"(Ha et al., 2023)","noteIndex":0},"citationItems":[{"id":31664,"uris":["http://zotero.org/users/10594755/items/5MJGCAFN"],"itemData":{"id":31664,"type":"article-journal","abstract":"Purpose\nThe main objective of this paper is to provide a systematic literature review (SLR) and structured insight into last mile delivery, ultimately identifying gaps in current knowledge and proposing a framework for future research direction in terms of sustainability in the area.\n\n\nDesign/methodology/approach\nThis paper identifies and synthesizes information from academic journals and examines “Journals and Publishing place,” “Geographic location,” “Year of Publication,” “University and Author Affiliation,” “Themes and Sub-themes,” “Theory,” “Research Design, Methods and Area” and “Industry Involvement.” A collection of online databases from 2005 to 2020 were explored, using the keywords “Last mile delivery,” “Last mile logistics,” “Last mile transportation,” “Last mile fulfillment,” “Last mile operations” and “Last mile distribution” in their title and/or abstract and/or keywords. Accordingly, a total of 281 journal articles were found in this discipline area, and data were derived from a succession of variables.\n\n\nFindings\nThere has been significant growth in published articles concerning last mile delivery over the last 15 years (2005–2020). An in-depth review of the literature shows five dimensions of the last mile: last mile delivery, transportation, operations, distribution and logistics. Each of these dimensions is interrelated and possess clustered characteristics. For instance, last mile operations, last mile transportation and last mile delivery are operational, whereas last mile distribution is tactical, and last mile logistics possess strategic characteristics. The findings also indicate that even though the sustainability concept can be incorporated into all levels of the last mile, the current literature landscape mainly concentrates on the operational level.\n\n\nResearch limitations/implications\nThis review is limited to academic sources available from Emerald Insight, Science Direct, Taylor and Francis, Springer, MDPI and IEEE containing the mentioned keywords in the title and/or abstract/or keywords. Furthermore, only papers from high-quality, peer-reviewed journals were evaluated. Other sources such as books and conference papers were not included.\n\n\nPractical implications\nThis study dissects last mile delivery to produce a framework that captures and presents its complex characteristics and its interconnectedness with various related components. By analyzing last mile delivery in its entirety, the framework also helps practitioners pinpoint which levels of last mile delivery (operation, tactical or strategic) they can incorporate the concept of sustainability.\n\n\nOriginality/value\nThe research findings enrich the contemporary literature landscape and future work by providing a conceptual framework that incorporates the “economic,” “environmental” and “social” pillars of sustainability in all dimensions of the last mile delivery.","container-title":"Benchmarking: An International Journal","DOI":"10.1108/BIJ-07-2021-0409","ISSN":"1463-5771","issue":"4","journalAbbreviation":"BIJ","language":"en","page":"1137-1170","source":"DOI.org (Crossref)","title":"Last mile delivery in logistics and supply chain management: a bibliometric analysis and future directions","title-short":"Last mile delivery in logistics and supply chain management","volume":"30","author":[{"family":"Ha","given":"Nghiep Tuan"},{"family":"Akbari","given":"Mohammadreza"},{"family":"Au","given":"Bill"}],"issued":{"date-parts":[["2023",4,14]]}}}],"schema":"https://github.com/citation-style-language/schema/raw/master/csl-citation.json"}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00E9108F" w:rsidRPr="00EF6D91">
        <w:rPr>
          <w:rFonts w:ascii="Times New Roman" w:hAnsi="Times New Roman" w:cs="Times New Roman"/>
          <w:kern w:val="0"/>
          <w:sz w:val="24"/>
        </w:rPr>
        <w:t xml:space="preserve">(Ha </w:t>
      </w:r>
      <w:r w:rsidR="00E9108F" w:rsidRPr="00EF6D91">
        <w:rPr>
          <w:rFonts w:ascii="Times New Roman" w:hAnsi="Times New Roman" w:cs="Times New Roman"/>
          <w:i/>
          <w:iCs/>
          <w:kern w:val="0"/>
          <w:sz w:val="24"/>
        </w:rPr>
        <w:t>et al.</w:t>
      </w:r>
      <w:r w:rsidR="00E9108F" w:rsidRPr="00EF6D91">
        <w:rPr>
          <w:rFonts w:ascii="Times New Roman" w:hAnsi="Times New Roman" w:cs="Times New Roman"/>
          <w:kern w:val="0"/>
          <w:sz w:val="24"/>
        </w:rPr>
        <w:t>, 2023)</w:t>
      </w:r>
      <w:r w:rsidRPr="00EF6D91">
        <w:rPr>
          <w:rFonts w:ascii="Times New Roman" w:eastAsia="Calibri" w:hAnsi="Times New Roman" w:cs="Times New Roman"/>
          <w:color w:val="000000"/>
          <w:sz w:val="24"/>
          <w:szCs w:val="24"/>
        </w:rPr>
        <w:fldChar w:fldCharType="end"/>
      </w:r>
      <w:bookmarkEnd w:id="0"/>
      <w:r w:rsidRPr="00EF6D91">
        <w:rPr>
          <w:rFonts w:ascii="Times New Roman" w:eastAsia="Calibri" w:hAnsi="Times New Roman" w:cs="Times New Roman"/>
          <w:color w:val="000000"/>
          <w:sz w:val="24"/>
          <w:szCs w:val="24"/>
        </w:rPr>
        <w:t>. Consequently, LMD</w:t>
      </w:r>
      <w:r w:rsidR="005F6DB6" w:rsidRPr="00EF6D91">
        <w:rPr>
          <w:rFonts w:ascii="Times New Roman" w:eastAsia="Calibri" w:hAnsi="Times New Roman" w:cs="Times New Roman"/>
          <w:color w:val="000000"/>
          <w:sz w:val="24"/>
          <w:szCs w:val="24"/>
        </w:rPr>
        <w:t>s</w:t>
      </w:r>
      <w:r w:rsidRPr="00EF6D91">
        <w:rPr>
          <w:rFonts w:ascii="Times New Roman" w:eastAsia="Calibri" w:hAnsi="Times New Roman" w:cs="Times New Roman"/>
          <w:color w:val="000000"/>
          <w:sz w:val="24"/>
          <w:szCs w:val="24"/>
        </w:rPr>
        <w:t xml:space="preserve"> transportation externalities have intensified </w:t>
      </w:r>
      <w:r w:rsidRPr="00EF6D91">
        <w:rPr>
          <w:rFonts w:ascii="Times New Roman" w:eastAsia="Calibri" w:hAnsi="Times New Roman" w:cs="Times New Roman"/>
          <w:color w:val="000000"/>
          <w:sz w:val="24"/>
          <w:szCs w:val="24"/>
        </w:rPr>
        <w:fldChar w:fldCharType="begin"/>
      </w:r>
      <w:r w:rsidR="00E9108F" w:rsidRPr="00EF6D91">
        <w:rPr>
          <w:rFonts w:ascii="Times New Roman" w:eastAsia="Calibri" w:hAnsi="Times New Roman" w:cs="Times New Roman"/>
          <w:color w:val="000000"/>
          <w:sz w:val="24"/>
          <w:szCs w:val="24"/>
        </w:rPr>
        <w:instrText xml:space="preserve"> ADDIN ZOTERO_ITEM CSL_CITATION {"citationID":"bsonz6ed","properties":{"formattedCitation":"(Patella {\\i{}et al.}, 2020)","plainCitation":"(Patella et al., 2020)","noteIndex":0},"citationItems":[{"id":31702,"uris":["http://zotero.org/users/10594755/items/SI8X5IRJ"],"itemData":{"id":31702,"type":"article-journal","abstract":"Widespread adoption of green vehicles in urban logistics may contribute to the alleviation of problems such as environmental pollution, global warming, and oil dependency. However, the current adoption of green vehicles in the last mile logistics is relatively low despite many actions taken by public authorities to overcome the negative externalities of distributing goods in cities. This paper presents a comprehensive literature review on studies investigating the adoption of green vehicles in urban freight transportation, paying specific attention to e-commerce. To shed light on the adoption of green vehicles in city logistics, the paper conducts a systematic review of the empirical literature on the topic. The 159 articles reviewed were classified into the following: (a) Optimization and scheduling (67 papers); (b) policy (55 papers); (c) sustainability (37 papers). Among the 159 articles, a further selection of 17 papers dealing with e-commerce, i.e., studies that highlight the most relevant aspects related to the integration of green vehicles in e-commerce urban logistics, was performed. Our findings indicate that green vehicles are competitive in urban deliveries characterized by frequent stop-and-go movements and low consolidation levels while incentives are still necessary for their adoption. The use of autonomous vehicles results the most promising and challenging solution for last-mile logistics.","container-title":"Sustainability","DOI":"10.3390/su13010006","ISSN":"2071-1050","issue":"1","journalAbbreviation":"Sustainability","language":"en","page":"6","source":"DOI.org (Crossref)","title":"The adoption of green vehicles in last mile logistics: a systematic review","title-short":"The adoption of green vehicles in last mile logistics","volume":"13","author":[{"family":"Patella","given":"Sergio Maria"},{"family":"Grazieschi","given":"Gianluca"},{"family":"Gatta","given":"Valerio"},{"family":"Marcucci","given":"Edoardo"},{"family":"Carrese","given":"Stefano"}],"issued":{"date-parts":[["2020",12,22]]}}}],"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00E9108F" w:rsidRPr="00EF6D91">
        <w:rPr>
          <w:rFonts w:ascii="Times New Roman" w:hAnsi="Times New Roman" w:cs="Times New Roman"/>
          <w:kern w:val="0"/>
          <w:sz w:val="24"/>
        </w:rPr>
        <w:t xml:space="preserve">(Patella </w:t>
      </w:r>
      <w:r w:rsidR="00E9108F" w:rsidRPr="00EF6D91">
        <w:rPr>
          <w:rFonts w:ascii="Times New Roman" w:hAnsi="Times New Roman" w:cs="Times New Roman"/>
          <w:i/>
          <w:iCs/>
          <w:kern w:val="0"/>
          <w:sz w:val="24"/>
        </w:rPr>
        <w:t>et al.</w:t>
      </w:r>
      <w:r w:rsidR="00E9108F" w:rsidRPr="00EF6D91">
        <w:rPr>
          <w:rFonts w:ascii="Times New Roman" w:hAnsi="Times New Roman" w:cs="Times New Roman"/>
          <w:kern w:val="0"/>
          <w:sz w:val="24"/>
        </w:rPr>
        <w:t>, 2020)</w:t>
      </w:r>
      <w:r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p>
    <w:p w14:paraId="4F34EC3D" w14:textId="5189D317"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Drawing from the research by </w:t>
      </w:r>
      <w:r w:rsidRPr="00EF6D91">
        <w:rPr>
          <w:rFonts w:ascii="Times New Roman" w:eastAsia="Calibri" w:hAnsi="Times New Roman" w:cs="Times New Roman"/>
          <w:color w:val="000000"/>
          <w:sz w:val="24"/>
          <w:szCs w:val="24"/>
        </w:rPr>
        <w:fldChar w:fldCharType="begin"/>
      </w:r>
      <w:r w:rsidR="00E9108F" w:rsidRPr="00EF6D91">
        <w:rPr>
          <w:rFonts w:ascii="Times New Roman" w:eastAsia="Calibri" w:hAnsi="Times New Roman" w:cs="Times New Roman"/>
          <w:color w:val="000000"/>
          <w:sz w:val="24"/>
          <w:szCs w:val="24"/>
        </w:rPr>
        <w:instrText xml:space="preserve"> ADDIN ZOTERO_ITEM CSL_CITATION {"citationID":"NHGtggYi","properties":{"formattedCitation":"(Kumar {\\i{}et al.}, 2022)","plainCitation":"(Kumar et al., 2022)","noteIndex":0},"citationItems":[{"id":419,"uris":["http://zotero.org/users/10594755/items/CGM5TCTW"],"itemData":{"id":419,"type":"article-journal","container-title":"International Journal of Computer Integrated Manufacturing","DOI":"10.1080/0951192X.2022.2128217","ISSN":"0951-192X, 1362-3052","journalAbbreviation":"International Journal of Computer Integrated Manufacturing","language":"en","page":"1-21","source":"DOI.org (Crossref)","title":"Barriers to adoption of industry 4.0 and sustainability: a case study with SMEs","title-short":"Barriers to adoption of industry 4.0 and sustainability","author":[{"family":"Kumar","given":"Shashank"},{"family":"Raut","given":"Rakesh D."},{"family":"Aktas","given":"Emel"},{"family":"Narkhede","given":"Balkrishna E."},{"family":"Gedam","given":"Vidyadhar V."}],"issued":{"date-parts":[["2022",10,11]]}}}],"schema":"https://github.com/citation-style-language/schema/raw/master/csl-citation.json"}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00E9108F" w:rsidRPr="00EF6D91">
        <w:rPr>
          <w:rFonts w:ascii="Times New Roman" w:hAnsi="Times New Roman" w:cs="Times New Roman"/>
          <w:kern w:val="0"/>
          <w:sz w:val="24"/>
        </w:rPr>
        <w:t xml:space="preserve">Kumar </w:t>
      </w:r>
      <w:r w:rsidR="00E9108F" w:rsidRPr="00EF6D91">
        <w:rPr>
          <w:rFonts w:ascii="Times New Roman" w:hAnsi="Times New Roman" w:cs="Times New Roman"/>
          <w:i/>
          <w:iCs/>
          <w:kern w:val="0"/>
          <w:sz w:val="24"/>
        </w:rPr>
        <w:t>et al.</w:t>
      </w:r>
      <w:r w:rsidR="006550E6">
        <w:rPr>
          <w:rFonts w:ascii="Times New Roman" w:hAnsi="Times New Roman" w:cs="Times New Roman"/>
          <w:kern w:val="0"/>
          <w:sz w:val="24"/>
        </w:rPr>
        <w:t xml:space="preserve"> (</w:t>
      </w:r>
      <w:r w:rsidR="00E9108F" w:rsidRPr="00EF6D91">
        <w:rPr>
          <w:rFonts w:ascii="Times New Roman" w:hAnsi="Times New Roman" w:cs="Times New Roman"/>
          <w:kern w:val="0"/>
          <w:sz w:val="24"/>
        </w:rPr>
        <w:t>2022)</w:t>
      </w:r>
      <w:r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and the sustainability principles outlined by the World Commission on Environment and Development (WCED), it becomes evident that Sustainable Freight Transport (SFT) in Last-Mile Deliveries (LMDs) emerges as an ecologically prudent approach to concluding the delivery process. It harmoniously reduces environmental footprints, curtails energy consumption, and accentuates efficiency, ensuring </w:t>
      </w:r>
      <w:r w:rsidRPr="00EF6D91">
        <w:rPr>
          <w:rFonts w:ascii="Times New Roman" w:eastAsia="Calibri" w:hAnsi="Times New Roman" w:cs="Times New Roman"/>
          <w:color w:val="000000"/>
          <w:sz w:val="24"/>
          <w:szCs w:val="24"/>
        </w:rPr>
        <w:lastRenderedPageBreak/>
        <w:t xml:space="preserve">timely fulfilment of consumer needs. Modern enterprises </w:t>
      </w:r>
      <w:r w:rsidR="005E5B8D" w:rsidRPr="00EF6D91">
        <w:rPr>
          <w:rFonts w:ascii="Times New Roman" w:eastAsia="Calibri" w:hAnsi="Times New Roman" w:cs="Times New Roman"/>
          <w:color w:val="000000"/>
          <w:sz w:val="24"/>
          <w:szCs w:val="24"/>
        </w:rPr>
        <w:t>face</w:t>
      </w:r>
      <w:r w:rsidRPr="00EF6D91">
        <w:rPr>
          <w:rFonts w:ascii="Times New Roman" w:eastAsia="Calibri" w:hAnsi="Times New Roman" w:cs="Times New Roman"/>
          <w:color w:val="000000"/>
          <w:sz w:val="24"/>
          <w:szCs w:val="24"/>
        </w:rPr>
        <w:t xml:space="preserve"> challenges in meeting the growing demand for rapid delivery a</w:t>
      </w:r>
      <w:r w:rsidR="005E5B8D" w:rsidRPr="00EF6D91">
        <w:rPr>
          <w:rFonts w:ascii="Times New Roman" w:eastAsia="Calibri" w:hAnsi="Times New Roman" w:cs="Times New Roman"/>
          <w:color w:val="000000"/>
          <w:sz w:val="24"/>
          <w:szCs w:val="24"/>
        </w:rPr>
        <w:t>nd</w:t>
      </w:r>
      <w:r w:rsidRPr="00EF6D91">
        <w:rPr>
          <w:rFonts w:ascii="Times New Roman" w:eastAsia="Calibri" w:hAnsi="Times New Roman" w:cs="Times New Roman"/>
          <w:color w:val="000000"/>
          <w:sz w:val="24"/>
          <w:szCs w:val="24"/>
        </w:rPr>
        <w:t xml:space="preserve"> the expectation of </w:t>
      </w:r>
      <w:r w:rsidR="005E5B8D" w:rsidRPr="00EF6D91">
        <w:rPr>
          <w:rFonts w:ascii="Times New Roman" w:eastAsia="Calibri" w:hAnsi="Times New Roman" w:cs="Times New Roman"/>
          <w:color w:val="000000"/>
          <w:sz w:val="24"/>
          <w:szCs w:val="24"/>
        </w:rPr>
        <w:t>product convenience and affordability</w:t>
      </w:r>
      <w:r w:rsidRPr="00EF6D91">
        <w:rPr>
          <w:rFonts w:ascii="Times New Roman" w:eastAsia="Calibri" w:hAnsi="Times New Roman" w:cs="Times New Roman"/>
          <w:color w:val="000000"/>
          <w:sz w:val="24"/>
          <w:szCs w:val="24"/>
        </w:rPr>
        <w:t xml:space="preserve"> </w:t>
      </w:r>
      <w:r w:rsidRPr="00EF6D91">
        <w:rPr>
          <w:rFonts w:ascii="Times New Roman" w:eastAsia="Calibri" w:hAnsi="Times New Roman" w:cs="Times New Roman"/>
          <w:color w:val="000000"/>
          <w:sz w:val="24"/>
          <w:szCs w:val="24"/>
        </w:rPr>
        <w:fldChar w:fldCharType="begin"/>
      </w:r>
      <w:r w:rsidR="00E9108F" w:rsidRPr="00EF6D91">
        <w:rPr>
          <w:rFonts w:ascii="Times New Roman" w:eastAsia="Calibri" w:hAnsi="Times New Roman" w:cs="Times New Roman"/>
          <w:color w:val="000000"/>
          <w:sz w:val="24"/>
          <w:szCs w:val="24"/>
        </w:rPr>
        <w:instrText xml:space="preserve"> ADDIN ZOTERO_ITEM CSL_CITATION {"citationID":"D5dc4j37","properties":{"formattedCitation":"(De La Torre {\\i{}et al.}, 2021)","plainCitation":"(De La Torre et al., 2021)","noteIndex":0},"citationItems":[{"id":31666,"uris":["http://zotero.org/users/10594755/items/QBEDMHPD"],"itemData":{"id":31666,"type":"article-journal","abstract":"The need for effective freight and human transportation systems has consistently increased during the last decades, mainly due to factors such as globalization, e-commerce activities, and mobility requirements. Traditionally, transportation systems have been designed with the main goal of reducing their monetary cost while offering a specified quality of service. During the last decade, however, sustainability concepts are also being considered as a critical component of transportation systems, i.e., the environmental and social impact of transportation activities have to be taken into account when managers and policy makers design and operate modern transportation systems, whether these refer to long-distance carriers or to metropolitan areas. This paper reviews the existing work on different scientific methodologies that are being used to promote Sustainable Transportation Systems (STS), including simulation, optimization, machine learning, and fuzzy sets. This paper discusses how each of these methodologies have been employed to design and efficiently operate STS. In addition, the paper also provides a classification of common challenges, best practices, future trends, and open research lines that might be useful for both researchers and practitioners.","container-title":"Sustainability","DOI":"10.3390/su13031551","ISSN":"2071-1050","issue":"3","journalAbbreviation":"Sustainability","language":"en","page":"1551","source":"DOI.org (Crossref)","title":"Simulation, optimization, and machine learning in sustainable transportation systems: models and applications","title-short":"Simulation, optimization, and machine learning in sustainable transportation systems","volume":"13","author":[{"family":"De La Torre","given":"Rocio"},{"family":"Corlu","given":"Canan G."},{"family":"Faulin","given":"Javier"},{"family":"Onggo","given":"Bhakti S."},{"family":"Juan","given":"Angel A."}],"issued":{"date-parts":[["2021",2,2]]}}}],"schema":"https://github.com/citation-style-language/schema/raw/master/csl-citation.json"}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00E9108F" w:rsidRPr="00EF6D91">
        <w:rPr>
          <w:rFonts w:ascii="Times New Roman" w:hAnsi="Times New Roman" w:cs="Times New Roman"/>
          <w:kern w:val="0"/>
          <w:sz w:val="24"/>
        </w:rPr>
        <w:t xml:space="preserve">(De La Torre </w:t>
      </w:r>
      <w:r w:rsidR="00E9108F" w:rsidRPr="00EF6D91">
        <w:rPr>
          <w:rFonts w:ascii="Times New Roman" w:hAnsi="Times New Roman" w:cs="Times New Roman"/>
          <w:i/>
          <w:iCs/>
          <w:kern w:val="0"/>
          <w:sz w:val="24"/>
        </w:rPr>
        <w:t>et al.</w:t>
      </w:r>
      <w:r w:rsidR="00E9108F" w:rsidRPr="00EF6D91">
        <w:rPr>
          <w:rFonts w:ascii="Times New Roman" w:hAnsi="Times New Roman" w:cs="Times New Roman"/>
          <w:kern w:val="0"/>
          <w:sz w:val="24"/>
        </w:rPr>
        <w:t>, 2021)</w:t>
      </w:r>
      <w:r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w:t>
      </w:r>
    </w:p>
    <w:p w14:paraId="0E0B7237" w14:textId="4002F925"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logistics sector stands at the forefront of </w:t>
      </w:r>
      <w:r w:rsidR="00C52BB3">
        <w:rPr>
          <w:rFonts w:ascii="Times New Roman" w:eastAsia="Calibri" w:hAnsi="Times New Roman" w:cs="Times New Roman"/>
          <w:color w:val="000000"/>
          <w:sz w:val="24"/>
          <w:szCs w:val="24"/>
        </w:rPr>
        <w:t>a transformational</w:t>
      </w:r>
      <w:r w:rsidRPr="00EF6D91">
        <w:rPr>
          <w:rFonts w:ascii="Times New Roman" w:eastAsia="Calibri" w:hAnsi="Times New Roman" w:cs="Times New Roman"/>
          <w:color w:val="000000"/>
          <w:sz w:val="24"/>
          <w:szCs w:val="24"/>
        </w:rPr>
        <w:t xml:space="preserve"> era, gravitating towards SFT practices that balance environmental conservation, fiscal efficiency, and social inclusivity. The cornerstone of this shift rests on adopting sustainable methodologies, enlightened policy directives, and innovative technologies. Consequently, logistics entities confront the urgency </w:t>
      </w:r>
      <w:r w:rsidR="005E5B8D" w:rsidRPr="00EF6D91">
        <w:rPr>
          <w:rFonts w:ascii="Times New Roman" w:eastAsia="Calibri" w:hAnsi="Times New Roman" w:cs="Times New Roman"/>
          <w:color w:val="000000"/>
          <w:sz w:val="24"/>
          <w:szCs w:val="24"/>
        </w:rPr>
        <w:t>of recalibrating</w:t>
      </w:r>
      <w:r w:rsidRPr="00EF6D91">
        <w:rPr>
          <w:rFonts w:ascii="Times New Roman" w:eastAsia="Calibri" w:hAnsi="Times New Roman" w:cs="Times New Roman"/>
          <w:color w:val="000000"/>
          <w:sz w:val="24"/>
          <w:szCs w:val="24"/>
        </w:rPr>
        <w:t xml:space="preserve"> their strategies, emphasizing integrated sustainable transport protocols. </w:t>
      </w:r>
      <w:r w:rsidR="00323348">
        <w:rPr>
          <w:rFonts w:ascii="Times New Roman" w:eastAsia="Calibri" w:hAnsi="Times New Roman" w:cs="Times New Roman"/>
          <w:color w:val="000000"/>
          <w:sz w:val="24"/>
          <w:szCs w:val="24"/>
        </w:rPr>
        <w:t>However, a</w:t>
      </w:r>
      <w:r w:rsidRPr="00EF6D91">
        <w:rPr>
          <w:rFonts w:ascii="Times New Roman" w:eastAsia="Calibri" w:hAnsi="Times New Roman" w:cs="Times New Roman"/>
          <w:color w:val="000000"/>
          <w:sz w:val="24"/>
          <w:szCs w:val="24"/>
        </w:rPr>
        <w:t xml:space="preserve">lthough the gravitation toward green systems like Electric Vehicles (EVs) is promising, it presents intricate challenges that necessitate adept navigation </w:t>
      </w:r>
      <w:r w:rsidRPr="00EF6D91">
        <w:rPr>
          <w:rFonts w:ascii="Times New Roman" w:eastAsia="Calibri" w:hAnsi="Times New Roman" w:cs="Times New Roman"/>
          <w:color w:val="000000"/>
          <w:sz w:val="24"/>
          <w:szCs w:val="24"/>
        </w:rPr>
        <w:fldChar w:fldCharType="begin"/>
      </w:r>
      <w:r w:rsidR="00E9108F" w:rsidRPr="00EF6D91">
        <w:rPr>
          <w:rFonts w:ascii="Times New Roman" w:eastAsia="Calibri" w:hAnsi="Times New Roman" w:cs="Times New Roman"/>
          <w:color w:val="000000"/>
          <w:sz w:val="24"/>
          <w:szCs w:val="24"/>
        </w:rPr>
        <w:instrText xml:space="preserve"> ADDIN ZOTERO_ITEM CSL_CITATION {"citationID":"chX7tJgv","properties":{"formattedCitation":"(Carter {\\i{}et al.}, 2019)","plainCitation":"(Carter et al., 2019)","noteIndex":0},"citationItems":[{"id":31722,"uris":["http://zotero.org/users/10594755/items/T5S2YX98"],"itemData":{"id":31722,"type":"article-journal","abstract":"Purpose\nThe purpose of this paper is to update the work of Carter and Easton (2011), by conducting a systematic review of the sustainable supply chain management (SSCM) literature in the primary logistics and supply chain management journals, during the 2010–2018 timeframe.\n\n\nDesign/methodology/approach\nThe authors use a systematic literature review (SLR) methodology which follows the methodology employed by Carter and Easton (2011). An evaluation of this methodology, using the Modified AMSTAR criteria, demonstrates a high level of empirical validity.\n\n\nFindings\nThe field of SSCM continues to evolve with changes in substantive focus, theoretical lenses, unit of analysis, methodology and type of analysis. However, there are still abundant future research opportunities, including investigating under-researched topics such as diversity and human rights/working conditions, employing the group as the unit of analysis and better addressing empirical validity and social desirability bias.\n\n\nResearch limitations/implications\nThe findings result in prescriptions and a broad agenda to guide future research in the SSCM arena. The final section of the paper provides additional avenues for future research surrounding theory development and decision making.\n\n\nOriginality/value\nThis SLR provides a rigorous, methodologically valid review of the continuing evolution of empirical SSCM research over a 28-year time period.","container-title":"International Journal of Physical Distribution &amp; Logistics Management","DOI":"10.1108/IJPDLM-02-2019-0056","ISSN":"0960-0035","issue":"1","journalAbbreviation":"IJPDLM","language":"en","page":"122-146","source":"DOI.org (Crossref)","title":"Sustainable supply chain management: continuing evolution and future directions","title-short":"Sustainable supply chain management","volume":"50","author":[{"family":"Carter","given":"Craig R."},{"family":"Hatton","given":"Marc R."},{"family":"Wu","given":"Chao"},{"family":"Chen","given":"Xiangjing"}],"issued":{"date-parts":[["2019",11,7]]}}}],"schema":"https://github.com/citation-style-language/schema/raw/master/csl-citation.json"} </w:instrText>
      </w:r>
      <w:r w:rsidRPr="00EF6D91">
        <w:rPr>
          <w:rFonts w:ascii="Times New Roman" w:eastAsia="Calibri" w:hAnsi="Times New Roman" w:cs="Times New Roman"/>
          <w:color w:val="000000"/>
          <w:sz w:val="24"/>
          <w:szCs w:val="24"/>
        </w:rPr>
        <w:fldChar w:fldCharType="separate"/>
      </w:r>
      <w:r w:rsidR="00E9108F" w:rsidRPr="00EF6D91">
        <w:rPr>
          <w:rFonts w:ascii="Times New Roman" w:hAnsi="Times New Roman" w:cs="Times New Roman"/>
          <w:kern w:val="0"/>
          <w:sz w:val="24"/>
        </w:rPr>
        <w:t xml:space="preserve">(Carter </w:t>
      </w:r>
      <w:r w:rsidR="00E9108F" w:rsidRPr="00EF6D91">
        <w:rPr>
          <w:rFonts w:ascii="Times New Roman" w:hAnsi="Times New Roman" w:cs="Times New Roman"/>
          <w:i/>
          <w:iCs/>
          <w:kern w:val="0"/>
          <w:sz w:val="24"/>
        </w:rPr>
        <w:t>et al.</w:t>
      </w:r>
      <w:r w:rsidR="00E9108F" w:rsidRPr="00EF6D91">
        <w:rPr>
          <w:rFonts w:ascii="Times New Roman" w:hAnsi="Times New Roman" w:cs="Times New Roman"/>
          <w:kern w:val="0"/>
          <w:sz w:val="24"/>
        </w:rPr>
        <w:t>, 2019)</w:t>
      </w:r>
      <w:r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p>
    <w:p w14:paraId="68296E1C" w14:textId="77D6E9E9" w:rsidR="00AD5C71" w:rsidRPr="00EF6D91" w:rsidRDefault="00AD5C71" w:rsidP="00AD5C71">
      <w:pPr>
        <w:jc w:val="both"/>
        <w:rPr>
          <w:rFonts w:ascii="Times New Roman" w:eastAsia="Calibri" w:hAnsi="Times New Roman" w:cs="Times New Roman"/>
          <w:color w:val="000000"/>
          <w:sz w:val="24"/>
          <w:szCs w:val="24"/>
        </w:rPr>
      </w:pPr>
      <w:bookmarkStart w:id="1" w:name="_Hlk164781731"/>
      <w:r w:rsidRPr="00EF6D91">
        <w:rPr>
          <w:rFonts w:ascii="Times New Roman" w:eastAsia="Calibri" w:hAnsi="Times New Roman" w:cs="Times New Roman"/>
          <w:color w:val="000000"/>
          <w:sz w:val="24"/>
          <w:szCs w:val="24"/>
        </w:rPr>
        <w:t xml:space="preserve">Recent </w:t>
      </w:r>
      <w:r w:rsidR="00323348">
        <w:rPr>
          <w:rFonts w:ascii="Times New Roman" w:eastAsia="Calibri" w:hAnsi="Times New Roman" w:cs="Times New Roman"/>
          <w:color w:val="000000"/>
          <w:sz w:val="24"/>
          <w:szCs w:val="24"/>
        </w:rPr>
        <w:t>literature</w:t>
      </w:r>
      <w:r w:rsidRPr="00EF6D91">
        <w:rPr>
          <w:rFonts w:ascii="Times New Roman" w:eastAsia="Calibri" w:hAnsi="Times New Roman" w:cs="Times New Roman"/>
          <w:color w:val="000000"/>
          <w:sz w:val="24"/>
          <w:szCs w:val="24"/>
        </w:rPr>
        <w:t xml:space="preserve"> comprehensively addresses the diverse and complex barriers to </w:t>
      </w:r>
      <w:r w:rsidR="005E5B8D" w:rsidRPr="00EF6D91">
        <w:rPr>
          <w:rFonts w:ascii="Times New Roman" w:eastAsia="Calibri" w:hAnsi="Times New Roman" w:cs="Times New Roman"/>
          <w:color w:val="000000"/>
          <w:sz w:val="24"/>
          <w:szCs w:val="24"/>
        </w:rPr>
        <w:t>adopting</w:t>
      </w:r>
      <w:r w:rsidRPr="00EF6D91">
        <w:rPr>
          <w:rFonts w:ascii="Times New Roman" w:eastAsia="Calibri" w:hAnsi="Times New Roman" w:cs="Times New Roman"/>
          <w:color w:val="000000"/>
          <w:sz w:val="24"/>
          <w:szCs w:val="24"/>
        </w:rPr>
        <w:t xml:space="preserve"> electric vehicles (EVs), highlighting critical infrastructural, technological, and market-related challenges. Central to these discussions is </w:t>
      </w:r>
      <w:r w:rsidR="005E5B8D" w:rsidRPr="00EF6D91">
        <w:rPr>
          <w:rFonts w:ascii="Times New Roman" w:eastAsia="Calibri" w:hAnsi="Times New Roman" w:cs="Times New Roman"/>
          <w:color w:val="000000"/>
          <w:sz w:val="24"/>
          <w:szCs w:val="24"/>
        </w:rPr>
        <w:t>recognising</w:t>
      </w:r>
      <w:r w:rsidRPr="00EF6D91">
        <w:rPr>
          <w:rFonts w:ascii="Times New Roman" w:eastAsia="Calibri" w:hAnsi="Times New Roman" w:cs="Times New Roman"/>
          <w:color w:val="000000"/>
          <w:sz w:val="24"/>
          <w:szCs w:val="24"/>
        </w:rPr>
        <w:t xml:space="preserve"> significant infrastructural and policy constraints magnified by geographic and market variability, necessitating targeted interventions to mitigate these barriers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{"citationID":"urvIE35m","properties":{"formattedCitation":"(Aungkulanon {\\i{}et al.}, 2023)","plainCitation":"(Aungkulanon et al., 2023)","noteIndex":0},"citationItems":[{"id":47997,"uris":["http://zotero.org/users/10594755/items/BBNJVXP2"],"itemData":{"id":47997,"type":"article-journal","abstract":"In response to the requirement to address the global climate crisis in urban areas caused by the logistics sector, an increasing number of governments around the world have begun aggressive strategic actions to encourage manufacturers and consumers to adopt electric vehicle (EV) technology. One of the most beneficial aspects of driving an EV is that it reduces pollution while also reducing the use of fossil fuels, as well as improving public health by improving local air quality. Nevertheless, the level of EV adoption differs significantly across markets and geographies. EV adoption barriers slow the overall rate of electric mobility. This study ranks a list of obstacles and sub-hindrances to the adoption of electric vehicles in Thailand using the Fuzzy Analytical Hierarchy Process (FAHP), a Multi-Criteria Decision Making (MCDM) technique. The results showed that infrastructure policy barrier (A), which had the highest weight of 0.6058, was the biggest barrier to EV adoption, followed by technological barrier (B) with a weight of 0.2657, and then by market barrier with a weight of 0.1285. Insufficient charging infrastructure network (A3), lack of proper government support/incentives and collaboration (A1), insufficient electric power supply (A2), high capital cost (C3), and EV charging time (B3) were key sub-barriers to EV adoption in Thailand. Decision Making Systems (DMS) have additionally been created to assist executives in making decisions about the aforementioned barriers. The DMS is based on the concept of computer-aided decision making in that it allows for direct user interaction, analysis, and the ability to change circumstances and the decision-making process based on the executives’ own experience and abilities. Thus, the findings of this study aid in the formulation of market strategies for relevant stakeholders and shed light on potential policy responses.","container-title":"Sustainability","DOI":"10.3390/su15087003","ISSN":"2071-1050","issue":"8","journalAbbreviation":"Sustainability","language":"en","page":"7003","source":"DOI.org (Crossref)","title":"Fuzzy Analytical Hierarchy Process for Strategic Decision Making in Electric Vehicle Adoption","volume":"15","author":[{"family":"Aungkulanon","given":"Pasura"},{"family":"Atthirawong","given":"Walailak"},{"family":"Luangpaiboon","given":"Pongchanun"}],"issued":{"date-parts":[["2023",4,21]]}}}],"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w:t>
      </w:r>
      <w:bookmarkStart w:id="2" w:name="_Hlk179204179"/>
      <w:r w:rsidR="003E71F5" w:rsidRPr="00EF6D91">
        <w:rPr>
          <w:rFonts w:ascii="Times New Roman" w:hAnsi="Times New Roman" w:cs="Times New Roman"/>
          <w:kern w:val="0"/>
          <w:sz w:val="24"/>
        </w:rPr>
        <w:t xml:space="preserve">Aungkulanon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2023</w:t>
      </w:r>
      <w:bookmarkEnd w:id="2"/>
      <w:r w:rsidR="003E71F5" w:rsidRPr="00EF6D91">
        <w:rPr>
          <w:rFonts w:ascii="Times New Roman" w:hAnsi="Times New Roman" w:cs="Times New Roman"/>
          <w:kern w:val="0"/>
          <w:sz w:val="24"/>
        </w:rPr>
        <w:t>)</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Further compounding these challenges is </w:t>
      </w:r>
      <w:r w:rsidR="00756271" w:rsidRPr="00EF6D91">
        <w:rPr>
          <w:rFonts w:ascii="Times New Roman" w:eastAsia="Calibri" w:hAnsi="Times New Roman" w:cs="Times New Roman"/>
          <w:color w:val="000000"/>
          <w:sz w:val="24"/>
          <w:szCs w:val="24"/>
        </w:rPr>
        <w:t>integrating renewable energy sources and developing</w:t>
      </w:r>
      <w:r w:rsidRPr="00EF6D91">
        <w:rPr>
          <w:rFonts w:ascii="Times New Roman" w:eastAsia="Calibri" w:hAnsi="Times New Roman" w:cs="Times New Roman"/>
          <w:color w:val="000000"/>
          <w:sz w:val="24"/>
          <w:szCs w:val="24"/>
        </w:rPr>
        <w:t xml:space="preserve"> sustainable industrial practices, such as efficient battery recycling, essential for supporting a transition to sustainable mobility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{"citationID":"st58EtQu","properties":{"formattedCitation":"(D\\uc0\\u8217{}Adamo, Gastaldi and Ozturk, 2023)","plainCitation":"(D’Adamo, Gastaldi and Ozturk, 2023)","noteIndex":0},"citationItems":[{"id":47999,"uris":["http://zotero.org/users/10594755/items/ICKAKBII"],"itemData":{"id":47999,"type":"article-journal","abstract":"Abstract\nThe transportation sector has a strong negative impact on the environment and therefore requires new sustainable development measures. This paper proposes a new indicator of sustainability in transport obtained through a multi‐criteria analysis based on Eurostat data and a panel of 10 academics. The results show a positive performance of Sweden in the period 2015–2019 and a small number of countries above the European average. Furthermore, a quantitative analysis based on these experts identifies the critical success factors associated with purchasing electric vehicles. The greatest importance is assigned to purchase cost, followed by battery autonomy. Our analysis proposes that electric vehicles are unable to achieve a sustainable transition unless three conditions are met: (i) use of renewable sources, (ii) local industrial development of the sector, and (iii) battery recycling. Therefore, Europe urgently needs to realize new industrial activities and avoid social unsustainability. The long‐term objective of a policy plan is to promote independence from external sources of energy, materials, and other resources.","container-title":"Sustainable Development","DOI":"10.1002/sd.2424","ISSN":"0968-0802, 1099-1719","issue":"2","journalAbbreviation":"Sustainable Development","language":"en","page":"840-852","source":"DOI.org (Crossref)","title":"The sustainable development of mobility in the green transition: Renewable energy, local industrial chain, and battery recycling","title-short":"The sustainable development of mobility in the green transition","volume":"31","author":[{"family":"D'Adamo","given":"Idiano"},{"family":"Gastaldi","given":"Massimo"},{"family":"Ozturk","given":"Ilhan"}],"issued":{"date-parts":[["2023",4]]}}}],"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(D’Adamo, Gastaldi and Ozturk, 2023)</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p>
    <w:p w14:paraId="187228FA" w14:textId="6ECAB9AE"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Moreover, the literature suggests that economic considerations are crucial, with studies indicating that EVs offer substantial cost and emission reductions in densely populated urban settings where traditional delivery methods are less effective</w:t>
      </w:r>
      <w:r w:rsidR="003E71F5" w:rsidRPr="00EF6D91">
        <w:rPr>
          <w:rFonts w:ascii="Times New Roman" w:eastAsia="Calibri" w:hAnsi="Times New Roman" w:cs="Times New Roman"/>
          <w:color w:val="000000"/>
          <w:sz w:val="24"/>
          <w:szCs w:val="24"/>
        </w:rPr>
        <w:t xml:space="preserve">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{"citationID":"1Z83nFy4","properties":{"formattedCitation":"(Pahwa and Jaller, 2022)","plainCitation":"(Pahwa and Jaller, 2022)","noteIndex":0},"citationItems":[{"id":48000,"uris":["http://zotero.org/users/10594755/items/RVQVMHUD"],"itemData":{"id":48000,"type":"article-journal","container-title":"Transportation Research Part E: Logistics and Transportation Review","DOI":"10.1016/j.tre.2022.102783","ISSN":"13665545","journalAbbreviation":"Transportation Research Part E: Logistics and Transportation Review","language":"en","page":"102783","source":"DOI.org (Crossref)","title":"A cost-based comparative analysis of different last-mile strategies for e-commerce delivery","volume":"164","author":[{"family":"Pahwa","given":"Anmol"},{"family":"Jaller","given":"Miguel"}],"issued":{"date-parts":[["2022",8]]}}}],"schema":"https://github.com/citation-style-language/schema/raw/master/csl-citation.json"}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sz w:val="24"/>
        </w:rPr>
        <w:t>(Pahwa and Jaller, 2022)</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Innovative logistics models that utilize e-vans and e-cargo bikes, optimized through advanced routing algorithms, have been proposed as </w:t>
      </w:r>
      <w:r w:rsidR="005E5B8D" w:rsidRPr="00EF6D91">
        <w:rPr>
          <w:rFonts w:ascii="Times New Roman" w:eastAsia="Calibri" w:hAnsi="Times New Roman" w:cs="Times New Roman"/>
          <w:color w:val="000000"/>
          <w:sz w:val="24"/>
          <w:szCs w:val="24"/>
        </w:rPr>
        <w:t>practical</w:t>
      </w:r>
      <w:r w:rsidRPr="00EF6D91">
        <w:rPr>
          <w:rFonts w:ascii="Times New Roman" w:eastAsia="Calibri" w:hAnsi="Times New Roman" w:cs="Times New Roman"/>
          <w:color w:val="000000"/>
          <w:sz w:val="24"/>
          <w:szCs w:val="24"/>
        </w:rPr>
        <w:t xml:space="preserve"> strategies to address the complexities of urban delivery systems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{"citationID":"KriHSiDy","properties":{"formattedCitation":"(Caggiani {\\i{}et al.}, 2021)","plainCitation":"(Caggiani et al., 2021)","noteIndex":0},"citationItems":[{"id":48001,"uris":["http://zotero.org/users/10594755/items/DIXTPYXP"],"itemData":{"id":48001,"type":"article-journal","container-title":"Transportation Research Procedia","DOI":"10.1016/j.trpro.2021.01.010","ISSN":"23521465","journalAbbreviation":"Transportation Research Procedia","language":"en","page":"75-82","source":"DOI.org (Crossref)","title":"A green logistics solution for last-mile deliveries considering e-vans and e-cargo bikes","volume":"52","author":[{"family":"Caggiani","given":"Leonardo"},{"family":"Colovic","given":"Aleksandra"},{"family":"Prencipe","given":"Luigi Pio"},{"family":"Ottomanelli","given":"Michele"}],"issued":{"date-parts":[["2021"]]}}}],"schema":"https://github.com/citation-style-language/schema/raw/master/csl-citation.json"}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 xml:space="preserve">(Caggiani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2021)</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Additionally, consumer preferences for EV charging infrastructure emphasize the importance of accessible and well-located charging solutions to facilitate the adoption of EVs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{"citationID":"0ygvr5S6","properties":{"formattedCitation":"(Hardman {\\i{}et al.}, 2018)","plainCitation":"(Hardman et al., 2018)","noteIndex":0},"citationItems":[{"id":48002,"uris":["http://zotero.org/users/10594755/items/XAC3HD6I"],"itemData":{"id":48002,"type":"article-journal","container-title":"Transportation Research Part D: Transport and Environment","DOI":"10.1016/j.trd.2018.04.002","ISSN":"13619209","journalAbbreviation":"Transportation Research Part D: Transport and Environment","language":"en","page":"508-523","source":"DOI.org (Crossref)","title":"A review of consumer preferences of and interactions with electric vehicle charging infrastructure","volume":"62","author":[{"family":"Hardman","given":"Scott"},{"family":"Jenn","given":"Alan"},{"family":"Tal","given":"Gil"},{"family":"Axsen","given":"Jonn"},{"family":"Beard","given":"George"},{"family":"Daina","given":"Nicolo"},{"family":"Figenbaum","given":"Erik"},{"family":"Jakobsson","given":"Niklas"},{"family":"Jochem","given":"Patrick"},{"family":"Kinnear","given":"Neale"},{"family":"Plötz","given":"Patrick"},{"family":"Pontes","given":"Jose"},{"family":"Refa","given":"Nazir"},{"family":"Sprei","given":"Frances"},{"family":"Turrentine","given":"Tom"},{"family":"Witkamp","given":"Bert"}],"issued":{"date-parts":[["2018",7]]}}}],"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 xml:space="preserve">(Hardman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2018)</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p>
    <w:p w14:paraId="6E9ABB82" w14:textId="05DF63A9" w:rsidR="00AD5C71" w:rsidRPr="00EF6D91" w:rsidRDefault="00AD5C71" w:rsidP="00AD5C71">
      <w:pPr>
        <w:jc w:val="both"/>
        <w:rPr>
          <w:rFonts w:ascii="Times New Roman" w:eastAsia="Calibri" w:hAnsi="Times New Roman" w:cs="Times New Roman"/>
          <w:color w:val="000000"/>
          <w:sz w:val="24"/>
          <w:szCs w:val="24"/>
          <w:lang w:val="es-MX"/>
        </w:rPr>
      </w:pPr>
      <w:r w:rsidRPr="00EF6D91">
        <w:rPr>
          <w:rFonts w:ascii="Times New Roman" w:eastAsia="Calibri" w:hAnsi="Times New Roman" w:cs="Times New Roman"/>
          <w:color w:val="000000"/>
          <w:sz w:val="24"/>
          <w:szCs w:val="24"/>
        </w:rPr>
        <w:t>The body of literature emphasizes a comprehensive approach, integrating both technological innovations and socio-economic strategies, to enhance the integration of EV</w:t>
      </w:r>
      <w:r w:rsidR="005E5B8D" w:rsidRPr="00EF6D91">
        <w:rPr>
          <w:rFonts w:ascii="Times New Roman" w:eastAsia="Calibri" w:hAnsi="Times New Roman" w:cs="Times New Roman"/>
          <w:color w:val="000000"/>
          <w:sz w:val="24"/>
          <w:szCs w:val="24"/>
        </w:rPr>
        <w:t>s</w:t>
      </w:r>
      <w:r w:rsidRPr="00EF6D91">
        <w:rPr>
          <w:rFonts w:ascii="Times New Roman" w:eastAsia="Calibri" w:hAnsi="Times New Roman" w:cs="Times New Roman"/>
          <w:color w:val="000000"/>
          <w:sz w:val="24"/>
          <w:szCs w:val="24"/>
        </w:rPr>
        <w:t xml:space="preserve"> into </w:t>
      </w:r>
      <w:r w:rsidR="00901359" w:rsidRPr="00EF6D91">
        <w:rPr>
          <w:rFonts w:ascii="Times New Roman" w:eastAsia="Calibri" w:hAnsi="Times New Roman" w:cs="Times New Roman"/>
          <w:color w:val="000000"/>
          <w:sz w:val="24"/>
          <w:szCs w:val="24"/>
        </w:rPr>
        <w:t>LMD</w:t>
      </w:r>
      <w:r w:rsidRPr="00EF6D91">
        <w:rPr>
          <w:rFonts w:ascii="Times New Roman" w:eastAsia="Calibri" w:hAnsi="Times New Roman" w:cs="Times New Roman"/>
          <w:color w:val="000000"/>
          <w:sz w:val="24"/>
          <w:szCs w:val="24"/>
        </w:rPr>
        <w:t xml:space="preserve"> systems. This synthesis is crucial for aligning with broader sustainability goals while adapting to the specific geographic and market conditions encountered across various regions. </w:t>
      </w:r>
      <w:r w:rsidR="005E5B8D" w:rsidRPr="00EF6D91">
        <w:rPr>
          <w:rFonts w:ascii="Times New Roman" w:eastAsia="Calibri" w:hAnsi="Times New Roman" w:cs="Times New Roman"/>
          <w:color w:val="000000"/>
          <w:sz w:val="24"/>
          <w:szCs w:val="24"/>
        </w:rPr>
        <w:t>The r</w:t>
      </w:r>
      <w:r w:rsidRPr="00EF6D91">
        <w:rPr>
          <w:rFonts w:ascii="Times New Roman" w:eastAsia="Calibri" w:hAnsi="Times New Roman" w:cs="Times New Roman"/>
          <w:color w:val="000000"/>
          <w:sz w:val="24"/>
          <w:szCs w:val="24"/>
        </w:rPr>
        <w:t xml:space="preserve">esearch underscores the need for strategic frameworks that effectively address the </w:t>
      </w:r>
      <w:r w:rsidR="005E5B8D" w:rsidRPr="00EF6D91">
        <w:rPr>
          <w:rFonts w:ascii="Times New Roman" w:eastAsia="Calibri" w:hAnsi="Times New Roman" w:cs="Times New Roman"/>
          <w:color w:val="000000"/>
          <w:sz w:val="24"/>
          <w:szCs w:val="24"/>
        </w:rPr>
        <w:t>vast</w:t>
      </w:r>
      <w:r w:rsidRPr="00EF6D91">
        <w:rPr>
          <w:rFonts w:ascii="Times New Roman" w:eastAsia="Calibri" w:hAnsi="Times New Roman" w:cs="Times New Roman"/>
          <w:color w:val="000000"/>
          <w:sz w:val="24"/>
          <w:szCs w:val="24"/>
        </w:rPr>
        <w:t xml:space="preserve"> array of barriers to EV adoption, calling for robust policies that support the scalability of these vehicles in diverse urban landscapes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{"citationID":"veAPExCg","properties":{"formattedCitation":"(Biresselioglu {\\i{}et al.}, 2018; Kuppusamy {\\i{}et al.}, 2017; Morganti and Browne, 2018; Quak {\\i{}et al.}, 2016)","plainCitation":"(Biresselioglu et al., 2018; Kuppusamy et al., 2017; Morganti and Browne, 2018; Quak et al., 2016)","noteIndex":0},"citationItems":[{"id":31593,"uris":["http://zotero.org/users/10594755/items/QQBU6W6J"],"itemData":{"id":31593,"type":"article-journal","container-title":"Transportation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Katharina"}],"issued":{"date-parts":[["2018",3]]}}},{"id":31592,"uris":["http://zotero.org/users/10594755/items/2W8HUZ4D"],"itemData":{"id":31592,"type":"article-journal","container-title":"European Journal of Operational Research","DOI":"10.1016/j.ejor.2017.03.039","ISSN":"03772217","issue":"1","journalAbbreviation":"European Journal of Operational Research","language":"en","page":"123-135","source":"DOI.org (Crossref)","title":"Electric vehicle adoption decisions in a fleet environment","volume":"262","author":[{"family":"Kuppusamy","given":"Saravanan"},{"family":"Magazine","given":"Michael J."},{"family":"Rao","given":"Uday"}],"issued":{"date-parts":[["2017",10]]}}},{"id":31601,"uris":["http://zotero.org/users/10594755/items/SYUYQJJA"],"itemData":{"id":31601,"type":"article-journal","container-title":"Transport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 xml:space="preserve">(Biresselioglu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xml:space="preserve">, 2018; Kuppusamy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2017; Morganti and Browne, 2018)</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In-depth studies specific to regions such as the UK, Brazil, India, and Malaysia offer valuable insights into local regulatory and socio-demographic factors that can influence EV adoption, thereby providing a richer understanding of how sustainable freight transport can be implemented within the logistics sector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{"citationID":"iHNS3gIP","properties":{"formattedCitation":"(Asadi {\\i{}et al.}, 2022; Goel {\\i{}et al.}, 2021; de Mello Bandeira {\\i{}et al.}, 2019; Morganti and Browne, 2018; Tarei {\\i{}et al.}, 2021)","plainCitation":"(Asadi et al., 2022; Goel et al., 2021; de Mello Bandeira et al., 2019; Morganti and Browne, 2018; Tarei et al., 2021)","noteIndex":0},"citationItems":[{"id":47995,"uris":["http://zotero.org/users/10594755/items/HXNWDPKJ"],"itemData":{"id":47995,"type":"article-journal","container-title":"Resources, Conservation and Recycling","DOI":"10.1016/j.resconrec.2021.105965","ISSN":"09213449","journalAbbreviation":"Resources, Conservation and Recycling","language":"en","page":"105965","source":"DOI.org (Crossref)","title":"Drivers and barriers of electric vehicle usage in Malaysia: A DEMATEL approach","title-short":"Drivers and barriers of electric vehicle usage in Malaysia","volume":"177","author":[{"family":"Asadi","given":"Shahla"},{"family":"Nilashi","given":"Mehrbakhsh"},{"family":"Iranmanesh","given":"Mohammad"},{"family":"Ghobakhloo","given":"Morteza"},{"family":"Samad","given":"Sarminah"},{"family":"Alghamdi","given":"Abdullah"},{"family":"Almulihi","given":"Ahmed"},{"family":"Mohd","given":"Saidatulakmal"}],"issued":{"date-parts":[["2022",2]]}}},{"id":47994,"uris":["http://zotero.org/users/10594755/items/BZMUL5XG"],"itemData":{"id":47994,"type":"article-journal","container-title":"Sustainable Production and Consumption","DOI":"10.1016/j.spc.2021.03.029","ISSN":"23525509","journalAbbreviation":"Sustainable Production and Consumption","language":"en","page":"71-90","source":"DOI.org (Crossref)","title":"Government is trying but consumers are not buying: A barrier analysis for electric vehicle sales in India","title-short":"Government is trying but consumers are not buying","volume":"28","author":[{"family":"Goel","given":"Pooja"},{"family":"Sharma","given":"Nitika"},{"family":"Mathiyazhagan","given":"K."},{"family":"Vimal","given":"K.E.K."}],"issued":{"date-parts":[["2021",10]]}}},{"id":31757,"uris":["http://zotero.org/users/10594755/items/EKN63QZQ"],"itemData":{"id":31757,"type":"article-journal","abstract":"The growth of urban population and the rise of e-commerce activities increase the complexity of the last-mile of parcel deliveries and its impacts to the environment and quality of life. Despite the relevance, emerging countries have difficult to establish and implement alternatives to the conventional scope of fossil-based operations. This paper proposes a method to assess alternative strategies for the last-mile of parcel deliveries, in terms of social, environmental, and economic impacts and presents an application to assess the distribution strategy of a postal company located in the city of Rio de Janeiro, Brazil. Moreover, we developed a systematic literature review to develop realistic alternatives to the baseline scenario, which operates with diesel propelled light duty vehicles. Literature points to the reduction of the dimensions of vehicles, as well as to the migration of the propulsion source to electric energy, as sustainable alternatives for last mile deliveries in urban areas. For that reason, we opted to evaluate the use of electric vehicles of smaller dimensions, tricycle and LDV, in the last mile of parcel deliveries, assessing two alternative scenarios: one with the use of electric LDV type BEV; and the other with electric tricycles. Results indicated that the use electric tricycle is a more feasible alternative regarding the economic, environmental and social aspects, demanding no public incentives.","container-title":"Transportation Research Part D: Transport and Environment","DOI":"10.1016/j.trd.2018.12.017","ISSN":"1361-9209","journalAbbreviation":"Transportation Research Part D: Transport and Environment","page":"491-502","source":"ScienceDirect","title":"Electric vehicles in the last mile of urban freight transportation: A sustainability assessment of postal deliveries in Rio de Janeiro-Brazil","title-short":"Electric vehicles in the last mile of urban freight transportation","volume":"67","author":[{"family":"Mello Bandeira","given":"Renata Albergaria","non-dropping-particle":"de"},{"family":"Goes","given":"George Vasconcelos"},{"family":"Schmitz Gonçalves","given":"Daniel Neves"},{"family":"D'Agosto","given":"Márcio de Almeida"},{"family":"Oliveira","given":"Cíntia Machado","dropping-part</w:instrText>
      </w:r>
      <w:r w:rsidR="003E71F5" w:rsidRPr="00EF6D91">
        <w:rPr>
          <w:rFonts w:ascii="Times New Roman" w:eastAsia="Calibri" w:hAnsi="Times New Roman" w:cs="Times New Roman"/>
          <w:color w:val="000000"/>
          <w:sz w:val="24"/>
          <w:szCs w:val="24"/>
          <w:lang w:val="es-MX"/>
        </w:rPr>
        <w:instrText xml:space="preserve">icle":"de"}],"issued":{"date-parts":[["2019",2,1]]}}},{"id":31601,"uris":["http://zotero.org/users/10594755/items/SYUYQJJA"],"itemData":{"id":31601,"type":"article-journal","container-title":"Transport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id":47993,"uris":["http://zotero.org/users/10594755/items/E6ZHKNK7"],"itemData":{"id":47993,"type":"article-journal","container-title":"Journal of Cleaner Production","DOI":"10.1016/j.jclepro.2021.125847","ISSN":"09596526","journalAbbreviation":"Journal of Cleaner Production","language":"en","page":"125847","source":"DOI.org (Crossref)","title":"Barriers to the adoption of electric vehicles: Evidence from India","title-short":"Barriers to the adoption of electric vehicles","volume":"291","author":[{"family":"Tarei","given":"Pradeep Kumar"},{"family":"Chand","given":"Pushpendu"},{"family":"Gupta","given":"Himanshu"}],"issued":{"date-parts":[["2021",4]]}}}],"schema":"https://github.com/citation-style-language/schema/raw/master/csl-citation.json"}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lang w:val="es-MX"/>
        </w:rPr>
        <w:t xml:space="preserve">(Asadi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xml:space="preserve">, 2022; Goel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xml:space="preserve">, 2021; de Mello Bandeira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xml:space="preserve">, 2019; Morganti and Browne, 2018; Tarei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2021)</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lang w:val="es-MX"/>
        </w:rPr>
        <w:t xml:space="preserve">. </w:t>
      </w:r>
      <w:r w:rsidRPr="00EF6D91">
        <w:rPr>
          <w:rFonts w:ascii="Times New Roman" w:eastAsia="Calibri" w:hAnsi="Times New Roman" w:cs="Times New Roman"/>
          <w:color w:val="000000"/>
          <w:sz w:val="24"/>
          <w:szCs w:val="24"/>
        </w:rPr>
        <w:t>These studies not only probe the unique challenges faced in different locales but also highlight the global nature of the shift towards sustainable mobility, illustrating the critical need for an integrated, multi-faceted approach in the adoption of EVs for last-mile deliveries</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{"citationID":"kUi6rwB6","properties":{"formattedCitation":"(Anosike {\\i{}et al.}, 2023; Haddadian {\\i{}et al.}, 2015; de Mello Bandeira {\\i{}et al.}, 2019; Rosales-Tristancho {\\i{}et al.}, 2022)","plainCitation":"(Anosike et al., 2023; Haddadian et al., 2015; de Mello Bandeira et al., 2019; Rosales-Tristancho et al., 2022)","noteIndex":0},"citationItems":[{"id":31598,"uris":["http://zotero.org/users/10594755/items/NMS45AKI"],"itemData":{"id":31598,"type":"article-journal","container-title":"International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31757,"uris":["http://zotero.org/users/10594755/items/EKN63QZQ"],"itemData":{"id":31757,"type":"article-journal","abstract":"The growth of urban population and the rise of e-commerce activities increase the complexity of the last-mile of parcel deliveries and its impacts to the environment and quality of life. Despite the relevance, emerging countries have difficult to establish and implement alternatives to the conventional scope of fossil-based operations. This paper proposes a method to assess alternative strategies for the last-mile of parcel deliveries, in terms of social, environmental, and economic impacts and presents an application to assess the distribution strategy of a postal company located in the city of Rio de Janeiro, Brazil. Moreover, we developed a systematic literature review to develop realistic alternatives to the baseline scenario, which operates with diesel propelled light duty vehicles. Literature points to the reduction of the dimensions of vehicles, as well as to the migration of the propulsion source to electric energy, as sustainable alternatives for last mile deliveries in urban areas. For that reason, we opted to evaluate the use of electric vehicles of smaller dimensions, tricycle and LDV, in the last mile of parcel deliveries, assessing two alternative scenarios: one with the use of electric LDV type BEV; and the other with electric tricycles. Results indicated that the use electric tricycle is a more feasible alternative regarding the economic, environmental and social aspects, demanding no public incentives.","container-title":"Transportation Research Part D: Transport and Environment","DOI":"10.1016/j.trd.2018.12.017","ISSN":"1361-9209","journalAbbr</w:instrText>
      </w:r>
      <w:r w:rsidR="003E71F5" w:rsidRPr="00632CBD">
        <w:rPr>
          <w:rFonts w:ascii="Times New Roman" w:eastAsia="Calibri" w:hAnsi="Times New Roman" w:cs="Times New Roman"/>
          <w:color w:val="000000"/>
          <w:sz w:val="24"/>
          <w:szCs w:val="24"/>
        </w:rPr>
        <w:instrText xml:space="preserve">eviation":"Transportation Research Part D: Transport and Environment","page":"491-502","source":"ScienceDirect","title":"Electric vehicles in the last mile of urban freight transportation: A sustainability assessment of postal deliveries in Rio de Janeiro-Brazil","title-short":"Electric vehicles in the last mile of urban freight transportation","volume":"67","author":[{"family":"Mello Bandeira","given":"Renata Albergaria","non-dropping-particle":"de"},{"family":"Goes","given":"George Vasconcelos"},{"family":"Schmitz Gonçalves","given":"Daniel Neves"},{"family":"D'Agosto","given":"Márcio de Almeida"},{"family":"Oliveira","given":"Cíntia Machado","dropping-particle":"de"}],"issued":{"date-parts":[["2019",2,1]]}}},{"id":31672,"uris":["http://zotero.org/users/10594755/items/SCDN6HIV"],"itemData":{"id":31672,"type":"article-journal","container-title":"Transportation Research Part A: Policy and Practice","DOI":"10.1016/j.tra.2022.01.016","ISSN":"09658564","journalAbbreviation":"Transportation Research Part A: Policy and Practice","language":"en","page":"19-43","source":"DOI.org (Crossref)","title":"Analysis of the barriers to the adoption of zero-emission vehicles in Spain","volume":"158","author":[{"family":"Rosales-Tristancho","given":"Abel"},{"family":"Brey","given":"Raúl"},{"family":"Carazo","given":"Ana F."},{"family":"Brey","given":"J. Javier"}],"issued":{"date-parts":[["2022",4]]}}}],"schema":"https://github.com/citation-style-language/schema/raw/master/csl-citation.json"}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632CBD" w:rsidRPr="00632CBD">
        <w:rPr>
          <w:rFonts w:ascii="Times New Roman" w:hAnsi="Times New Roman" w:cs="Times New Roman"/>
          <w:kern w:val="0"/>
          <w:sz w:val="24"/>
        </w:rPr>
        <w:t xml:space="preserve"> </w:t>
      </w:r>
      <w:r w:rsidR="00632CBD">
        <w:rPr>
          <w:rFonts w:ascii="Times New Roman" w:hAnsi="Times New Roman" w:cs="Times New Roman"/>
          <w:kern w:val="0"/>
          <w:sz w:val="24"/>
        </w:rPr>
        <w:t>(</w:t>
      </w:r>
      <w:r w:rsidR="003E71F5" w:rsidRPr="00EF6D91">
        <w:rPr>
          <w:rFonts w:ascii="Times New Roman" w:hAnsi="Times New Roman" w:cs="Times New Roman"/>
          <w:kern w:val="0"/>
          <w:sz w:val="24"/>
          <w:lang w:val="es-MX"/>
        </w:rPr>
        <w:t xml:space="preserve">de Mello </w:t>
      </w:r>
      <w:proofErr w:type="spellStart"/>
      <w:r w:rsidR="003E71F5" w:rsidRPr="00EF6D91">
        <w:rPr>
          <w:rFonts w:ascii="Times New Roman" w:hAnsi="Times New Roman" w:cs="Times New Roman"/>
          <w:kern w:val="0"/>
          <w:sz w:val="24"/>
          <w:lang w:val="es-MX"/>
        </w:rPr>
        <w:t>Bandeira</w:t>
      </w:r>
      <w:proofErr w:type="spellEnd"/>
      <w:r w:rsidR="003E71F5" w:rsidRPr="00EF6D91">
        <w:rPr>
          <w:rFonts w:ascii="Times New Roman" w:hAnsi="Times New Roman" w:cs="Times New Roman"/>
          <w:kern w:val="0"/>
          <w:sz w:val="24"/>
          <w:lang w:val="es-MX"/>
        </w:rPr>
        <w:t xml:space="preserve">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xml:space="preserve">, 2019; Rosales-Tristancho </w:t>
      </w:r>
      <w:r w:rsidR="003E71F5" w:rsidRPr="00EF6D91">
        <w:rPr>
          <w:rFonts w:ascii="Times New Roman" w:hAnsi="Times New Roman" w:cs="Times New Roman"/>
          <w:i/>
          <w:iCs/>
          <w:kern w:val="0"/>
          <w:sz w:val="24"/>
          <w:lang w:val="es-MX"/>
        </w:rPr>
        <w:t>et al.</w:t>
      </w:r>
      <w:r w:rsidR="003E71F5" w:rsidRPr="00EF6D91">
        <w:rPr>
          <w:rFonts w:ascii="Times New Roman" w:hAnsi="Times New Roman" w:cs="Times New Roman"/>
          <w:kern w:val="0"/>
          <w:sz w:val="24"/>
          <w:lang w:val="es-MX"/>
        </w:rPr>
        <w:t>, 2022)</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lang w:val="es-MX"/>
        </w:rPr>
        <w:t>.</w:t>
      </w:r>
    </w:p>
    <w:p w14:paraId="41186F60" w14:textId="31CF99D2"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surge in EVs for </w:t>
      </w:r>
      <w:r w:rsidR="00901359" w:rsidRPr="00EF6D91">
        <w:rPr>
          <w:rFonts w:ascii="Times New Roman" w:eastAsia="Calibri" w:hAnsi="Times New Roman" w:cs="Times New Roman"/>
          <w:color w:val="000000"/>
          <w:sz w:val="24"/>
          <w:szCs w:val="24"/>
        </w:rPr>
        <w:t>LMDs</w:t>
      </w:r>
      <w:r w:rsidRPr="00EF6D91">
        <w:rPr>
          <w:rFonts w:ascii="Times New Roman" w:eastAsia="Calibri" w:hAnsi="Times New Roman" w:cs="Times New Roman"/>
          <w:color w:val="000000"/>
          <w:sz w:val="24"/>
          <w:szCs w:val="24"/>
        </w:rPr>
        <w:t xml:space="preserve"> heralds a transformative approach to reducing the environmental footprint of urban freight systems. While existing research predominantly concentrates on </w:t>
      </w:r>
      <w:r w:rsidRPr="00EF6D91">
        <w:rPr>
          <w:rFonts w:ascii="Times New Roman" w:eastAsia="Calibri" w:hAnsi="Times New Roman" w:cs="Times New Roman"/>
          <w:color w:val="000000"/>
          <w:sz w:val="24"/>
          <w:szCs w:val="24"/>
        </w:rPr>
        <w:lastRenderedPageBreak/>
        <w:t xml:space="preserve">generic barriers to EV adoption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{"citationID":"HPABewa3","properties":{"formattedCitation":"(D\\uc0\\u8217{}Adamo, Gastaldi and Ozturk, 2023; Goel {\\i{}et al.}, 2021)","plainCitation":"(D’Adamo, Gastaldi and Ozturk, 2023; Goel et al., 2021)","noteIndex":0},"citationItems":[{"id":47999,"uris":["http://zotero.org/users/10594755/items/ICKAKBII"],"itemData":{"id":47999,"type":"article-journal","abstract":"Abstract\nThe transportation sector has a strong negative impact on the environment and therefore requires new sustainable development measures. This paper proposes a new indicator of sustainability in transport obtained through a multi‐criteria analysis based on Eurostat data and a panel of 10 academics. The results show a positive performance of Sweden in the period 2015–2019 and a small number of countries above the European average. Furthermore, a quantitative analysis based on these experts identifies the critical success factors associated with purchasing electric vehicles. The greatest importance is assigned to purchase cost, followed by battery autonomy. Our analysis proposes that electric vehicles are unable to achieve a sustainable transition unless three conditions are met: (i) use of renewable sources, (ii) local industrial development of the sector, and (iii) battery recycling. Therefore, Europe urgently needs to realize new industrial activities and avoid social unsustainability. The long‐term objective of a policy plan is to promote independence from external sources of energy, materials, and other resources.","container-title":"Sustainable Development","DOI":"10.1002/sd.2424","ISSN":"0968-0802, 1099-1719","issue":"2","journalAbbreviation":"Sustainable Development","language":"en","page":"840-852","source":"DOI.org (Crossref)","title":"The sustainable development of mobility in the green transition: Renewable energy, local industrial chain, and battery recycling","title-short":"The sustainable development of mobility in the green transition","volume":"31","author":[{"family":"D'Adamo","given":"Idiano"},{"family":"Gastaldi","given":"Massimo"},{"family":"Ozturk","given":"Ilhan"}],"issued":{"date-parts":[["2023",4]]}}},{"id":47994,"uris":["http://zotero.org/users/10594755/items/BZMUL5XG"],"itemData":{"id":47994,"type":"article-journal","container-title":"Sustainable Production and Consumption","DOI":"10.1016/j.spc.2021.03.029","ISSN":"23525509","journalAbbreviation":"Sustainable Production and Consumption","language":"en","page":"71-90","source":"DOI.org (Crossref)","title":"Government is trying but consumers are not buying: A barrier analysis for electric vehicle sales in India","title-short":"Government is trying but consumers are not buying","volume":"28","author":[{"family":"Goel","given":"Pooja"},{"family":"Sharma","given":"Nitika"},{"family":"Mathiyazhagan","given":"K."},{"family":"Vimal","given":"K.E.K."}],"issued":{"date-parts":[["2021",10]]}}}],"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 xml:space="preserve">(D’Adamo, Gastaldi and Ozturk, 2023; Goel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2021)</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consumer preferences </w:t>
      </w:r>
      <w:r w:rsidR="003E71F5" w:rsidRPr="00EF6D91">
        <w:rPr>
          <w:rFonts w:ascii="Times New Roman" w:eastAsia="Calibri" w:hAnsi="Times New Roman" w:cs="Times New Roman"/>
          <w:color w:val="000000"/>
          <w:sz w:val="24"/>
          <w:szCs w:val="24"/>
        </w:rPr>
        <w:fldChar w:fldCharType="begin"/>
      </w:r>
      <w:r w:rsidR="003E71F5" w:rsidRPr="00EF6D91">
        <w:rPr>
          <w:rFonts w:ascii="Times New Roman" w:eastAsia="Calibri" w:hAnsi="Times New Roman" w:cs="Times New Roman"/>
          <w:color w:val="000000"/>
          <w:sz w:val="24"/>
          <w:szCs w:val="24"/>
        </w:rPr>
        <w:instrText xml:space="preserve"> ADDIN ZOTERO_ITEM CSL_CITATION {"citationID":"2bEsNept","properties":{"formattedCitation":"(Gupta and Gupta, 2023; Hardman {\\i{}et al.}, 2018)","plainCitation":"(Gupta and Gupta, 2023; Hardman et al., 2018)","noteIndex":0},"citationItems":[{"id":47998,"uris":["http://zotero.org/users/10594755/items/A7FR4N8P"],"itemData":{"id":47998,"type":"article-journal","container-title":"Environment, Development and Sustainability","DOI":"10.1007/s10668-023-03599-x","ISSN":"1387-585X, 1573-2975","journalAbbreviation":"Environ Dev Sustain","language":"en","source":"DOI.org (Crossref)","title":"What drives customers crazy for green vehicles? a fuzzy AHP approach","title-short":"What drives customers crazy for green vehicles?","URL":"https://link.springer.com/10.1007/s10668-023-03599-x","author":[{"family":"Gupta","given":"Sanjay"},{"family":"Gupta","given":"Swati"}],"accessed":{"date-parts":[["2024",4,16]]},"issued":{"date-parts":[["2023",7,26]]}}},{"id":48002,"uris":["http://zotero.org/users/10594755/items/XAC3HD6I"],"itemData":{"id":48002,"type":"article-journal","container-title":"Transportation Research Part D: Transport and Environment","DOI":"10.1016/j.trd.2018.04.002","ISSN":"13619209","journalAbbreviation":"Transportation Research Part D: Transport and Environment","language":"en","page":"508-523","source":"DOI.org (Crossref)","title":"A review of consumer preferences of and interactions with electric vehicle charging infrastructure","volume":"62","author":[{"family":"Hardman","given":"Scott"},{"family":"Jenn","given":"Alan"},{"family":"Tal","given":"Gil"},{"family":"Axsen","given":"Jonn"},{"family":"Beard","given":"George"},{"family":"Daina","given":"Nicolo"},{"family":"Figenbaum","given":"Erik"},{"family":"Jakobsson","given":"Niklas"},{"family":"Jochem","given":"Patrick"},{"family":"Kinnear","given":"Neale"},{"family":"Plötz","given":"Patrick"},{"family":"Pontes","given":"Jose"},{"family":"Refa","given":"Nazir"},{"family":"Sprei","given":"Frances"},{"family":"Turrentine","given":"Tom"},{"family":"Witkamp","given":"Bert"}],"issued":{"date-parts":[["2018",7]]}}}],"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3E71F5" w:rsidRPr="00EF6D91">
        <w:rPr>
          <w:rFonts w:ascii="Times New Roman" w:hAnsi="Times New Roman" w:cs="Times New Roman"/>
          <w:kern w:val="0"/>
          <w:sz w:val="24"/>
        </w:rPr>
        <w:t xml:space="preserve">(Gupta and Gupta, 2023; Hardman </w:t>
      </w:r>
      <w:r w:rsidR="003E71F5" w:rsidRPr="00EF6D91">
        <w:rPr>
          <w:rFonts w:ascii="Times New Roman" w:hAnsi="Times New Roman" w:cs="Times New Roman"/>
          <w:i/>
          <w:iCs/>
          <w:kern w:val="0"/>
          <w:sz w:val="24"/>
        </w:rPr>
        <w:t>et al.</w:t>
      </w:r>
      <w:r w:rsidR="003E71F5" w:rsidRPr="00EF6D91">
        <w:rPr>
          <w:rFonts w:ascii="Times New Roman" w:hAnsi="Times New Roman" w:cs="Times New Roman"/>
          <w:kern w:val="0"/>
          <w:sz w:val="24"/>
        </w:rPr>
        <w:t>, 2018)</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and technological advancements </w:t>
      </w:r>
      <w:r w:rsidR="003E71F5" w:rsidRPr="00EF6D91">
        <w:rPr>
          <w:rFonts w:ascii="Times New Roman" w:eastAsia="Calibri" w:hAnsi="Times New Roman" w:cs="Times New Roman"/>
          <w:color w:val="000000"/>
          <w:sz w:val="24"/>
          <w:szCs w:val="24"/>
        </w:rPr>
        <w:fldChar w:fldCharType="begin"/>
      </w:r>
      <w:r w:rsidR="002C5C4E" w:rsidRPr="00EF6D91">
        <w:rPr>
          <w:rFonts w:ascii="Times New Roman" w:eastAsia="Calibri" w:hAnsi="Times New Roman" w:cs="Times New Roman"/>
          <w:color w:val="000000"/>
          <w:sz w:val="24"/>
          <w:szCs w:val="24"/>
        </w:rPr>
        <w:instrText xml:space="preserve"> ADDIN ZOTERO_ITEM CSL_CITATION {"citationID":"cpBYZfLA","properties":{"formattedCitation":"(Lal {\\i{}et al.}, 2023; Siragusa {\\i{}et al.}, 2022)","plainCitation":"(Lal et al., 2023; Siragusa et al., 2022)","noteIndex":0},"citationItems":[{"id":48008,"uris":["http://zotero.org/users/10594755/items/YEDWHYYH"],"itemData":{"id":48008,"type":"article-journal","container-title":"Journal of Cleaner Production","DOI":"10.1016/j.jclepro.2023.137933","ISSN":"09596526","journalAbbreviation":"Journal of Cleaner Production","language":"en","page":"137933","source":"DOI.org (Crossref)","title":"Electrifying light commercial vehicles for last-mile deliveries: Environmental and economic perspectives","title-short":"Electrifying light commercial vehicles for last-mile deliveries","volume":"416","author":[{"family":"Lal","given":"Apoorv"},{"family":"Renaldy","given":"Thomas"},{"family":"Breuning","given":"Larissa"},{"family":"Hamacher","given":"Thomas"},{"family":"You","given":"Fengqi"}],"issued":{"date-parts":[["2023",9]]}}},{"id":31704,"uris":["http://zotero.org/users/10594755/items/QJDTT7K9"],"itemData":{"id":31704,"type":"article-journal","container-title":"International Journal of Sustainable Transportation","DOI":"10.1080/15568318.2020.1847367","ISSN":"1556-8318, 1556-8334","issue":"1","journalAbbreviation":"International Journal of Sustainable Transportation","language":"en","page":"22-33","source":"DOI.org (Crossref)","title":"Electric vehicles performing last-mile delivery in B2C e-commerce: An economic and environmental assessment","title-short":"Electric vehicles performing last-mile delivery in B2C e-commerce","volume":"16","author":[{"family":"Siragusa","given":"Chiara"},{"family":"Tumino","given":"Angela"},{"family":"Mangiaracina","given":"Riccardo"},{"family":"Perego","given":"Alessandro"}],"issued":{"date-parts":[["2022",1,3]]}}}],"schema":"https://github.com/citation-style-language/schema/raw/master/csl-citation.json"} </w:instrText>
      </w:r>
      <w:r w:rsidR="003E71F5" w:rsidRPr="00EF6D91">
        <w:rPr>
          <w:rFonts w:ascii="Times New Roman" w:eastAsia="Calibri" w:hAnsi="Times New Roman" w:cs="Times New Roman"/>
          <w:color w:val="000000"/>
          <w:sz w:val="24"/>
          <w:szCs w:val="24"/>
        </w:rPr>
        <w:fldChar w:fldCharType="separate"/>
      </w:r>
      <w:r w:rsidR="002C5C4E" w:rsidRPr="00EF6D91">
        <w:rPr>
          <w:rFonts w:ascii="Times New Roman" w:hAnsi="Times New Roman" w:cs="Times New Roman"/>
          <w:kern w:val="0"/>
          <w:sz w:val="24"/>
        </w:rPr>
        <w:t xml:space="preserve">(Lal </w:t>
      </w:r>
      <w:r w:rsidR="002C5C4E" w:rsidRPr="00EF6D91">
        <w:rPr>
          <w:rFonts w:ascii="Times New Roman" w:hAnsi="Times New Roman" w:cs="Times New Roman"/>
          <w:i/>
          <w:iCs/>
          <w:kern w:val="0"/>
          <w:sz w:val="24"/>
        </w:rPr>
        <w:t>et al.</w:t>
      </w:r>
      <w:r w:rsidR="002C5C4E" w:rsidRPr="00EF6D91">
        <w:rPr>
          <w:rFonts w:ascii="Times New Roman" w:hAnsi="Times New Roman" w:cs="Times New Roman"/>
          <w:kern w:val="0"/>
          <w:sz w:val="24"/>
        </w:rPr>
        <w:t xml:space="preserve">, 2023; Siragusa </w:t>
      </w:r>
      <w:r w:rsidR="002C5C4E" w:rsidRPr="00EF6D91">
        <w:rPr>
          <w:rFonts w:ascii="Times New Roman" w:hAnsi="Times New Roman" w:cs="Times New Roman"/>
          <w:i/>
          <w:iCs/>
          <w:kern w:val="0"/>
          <w:sz w:val="24"/>
        </w:rPr>
        <w:t>et al.</w:t>
      </w:r>
      <w:r w:rsidR="002C5C4E" w:rsidRPr="00EF6D91">
        <w:rPr>
          <w:rFonts w:ascii="Times New Roman" w:hAnsi="Times New Roman" w:cs="Times New Roman"/>
          <w:kern w:val="0"/>
          <w:sz w:val="24"/>
        </w:rPr>
        <w:t>, 2022)</w:t>
      </w:r>
      <w:r w:rsidR="003E71F5"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it often bypasses the distinct challenges intrinsic to the logistics sector's shift towards electrification.</w:t>
      </w:r>
      <w:r w:rsidRPr="00EF6D91">
        <w:rPr>
          <w:rFonts w:ascii="Times New Roman" w:eastAsia="Aptos" w:hAnsi="Times New Roman" w:cs="Times New Roman"/>
          <w:sz w:val="24"/>
          <w:szCs w:val="24"/>
          <w:lang w:val="en-US"/>
        </w:rPr>
        <w:t xml:space="preserve"> Although studies like Pahwa and Jaller (2022) and </w:t>
      </w:r>
      <w:proofErr w:type="spellStart"/>
      <w:r w:rsidRPr="00EF6D91">
        <w:rPr>
          <w:rFonts w:ascii="Times New Roman" w:eastAsia="Aptos" w:hAnsi="Times New Roman" w:cs="Times New Roman"/>
          <w:sz w:val="24"/>
          <w:szCs w:val="24"/>
          <w:lang w:val="en-US"/>
        </w:rPr>
        <w:t>Caggiani</w:t>
      </w:r>
      <w:proofErr w:type="spellEnd"/>
      <w:r w:rsidRPr="00EF6D91">
        <w:rPr>
          <w:rFonts w:ascii="Times New Roman" w:eastAsia="Aptos" w:hAnsi="Times New Roman" w:cs="Times New Roman"/>
          <w:sz w:val="24"/>
          <w:szCs w:val="24"/>
          <w:lang w:val="en-US"/>
        </w:rPr>
        <w:t xml:space="preserve"> et al. (2021) highlight the operational efficiency and environmental merits of integrating EVs into last-mile delivery fleets, they rarely explore the systemic and regulatory hurdles to such integration comprehensively.</w:t>
      </w:r>
      <w:r w:rsidRPr="00EF6D91">
        <w:rPr>
          <w:rFonts w:ascii="Times New Roman" w:eastAsia="Aptos" w:hAnsi="Times New Roman" w:cs="Times New Roman"/>
          <w:sz w:val="24"/>
          <w:szCs w:val="24"/>
        </w:rPr>
        <w:t xml:space="preserve"> Further</w:t>
      </w:r>
      <w:r w:rsidR="00046977">
        <w:rPr>
          <w:rFonts w:ascii="Times New Roman" w:eastAsia="Aptos" w:hAnsi="Times New Roman" w:cs="Times New Roman"/>
          <w:sz w:val="24"/>
          <w:szCs w:val="24"/>
        </w:rPr>
        <w:t>more</w:t>
      </w:r>
      <w:r w:rsidRPr="00EF6D91">
        <w:rPr>
          <w:rFonts w:ascii="Times New Roman" w:eastAsia="Aptos" w:hAnsi="Times New Roman" w:cs="Times New Roman"/>
          <w:sz w:val="24"/>
          <w:szCs w:val="24"/>
        </w:rPr>
        <w:t>, while existing studies yield valuable insights within geographical contexts, such as European urban logistics (</w:t>
      </w:r>
      <w:proofErr w:type="spellStart"/>
      <w:r w:rsidRPr="00EF6D91">
        <w:rPr>
          <w:rFonts w:ascii="Times New Roman" w:eastAsia="Aptos" w:hAnsi="Times New Roman" w:cs="Times New Roman"/>
          <w:sz w:val="24"/>
          <w:szCs w:val="24"/>
        </w:rPr>
        <w:t>Caggiani</w:t>
      </w:r>
      <w:proofErr w:type="spellEnd"/>
      <w:r w:rsidRPr="00EF6D91">
        <w:rPr>
          <w:rFonts w:ascii="Times New Roman" w:eastAsia="Aptos" w:hAnsi="Times New Roman" w:cs="Times New Roman"/>
          <w:sz w:val="24"/>
          <w:szCs w:val="24"/>
        </w:rPr>
        <w:t xml:space="preserve"> et al., 20</w:t>
      </w:r>
      <w:r w:rsidR="002C5C4E" w:rsidRPr="00EF6D91">
        <w:rPr>
          <w:rFonts w:ascii="Times New Roman" w:eastAsia="Aptos" w:hAnsi="Times New Roman" w:cs="Times New Roman"/>
          <w:sz w:val="24"/>
          <w:szCs w:val="24"/>
        </w:rPr>
        <w:t>21</w:t>
      </w:r>
      <w:r w:rsidRPr="00EF6D91">
        <w:rPr>
          <w:rFonts w:ascii="Times New Roman" w:eastAsia="Aptos" w:hAnsi="Times New Roman" w:cs="Times New Roman"/>
          <w:sz w:val="24"/>
          <w:szCs w:val="24"/>
        </w:rPr>
        <w:t>) and consumer behavio</w:t>
      </w:r>
      <w:r w:rsidR="005E5B8D" w:rsidRPr="00EF6D91">
        <w:rPr>
          <w:rFonts w:ascii="Times New Roman" w:eastAsia="Aptos" w:hAnsi="Times New Roman" w:cs="Times New Roman"/>
          <w:sz w:val="24"/>
          <w:szCs w:val="24"/>
        </w:rPr>
        <w:t>u</w:t>
      </w:r>
      <w:r w:rsidRPr="00EF6D91">
        <w:rPr>
          <w:rFonts w:ascii="Times New Roman" w:eastAsia="Aptos" w:hAnsi="Times New Roman" w:cs="Times New Roman"/>
          <w:sz w:val="24"/>
          <w:szCs w:val="24"/>
        </w:rPr>
        <w:t xml:space="preserve">r in Asia </w:t>
      </w:r>
      <w:r w:rsidR="002C5C4E" w:rsidRPr="00EF6D91">
        <w:rPr>
          <w:rFonts w:ascii="Times New Roman" w:eastAsia="Aptos" w:hAnsi="Times New Roman" w:cs="Times New Roman"/>
          <w:sz w:val="24"/>
          <w:szCs w:val="24"/>
        </w:rPr>
        <w:fldChar w:fldCharType="begin"/>
      </w:r>
      <w:r w:rsidR="002C5C4E" w:rsidRPr="00EF6D91">
        <w:rPr>
          <w:rFonts w:ascii="Times New Roman" w:eastAsia="Aptos" w:hAnsi="Times New Roman" w:cs="Times New Roman"/>
          <w:sz w:val="24"/>
          <w:szCs w:val="24"/>
        </w:rPr>
        <w:instrText xml:space="preserve"> ADDIN ZOTERO_ITEM CSL_CITATION {"citationID":"zuRclJcX","properties":{"formattedCitation":"(Asadi {\\i{}et al.}, 2022; Tarei {\\i{}et al.}, 2021)","plainCitation":"(Asadi et al., 2022; Tarei et al., 2021)","noteIndex":0},"citationItems":[{"id":47995,"uris":["http://zotero.org/users/10594755/items/HXNWDPKJ"],"itemData":{"id":47995,"type":"article-journal","container-title":"Resources, Conservation and Recycling","DOI":"10.1016/j.resconrec.2021.105965","ISSN":"09213449","journalAbbreviation":"Resources, Conservation and Recycling","language":"en","page":"105965","source":"DOI.org (Crossref)","title":"Drivers and barriers of electric vehicle usage in Malaysia: A DEMATEL approach","title-short":"Drivers and barriers of electric vehicle usage in Malaysia","volume":"177","author":[{"family":"Asadi","given":"Shahla"},{"family":"Nilashi","given":"Mehrbakhsh"},{"family":"Iranmanesh","given":"Mohammad"},{"family":"Ghobakhloo","given":"Morteza"},{"family":"Samad","given":"Sarminah"},{"family":"Alghamdi","given":"Abdullah"},{"family":"Almulihi","given":"Ahmed"},{"family":"Mohd","given":"Saidatulakmal"}],"issued":{"date-parts":[["2022",2]]}}},{"id":47993,"uris":["http://zotero.org/users/10594755/items/E6ZHKNK7"],"itemData":{"id":47993,"type":"article-journal","container-title":"Journal of Cleaner Production","DOI":"10.1016/j.jclepro.2021.125847","ISSN":"09596526","journalAbbreviation":"Journal of Cleaner Production","language":"en","page":"125847","source":"DOI.org (Crossref)","title":"Barriers to the adoption of electric vehicles: Evidence from India","title-short":"Barriers to the adoption of electric vehicles","volume":"291","author":[{"family":"Tarei","given":"Pradeep Kumar"},{"family":"Chand","given":"Pushpendu"},{"family":"Gupta","given":"Himanshu"}],"issued":{"date-parts":[["2021",4]]}}}],"schema":"https://github.com/citation-style-language/schema/raw/master/csl-citation.json"} </w:instrText>
      </w:r>
      <w:r w:rsidR="002C5C4E" w:rsidRPr="00EF6D91">
        <w:rPr>
          <w:rFonts w:ascii="Times New Roman" w:eastAsia="Aptos" w:hAnsi="Times New Roman" w:cs="Times New Roman"/>
          <w:sz w:val="24"/>
          <w:szCs w:val="24"/>
        </w:rPr>
        <w:fldChar w:fldCharType="separate"/>
      </w:r>
      <w:r w:rsidR="002C5C4E" w:rsidRPr="00EF6D91">
        <w:rPr>
          <w:rFonts w:ascii="Times New Roman" w:hAnsi="Times New Roman" w:cs="Times New Roman"/>
          <w:kern w:val="0"/>
          <w:sz w:val="24"/>
        </w:rPr>
        <w:t xml:space="preserve">(Asadi </w:t>
      </w:r>
      <w:r w:rsidR="002C5C4E" w:rsidRPr="00EF6D91">
        <w:rPr>
          <w:rFonts w:ascii="Times New Roman" w:hAnsi="Times New Roman" w:cs="Times New Roman"/>
          <w:i/>
          <w:iCs/>
          <w:kern w:val="0"/>
          <w:sz w:val="24"/>
        </w:rPr>
        <w:t>et al.</w:t>
      </w:r>
      <w:r w:rsidR="002C5C4E" w:rsidRPr="00EF6D91">
        <w:rPr>
          <w:rFonts w:ascii="Times New Roman" w:hAnsi="Times New Roman" w:cs="Times New Roman"/>
          <w:kern w:val="0"/>
          <w:sz w:val="24"/>
        </w:rPr>
        <w:t xml:space="preserve">, 2022; Tarei </w:t>
      </w:r>
      <w:r w:rsidR="002C5C4E" w:rsidRPr="00EF6D91">
        <w:rPr>
          <w:rFonts w:ascii="Times New Roman" w:hAnsi="Times New Roman" w:cs="Times New Roman"/>
          <w:i/>
          <w:iCs/>
          <w:kern w:val="0"/>
          <w:sz w:val="24"/>
        </w:rPr>
        <w:t>et al.</w:t>
      </w:r>
      <w:r w:rsidR="002C5C4E" w:rsidRPr="00EF6D91">
        <w:rPr>
          <w:rFonts w:ascii="Times New Roman" w:hAnsi="Times New Roman" w:cs="Times New Roman"/>
          <w:kern w:val="0"/>
          <w:sz w:val="24"/>
        </w:rPr>
        <w:t>, 2021)</w:t>
      </w:r>
      <w:r w:rsidR="002C5C4E" w:rsidRPr="00EF6D91">
        <w:rPr>
          <w:rFonts w:ascii="Times New Roman" w:eastAsia="Aptos" w:hAnsi="Times New Roman" w:cs="Times New Roman"/>
          <w:sz w:val="24"/>
          <w:szCs w:val="24"/>
        </w:rPr>
        <w:fldChar w:fldCharType="end"/>
      </w:r>
      <w:r w:rsidRPr="00EF6D91">
        <w:rPr>
          <w:rFonts w:ascii="Times New Roman" w:eastAsia="Aptos" w:hAnsi="Times New Roman" w:cs="Times New Roman"/>
          <w:sz w:val="24"/>
          <w:szCs w:val="24"/>
        </w:rPr>
        <w:t>, they might not fully encapsulate the global intricacies of moving towards logistics electrification.</w:t>
      </w:r>
    </w:p>
    <w:p w14:paraId="6175872C" w14:textId="77777777" w:rsidR="00AD5C71" w:rsidRPr="00EF6D91" w:rsidRDefault="00AD5C71" w:rsidP="00AD5C71">
      <w:pPr>
        <w:jc w:val="both"/>
        <w:rPr>
          <w:rFonts w:ascii="Times New Roman" w:eastAsia="Calibri" w:hAnsi="Times New Roman" w:cs="Times New Roman"/>
          <w:vanish/>
          <w:color w:val="000000"/>
          <w:sz w:val="24"/>
          <w:szCs w:val="24"/>
        </w:rPr>
      </w:pPr>
      <w:r w:rsidRPr="00EF6D91">
        <w:rPr>
          <w:rFonts w:ascii="Times New Roman" w:eastAsia="Calibri" w:hAnsi="Times New Roman" w:cs="Times New Roman"/>
          <w:vanish/>
          <w:color w:val="000000"/>
          <w:sz w:val="24"/>
          <w:szCs w:val="24"/>
        </w:rPr>
        <w:t>Top of Form</w:t>
      </w:r>
    </w:p>
    <w:p w14:paraId="74CF7FE4" w14:textId="6D7D9431"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Addressing th</w:t>
      </w:r>
      <w:r w:rsidR="00046977">
        <w:rPr>
          <w:rFonts w:ascii="Times New Roman" w:eastAsia="Calibri" w:hAnsi="Times New Roman" w:cs="Times New Roman"/>
          <w:color w:val="000000"/>
          <w:sz w:val="24"/>
          <w:szCs w:val="24"/>
        </w:rPr>
        <w:t>ese</w:t>
      </w:r>
      <w:r w:rsidRPr="00EF6D91">
        <w:rPr>
          <w:rFonts w:ascii="Times New Roman" w:eastAsia="Calibri" w:hAnsi="Times New Roman" w:cs="Times New Roman"/>
          <w:color w:val="000000"/>
          <w:sz w:val="24"/>
          <w:szCs w:val="24"/>
        </w:rPr>
        <w:t xml:space="preserve"> research gap</w:t>
      </w:r>
      <w:r w:rsidR="00046977">
        <w:rPr>
          <w:rFonts w:ascii="Times New Roman" w:eastAsia="Calibri" w:hAnsi="Times New Roman" w:cs="Times New Roman"/>
          <w:color w:val="000000"/>
          <w:sz w:val="24"/>
          <w:szCs w:val="24"/>
        </w:rPr>
        <w:t>s</w:t>
      </w:r>
      <w:r w:rsidRPr="00EF6D91">
        <w:rPr>
          <w:rFonts w:ascii="Times New Roman" w:eastAsia="Calibri" w:hAnsi="Times New Roman" w:cs="Times New Roman"/>
          <w:color w:val="000000"/>
          <w:sz w:val="24"/>
          <w:szCs w:val="24"/>
        </w:rPr>
        <w:t xml:space="preserve">, our research endeavours to meticulously discern, authenticate, and prioritize impediments confronting global EV deployment for LMD. </w:t>
      </w:r>
    </w:p>
    <w:p w14:paraId="576A5705" w14:textId="77777777"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Within the context of the current study, the research aims to address the following research questions:</w:t>
      </w:r>
    </w:p>
    <w:p w14:paraId="25994B23" w14:textId="3E5D2F77" w:rsidR="00AD5C71" w:rsidRPr="00EF6D91" w:rsidRDefault="00AD5C71" w:rsidP="00AD5C71">
      <w:pPr>
        <w:numPr>
          <w:ilvl w:val="0"/>
          <w:numId w:val="1"/>
        </w:numPr>
        <w:contextualSpacing/>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 xml:space="preserve">RQ1: </w:t>
      </w:r>
      <w:bookmarkStart w:id="3" w:name="_Hlk164718542"/>
      <w:r w:rsidRPr="00EF6D91">
        <w:rPr>
          <w:rFonts w:ascii="Times New Roman" w:eastAsia="Calibri" w:hAnsi="Times New Roman" w:cs="Times New Roman"/>
          <w:i/>
          <w:iCs/>
          <w:color w:val="000000"/>
          <w:sz w:val="24"/>
          <w:szCs w:val="24"/>
        </w:rPr>
        <w:t>What are the specific barriers that</w:t>
      </w:r>
      <w:r w:rsidR="001A76D3">
        <w:rPr>
          <w:rFonts w:ascii="Times New Roman" w:eastAsia="Calibri" w:hAnsi="Times New Roman" w:cs="Times New Roman"/>
          <w:i/>
          <w:iCs/>
          <w:color w:val="000000"/>
          <w:sz w:val="24"/>
          <w:szCs w:val="24"/>
        </w:rPr>
        <w:t xml:space="preserve"> </w:t>
      </w:r>
      <w:r w:rsidRPr="00EF6D91">
        <w:rPr>
          <w:rFonts w:ascii="Times New Roman" w:eastAsia="Calibri" w:hAnsi="Times New Roman" w:cs="Times New Roman"/>
          <w:i/>
          <w:iCs/>
          <w:color w:val="000000"/>
          <w:sz w:val="24"/>
          <w:szCs w:val="24"/>
        </w:rPr>
        <w:t>impede the adoption of EVs in the context of LMD, as distinguished from broader EV adoption challenges within the transportation sector?</w:t>
      </w:r>
      <w:bookmarkEnd w:id="3"/>
    </w:p>
    <w:p w14:paraId="04E43BE9" w14:textId="6AEBEE64" w:rsidR="00AD5C71" w:rsidRPr="00EF6D91" w:rsidRDefault="00AD5C71" w:rsidP="00AD5C71">
      <w:pPr>
        <w:numPr>
          <w:ilvl w:val="0"/>
          <w:numId w:val="1"/>
        </w:numPr>
        <w:contextualSpacing/>
        <w:jc w:val="both"/>
        <w:rPr>
          <w:rFonts w:ascii="Times New Roman" w:eastAsia="Calibri" w:hAnsi="Times New Roman" w:cs="Times New Roman"/>
          <w:i/>
          <w:iCs/>
          <w:color w:val="000000"/>
          <w:sz w:val="24"/>
          <w:szCs w:val="24"/>
        </w:rPr>
      </w:pPr>
      <w:bookmarkStart w:id="4" w:name="_Hlk164525443"/>
      <w:r w:rsidRPr="00EF6D91">
        <w:rPr>
          <w:rFonts w:ascii="Times New Roman" w:eastAsia="Calibri" w:hAnsi="Times New Roman" w:cs="Times New Roman"/>
          <w:i/>
          <w:iCs/>
          <w:color w:val="000000"/>
          <w:sz w:val="24"/>
          <w:szCs w:val="24"/>
        </w:rPr>
        <w:t xml:space="preserve">RQ2: Given the current advancements and practices in LMD, how can the identified barriers to EV adoption in LMD be systematically categorized and prioritized, and which of these barriers are considered most significant by </w:t>
      </w:r>
      <w:r w:rsidR="005E5B8D" w:rsidRPr="00EF6D91">
        <w:rPr>
          <w:rFonts w:ascii="Times New Roman" w:eastAsia="Calibri" w:hAnsi="Times New Roman" w:cs="Times New Roman"/>
          <w:i/>
          <w:iCs/>
          <w:color w:val="000000"/>
          <w:sz w:val="24"/>
          <w:szCs w:val="24"/>
        </w:rPr>
        <w:t>critical</w:t>
      </w:r>
      <w:r w:rsidRPr="00EF6D91">
        <w:rPr>
          <w:rFonts w:ascii="Times New Roman" w:eastAsia="Calibri" w:hAnsi="Times New Roman" w:cs="Times New Roman"/>
          <w:i/>
          <w:iCs/>
          <w:color w:val="000000"/>
          <w:sz w:val="24"/>
          <w:szCs w:val="24"/>
        </w:rPr>
        <w:t xml:space="preserve"> stakeholders involved in the sector?</w:t>
      </w:r>
    </w:p>
    <w:p w14:paraId="42DB03FB" w14:textId="509D8F6D" w:rsidR="00AD5C71" w:rsidRPr="00EF6D91" w:rsidRDefault="00AD5C71" w:rsidP="00AD5C71">
      <w:pPr>
        <w:numPr>
          <w:ilvl w:val="0"/>
          <w:numId w:val="1"/>
        </w:numPr>
        <w:contextualSpacing/>
        <w:jc w:val="both"/>
        <w:rPr>
          <w:rFonts w:ascii="Times New Roman" w:eastAsia="Calibri" w:hAnsi="Times New Roman" w:cs="Times New Roman"/>
          <w:i/>
          <w:iCs/>
          <w:color w:val="000000"/>
          <w:sz w:val="24"/>
          <w:szCs w:val="24"/>
        </w:rPr>
      </w:pPr>
      <w:bookmarkStart w:id="5" w:name="_Hlk164526241"/>
      <w:bookmarkEnd w:id="4"/>
      <w:r w:rsidRPr="00EF6D91">
        <w:rPr>
          <w:rFonts w:ascii="Times New Roman" w:eastAsia="Calibri" w:hAnsi="Times New Roman" w:cs="Times New Roman"/>
          <w:i/>
          <w:iCs/>
          <w:color w:val="000000"/>
          <w:sz w:val="24"/>
          <w:szCs w:val="24"/>
        </w:rPr>
        <w:t xml:space="preserve">RQ3: </w:t>
      </w:r>
      <w:r w:rsidR="00756271" w:rsidRPr="00EF6D91">
        <w:rPr>
          <w:rFonts w:ascii="Times New Roman" w:eastAsia="Calibri" w:hAnsi="Times New Roman" w:cs="Times New Roman"/>
          <w:i/>
          <w:iCs/>
          <w:color w:val="000000"/>
          <w:sz w:val="24"/>
          <w:szCs w:val="24"/>
        </w:rPr>
        <w:t>Given the prioritized barriers to EV adoption in LM, what specific strategies can stakeholders develop to overcome these obstacles and promote the integration of EVs to advance sustainable freight transportation?</w:t>
      </w:r>
    </w:p>
    <w:bookmarkEnd w:id="5"/>
    <w:p w14:paraId="67347FB6" w14:textId="77777777" w:rsidR="00AD5C71" w:rsidRPr="00EF6D91" w:rsidRDefault="00AD5C71" w:rsidP="00AD5C71">
      <w:pPr>
        <w:contextualSpacing/>
        <w:jc w:val="both"/>
        <w:rPr>
          <w:rFonts w:ascii="Times New Roman" w:eastAsia="Calibri" w:hAnsi="Times New Roman" w:cs="Times New Roman"/>
          <w:color w:val="000000"/>
          <w:sz w:val="24"/>
          <w:szCs w:val="24"/>
        </w:rPr>
      </w:pPr>
    </w:p>
    <w:p w14:paraId="6414468D" w14:textId="098F5D46" w:rsidR="00AD5C71" w:rsidRPr="00EF6D91" w:rsidRDefault="00AD5C71" w:rsidP="00AD5C71">
      <w:pPr>
        <w:contextualSpacing/>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This study significantly advances the discourse on EV adoption within LMD, particularly by exploring the multifaceted barriers that impede their integration into sustainable urban logistics. </w:t>
      </w:r>
      <w:r w:rsidR="00756271" w:rsidRPr="00EF6D91">
        <w:rPr>
          <w:rFonts w:ascii="Times New Roman" w:eastAsia="Calibri" w:hAnsi="Times New Roman" w:cs="Times New Roman"/>
          <w:color w:val="000000"/>
          <w:sz w:val="24"/>
          <w:szCs w:val="24"/>
        </w:rPr>
        <w:t>Contrary to the predominantly consumer-focused analyses in prior research (e.g., Asadi et al., 2022; Tarei et al., 2021), our work elucidates the logistical, infrastructural, and operational challenges that researchers seldom address comprehensively.</w:t>
      </w:r>
      <w:r w:rsidRPr="00EF6D91">
        <w:rPr>
          <w:rFonts w:ascii="Times New Roman" w:eastAsia="Calibri" w:hAnsi="Times New Roman" w:cs="Times New Roman"/>
          <w:color w:val="000000"/>
          <w:sz w:val="24"/>
          <w:szCs w:val="24"/>
        </w:rPr>
        <w:t xml:space="preserve"> By shedding light on the systemic and regulatory hurdles, our research contributes a granular examination of the </w:t>
      </w:r>
      <w:r w:rsidR="005E5B8D" w:rsidRPr="00EF6D91">
        <w:rPr>
          <w:rFonts w:ascii="Times New Roman" w:eastAsia="Calibri" w:hAnsi="Times New Roman" w:cs="Times New Roman"/>
          <w:color w:val="000000"/>
          <w:sz w:val="24"/>
          <w:szCs w:val="24"/>
        </w:rPr>
        <w:t>impediments facing last-mile delivery scenarios—from the inadequacies in charging infrastructure tailored for commercial fleets to the legislative and policy constraints hindering</w:t>
      </w:r>
      <w:r w:rsidRPr="00EF6D91">
        <w:rPr>
          <w:rFonts w:ascii="Times New Roman" w:eastAsia="Calibri" w:hAnsi="Times New Roman" w:cs="Times New Roman"/>
          <w:color w:val="000000"/>
          <w:sz w:val="24"/>
          <w:szCs w:val="24"/>
        </w:rPr>
        <w:t xml:space="preserve"> widespread EV deployment in logistical services.</w:t>
      </w:r>
    </w:p>
    <w:p w14:paraId="78E37C77" w14:textId="77777777" w:rsidR="00AD5C71" w:rsidRPr="00EF6D91" w:rsidRDefault="00AD5C71" w:rsidP="00AD5C71">
      <w:pPr>
        <w:contextualSpacing/>
        <w:jc w:val="both"/>
        <w:rPr>
          <w:rFonts w:ascii="Times New Roman" w:eastAsia="Calibri" w:hAnsi="Times New Roman" w:cs="Times New Roman"/>
          <w:color w:val="000000"/>
          <w:sz w:val="24"/>
          <w:szCs w:val="24"/>
        </w:rPr>
      </w:pPr>
    </w:p>
    <w:p w14:paraId="4A2ADAFD" w14:textId="742AE0F2" w:rsidR="00AD5C71" w:rsidRPr="00EF6D91" w:rsidRDefault="00AD5C71" w:rsidP="00AD5C71">
      <w:pPr>
        <w:contextualSpacing/>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Our investigation adopts a global perspective, harnessing expert insights from various regions to transcend regional limitations and foster an understanding of the universal barriers and opportunities for EV adoption. This approach </w:t>
      </w:r>
      <w:r w:rsidR="005E5B8D" w:rsidRPr="00EF6D91">
        <w:rPr>
          <w:rFonts w:ascii="Times New Roman" w:eastAsia="Calibri" w:hAnsi="Times New Roman" w:cs="Times New Roman"/>
          <w:color w:val="000000"/>
          <w:sz w:val="24"/>
          <w:szCs w:val="24"/>
        </w:rPr>
        <w:t>identifies and</w:t>
      </w:r>
      <w:r w:rsidRPr="00EF6D91">
        <w:rPr>
          <w:rFonts w:ascii="Times New Roman" w:eastAsia="Calibri" w:hAnsi="Times New Roman" w:cs="Times New Roman"/>
          <w:color w:val="000000"/>
          <w:sz w:val="24"/>
          <w:szCs w:val="24"/>
        </w:rPr>
        <w:t xml:space="preserve"> proposes actionable strategies to mitigate these barriers based on extensive consultations with stakeholders</w:t>
      </w:r>
      <w:r w:rsidR="005E5B8D" w:rsidRPr="00EF6D91">
        <w:rPr>
          <w:rFonts w:ascii="Times New Roman" w:eastAsia="Calibri" w:hAnsi="Times New Roman" w:cs="Times New Roman"/>
          <w:color w:val="000000"/>
          <w:sz w:val="24"/>
          <w:szCs w:val="24"/>
        </w:rPr>
        <w:t>,</w:t>
      </w:r>
      <w:r w:rsidRPr="00EF6D91">
        <w:rPr>
          <w:rFonts w:ascii="Times New Roman" w:eastAsia="Calibri" w:hAnsi="Times New Roman" w:cs="Times New Roman"/>
          <w:color w:val="000000"/>
          <w:sz w:val="24"/>
          <w:szCs w:val="24"/>
        </w:rPr>
        <w:t xml:space="preserve"> including logistics companies, policymakers, and urban planners. This proactive stance underscores the innovative nature of our study</w:t>
      </w:r>
      <w:r w:rsidR="005E5B8D" w:rsidRPr="00EF6D91">
        <w:rPr>
          <w:rFonts w:ascii="Times New Roman" w:eastAsia="Calibri" w:hAnsi="Times New Roman" w:cs="Times New Roman"/>
          <w:color w:val="000000"/>
          <w:sz w:val="24"/>
          <w:szCs w:val="24"/>
        </w:rPr>
        <w:t>. It</w:t>
      </w:r>
      <w:r w:rsidRPr="00EF6D91">
        <w:rPr>
          <w:rFonts w:ascii="Times New Roman" w:eastAsia="Calibri" w:hAnsi="Times New Roman" w:cs="Times New Roman"/>
          <w:color w:val="000000"/>
          <w:sz w:val="24"/>
          <w:szCs w:val="24"/>
        </w:rPr>
        <w:t xml:space="preserve"> enriches the ecosystem needed to support the shift towards sustainable urban freight systems—a topic less explored in </w:t>
      </w:r>
      <w:r w:rsidR="005E5B8D" w:rsidRPr="00EF6D91">
        <w:rPr>
          <w:rFonts w:ascii="Times New Roman" w:eastAsia="Calibri" w:hAnsi="Times New Roman" w:cs="Times New Roman"/>
          <w:color w:val="000000"/>
          <w:sz w:val="24"/>
          <w:szCs w:val="24"/>
        </w:rPr>
        <w:t xml:space="preserve">the </w:t>
      </w:r>
      <w:r w:rsidRPr="00EF6D91">
        <w:rPr>
          <w:rFonts w:ascii="Times New Roman" w:eastAsia="Calibri" w:hAnsi="Times New Roman" w:cs="Times New Roman"/>
          <w:color w:val="000000"/>
          <w:sz w:val="24"/>
          <w:szCs w:val="24"/>
        </w:rPr>
        <w:t>existing literature.</w:t>
      </w:r>
    </w:p>
    <w:p w14:paraId="44B4F723" w14:textId="77777777" w:rsidR="005E5B8D" w:rsidRPr="00EF6D91" w:rsidRDefault="005E5B8D" w:rsidP="00AD5C71">
      <w:pPr>
        <w:contextualSpacing/>
        <w:jc w:val="both"/>
        <w:rPr>
          <w:rFonts w:ascii="Times New Roman" w:eastAsia="Calibri" w:hAnsi="Times New Roman" w:cs="Times New Roman"/>
          <w:color w:val="000000"/>
          <w:sz w:val="24"/>
          <w:szCs w:val="24"/>
        </w:rPr>
      </w:pPr>
    </w:p>
    <w:p w14:paraId="691FFC31" w14:textId="712DC057" w:rsidR="00AD5C71" w:rsidRPr="00EF6D91" w:rsidRDefault="00AD5C71" w:rsidP="00AD5C71">
      <w:pPr>
        <w:contextualSpacing/>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lastRenderedPageBreak/>
        <w:t xml:space="preserve">Ultimately, our research constructs a comprehensive framework </w:t>
      </w:r>
      <w:r w:rsidR="005E5B8D" w:rsidRPr="00EF6D91">
        <w:rPr>
          <w:rFonts w:ascii="Times New Roman" w:eastAsia="Calibri" w:hAnsi="Times New Roman" w:cs="Times New Roman"/>
          <w:color w:val="000000"/>
          <w:sz w:val="24"/>
          <w:szCs w:val="24"/>
        </w:rPr>
        <w:t>incorporating</w:t>
      </w:r>
      <w:r w:rsidRPr="00EF6D91">
        <w:rPr>
          <w:rFonts w:ascii="Times New Roman" w:eastAsia="Calibri" w:hAnsi="Times New Roman" w:cs="Times New Roman"/>
          <w:color w:val="000000"/>
          <w:sz w:val="24"/>
          <w:szCs w:val="24"/>
        </w:rPr>
        <w:t xml:space="preserve"> technological, operational, socio-technical, and policy-related challenges, offering a cohesive understanding of these barriers and their implications for sustainable transport. By juxtaposing our holistic approach against the segmented analyses found in existing studies—such as the cost-based comparisons by Pahwa and Jaller (2022) and the environmental impact assessments by Siragusa et al. (2020)—our work delineates its novelty and substantial contribution to the field. It prompts further investigation and </w:t>
      </w:r>
      <w:proofErr w:type="gramStart"/>
      <w:r w:rsidRPr="00EF6D91">
        <w:rPr>
          <w:rFonts w:ascii="Times New Roman" w:eastAsia="Calibri" w:hAnsi="Times New Roman" w:cs="Times New Roman"/>
          <w:color w:val="000000"/>
          <w:sz w:val="24"/>
          <w:szCs w:val="24"/>
        </w:rPr>
        <w:t>policy-making</w:t>
      </w:r>
      <w:proofErr w:type="gramEnd"/>
      <w:r w:rsidRPr="00EF6D91">
        <w:rPr>
          <w:rFonts w:ascii="Times New Roman" w:eastAsia="Calibri" w:hAnsi="Times New Roman" w:cs="Times New Roman"/>
          <w:color w:val="000000"/>
          <w:sz w:val="24"/>
          <w:szCs w:val="24"/>
        </w:rPr>
        <w:t xml:space="preserve"> aimed at overcoming these obstacles, thereby </w:t>
      </w:r>
      <w:r w:rsidR="002C5C4E" w:rsidRPr="00EF6D91">
        <w:rPr>
          <w:rFonts w:ascii="Times New Roman" w:eastAsia="Calibri" w:hAnsi="Times New Roman" w:cs="Times New Roman"/>
          <w:color w:val="000000"/>
          <w:sz w:val="24"/>
          <w:szCs w:val="24"/>
        </w:rPr>
        <w:t>catalysing</w:t>
      </w:r>
      <w:r w:rsidRPr="00EF6D91">
        <w:rPr>
          <w:rFonts w:ascii="Times New Roman" w:eastAsia="Calibri" w:hAnsi="Times New Roman" w:cs="Times New Roman"/>
          <w:color w:val="000000"/>
          <w:sz w:val="24"/>
          <w:szCs w:val="24"/>
        </w:rPr>
        <w:t xml:space="preserve"> a transition towards more sustainable urban logistics systems</w:t>
      </w:r>
      <w:r w:rsidR="00756271" w:rsidRPr="00EF6D91">
        <w:rPr>
          <w:rFonts w:ascii="Times New Roman" w:eastAsia="Calibri" w:hAnsi="Times New Roman" w:cs="Times New Roman"/>
          <w:color w:val="000000"/>
          <w:sz w:val="24"/>
          <w:szCs w:val="24"/>
        </w:rPr>
        <w:t>.</w:t>
      </w:r>
    </w:p>
    <w:bookmarkEnd w:id="1"/>
    <w:p w14:paraId="0B1ACD4E" w14:textId="77777777" w:rsidR="00AD5C71" w:rsidRPr="00EF6D91" w:rsidRDefault="00AD5C71" w:rsidP="00AD5C71">
      <w:pPr>
        <w:contextualSpacing/>
        <w:jc w:val="both"/>
        <w:rPr>
          <w:rFonts w:ascii="Times New Roman" w:eastAsia="Calibri" w:hAnsi="Times New Roman" w:cs="Times New Roman"/>
          <w:color w:val="000000"/>
          <w:sz w:val="24"/>
          <w:szCs w:val="24"/>
        </w:rPr>
      </w:pPr>
    </w:p>
    <w:p w14:paraId="1E42D339" w14:textId="77777777"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The paper is structured as follows: Section 2 offers a literature review focusing on SFT challenges. Section 3 describes the adopted research methodology. Section 4 presents the findings from the barrier analysis. Section 5 delves into an in-depth discussion of the results and culminates in the conclusions presented in Section 6.</w:t>
      </w:r>
    </w:p>
    <w:p w14:paraId="171D02C6" w14:textId="77777777" w:rsidR="00EF6D91" w:rsidRPr="00EF6D91" w:rsidRDefault="00EF6D91" w:rsidP="00EF6D91">
      <w:pPr>
        <w:jc w:val="both"/>
        <w:rPr>
          <w:rFonts w:ascii="Times New Roman" w:eastAsia="Aptos" w:hAnsi="Times New Roman" w:cs="Times New Roman"/>
          <w:b/>
          <w:bCs/>
          <w:color w:val="000000"/>
          <w:sz w:val="24"/>
          <w:szCs w:val="24"/>
          <w:highlight w:val="yellow"/>
        </w:rPr>
      </w:pPr>
      <w:r w:rsidRPr="00EF6D91">
        <w:rPr>
          <w:rFonts w:ascii="Times New Roman" w:eastAsia="Aptos" w:hAnsi="Times New Roman" w:cs="Times New Roman"/>
          <w:b/>
          <w:bCs/>
          <w:color w:val="000000"/>
          <w:sz w:val="24"/>
          <w:szCs w:val="24"/>
          <w:highlight w:val="yellow"/>
        </w:rPr>
        <w:t>2. Literature Review</w:t>
      </w:r>
    </w:p>
    <w:p w14:paraId="4F003115" w14:textId="77777777" w:rsidR="00EF6D91" w:rsidRPr="00EF6D91" w:rsidRDefault="00EF6D91" w:rsidP="00EF6D91">
      <w:pPr>
        <w:jc w:val="both"/>
        <w:rPr>
          <w:rFonts w:ascii="Times New Roman" w:eastAsia="Aptos" w:hAnsi="Times New Roman" w:cs="Times New Roman"/>
          <w:i/>
          <w:iCs/>
          <w:sz w:val="24"/>
          <w:szCs w:val="24"/>
          <w:highlight w:val="yellow"/>
        </w:rPr>
      </w:pPr>
      <w:r w:rsidRPr="00EF6D91">
        <w:rPr>
          <w:rFonts w:ascii="Times New Roman" w:eastAsia="Aptos" w:hAnsi="Times New Roman" w:cs="Times New Roman"/>
          <w:i/>
          <w:iCs/>
          <w:sz w:val="24"/>
          <w:szCs w:val="24"/>
          <w:highlight w:val="yellow"/>
        </w:rPr>
        <w:t>2.1 Theoretical Framework: Diffusion of Innovations (DOI)</w:t>
      </w:r>
    </w:p>
    <w:p w14:paraId="0B2CFCFC" w14:textId="560AFE07" w:rsidR="00EF6D91" w:rsidRPr="007C1599" w:rsidRDefault="00EF6D91" w:rsidP="007C1599">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DOI theory</w:t>
      </w:r>
      <w:r w:rsidR="00CF5C90">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kern w:val="0"/>
          <w:sz w:val="24"/>
          <w:szCs w:val="24"/>
          <w:highlight w:val="yellow"/>
          <w:lang w:eastAsia="en-GB"/>
          <w14:ligatures w14:val="none"/>
        </w:rPr>
        <w:t>provides a comprehensive framework for understanding how technologies spread across cultures (Rogers, 2003). Focusing on innovation, communication channels, time, and social systems, DOI classifies adopters from innovators to laggards, offering insights into adoption patterns and influencing factors.</w:t>
      </w:r>
      <w:r w:rsidR="007C1599">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Aptos" w:hAnsi="Times New Roman" w:cs="Times New Roman"/>
          <w:highlight w:val="yellow"/>
        </w:rPr>
        <w:t>DOI considers complex organizational, regulatory, and economic dynamics critical to logistics (</w:t>
      </w:r>
      <w:proofErr w:type="spellStart"/>
      <w:r w:rsidRPr="00EF6D91">
        <w:rPr>
          <w:rFonts w:ascii="Times New Roman" w:eastAsia="Aptos" w:hAnsi="Times New Roman" w:cs="Times New Roman"/>
          <w:highlight w:val="yellow"/>
        </w:rPr>
        <w:t>Jahanmir</w:t>
      </w:r>
      <w:proofErr w:type="spellEnd"/>
      <w:r w:rsidRPr="00EF6D91">
        <w:rPr>
          <w:rFonts w:ascii="Times New Roman" w:eastAsia="Aptos" w:hAnsi="Times New Roman" w:cs="Times New Roman"/>
          <w:highlight w:val="yellow"/>
        </w:rPr>
        <w:t xml:space="preserve"> and Cavadas, 2018). Adopting EVs in LMD requires systemic changes, including infrastructure development and shifts in operations (Wolff and Madlener, 2019). </w:t>
      </w:r>
      <w:r w:rsidRPr="00EF6D91">
        <w:rPr>
          <w:rFonts w:ascii="Times New Roman" w:eastAsia="Aptos" w:hAnsi="Times New Roman" w:cs="Times New Roman"/>
          <w:sz w:val="24"/>
          <w:szCs w:val="24"/>
          <w:highlight w:val="yellow"/>
        </w:rPr>
        <w:t>DOI integration of societal, communicative, and temporal dimensions provides a comprehensive perspective essential for addressing the complexities of technology adoption in fields such as sustainable transport.</w:t>
      </w:r>
    </w:p>
    <w:p w14:paraId="57F1FAB4"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 xml:space="preserve">Studies demonstrate DOI’s relevance in sustainable technology adoption. Peters and </w:t>
      </w:r>
      <w:proofErr w:type="spellStart"/>
      <w:r w:rsidRPr="00EF6D91">
        <w:rPr>
          <w:rFonts w:ascii="Times New Roman" w:eastAsia="Times New Roman" w:hAnsi="Times New Roman" w:cs="Times New Roman"/>
          <w:kern w:val="0"/>
          <w:sz w:val="24"/>
          <w:szCs w:val="24"/>
          <w:highlight w:val="yellow"/>
          <w:lang w:eastAsia="en-GB"/>
          <w14:ligatures w14:val="none"/>
        </w:rPr>
        <w:t>Dütschke</w:t>
      </w:r>
      <w:proofErr w:type="spellEnd"/>
      <w:r w:rsidRPr="00EF6D91">
        <w:rPr>
          <w:rFonts w:ascii="Times New Roman" w:eastAsia="Times New Roman" w:hAnsi="Times New Roman" w:cs="Times New Roman"/>
          <w:kern w:val="0"/>
          <w:sz w:val="24"/>
          <w:szCs w:val="24"/>
          <w:highlight w:val="yellow"/>
          <w:lang w:eastAsia="en-GB"/>
          <w14:ligatures w14:val="none"/>
        </w:rPr>
        <w:t xml:space="preserve"> (2014) explored EV adoption in Denmark, highlighting the role of relative advantage and observability. Zhu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(2006) examined digital transformation technologies, emphasizing compatibility as a key driver. These examples highlight DOI’s importance in reviewing the complex barriers to technology adoption, making it a robust theoretical foundation for studying EV adoption in LMD. DOI enables researchers to assess critical factors such as EVs’ relative advantage, compatibility with logistics systems, integration complexity, trialability, and observability, all crucial for addressing challenges in EV adoption for LMD.</w:t>
      </w:r>
    </w:p>
    <w:p w14:paraId="781F345B" w14:textId="3B97DA8B" w:rsidR="00EF6D91" w:rsidRPr="00EF6D91" w:rsidRDefault="00EF6D91" w:rsidP="00EF6D91">
      <w:pPr>
        <w:jc w:val="both"/>
        <w:rPr>
          <w:rFonts w:ascii="Times New Roman" w:eastAsia="Aptos" w:hAnsi="Times New Roman" w:cs="Times New Roman"/>
          <w:i/>
          <w:iCs/>
          <w:color w:val="000000"/>
          <w:sz w:val="24"/>
          <w:szCs w:val="24"/>
          <w:highlight w:val="yellow"/>
        </w:rPr>
      </w:pPr>
      <w:r w:rsidRPr="00EF6D91">
        <w:rPr>
          <w:rFonts w:ascii="Times New Roman" w:eastAsia="Aptos" w:hAnsi="Times New Roman" w:cs="Times New Roman"/>
          <w:i/>
          <w:iCs/>
          <w:color w:val="000000"/>
          <w:sz w:val="24"/>
          <w:szCs w:val="24"/>
          <w:highlight w:val="yellow"/>
        </w:rPr>
        <w:t>2.</w:t>
      </w:r>
      <w:r w:rsidR="008E2CD9">
        <w:rPr>
          <w:rFonts w:ascii="Times New Roman" w:eastAsia="Aptos" w:hAnsi="Times New Roman" w:cs="Times New Roman"/>
          <w:i/>
          <w:iCs/>
          <w:color w:val="000000"/>
          <w:sz w:val="24"/>
          <w:szCs w:val="24"/>
          <w:highlight w:val="yellow"/>
        </w:rPr>
        <w:t>2</w:t>
      </w:r>
      <w:r w:rsidRPr="00EF6D91">
        <w:rPr>
          <w:rFonts w:ascii="Times New Roman" w:eastAsia="Aptos" w:hAnsi="Times New Roman" w:cs="Times New Roman"/>
          <w:i/>
          <w:iCs/>
          <w:color w:val="000000"/>
          <w:sz w:val="24"/>
          <w:szCs w:val="24"/>
          <w:highlight w:val="yellow"/>
        </w:rPr>
        <w:t xml:space="preserve"> Sustainable Freight Transportation (FT) and Technological Advancements </w:t>
      </w:r>
    </w:p>
    <w:p w14:paraId="60288E61" w14:textId="77777777" w:rsidR="00EF6D91" w:rsidRPr="00EF6D91" w:rsidRDefault="00EF6D91" w:rsidP="00EF6D91">
      <w:pPr>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t xml:space="preserve">Freight transportation (FT) is </w:t>
      </w:r>
      <w:r w:rsidRPr="00EF6D91">
        <w:rPr>
          <w:rFonts w:ascii="Times New Roman" w:eastAsia="Aptos" w:hAnsi="Times New Roman" w:cs="Times New Roman"/>
          <w:color w:val="000000"/>
          <w:sz w:val="24"/>
          <w:szCs w:val="24"/>
          <w:highlight w:val="yellow"/>
        </w:rPr>
        <w:t>integral to the operability</w:t>
      </w:r>
      <w:r w:rsidRPr="00EF6D91">
        <w:rPr>
          <w:rFonts w:ascii="Times New Roman" w:eastAsia="Aptos" w:hAnsi="Times New Roman" w:cs="Times New Roman"/>
          <w:sz w:val="24"/>
          <w:szCs w:val="24"/>
          <w:highlight w:val="yellow"/>
        </w:rPr>
        <w:t xml:space="preserve"> of supply chains (SCs), ensuring efficient movement of goods through diverse modes such as trains and trucks (Bektaş, 2017). Strategic management of FT improves efficiency, addressing critical factors like transit time, costs, pollution, and societal risks (</w:t>
      </w:r>
      <w:proofErr w:type="spellStart"/>
      <w:r w:rsidRPr="00EF6D91">
        <w:rPr>
          <w:rFonts w:ascii="Times New Roman" w:eastAsia="Aptos" w:hAnsi="Times New Roman" w:cs="Times New Roman"/>
          <w:sz w:val="24"/>
          <w:szCs w:val="24"/>
          <w:highlight w:val="yellow"/>
        </w:rPr>
        <w:t>SteadieSeifi</w:t>
      </w:r>
      <w:proofErr w:type="spellEnd"/>
      <w:r w:rsidRPr="00EF6D91">
        <w:rPr>
          <w:rFonts w:ascii="Times New Roman" w:eastAsia="Aptos" w:hAnsi="Times New Roman" w:cs="Times New Roman"/>
          <w:sz w:val="24"/>
          <w:szCs w:val="24"/>
          <w:highlight w:val="yellow"/>
        </w:rPr>
        <w:t xml:space="preserve"> </w:t>
      </w:r>
      <w:r w:rsidRPr="00EF6D91">
        <w:rPr>
          <w:rFonts w:ascii="Times New Roman" w:eastAsia="Aptos" w:hAnsi="Times New Roman" w:cs="Times New Roman"/>
          <w:i/>
          <w:iCs/>
          <w:sz w:val="24"/>
          <w:szCs w:val="24"/>
          <w:highlight w:val="yellow"/>
        </w:rPr>
        <w:t>et al.,</w:t>
      </w:r>
      <w:r w:rsidRPr="00EF6D91">
        <w:rPr>
          <w:rFonts w:ascii="Times New Roman" w:eastAsia="Aptos" w:hAnsi="Times New Roman" w:cs="Times New Roman"/>
          <w:sz w:val="24"/>
          <w:szCs w:val="24"/>
          <w:highlight w:val="yellow"/>
        </w:rPr>
        <w:t xml:space="preserve"> 2014). As SCs globalize, the need for varied FT modes grows, especially with low-cost production locales (</w:t>
      </w:r>
      <w:proofErr w:type="spellStart"/>
      <w:r w:rsidRPr="00EF6D91">
        <w:rPr>
          <w:rFonts w:ascii="Times New Roman" w:eastAsia="Aptos" w:hAnsi="Times New Roman" w:cs="Times New Roman"/>
          <w:sz w:val="24"/>
          <w:szCs w:val="24"/>
          <w:highlight w:val="yellow"/>
        </w:rPr>
        <w:t>Centobelli</w:t>
      </w:r>
      <w:proofErr w:type="spellEnd"/>
      <w:r w:rsidRPr="00EF6D91">
        <w:rPr>
          <w:rFonts w:ascii="Times New Roman" w:eastAsia="Aptos" w:hAnsi="Times New Roman" w:cs="Times New Roman"/>
          <w:sz w:val="24"/>
          <w:szCs w:val="24"/>
          <w:highlight w:val="yellow"/>
        </w:rPr>
        <w:t xml:space="preserve"> </w:t>
      </w:r>
      <w:r w:rsidRPr="00EF6D91">
        <w:rPr>
          <w:rFonts w:ascii="Times New Roman" w:eastAsia="Aptos" w:hAnsi="Times New Roman" w:cs="Times New Roman"/>
          <w:i/>
          <w:iCs/>
          <w:sz w:val="24"/>
          <w:szCs w:val="24"/>
          <w:highlight w:val="yellow"/>
        </w:rPr>
        <w:t>et al.,</w:t>
      </w:r>
      <w:r w:rsidRPr="00EF6D91">
        <w:rPr>
          <w:rFonts w:ascii="Times New Roman" w:eastAsia="Aptos" w:hAnsi="Times New Roman" w:cs="Times New Roman"/>
          <w:sz w:val="24"/>
          <w:szCs w:val="24"/>
          <w:highlight w:val="yellow"/>
        </w:rPr>
        <w:t xml:space="preserve"> 2021). Recognizing FT’s environmental impact, global efforts, including the EU’s goal to cut CO2 emissions by 2050, emphasize sustainability (Bask and </w:t>
      </w:r>
      <w:proofErr w:type="spellStart"/>
      <w:r w:rsidRPr="00EF6D91">
        <w:rPr>
          <w:rFonts w:ascii="Times New Roman" w:eastAsia="Aptos" w:hAnsi="Times New Roman" w:cs="Times New Roman"/>
          <w:sz w:val="24"/>
          <w:szCs w:val="24"/>
          <w:highlight w:val="yellow"/>
        </w:rPr>
        <w:t>Rajahonka</w:t>
      </w:r>
      <w:proofErr w:type="spellEnd"/>
      <w:r w:rsidRPr="00EF6D91">
        <w:rPr>
          <w:rFonts w:ascii="Times New Roman" w:eastAsia="Aptos" w:hAnsi="Times New Roman" w:cs="Times New Roman"/>
          <w:sz w:val="24"/>
          <w:szCs w:val="24"/>
          <w:highlight w:val="yellow"/>
        </w:rPr>
        <w:t>, 2017).</w:t>
      </w:r>
    </w:p>
    <w:p w14:paraId="0EEAFAE1" w14:textId="0B09DD43" w:rsidR="00EF6D91" w:rsidRPr="00EF6D91" w:rsidRDefault="004D2EA7" w:rsidP="00EF6D91">
      <w:pPr>
        <w:jc w:val="both"/>
        <w:rPr>
          <w:rFonts w:ascii="Times New Roman" w:eastAsia="Aptos" w:hAnsi="Times New Roman" w:cs="Times New Roman"/>
          <w:sz w:val="24"/>
          <w:szCs w:val="24"/>
          <w:highlight w:val="yellow"/>
        </w:rPr>
      </w:pPr>
      <w:r>
        <w:rPr>
          <w:rFonts w:ascii="Times New Roman" w:eastAsia="Aptos" w:hAnsi="Times New Roman" w:cs="Times New Roman"/>
          <w:sz w:val="24"/>
          <w:szCs w:val="24"/>
          <w:highlight w:val="yellow"/>
        </w:rPr>
        <w:t>I</w:t>
      </w:r>
      <w:r w:rsidR="00EF6D91" w:rsidRPr="00EF6D91">
        <w:rPr>
          <w:rFonts w:ascii="Times New Roman" w:eastAsia="Aptos" w:hAnsi="Times New Roman" w:cs="Times New Roman"/>
          <w:sz w:val="24"/>
          <w:szCs w:val="24"/>
          <w:highlight w:val="yellow"/>
        </w:rPr>
        <w:t xml:space="preserve">ntegrating environmental stewardship is essential given FT’s significant carbon footprint (Carter </w:t>
      </w:r>
      <w:r w:rsidR="00EF6D91" w:rsidRPr="00EF6D91">
        <w:rPr>
          <w:rFonts w:ascii="Times New Roman" w:eastAsia="Aptos" w:hAnsi="Times New Roman" w:cs="Times New Roman"/>
          <w:i/>
          <w:iCs/>
          <w:sz w:val="24"/>
          <w:szCs w:val="24"/>
          <w:highlight w:val="yellow"/>
        </w:rPr>
        <w:t>et al.,</w:t>
      </w:r>
      <w:r w:rsidR="00EF6D91" w:rsidRPr="00EF6D91">
        <w:rPr>
          <w:rFonts w:ascii="Times New Roman" w:eastAsia="Aptos" w:hAnsi="Times New Roman" w:cs="Times New Roman"/>
          <w:sz w:val="24"/>
          <w:szCs w:val="24"/>
          <w:highlight w:val="yellow"/>
        </w:rPr>
        <w:t xml:space="preserve"> 2019). Diversifying transportation modes and adopting low-emission technologies offer paths to sustainability (Bask and </w:t>
      </w:r>
      <w:proofErr w:type="spellStart"/>
      <w:r w:rsidR="00EF6D91" w:rsidRPr="00EF6D91">
        <w:rPr>
          <w:rFonts w:ascii="Times New Roman" w:eastAsia="Aptos" w:hAnsi="Times New Roman" w:cs="Times New Roman"/>
          <w:sz w:val="24"/>
          <w:szCs w:val="24"/>
          <w:highlight w:val="yellow"/>
        </w:rPr>
        <w:t>Rajahonka</w:t>
      </w:r>
      <w:proofErr w:type="spellEnd"/>
      <w:r w:rsidR="00EF6D91" w:rsidRPr="00EF6D91">
        <w:rPr>
          <w:rFonts w:ascii="Times New Roman" w:eastAsia="Aptos" w:hAnsi="Times New Roman" w:cs="Times New Roman"/>
          <w:sz w:val="24"/>
          <w:szCs w:val="24"/>
          <w:highlight w:val="yellow"/>
        </w:rPr>
        <w:t xml:space="preserve">, 2017). The rise of road-centric </w:t>
      </w:r>
      <w:r w:rsidR="00EF6D91" w:rsidRPr="00EF6D91">
        <w:rPr>
          <w:rFonts w:ascii="Times New Roman" w:eastAsia="Aptos" w:hAnsi="Times New Roman" w:cs="Times New Roman"/>
          <w:sz w:val="24"/>
          <w:szCs w:val="24"/>
          <w:highlight w:val="yellow"/>
        </w:rPr>
        <w:lastRenderedPageBreak/>
        <w:t>FT amplifies environmental challenges, highlighting the need for a Triple Bottom Line (TBL) approach (</w:t>
      </w:r>
      <w:proofErr w:type="spellStart"/>
      <w:r w:rsidR="00EF6D91" w:rsidRPr="00EF6D91">
        <w:rPr>
          <w:rFonts w:ascii="Times New Roman" w:eastAsia="Aptos" w:hAnsi="Times New Roman" w:cs="Times New Roman"/>
          <w:sz w:val="24"/>
          <w:szCs w:val="24"/>
          <w:highlight w:val="yellow"/>
        </w:rPr>
        <w:t>Centobelli</w:t>
      </w:r>
      <w:proofErr w:type="spellEnd"/>
      <w:r w:rsidR="00EF6D91" w:rsidRPr="00EF6D91">
        <w:rPr>
          <w:rFonts w:ascii="Times New Roman" w:eastAsia="Aptos" w:hAnsi="Times New Roman" w:cs="Times New Roman"/>
          <w:sz w:val="24"/>
          <w:szCs w:val="24"/>
          <w:highlight w:val="yellow"/>
        </w:rPr>
        <w:t xml:space="preserve"> </w:t>
      </w:r>
      <w:r w:rsidR="00EF6D91" w:rsidRPr="00EF6D91">
        <w:rPr>
          <w:rFonts w:ascii="Times New Roman" w:eastAsia="Aptos" w:hAnsi="Times New Roman" w:cs="Times New Roman"/>
          <w:i/>
          <w:iCs/>
          <w:sz w:val="24"/>
          <w:szCs w:val="24"/>
          <w:highlight w:val="yellow"/>
        </w:rPr>
        <w:t>et al.</w:t>
      </w:r>
      <w:r w:rsidR="00EF6D91" w:rsidRPr="00EF6D91">
        <w:rPr>
          <w:rFonts w:ascii="Times New Roman" w:eastAsia="Aptos" w:hAnsi="Times New Roman" w:cs="Times New Roman"/>
          <w:sz w:val="24"/>
          <w:szCs w:val="24"/>
          <w:highlight w:val="yellow"/>
        </w:rPr>
        <w:t>, 2021). Multi-Modal Freight Transportation (MMFT) combines multiple transport modes for efficiency and environmental benefits (</w:t>
      </w:r>
      <w:proofErr w:type="spellStart"/>
      <w:r w:rsidR="00EF6D91" w:rsidRPr="00EF6D91">
        <w:rPr>
          <w:rFonts w:ascii="Times New Roman" w:eastAsia="Aptos" w:hAnsi="Times New Roman" w:cs="Times New Roman"/>
          <w:sz w:val="24"/>
          <w:szCs w:val="24"/>
          <w:highlight w:val="yellow"/>
        </w:rPr>
        <w:t>Fulzele</w:t>
      </w:r>
      <w:proofErr w:type="spellEnd"/>
      <w:r w:rsidR="00EF6D91" w:rsidRPr="00EF6D91">
        <w:rPr>
          <w:rFonts w:ascii="Times New Roman" w:eastAsia="Aptos" w:hAnsi="Times New Roman" w:cs="Times New Roman"/>
          <w:sz w:val="24"/>
          <w:szCs w:val="24"/>
          <w:highlight w:val="yellow"/>
        </w:rPr>
        <w:t xml:space="preserve"> </w:t>
      </w:r>
      <w:r w:rsidR="00EF6D91" w:rsidRPr="00EF6D91">
        <w:rPr>
          <w:rFonts w:ascii="Times New Roman" w:eastAsia="Aptos" w:hAnsi="Times New Roman" w:cs="Times New Roman"/>
          <w:i/>
          <w:iCs/>
          <w:sz w:val="24"/>
          <w:szCs w:val="24"/>
          <w:highlight w:val="yellow"/>
        </w:rPr>
        <w:t>et al</w:t>
      </w:r>
      <w:r w:rsidR="00EF6D91" w:rsidRPr="00EF6D91">
        <w:rPr>
          <w:rFonts w:ascii="Times New Roman" w:eastAsia="Aptos" w:hAnsi="Times New Roman" w:cs="Times New Roman"/>
          <w:sz w:val="24"/>
          <w:szCs w:val="24"/>
          <w:highlight w:val="yellow"/>
        </w:rPr>
        <w:t xml:space="preserve">., 2019). The e-commerce boom and the advent of Industry 4.0 have increased the demand for innovative technological integration in freight logistics (Zhang </w:t>
      </w:r>
      <w:r w:rsidR="00EF6D91" w:rsidRPr="00EF6D91">
        <w:rPr>
          <w:rFonts w:ascii="Times New Roman" w:eastAsia="Aptos" w:hAnsi="Times New Roman" w:cs="Times New Roman"/>
          <w:i/>
          <w:iCs/>
          <w:sz w:val="24"/>
          <w:szCs w:val="24"/>
          <w:highlight w:val="yellow"/>
        </w:rPr>
        <w:t>et al</w:t>
      </w:r>
      <w:r w:rsidR="00EF6D91" w:rsidRPr="00EF6D91">
        <w:rPr>
          <w:rFonts w:ascii="Times New Roman" w:eastAsia="Aptos" w:hAnsi="Times New Roman" w:cs="Times New Roman"/>
          <w:sz w:val="24"/>
          <w:szCs w:val="24"/>
          <w:highlight w:val="yellow"/>
        </w:rPr>
        <w:t xml:space="preserve">., 2018; </w:t>
      </w:r>
      <w:proofErr w:type="spellStart"/>
      <w:r w:rsidR="00EF6D91" w:rsidRPr="00EF6D91">
        <w:rPr>
          <w:rFonts w:ascii="Times New Roman" w:eastAsia="Aptos" w:hAnsi="Times New Roman" w:cs="Times New Roman"/>
          <w:sz w:val="24"/>
          <w:szCs w:val="24"/>
          <w:highlight w:val="yellow"/>
        </w:rPr>
        <w:t>Schücking</w:t>
      </w:r>
      <w:proofErr w:type="spellEnd"/>
      <w:r w:rsidR="00EF6D91" w:rsidRPr="00EF6D91">
        <w:rPr>
          <w:rFonts w:ascii="Times New Roman" w:eastAsia="Aptos" w:hAnsi="Times New Roman" w:cs="Times New Roman"/>
          <w:sz w:val="24"/>
          <w:szCs w:val="24"/>
          <w:highlight w:val="yellow"/>
        </w:rPr>
        <w:t xml:space="preserve"> </w:t>
      </w:r>
      <w:r w:rsidR="00EF6D91" w:rsidRPr="00EF6D91">
        <w:rPr>
          <w:rFonts w:ascii="Times New Roman" w:eastAsia="Aptos" w:hAnsi="Times New Roman" w:cs="Times New Roman"/>
          <w:i/>
          <w:iCs/>
          <w:sz w:val="24"/>
          <w:szCs w:val="24"/>
          <w:highlight w:val="yellow"/>
        </w:rPr>
        <w:t>et al</w:t>
      </w:r>
      <w:r w:rsidR="00EF6D91" w:rsidRPr="00EF6D91">
        <w:rPr>
          <w:rFonts w:ascii="Times New Roman" w:eastAsia="Aptos" w:hAnsi="Times New Roman" w:cs="Times New Roman"/>
          <w:sz w:val="24"/>
          <w:szCs w:val="24"/>
          <w:highlight w:val="yellow"/>
        </w:rPr>
        <w:t>., 2017).</w:t>
      </w:r>
    </w:p>
    <w:p w14:paraId="67A742D5" w14:textId="77777777" w:rsidR="00EF6D91" w:rsidRPr="00EF6D91" w:rsidRDefault="00EF6D91" w:rsidP="00EF6D91">
      <w:pPr>
        <w:jc w:val="both"/>
        <w:rPr>
          <w:rFonts w:ascii="Times New Roman" w:eastAsia="Aptos" w:hAnsi="Times New Roman" w:cs="Times New Roman"/>
          <w:i/>
          <w:iCs/>
          <w:color w:val="000000"/>
          <w:sz w:val="24"/>
          <w:szCs w:val="24"/>
          <w:highlight w:val="yellow"/>
        </w:rPr>
      </w:pPr>
      <w:r w:rsidRPr="00EF6D91">
        <w:rPr>
          <w:rFonts w:ascii="Times New Roman" w:eastAsia="Aptos" w:hAnsi="Times New Roman" w:cs="Times New Roman"/>
          <w:i/>
          <w:iCs/>
          <w:color w:val="000000"/>
          <w:sz w:val="24"/>
          <w:szCs w:val="24"/>
          <w:highlight w:val="yellow"/>
        </w:rPr>
        <w:t>2.4 The Dynamics of Last-Mile Delivery (LMD)</w:t>
      </w:r>
    </w:p>
    <w:p w14:paraId="16BBCEF5"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Growing concerns over transportation-related emissions have amplified global efforts to promote electric vehicles (EVs) as crucial solutions to reducing air pollution and greenhouse gas (GHG) emissions (</w:t>
      </w:r>
      <w:proofErr w:type="spellStart"/>
      <w:r w:rsidRPr="00EF6D91">
        <w:rPr>
          <w:rFonts w:ascii="Times New Roman" w:eastAsia="Times New Roman" w:hAnsi="Times New Roman" w:cs="Times New Roman"/>
          <w:kern w:val="0"/>
          <w:sz w:val="24"/>
          <w:szCs w:val="24"/>
          <w:highlight w:val="yellow"/>
          <w:lang w:eastAsia="en-GB"/>
          <w14:ligatures w14:val="none"/>
        </w:rPr>
        <w:t>Lebrouhi</w:t>
      </w:r>
      <w:proofErr w:type="spellEnd"/>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2021). EVs encompass a range of technologies, from Battery Electric Vehicles (BEVs) to Extended-Range Electric Vehicles (ER-EVs), each with unique operational advantages. The global EV market, valued at $280 billion in July 2022, is projected to reach $1 trillion by 2026, driven by North America, Europe, and China (Dillan, 2022). Notably, electric light commercial vehicles (LCVs) surpassed passenger EVs in market share for the first time in 2022 (International Energy Agency, 2023).</w:t>
      </w:r>
    </w:p>
    <w:p w14:paraId="3DFF3DDC"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BEVs, which held 98% of the electric LCV market in 2022, offer significant economic benefits in commercial settings (International Energy Agency, 2023). While electrifying medium- and heavy-duty vehicles is progressing more slowly, it remains essential to achieve carbon neutrality due to their substantial carbon footprint. Governments are enacting regulations to accelerate EV adoption (</w:t>
      </w:r>
      <w:proofErr w:type="spellStart"/>
      <w:r w:rsidRPr="00EF6D91">
        <w:rPr>
          <w:rFonts w:ascii="Times New Roman" w:eastAsia="Times New Roman" w:hAnsi="Times New Roman" w:cs="Times New Roman"/>
          <w:kern w:val="0"/>
          <w:sz w:val="24"/>
          <w:szCs w:val="24"/>
          <w:highlight w:val="yellow"/>
          <w:lang w:eastAsia="en-GB"/>
          <w14:ligatures w14:val="none"/>
        </w:rPr>
        <w:t>Lebrouhi</w:t>
      </w:r>
      <w:proofErr w:type="spellEnd"/>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2021).</w:t>
      </w:r>
    </w:p>
    <w:p w14:paraId="03F4E4E3"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color w:val="000000"/>
          <w:kern w:val="0"/>
          <w:sz w:val="24"/>
          <w:szCs w:val="24"/>
          <w:highlight w:val="yellow"/>
          <w:lang w:eastAsia="en-GB"/>
          <w14:ligatures w14:val="none"/>
        </w:rPr>
        <w:t>With e-commerce giants offering innovative delivery paradigms</w:t>
      </w:r>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color w:val="000000"/>
          <w:kern w:val="0"/>
          <w:sz w:val="24"/>
          <w:szCs w:val="24"/>
          <w:highlight w:val="yellow"/>
          <w:lang w:eastAsia="en-GB"/>
          <w14:ligatures w14:val="none"/>
        </w:rPr>
        <w:t xml:space="preserve">LMD has been identified to shoulder 32% of e-commerce’s carbon footprint </w:t>
      </w:r>
      <w:r w:rsidRPr="00EF6D91">
        <w:rPr>
          <w:rFonts w:ascii="Times New Roman" w:eastAsia="Times New Roman" w:hAnsi="Times New Roman" w:cs="Times New Roman"/>
          <w:color w:val="000000"/>
          <w:kern w:val="0"/>
          <w:sz w:val="24"/>
          <w:szCs w:val="24"/>
          <w:highlight w:val="yellow"/>
          <w:lang w:eastAsia="en-GB"/>
          <w14:ligatures w14:val="none"/>
        </w:rPr>
        <w:fldChar w:fldCharType="begin"/>
      </w:r>
      <w:r w:rsidRPr="00EF6D91">
        <w:rPr>
          <w:rFonts w:ascii="Times New Roman" w:eastAsia="Times New Roman" w:hAnsi="Times New Roman" w:cs="Times New Roman"/>
          <w:color w:val="000000"/>
          <w:kern w:val="0"/>
          <w:sz w:val="24"/>
          <w:szCs w:val="24"/>
          <w:highlight w:val="yellow"/>
          <w:lang w:eastAsia="en-GB"/>
          <w14:ligatures w14:val="none"/>
        </w:rPr>
        <w:instrText xml:space="preserve"> ADDIN ZOTERO_ITEM CSL_CITATION {"citationID":"8DIWAHhA","properties":{"formattedCitation":"(Patella {\\i{}et al.}, 2020)","plainCitation":"(Patella et al., 2020)","noteIndex":0},"citationItems":[{"id":31702,"uris":["http://zotero.org/users/10594755/items/SI8X5IRJ"],"itemData":{"id":31702,"type":"article-journal","abstract":"Widespread adoption of green vehicles in urban logistics may contribute to the alleviation of problems such as environmental pollution, global warming, and oil dependency. However, the current adoption of green vehicles in the last mile logistics is relatively low despite many actions taken by public authorities to overcome the negative externalities of distributing goods in cities. This paper presents a comprehensive literature review on studies investigating the adoption of green vehicles in urban freight transportation, paying specific attention to e-commerce. To shed light on the adoption of green vehicles in city logistics, the paper conducts a systematic review of the empirical literature on the topic. The 159 articles reviewed were classified into the following: (a) Optimization and scheduling (67 papers); (b) policy (55 papers); (c) sustainability (37 papers). Among the 159 articles, a further selection of 17 papers dealing with e-commerce, i.e., studies that highlight the most relevant aspects related to the integration of green vehicles in e-commerce urban logistics, was performed. Our findings indicate that green vehicles are competitive in urban deliveries characterized by frequent stop-and-go movements and low consolidation levels while incentives are still necessary for their adoption. The use of autonomous vehicles results the most promising and challenging solution for last-mile logistics.","container-title":"Sustainability","DOI":"10.3390/su13010006","ISSN":"2071-1050","issue":"1","journalAbbreviation":"Sustainability","language":"en","page":"6","source":"DOI.org (Crossref)","title":"The adoption of green vehicles in last mile logistics: a systematic review","title-short":"The adoption of green vehicles in last mile logistics","volume":"13","author":[{"family":"Patella","given":"Sergio Maria"},{"family":"Grazieschi","given":"Gianluca"},{"family":"Gatta","given":"Valerio"},{"family":"Marcucci","given":"Edoardo"},{"family":"Carrese","given":"Stefano"}],"issued":{"date-parts":[["2020",12,22]]}}}],"schema":"https://github.com/citation-style-language/schema/raw/master/csl-citation.json"} </w:instrText>
      </w:r>
      <w:r w:rsidRPr="00EF6D91">
        <w:rPr>
          <w:rFonts w:ascii="Times New Roman" w:eastAsia="Times New Roman" w:hAnsi="Times New Roman" w:cs="Times New Roman"/>
          <w:color w:val="000000"/>
          <w:kern w:val="0"/>
          <w:sz w:val="24"/>
          <w:szCs w:val="24"/>
          <w:highlight w:val="yellow"/>
          <w:lang w:eastAsia="en-GB"/>
          <w14:ligatures w14:val="none"/>
        </w:rPr>
        <w:fldChar w:fldCharType="separate"/>
      </w:r>
      <w:r w:rsidRPr="00EF6D91">
        <w:rPr>
          <w:rFonts w:ascii="Times New Roman" w:eastAsia="Times New Roman" w:hAnsi="Times New Roman" w:cs="Times New Roman"/>
          <w:kern w:val="0"/>
          <w:sz w:val="24"/>
          <w:szCs w:val="24"/>
          <w:highlight w:val="yellow"/>
          <w:lang w:eastAsia="en-GB"/>
          <w14:ligatures w14:val="none"/>
        </w:rPr>
        <w:t xml:space="preserve">(Patella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2020)</w:t>
      </w:r>
      <w:r w:rsidRPr="00EF6D91">
        <w:rPr>
          <w:rFonts w:ascii="Times New Roman" w:eastAsia="Times New Roman" w:hAnsi="Times New Roman" w:cs="Times New Roman"/>
          <w:color w:val="000000"/>
          <w:kern w:val="0"/>
          <w:sz w:val="24"/>
          <w:szCs w:val="24"/>
          <w:highlight w:val="yellow"/>
          <w:lang w:eastAsia="en-GB"/>
          <w14:ligatures w14:val="none"/>
        </w:rPr>
        <w:fldChar w:fldCharType="end"/>
      </w:r>
      <w:r w:rsidRPr="00EF6D91">
        <w:rPr>
          <w:rFonts w:ascii="Times New Roman" w:eastAsia="Times New Roman" w:hAnsi="Times New Roman" w:cs="Times New Roman"/>
          <w:color w:val="000000"/>
          <w:kern w:val="0"/>
          <w:sz w:val="24"/>
          <w:szCs w:val="24"/>
          <w:highlight w:val="yellow"/>
          <w:lang w:eastAsia="en-GB"/>
          <w14:ligatures w14:val="none"/>
        </w:rPr>
        <w:t xml:space="preserve">. </w:t>
      </w:r>
      <w:r w:rsidRPr="00EF6D91">
        <w:rPr>
          <w:rFonts w:ascii="Times New Roman" w:eastAsia="Times New Roman" w:hAnsi="Times New Roman" w:cs="Times New Roman"/>
          <w:kern w:val="0"/>
          <w:sz w:val="24"/>
          <w:szCs w:val="24"/>
          <w:highlight w:val="yellow"/>
          <w:lang w:eastAsia="en-GB"/>
          <w14:ligatures w14:val="none"/>
        </w:rPr>
        <w:t xml:space="preserve">In LMD, EVs have reduced environmental impacts, cutting CO2 emissions by 93-98% in cities like Paris and London (Juan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2016; Giordano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2018). However, challenges remain, including scaling EV deployment and addressing logistical barriers to widespread adoption (</w:t>
      </w:r>
      <w:proofErr w:type="spellStart"/>
      <w:r w:rsidRPr="00EF6D91">
        <w:rPr>
          <w:rFonts w:ascii="Times New Roman" w:eastAsia="Times New Roman" w:hAnsi="Times New Roman" w:cs="Times New Roman"/>
          <w:kern w:val="0"/>
          <w:sz w:val="24"/>
          <w:szCs w:val="24"/>
          <w:highlight w:val="yellow"/>
          <w:lang w:eastAsia="en-GB"/>
          <w14:ligatures w14:val="none"/>
        </w:rPr>
        <w:t>Patyal</w:t>
      </w:r>
      <w:proofErr w:type="spellEnd"/>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2021).</w:t>
      </w:r>
    </w:p>
    <w:p w14:paraId="64FD8246" w14:textId="77777777" w:rsidR="00EF6D91" w:rsidRPr="00EF6D91" w:rsidRDefault="00EF6D91" w:rsidP="00EF6D91">
      <w:pPr>
        <w:jc w:val="both"/>
        <w:rPr>
          <w:rFonts w:ascii="Times New Roman" w:eastAsia="Aptos" w:hAnsi="Times New Roman" w:cs="Times New Roman"/>
          <w:i/>
          <w:iCs/>
          <w:color w:val="000000"/>
          <w:sz w:val="24"/>
          <w:szCs w:val="24"/>
          <w:highlight w:val="yellow"/>
        </w:rPr>
      </w:pPr>
      <w:r w:rsidRPr="00EF6D91">
        <w:rPr>
          <w:rFonts w:ascii="Times New Roman" w:eastAsia="Aptos" w:hAnsi="Times New Roman" w:cs="Times New Roman"/>
          <w:i/>
          <w:iCs/>
          <w:color w:val="000000"/>
          <w:sz w:val="24"/>
          <w:szCs w:val="24"/>
          <w:highlight w:val="yellow"/>
        </w:rPr>
        <w:t>2.6 Barriers to EV Utilization in LMD</w:t>
      </w:r>
    </w:p>
    <w:p w14:paraId="6C7B9EE7"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Despite significant EV sales growth in select countries across North America, Europe, and Asia, global adoption remains limited due to various challenges (</w:t>
      </w:r>
      <w:proofErr w:type="spellStart"/>
      <w:r w:rsidRPr="00EF6D91">
        <w:rPr>
          <w:rFonts w:ascii="Times New Roman" w:eastAsia="Times New Roman" w:hAnsi="Times New Roman" w:cs="Times New Roman"/>
          <w:kern w:val="0"/>
          <w:sz w:val="24"/>
          <w:szCs w:val="24"/>
          <w:highlight w:val="yellow"/>
          <w:lang w:eastAsia="en-GB"/>
          <w14:ligatures w14:val="none"/>
        </w:rPr>
        <w:t>Patyal</w:t>
      </w:r>
      <w:proofErr w:type="spellEnd"/>
      <w:r w:rsidRPr="00EF6D91">
        <w:rPr>
          <w:rFonts w:ascii="Times New Roman" w:eastAsia="Times New Roman" w:hAnsi="Times New Roman" w:cs="Times New Roman"/>
          <w:kern w:val="0"/>
          <w:sz w:val="24"/>
          <w:szCs w:val="24"/>
          <w:highlight w:val="yellow"/>
          <w:lang w:eastAsia="en-GB"/>
          <w14:ligatures w14:val="none"/>
        </w:rPr>
        <w:t xml:space="preserve"> et al., 2021). EVs disrupt established transportation paradigms, complicating market integration. Challenges include the need for battery advancements, competition from emerging technologies, and improvements in traditional vehicles (Anosike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2023; Berkeley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2017).</w:t>
      </w:r>
    </w:p>
    <w:p w14:paraId="5D8BFE33" w14:textId="77777777" w:rsidR="00EF6D91" w:rsidRPr="00EF6D91" w:rsidRDefault="00EF6D91" w:rsidP="00EF6D91">
      <w:pPr>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Charging infrastructure is a significant barrier. Over half of prospective buyers express concerns about inadequate infrastructure, battery range, and vehicle charging solutions, divided into depot-based and public options (</w:t>
      </w:r>
      <w:proofErr w:type="spellStart"/>
      <w:r w:rsidRPr="00EF6D91">
        <w:rPr>
          <w:rFonts w:ascii="Times New Roman" w:eastAsia="Times New Roman" w:hAnsi="Times New Roman" w:cs="Times New Roman"/>
          <w:kern w:val="0"/>
          <w:sz w:val="24"/>
          <w:szCs w:val="24"/>
          <w:highlight w:val="yellow"/>
          <w:lang w:eastAsia="en-GB"/>
          <w14:ligatures w14:val="none"/>
        </w:rPr>
        <w:t>Schücking</w:t>
      </w:r>
      <w:proofErr w:type="spellEnd"/>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2017; </w:t>
      </w:r>
      <w:r w:rsidRPr="00EF6D91">
        <w:rPr>
          <w:rFonts w:ascii="Times New Roman" w:eastAsia="Aptos" w:hAnsi="Times New Roman" w:cs="Times New Roman"/>
          <w:kern w:val="0"/>
          <w:sz w:val="24"/>
          <w:highlight w:val="yellow"/>
        </w:rPr>
        <w:t>“Electric vehicle charging stations in Europe | McKinsey”, n.d.</w:t>
      </w:r>
      <w:r w:rsidRPr="00EF6D91">
        <w:rPr>
          <w:rFonts w:ascii="Times New Roman" w:eastAsia="Times New Roman" w:hAnsi="Times New Roman" w:cs="Times New Roman"/>
          <w:kern w:val="0"/>
          <w:sz w:val="24"/>
          <w:szCs w:val="24"/>
          <w:highlight w:val="yellow"/>
          <w:lang w:eastAsia="en-GB"/>
          <w14:ligatures w14:val="none"/>
        </w:rPr>
        <w:t>). By 2022, public charging facilities totalled 2.7 million globally, with European projections ranging from 1.3 to 2.9 million by 2030 (International Energy Agency, 2023).</w:t>
      </w:r>
    </w:p>
    <w:p w14:paraId="5EA3D526" w14:textId="77777777" w:rsidR="00EF6D91" w:rsidRPr="00EF6D91" w:rsidRDefault="00EF6D91" w:rsidP="00EF6D91">
      <w:pPr>
        <w:jc w:val="both"/>
        <w:rPr>
          <w:rFonts w:ascii="Times New Roman" w:eastAsia="Times New Roman" w:hAnsi="Times New Roman" w:cs="Times New Roman"/>
          <w:kern w:val="0"/>
          <w:sz w:val="24"/>
          <w:szCs w:val="24"/>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Battery constraints hinder adoption, including limited range, high costs, and safety concerns (</w:t>
      </w:r>
      <w:proofErr w:type="spellStart"/>
      <w:r w:rsidRPr="00EF6D91">
        <w:rPr>
          <w:rFonts w:ascii="Times New Roman" w:eastAsia="Times New Roman" w:hAnsi="Times New Roman" w:cs="Times New Roman"/>
          <w:kern w:val="0"/>
          <w:sz w:val="24"/>
          <w:szCs w:val="24"/>
          <w:highlight w:val="yellow"/>
          <w:lang w:eastAsia="en-GB"/>
          <w14:ligatures w14:val="none"/>
        </w:rPr>
        <w:t>Lebrouhi</w:t>
      </w:r>
      <w:proofErr w:type="spellEnd"/>
      <w:r w:rsidRPr="00EF6D91">
        <w:rPr>
          <w:rFonts w:ascii="Times New Roman" w:eastAsia="Times New Roman" w:hAnsi="Times New Roman" w:cs="Times New Roman"/>
          <w:kern w:val="0"/>
          <w:sz w:val="24"/>
          <w:szCs w:val="24"/>
          <w:highlight w:val="yellow"/>
          <w:lang w:eastAsia="en-GB"/>
          <w14:ligatures w14:val="none"/>
        </w:rPr>
        <w:t xml:space="preserv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2021). While battery-exchange systems address range anxiety, they introduce new issues like compatibility and infrastructure demands (Anosike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2023). Moreover, relying solely on fuel savings is problematic due to the logistical challenges of battery management and high-mileage vehicles (Kuppusamy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xml:space="preserve">., 2017). Additionally, power supply </w:t>
      </w:r>
      <w:r w:rsidRPr="00EF6D91">
        <w:rPr>
          <w:rFonts w:ascii="Times New Roman" w:eastAsia="Times New Roman" w:hAnsi="Times New Roman" w:cs="Times New Roman"/>
          <w:kern w:val="0"/>
          <w:sz w:val="24"/>
          <w:szCs w:val="24"/>
          <w:highlight w:val="yellow"/>
          <w:lang w:eastAsia="en-GB"/>
          <w14:ligatures w14:val="none"/>
        </w:rPr>
        <w:lastRenderedPageBreak/>
        <w:t xml:space="preserve">demands and consumer misconceptions about EVs further deter adoption, highlighting the need for accurate information dissemination (Kannan and Hirschberg, 2016; Barisa </w:t>
      </w:r>
      <w:r w:rsidRPr="00EF6D91">
        <w:rPr>
          <w:rFonts w:ascii="Times New Roman" w:eastAsia="Times New Roman" w:hAnsi="Times New Roman" w:cs="Times New Roman"/>
          <w:i/>
          <w:iCs/>
          <w:kern w:val="0"/>
          <w:sz w:val="24"/>
          <w:szCs w:val="24"/>
          <w:highlight w:val="yellow"/>
          <w:lang w:eastAsia="en-GB"/>
          <w14:ligatures w14:val="none"/>
        </w:rPr>
        <w:t>et al</w:t>
      </w:r>
      <w:r w:rsidRPr="00EF6D91">
        <w:rPr>
          <w:rFonts w:ascii="Times New Roman" w:eastAsia="Times New Roman" w:hAnsi="Times New Roman" w:cs="Times New Roman"/>
          <w:kern w:val="0"/>
          <w:sz w:val="24"/>
          <w:szCs w:val="24"/>
          <w:highlight w:val="yellow"/>
          <w:lang w:eastAsia="en-GB"/>
          <w14:ligatures w14:val="none"/>
        </w:rPr>
        <w:t>., 2016).</w:t>
      </w:r>
    </w:p>
    <w:p w14:paraId="1B5991CA" w14:textId="77777777" w:rsidR="00D5018D" w:rsidRPr="00EF6D91" w:rsidRDefault="00D5018D" w:rsidP="00D5018D">
      <w:pPr>
        <w:jc w:val="both"/>
        <w:rPr>
          <w:rFonts w:ascii="Times New Roman" w:hAnsi="Times New Roman" w:cs="Times New Roman"/>
          <w:b/>
          <w:bCs/>
          <w:color w:val="000000" w:themeColor="text1"/>
          <w:sz w:val="24"/>
          <w:szCs w:val="24"/>
        </w:rPr>
      </w:pPr>
      <w:r w:rsidRPr="00EF6D91">
        <w:rPr>
          <w:rFonts w:ascii="Times New Roman" w:hAnsi="Times New Roman" w:cs="Times New Roman"/>
          <w:b/>
          <w:bCs/>
          <w:color w:val="000000" w:themeColor="text1"/>
          <w:sz w:val="24"/>
          <w:szCs w:val="24"/>
        </w:rPr>
        <w:t>3. Research Methodology</w:t>
      </w:r>
    </w:p>
    <w:p w14:paraId="0C9E345B" w14:textId="6779518E" w:rsidR="00201A64" w:rsidRPr="00EF6D91" w:rsidRDefault="00201A64" w:rsidP="00201A64">
      <w:pPr>
        <w:jc w:val="both"/>
        <w:rPr>
          <w:rFonts w:ascii="Times New Roman" w:hAnsi="Times New Roman" w:cs="Times New Roman"/>
          <w:sz w:val="24"/>
          <w:szCs w:val="24"/>
        </w:rPr>
      </w:pPr>
      <w:bookmarkStart w:id="6" w:name="_Hlk164782173"/>
      <w:r w:rsidRPr="00EF6D91">
        <w:rPr>
          <w:rFonts w:ascii="Times New Roman" w:hAnsi="Times New Roman" w:cs="Times New Roman"/>
          <w:sz w:val="24"/>
          <w:szCs w:val="24"/>
        </w:rPr>
        <w:t>This study employed a structured literature search strategy meticulously tailored to construct a literature database to identify the barriers to EV adoption in LMD. While not constituting a full systematic literature review (SLR), this approach was grounded in established protocols to ensure rigour and relevance (Snyder, 2019). We designed and implemented a series of steps following an adopted literature search protocol specifically tailored to align with the objectives of this research. The process commenced with a preliminary search to define the search terms and refine the literature selection criteria, employing a multi-step methodology to aggregate, evaluate, and synthesize the relevant academic literature (</w:t>
      </w:r>
      <w:proofErr w:type="spellStart"/>
      <w:r w:rsidRPr="00EF6D91">
        <w:rPr>
          <w:rFonts w:ascii="Times New Roman" w:hAnsi="Times New Roman" w:cs="Times New Roman"/>
          <w:sz w:val="24"/>
          <w:szCs w:val="24"/>
        </w:rPr>
        <w:t>Tranfield</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2003). This search strategy gathered a broad spectrum of studies and enabled a thematic analysis that directly shaped the selection of barriers for survey analysis. By systematically aligning identified barriers with the study’s aims, the structured literature search ensured that the identified barriers were both pertinent and supported by the latest academic insights, as corroborated by </w:t>
      </w:r>
      <w:proofErr w:type="spellStart"/>
      <w:r w:rsidRPr="00EF6D91">
        <w:rPr>
          <w:rFonts w:ascii="Times New Roman" w:hAnsi="Times New Roman" w:cs="Times New Roman"/>
          <w:sz w:val="24"/>
          <w:szCs w:val="24"/>
        </w:rPr>
        <w:t>Tranfield</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(2009).</w:t>
      </w:r>
    </w:p>
    <w:p w14:paraId="2C4B38D0" w14:textId="36AD290C"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hAnsi="Times New Roman" w:cs="Times New Roman"/>
          <w:sz w:val="24"/>
          <w:szCs w:val="24"/>
        </w:rPr>
        <w:t xml:space="preserve">Our research team conducted a rigorous and structured literature search process, focusing on an articulated research question that guided each phase of our analysis. This foundational question was developed to precisely identify the unique barriers impeding the adoption of EVs within LMD contexts, distinct from broader transportation challenges. This approach, underscored by Counsell (1997), ensured a methodical data collection and analysis. </w:t>
      </w:r>
      <w:r w:rsidRPr="00EF6D91">
        <w:rPr>
          <w:rFonts w:ascii="Times New Roman" w:eastAsia="Calibri" w:hAnsi="Times New Roman" w:cs="Times New Roman"/>
          <w:sz w:val="24"/>
          <w:szCs w:val="24"/>
        </w:rPr>
        <w:t>The primary research question for this structured literature search was: “</w:t>
      </w:r>
      <w:r w:rsidRPr="00EF6D91">
        <w:rPr>
          <w:rFonts w:ascii="Times New Roman" w:eastAsia="Calibri" w:hAnsi="Times New Roman" w:cs="Times New Roman"/>
          <w:i/>
          <w:iCs/>
          <w:sz w:val="24"/>
          <w:szCs w:val="24"/>
        </w:rPr>
        <w:t>What are the specific barriers that uniquely impede the adoption of EVs in the context of LMD, as distinguished from broader EV adoption challenges within the transportation sector?</w:t>
      </w:r>
      <w:r w:rsidRPr="00EF6D91">
        <w:rPr>
          <w:rFonts w:ascii="Times New Roman" w:eastAsia="Calibri" w:hAnsi="Times New Roman" w:cs="Times New Roman"/>
          <w:sz w:val="24"/>
          <w:szCs w:val="24"/>
        </w:rPr>
        <w:t xml:space="preserve">”. </w:t>
      </w:r>
    </w:p>
    <w:p w14:paraId="5CCF59EA" w14:textId="32958D09"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Initially, the team conducted a pilot search to map the current landscape of the field and refine the literature selection criteria</w:t>
      </w:r>
      <w:r w:rsidR="00670072">
        <w:rPr>
          <w:rFonts w:ascii="Times New Roman" w:eastAsia="Calibri" w:hAnsi="Times New Roman" w:cs="Times New Roman"/>
          <w:sz w:val="24"/>
          <w:szCs w:val="24"/>
        </w:rPr>
        <w:t xml:space="preserve"> (</w:t>
      </w:r>
      <w:r w:rsidRPr="00EF6D91">
        <w:rPr>
          <w:rFonts w:ascii="Times New Roman" w:eastAsia="Calibri" w:hAnsi="Times New Roman" w:cs="Times New Roman"/>
          <w:sz w:val="24"/>
          <w:szCs w:val="24"/>
        </w:rPr>
        <w:t xml:space="preserve">Denyer and </w:t>
      </w:r>
      <w:proofErr w:type="spellStart"/>
      <w:r w:rsidRPr="00EF6D91">
        <w:rPr>
          <w:rFonts w:ascii="Times New Roman" w:eastAsia="Calibri" w:hAnsi="Times New Roman" w:cs="Times New Roman"/>
          <w:sz w:val="24"/>
          <w:szCs w:val="24"/>
        </w:rPr>
        <w:t>Tranfield</w:t>
      </w:r>
      <w:proofErr w:type="spellEnd"/>
      <w:r w:rsidR="00670072">
        <w:rPr>
          <w:rFonts w:ascii="Times New Roman" w:eastAsia="Calibri" w:hAnsi="Times New Roman" w:cs="Times New Roman"/>
          <w:sz w:val="24"/>
          <w:szCs w:val="24"/>
        </w:rPr>
        <w:t xml:space="preserve">, </w:t>
      </w:r>
      <w:r w:rsidRPr="00EF6D91">
        <w:rPr>
          <w:rFonts w:ascii="Times New Roman" w:eastAsia="Calibri" w:hAnsi="Times New Roman" w:cs="Times New Roman"/>
          <w:sz w:val="24"/>
          <w:szCs w:val="24"/>
        </w:rPr>
        <w:t xml:space="preserve">2009). This preliminary phase was critical for identifying relevant keywords and establishing inclusion and exclusion criteria. Subsequently, the researchers conducted a more focused search using these identified keywords across selected electronic databases to gather pertinent sources. </w:t>
      </w:r>
      <w:r w:rsidR="00670072">
        <w:rPr>
          <w:rFonts w:ascii="Times New Roman" w:eastAsia="Calibri" w:hAnsi="Times New Roman" w:cs="Times New Roman"/>
          <w:sz w:val="24"/>
          <w:szCs w:val="24"/>
        </w:rPr>
        <w:t>T</w:t>
      </w:r>
      <w:r w:rsidRPr="00EF6D91">
        <w:rPr>
          <w:rFonts w:ascii="Times New Roman" w:eastAsia="Calibri" w:hAnsi="Times New Roman" w:cs="Times New Roman"/>
          <w:sz w:val="24"/>
          <w:szCs w:val="24"/>
        </w:rPr>
        <w:t>his study utilized Elsevier’s Scopus database and the ISI Web of Science (</w:t>
      </w:r>
      <w:proofErr w:type="spellStart"/>
      <w:r w:rsidRPr="00EF6D91">
        <w:rPr>
          <w:rFonts w:ascii="Times New Roman" w:eastAsia="Calibri" w:hAnsi="Times New Roman" w:cs="Times New Roman"/>
          <w:sz w:val="24"/>
          <w:szCs w:val="24"/>
        </w:rPr>
        <w:t>WoS</w:t>
      </w:r>
      <w:proofErr w:type="spellEnd"/>
      <w:r w:rsidRPr="00EF6D91">
        <w:rPr>
          <w:rFonts w:ascii="Times New Roman" w:eastAsia="Calibri" w:hAnsi="Times New Roman" w:cs="Times New Roman"/>
          <w:sz w:val="24"/>
          <w:szCs w:val="24"/>
        </w:rPr>
        <w:t xml:space="preserve">) – Core Collection database from Thomson Reuters. Scopus was specifically chosen due to its comprehensive coverage as the largest abstract and citation database of peer-reviewed literature </w:t>
      </w:r>
      <w:r w:rsidRPr="00EF6D91">
        <w:rPr>
          <w:rFonts w:ascii="Times New Roman" w:eastAsia="Calibri" w:hAnsi="Times New Roman" w:cs="Times New Roman"/>
          <w:sz w:val="24"/>
          <w:szCs w:val="24"/>
        </w:rPr>
        <w:fldChar w:fldCharType="begin"/>
      </w:r>
      <w:r w:rsidRPr="00EF6D91">
        <w:rPr>
          <w:rFonts w:ascii="Times New Roman" w:eastAsia="Calibri" w:hAnsi="Times New Roman" w:cs="Times New Roman"/>
          <w:sz w:val="24"/>
          <w:szCs w:val="24"/>
        </w:rPr>
        <w:instrText xml:space="preserve"> ADDIN ZOTERO_ITEM CSL_CITATION {"citationID":"IhSwF9GM","properties":{"formattedCitation":"(Palmaccio {\\i{}et al.}, 2021)","plainCitation":"(Palmaccio et al., 2021)","noteIndex":0},"citationItems":[{"id":47294,"uris":["http://zotero.org/users/10594755/items/N4W6B5GX"],"itemData":{"id":47294,"type":"article-journal","container-title":"Journal of Business Research","DOI":"10.1016/j.jbusres.2020.09.069","ISSN":"01482963","journalAbbreviation":"Journal of Business Research","language":"en","page":"610-618","source":"DOI.org (Crossref)","title":"The internet of things and corporate business models: A systematic literature review","title-short":"The internet of things and corporate business models","volume":"131","author":[{"family":"Palmaccio","given":"Matteo"},{"family":"Dicuonzo","given":"Grazia"},{"family":"Belyaeva","given":"Zhanna S."}],"issued":{"date-parts":[["2021",7]]}}}],"schema":"https://github.com/citation-style-language/schema/raw/master/csl-citation.json"} </w:instrText>
      </w:r>
      <w:r w:rsidRPr="00EF6D91">
        <w:rPr>
          <w:rFonts w:ascii="Times New Roman" w:eastAsia="Calibri" w:hAnsi="Times New Roman" w:cs="Times New Roman"/>
          <w:sz w:val="24"/>
          <w:szCs w:val="24"/>
        </w:rPr>
        <w:fldChar w:fldCharType="separate"/>
      </w:r>
      <w:r w:rsidRPr="00EF6D91">
        <w:rPr>
          <w:rFonts w:ascii="Times New Roman" w:eastAsia="Calibri" w:hAnsi="Times New Roman" w:cs="Times New Roman"/>
          <w:kern w:val="0"/>
          <w:sz w:val="24"/>
          <w:szCs w:val="24"/>
        </w:rPr>
        <w:t xml:space="preserve">(Palmaccio </w:t>
      </w:r>
      <w:r w:rsidRPr="00EF6D91">
        <w:rPr>
          <w:rFonts w:ascii="Times New Roman" w:eastAsia="Calibri" w:hAnsi="Times New Roman" w:cs="Times New Roman"/>
          <w:i/>
          <w:iCs/>
          <w:kern w:val="0"/>
          <w:sz w:val="24"/>
          <w:szCs w:val="24"/>
        </w:rPr>
        <w:t>et al.</w:t>
      </w:r>
      <w:r w:rsidRPr="00EF6D91">
        <w:rPr>
          <w:rFonts w:ascii="Times New Roman" w:eastAsia="Calibri" w:hAnsi="Times New Roman" w:cs="Times New Roman"/>
          <w:kern w:val="0"/>
          <w:sz w:val="24"/>
          <w:szCs w:val="24"/>
        </w:rPr>
        <w:t>, 2021)</w:t>
      </w:r>
      <w:r w:rsidRPr="00EF6D91">
        <w:rPr>
          <w:rFonts w:ascii="Times New Roman" w:eastAsia="Calibri" w:hAnsi="Times New Roman" w:cs="Times New Roman"/>
          <w:sz w:val="24"/>
          <w:szCs w:val="24"/>
        </w:rPr>
        <w:fldChar w:fldCharType="end"/>
      </w:r>
      <w:r w:rsidRPr="00EF6D91">
        <w:rPr>
          <w:rFonts w:ascii="Times New Roman" w:eastAsia="Calibri" w:hAnsi="Times New Roman" w:cs="Times New Roman"/>
          <w:sz w:val="24"/>
          <w:szCs w:val="24"/>
        </w:rPr>
        <w:t xml:space="preserve">, while the </w:t>
      </w:r>
      <w:proofErr w:type="spellStart"/>
      <w:r w:rsidRPr="00EF6D91">
        <w:rPr>
          <w:rFonts w:ascii="Times New Roman" w:eastAsia="Calibri" w:hAnsi="Times New Roman" w:cs="Times New Roman"/>
          <w:sz w:val="24"/>
          <w:szCs w:val="24"/>
        </w:rPr>
        <w:t>WoS</w:t>
      </w:r>
      <w:proofErr w:type="spellEnd"/>
      <w:r w:rsidRPr="00EF6D91">
        <w:rPr>
          <w:rFonts w:ascii="Times New Roman" w:eastAsia="Calibri" w:hAnsi="Times New Roman" w:cs="Times New Roman"/>
          <w:sz w:val="24"/>
          <w:szCs w:val="24"/>
        </w:rPr>
        <w:t xml:space="preserve"> was selected for its renowned capability to provide extensive and reliable citation data for scholarly publications </w:t>
      </w:r>
      <w:r w:rsidRPr="00EF6D91">
        <w:rPr>
          <w:rFonts w:ascii="Times New Roman" w:eastAsia="Calibri" w:hAnsi="Times New Roman" w:cs="Times New Roman"/>
          <w:sz w:val="24"/>
          <w:szCs w:val="24"/>
        </w:rPr>
        <w:fldChar w:fldCharType="begin"/>
      </w:r>
      <w:r w:rsidRPr="00EF6D91">
        <w:rPr>
          <w:rFonts w:ascii="Times New Roman" w:eastAsia="Calibri" w:hAnsi="Times New Roman" w:cs="Times New Roman"/>
          <w:sz w:val="24"/>
          <w:szCs w:val="24"/>
        </w:rPr>
        <w:instrText xml:space="preserve"> ADDIN ZOTERO_ITEM CSL_CITATION {"citationID":"0TA1jaAq","properties":{"formattedCitation":"(Talwar {\\i{}et al.}, 2021)","plainCitation":"(Talwar et al., 2021)","noteIndex":0},"citationItems":[{"id":47295,"uris":["http://zotero.org/users/10594755/items/58X6DRJV"],"itemData":{"id":47295,"type":"article-journal","container-title":"International Journal of Production Research","DOI":"10.1080/00207543.2020.1868599","ISSN":"0020-7543, 1366-588X","issue":"11","journalAbbreviation":"International Journal of Production Research","language":"en","page":"3509-3534","source":"DOI.org (Crossref)","title":"Big Data in operations and supply chain management: a systematic literature review and future research agenda","title-short":"Big Data in operations and supply chain management","volume":"59","author":[{"family":"Talwar","given":"Shalini"},{"family":"Kaur","given":"Puneet"},{"family":"Fosso Wamba","given":"Samuel"},{"family":"Dhir","given":"Amandeep"}],"issued":{"date-parts":[["2021",6,3]]}}}],"schema":"https://github.com/citation-style-language/schema/raw/master/csl-citation.json"} </w:instrText>
      </w:r>
      <w:r w:rsidRPr="00EF6D91">
        <w:rPr>
          <w:rFonts w:ascii="Times New Roman" w:eastAsia="Calibri" w:hAnsi="Times New Roman" w:cs="Times New Roman"/>
          <w:sz w:val="24"/>
          <w:szCs w:val="24"/>
        </w:rPr>
        <w:fldChar w:fldCharType="separate"/>
      </w:r>
      <w:r w:rsidRPr="00EF6D91">
        <w:rPr>
          <w:rFonts w:ascii="Times New Roman" w:eastAsia="Calibri" w:hAnsi="Times New Roman" w:cs="Times New Roman"/>
          <w:kern w:val="0"/>
          <w:sz w:val="24"/>
          <w:szCs w:val="24"/>
        </w:rPr>
        <w:t xml:space="preserve">(Talwar </w:t>
      </w:r>
      <w:r w:rsidRPr="00EF6D91">
        <w:rPr>
          <w:rFonts w:ascii="Times New Roman" w:eastAsia="Calibri" w:hAnsi="Times New Roman" w:cs="Times New Roman"/>
          <w:i/>
          <w:iCs/>
          <w:kern w:val="0"/>
          <w:sz w:val="24"/>
          <w:szCs w:val="24"/>
        </w:rPr>
        <w:t>et al.</w:t>
      </w:r>
      <w:r w:rsidRPr="00EF6D91">
        <w:rPr>
          <w:rFonts w:ascii="Times New Roman" w:eastAsia="Calibri" w:hAnsi="Times New Roman" w:cs="Times New Roman"/>
          <w:kern w:val="0"/>
          <w:sz w:val="24"/>
          <w:szCs w:val="24"/>
        </w:rPr>
        <w:t>, 2021)</w:t>
      </w:r>
      <w:r w:rsidRPr="00EF6D91">
        <w:rPr>
          <w:rFonts w:ascii="Times New Roman" w:eastAsia="Calibri" w:hAnsi="Times New Roman" w:cs="Times New Roman"/>
          <w:sz w:val="24"/>
          <w:szCs w:val="24"/>
        </w:rPr>
        <w:fldChar w:fldCharType="end"/>
      </w:r>
      <w:r w:rsidRPr="00EF6D91">
        <w:rPr>
          <w:rFonts w:ascii="Times New Roman" w:eastAsia="Calibri" w:hAnsi="Times New Roman" w:cs="Times New Roman"/>
          <w:sz w:val="24"/>
          <w:szCs w:val="24"/>
        </w:rPr>
        <w:t>.</w:t>
      </w:r>
    </w:p>
    <w:p w14:paraId="19B9601B" w14:textId="74A7F144"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fldChar w:fldCharType="begin"/>
      </w:r>
      <w:r w:rsidRPr="00EF6D91">
        <w:rPr>
          <w:rFonts w:ascii="Times New Roman" w:eastAsia="Calibri" w:hAnsi="Times New Roman" w:cs="Times New Roman"/>
          <w:sz w:val="24"/>
          <w:szCs w:val="24"/>
        </w:rPr>
        <w:instrText xml:space="preserve"> ADDIN ZOTERO_ITEM CSL_CITATION {"citationID":"WsxUyIbs","properties":{"formattedCitation":"(Rowley and Slack, 2004)","plainCitation":"(Rowley and Slack, 2004)","noteIndex":0},"citationItems":[{"id":47285,"uris":["http://zotero.org/users/10594755/items/V47TGT2T"],"itemData":{"id":47285,"type":"article-journal","container-title":"Management Research News","DOI":"10.1108/01409170410784185","ISSN":"0140-9174","issue":"6","journalAbbreviation":"Management Research News","language":"en","page":"31-39","source":"DOI.org (Crossref)","title":"Conducting a literature review","volume":"27","author":[{"family":"Rowley","given":"Jennifer"},{"family":"Slack","given":"Frances"}],"issued":{"date-parts":[["2004",6]]}}}],"schema":"https://github.com/citation-style-language/schema/raw/master/csl-citation.json"} </w:instrText>
      </w:r>
      <w:r w:rsidRPr="00EF6D91">
        <w:rPr>
          <w:rFonts w:ascii="Times New Roman" w:eastAsia="Calibri" w:hAnsi="Times New Roman" w:cs="Times New Roman"/>
          <w:sz w:val="24"/>
          <w:szCs w:val="24"/>
        </w:rPr>
        <w:fldChar w:fldCharType="separate"/>
      </w:r>
      <w:r w:rsidRPr="00EF6D91">
        <w:rPr>
          <w:rFonts w:ascii="Times New Roman" w:eastAsia="Calibri" w:hAnsi="Times New Roman" w:cs="Times New Roman"/>
          <w:sz w:val="24"/>
          <w:szCs w:val="24"/>
        </w:rPr>
        <w:t>Rowley and Slack (2004)</w:t>
      </w:r>
      <w:r w:rsidRPr="00EF6D91">
        <w:rPr>
          <w:rFonts w:ascii="Times New Roman" w:eastAsia="Calibri" w:hAnsi="Times New Roman" w:cs="Times New Roman"/>
          <w:sz w:val="24"/>
          <w:szCs w:val="24"/>
        </w:rPr>
        <w:fldChar w:fldCharType="end"/>
      </w:r>
      <w:r w:rsidRPr="00EF6D91">
        <w:rPr>
          <w:rFonts w:ascii="Times New Roman" w:eastAsia="Calibri" w:hAnsi="Times New Roman" w:cs="Times New Roman"/>
          <w:sz w:val="24"/>
          <w:szCs w:val="24"/>
        </w:rPr>
        <w:t xml:space="preserve"> underscore the importance of using specific search strings to enhance the effectiveness of article retrieval. The team confined the search scope to titles, abstracts, and keywords within the Scopus and Web of Science (</w:t>
      </w:r>
      <w:proofErr w:type="spellStart"/>
      <w:r w:rsidRPr="00EF6D91">
        <w:rPr>
          <w:rFonts w:ascii="Times New Roman" w:eastAsia="Calibri" w:hAnsi="Times New Roman" w:cs="Times New Roman"/>
          <w:sz w:val="24"/>
          <w:szCs w:val="24"/>
        </w:rPr>
        <w:t>WoS</w:t>
      </w:r>
      <w:proofErr w:type="spellEnd"/>
      <w:r w:rsidRPr="00EF6D91">
        <w:rPr>
          <w:rFonts w:ascii="Times New Roman" w:eastAsia="Calibri" w:hAnsi="Times New Roman" w:cs="Times New Roman"/>
          <w:sz w:val="24"/>
          <w:szCs w:val="24"/>
        </w:rPr>
        <w:t xml:space="preserve">) databases. Our systematic literature review strategy incorporated a comprehensive set of terms including “Electric Vehicles,” “Electric freight,” “Electric cargo,” “Barriers,” “Obstacles,” “Impediments,” “Adoption,” “Sustainable Freight Transport,” “Green Transport,” “Green Vehicles,” “Battery Technology,” “Urban Logistics,” “City logistics,” “E-commerce,” “Last-mile,” “Renewable energy,” “Sustainable mobility,” “Sustainable supply chain,” “Barriers to EV adoption,” and “Consumer Attitudes towards EVs.” Boolean operators—precisely “AND”, “OR,” and “NOT”—were strategically applied to refine the search outcomes, aiming to enhance both precision and </w:t>
      </w:r>
      <w:r w:rsidRPr="00EF6D91">
        <w:rPr>
          <w:rFonts w:ascii="Times New Roman" w:eastAsia="Calibri" w:hAnsi="Times New Roman" w:cs="Times New Roman"/>
          <w:sz w:val="24"/>
          <w:szCs w:val="24"/>
        </w:rPr>
        <w:lastRenderedPageBreak/>
        <w:t xml:space="preserve">relevance. Key article details were meticulously recorded and organized within a Microsoft Excel database. </w:t>
      </w:r>
    </w:p>
    <w:p w14:paraId="1DB98540" w14:textId="54D8F696" w:rsidR="00201A64" w:rsidRPr="00EF6D91" w:rsidRDefault="00201A64" w:rsidP="004319B0">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 xml:space="preserve">The initial screening process involved the assessment of titles, abstracts, and keywords to ensure their pertinence to barriers associated with EVs in last-mile logistics. Only literature that directly addressed the adoption of EVs and the associated barriers within the transportation sector was selected. The final selection of articles was subject to a thorough full-text review conducted by multiple researchers. This stage included cross-referencing and additional searches on Google Scholar, which is recognized for its ability to uncover non-indexed works, thereby expanding the scope of the literature search </w:t>
      </w:r>
      <w:r w:rsidRPr="00EF6D91">
        <w:rPr>
          <w:rFonts w:ascii="Times New Roman" w:eastAsia="Calibri" w:hAnsi="Times New Roman" w:cs="Times New Roman"/>
          <w:sz w:val="24"/>
          <w:szCs w:val="24"/>
        </w:rPr>
        <w:fldChar w:fldCharType="begin"/>
      </w:r>
      <w:r w:rsidRPr="00EF6D91">
        <w:rPr>
          <w:rFonts w:ascii="Times New Roman" w:eastAsia="Calibri" w:hAnsi="Times New Roman" w:cs="Times New Roman"/>
          <w:sz w:val="24"/>
          <w:szCs w:val="24"/>
        </w:rPr>
        <w:instrText xml:space="preserve"> ADDIN ZOTERO_ITEM CSL_CITATION {"citationID":"UFACGodj","properties":{"formattedCitation":"((Daisy) Lyu {\\i{}et al.}, 2022; Kranzb\\uc0\\u252{}hler {\\i{}et al.}, 2018)","plainCitation":"((Daisy) Lyu et al., 2022; Kranzbühler et al., 2018)","noteIndex":0},"citationItems":[{"id":47289,"uris":["http://zotero.org/users/10594755/items/W2RDILI6"],"itemData":{"id":47289,"type":"article-journal","container-title":"Journal of Business Research","DOI":"10.1016/j.jbusres.2022.08.050","ISSN":"01482963","journalAbbreviation":"Journal of Business Research","language":"en","page":"412-427","source":"DOI.org (Crossref)","title":"A systematic literature review of store atmosphere in alternative retail commerce channels","volume":"153","author":[{"family":"(Daisy) Lyu","given":"Jing"},{"family":"Krasonikolakis","given":"Ioannis"},{"family":"Vrontis","given":"Demetris"}],"issued":{"date-parts":[["2022",12]]}}},{"id":47288,"uris":["http://zotero.org/users/10594755/items/SC8PUI5H"],"itemData":{"id":47288,"type":"article-journal","abstract":"Abstract\nOver the last three decades, customer experience (CE) has developed from a burgeoning concept to a widely recognized phenomenon in terms of both research and practice. To account for the complexity of consumption decisions, the CE literature encompasses both the rational information processing approach to consumer decision‐making and the experiential approach, which includes emotions, feelings and sub‐consciousness. The authors classify and examine CE research on two levels. Studies on static CE analyze experiences during touchpoints at one point in time, while studies on dynamic CE assess how experiences evolve over time. Furthermore, both static and dynamic CE research take place from two distinct theoretical perspectives: the organization and the consumer. As both theoretical perspectives essentially deal with the same phenomenon – the organizational perspective with the creation of CEs and the consumer perspective with the perception of customer experiences – there is potential for a productive symbiosis between them. The authors propose that connecting insights from both perspectives can contribute to a better understanding of what constitutes a CE for consumers and how firms can effectively manage it. First, the authors discuss the development of CE and argue that it has evolved into a broad and fragmented ‘umbrella construct’. Second, after distinguishing and defining static and dynamic CE, they systematically evaluate the state of knowledge in both the organizational and consumer perspectives. Finally, they develop an agenda for future research that integrates the consumer perspective into organizational CE research.","container-title":"International Journal of Management Reviews","DOI":"10.1111/ijmr.12140","ISSN":"1460-8545, 1468-2370","issue":"2","journalAbbreviation":"Int J Management Reviews","language":"en","page":"433-456","source":"DOI.org (Crossref)","title":"The Multilevel Nature of Customer Experience Research: An Integrative Review and Research Agenda","title-short":"The Multilevel Nature of Customer Experience Research","volume":"20","author":[{"family":"Kranzbühler","given":"Anne‐Madeleine"},{"family":"Kleijnen","given":"Mirella H.P."},{"family":"Morgan","given":"Robert E."},{"family":"Teerling","given":"Marije"}],"issued":{"date-parts":[["2018",4]]}}}],"schema":"https://github.com/citation-style-language/schema/raw/master/csl-citation.json"} </w:instrText>
      </w:r>
      <w:r w:rsidRPr="00EF6D91">
        <w:rPr>
          <w:rFonts w:ascii="Times New Roman" w:eastAsia="Calibri" w:hAnsi="Times New Roman" w:cs="Times New Roman"/>
          <w:sz w:val="24"/>
          <w:szCs w:val="24"/>
        </w:rPr>
        <w:fldChar w:fldCharType="separate"/>
      </w:r>
      <w:r w:rsidRPr="00EF6D91">
        <w:rPr>
          <w:rFonts w:ascii="Times New Roman" w:eastAsia="Calibri" w:hAnsi="Times New Roman" w:cs="Times New Roman"/>
          <w:sz w:val="24"/>
          <w:szCs w:val="24"/>
        </w:rPr>
        <w:t xml:space="preserve">(Lyu </w:t>
      </w:r>
      <w:r w:rsidRPr="00EF6D91">
        <w:rPr>
          <w:rFonts w:ascii="Times New Roman" w:eastAsia="Calibri" w:hAnsi="Times New Roman" w:cs="Times New Roman"/>
          <w:i/>
          <w:iCs/>
          <w:sz w:val="24"/>
          <w:szCs w:val="24"/>
        </w:rPr>
        <w:t>et al.</w:t>
      </w:r>
      <w:r w:rsidRPr="00EF6D91">
        <w:rPr>
          <w:rFonts w:ascii="Times New Roman" w:eastAsia="Calibri" w:hAnsi="Times New Roman" w:cs="Times New Roman"/>
          <w:sz w:val="24"/>
          <w:szCs w:val="24"/>
        </w:rPr>
        <w:t>, 2022)</w:t>
      </w:r>
      <w:r w:rsidRPr="00EF6D91">
        <w:rPr>
          <w:rFonts w:ascii="Times New Roman" w:eastAsia="Calibri" w:hAnsi="Times New Roman" w:cs="Times New Roman"/>
          <w:sz w:val="24"/>
          <w:szCs w:val="24"/>
        </w:rPr>
        <w:fldChar w:fldCharType="end"/>
      </w:r>
      <w:r w:rsidRPr="00EF6D91">
        <w:rPr>
          <w:rFonts w:ascii="Times New Roman" w:eastAsia="Calibri" w:hAnsi="Times New Roman" w:cs="Times New Roman"/>
          <w:sz w:val="24"/>
          <w:szCs w:val="24"/>
        </w:rPr>
        <w:t>. The team enriched the inclusion phase with further publications identified through cross-referencing and sourced additional peer-reviewed articles from Google Scholar.</w:t>
      </w:r>
    </w:p>
    <w:p w14:paraId="4CB8A1FB" w14:textId="436A9D22"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Following the structured literature search, we implemented a thematic analysis to identify and categorize the barriers to electric vehicle adoption in Last-Mile Deliveries (LMD). This essential phase enabled us to systematically organize the varied barriers into coherent themes, revealing prevalent patterns and shared challenges. Using NVivo 12, the analysis was conducted through independent coding and subsequent consensus to finalize the themes, utilizing an inductive approach. This approach ensured that the themes identified were directly informed by the existing literature, enhancing the relevance and accuracy of our findings (</w:t>
      </w:r>
      <w:proofErr w:type="spellStart"/>
      <w:r w:rsidRPr="00EF6D91">
        <w:rPr>
          <w:rFonts w:ascii="Times New Roman" w:eastAsia="Calibri" w:hAnsi="Times New Roman" w:cs="Times New Roman"/>
          <w:sz w:val="24"/>
          <w:szCs w:val="24"/>
        </w:rPr>
        <w:t>Banijamali</w:t>
      </w:r>
      <w:proofErr w:type="spellEnd"/>
      <w:r w:rsidRPr="00EF6D91">
        <w:rPr>
          <w:rFonts w:ascii="Times New Roman" w:eastAsia="Calibri" w:hAnsi="Times New Roman" w:cs="Times New Roman"/>
          <w:sz w:val="24"/>
          <w:szCs w:val="24"/>
        </w:rPr>
        <w:t xml:space="preserve"> </w:t>
      </w:r>
      <w:r w:rsidRPr="00EF6D91">
        <w:rPr>
          <w:rFonts w:ascii="Times New Roman" w:eastAsia="Calibri" w:hAnsi="Times New Roman" w:cs="Times New Roman"/>
          <w:i/>
          <w:iCs/>
          <w:sz w:val="24"/>
          <w:szCs w:val="24"/>
        </w:rPr>
        <w:t>et al</w:t>
      </w:r>
      <w:r w:rsidRPr="00EF6D91">
        <w:rPr>
          <w:rFonts w:ascii="Times New Roman" w:eastAsia="Calibri" w:hAnsi="Times New Roman" w:cs="Times New Roman"/>
          <w:sz w:val="24"/>
          <w:szCs w:val="24"/>
        </w:rPr>
        <w:t>., 2020)</w:t>
      </w:r>
      <w:r w:rsidR="00841558">
        <w:rPr>
          <w:rFonts w:ascii="Times New Roman" w:eastAsia="Calibri" w:hAnsi="Times New Roman" w:cs="Times New Roman"/>
          <w:sz w:val="24"/>
          <w:szCs w:val="24"/>
        </w:rPr>
        <w:t>.</w:t>
      </w:r>
    </w:p>
    <w:p w14:paraId="114923E6" w14:textId="77777777"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Each theme was rigorously defined and substantiated by a synthesis of the literature. This structured thematic approach underscored the predominant barriers and systematically addressed the complex interactions and dependencies among them. The resulting coding framework incorporated categories for barriers, theoretical frameworks, data collection and analysis methodologies, types of articles, industrial contexts, geographical distribution, and potential avenues for future research.</w:t>
      </w:r>
      <w:r w:rsidRPr="00EF6D91">
        <w:rPr>
          <w:rFonts w:ascii="Times New Roman" w:hAnsi="Times New Roman" w:cs="Times New Roman"/>
          <w:sz w:val="24"/>
          <w:szCs w:val="24"/>
        </w:rPr>
        <w:t xml:space="preserve"> These themes were critically discussed in the results section, linking to the literature to highlight how our findings align with or diverge from existing research.</w:t>
      </w:r>
    </w:p>
    <w:p w14:paraId="2994018E" w14:textId="77777777" w:rsidR="00201A64" w:rsidRPr="00EF6D91" w:rsidRDefault="00201A64" w:rsidP="00201A64">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The research team further examined the identified themes through a structured questionnaire to validate the findings. This questionnaire was developed with industry experts and academic authorities to ensure its comprehensiveness and validity. Before its widespread implementation, the questionnaire was subjected to beta testing to enhance its clarity and ensure the consistency of responses.</w:t>
      </w:r>
    </w:p>
    <w:p w14:paraId="2A0389EF" w14:textId="4CC144DA" w:rsidR="00AD5C71" w:rsidRDefault="00AD5C71" w:rsidP="00032BF6">
      <w:pPr>
        <w:spacing w:line="256" w:lineRule="auto"/>
        <w:jc w:val="both"/>
        <w:rPr>
          <w:rFonts w:ascii="Times New Roman" w:eastAsia="Calibri" w:hAnsi="Times New Roman" w:cs="Times New Roman"/>
          <w:sz w:val="24"/>
          <w:szCs w:val="24"/>
        </w:rPr>
      </w:pPr>
      <w:r w:rsidRPr="00EF6D91">
        <w:rPr>
          <w:rFonts w:ascii="Times New Roman" w:eastAsia="Calibri" w:hAnsi="Times New Roman" w:cs="Times New Roman"/>
          <w:sz w:val="24"/>
          <w:szCs w:val="24"/>
        </w:rPr>
        <w:t>Table 1 provides a comprehensive overview of the primary barriers to EV adoption in LMDs as identified through the literature, organi</w:t>
      </w:r>
      <w:r w:rsidR="00C80CB2">
        <w:rPr>
          <w:rFonts w:ascii="Times New Roman" w:eastAsia="Calibri" w:hAnsi="Times New Roman" w:cs="Times New Roman"/>
          <w:sz w:val="24"/>
          <w:szCs w:val="24"/>
        </w:rPr>
        <w:t>s</w:t>
      </w:r>
      <w:r w:rsidRPr="00EF6D91">
        <w:rPr>
          <w:rFonts w:ascii="Times New Roman" w:eastAsia="Calibri" w:hAnsi="Times New Roman" w:cs="Times New Roman"/>
          <w:sz w:val="24"/>
          <w:szCs w:val="24"/>
        </w:rPr>
        <w:t xml:space="preserve">ed by theme. </w:t>
      </w:r>
    </w:p>
    <w:p w14:paraId="699E7314" w14:textId="77777777" w:rsidR="00032BF6" w:rsidRDefault="00032BF6" w:rsidP="00032BF6">
      <w:pPr>
        <w:spacing w:line="256" w:lineRule="auto"/>
        <w:jc w:val="both"/>
        <w:rPr>
          <w:rFonts w:ascii="Times New Roman" w:eastAsia="Calibri" w:hAnsi="Times New Roman" w:cs="Times New Roman"/>
          <w:sz w:val="24"/>
          <w:szCs w:val="24"/>
        </w:rPr>
      </w:pPr>
    </w:p>
    <w:p w14:paraId="01DC4943" w14:textId="77777777" w:rsidR="00C80CB2" w:rsidRDefault="00C80CB2" w:rsidP="00AD5C71">
      <w:pPr>
        <w:spacing w:line="256" w:lineRule="auto"/>
        <w:jc w:val="both"/>
        <w:rPr>
          <w:rFonts w:ascii="Times New Roman" w:eastAsia="Calibri" w:hAnsi="Times New Roman" w:cs="Times New Roman"/>
          <w:sz w:val="24"/>
          <w:szCs w:val="24"/>
        </w:rPr>
      </w:pPr>
    </w:p>
    <w:p w14:paraId="4563EB38" w14:textId="77777777" w:rsidR="00C80CB2" w:rsidRDefault="00C80CB2" w:rsidP="00AD5C71">
      <w:pPr>
        <w:spacing w:line="256" w:lineRule="auto"/>
        <w:jc w:val="both"/>
        <w:rPr>
          <w:rFonts w:ascii="Times New Roman" w:eastAsia="Calibri" w:hAnsi="Times New Roman" w:cs="Times New Roman"/>
          <w:sz w:val="24"/>
          <w:szCs w:val="24"/>
        </w:rPr>
      </w:pPr>
    </w:p>
    <w:p w14:paraId="0447F324" w14:textId="77777777" w:rsidR="00032BF6" w:rsidRDefault="00032BF6" w:rsidP="00AD5C71">
      <w:pPr>
        <w:spacing w:line="256" w:lineRule="auto"/>
        <w:jc w:val="both"/>
        <w:rPr>
          <w:rFonts w:ascii="Times New Roman" w:eastAsia="Calibri" w:hAnsi="Times New Roman" w:cs="Times New Roman"/>
          <w:sz w:val="24"/>
          <w:szCs w:val="24"/>
        </w:rPr>
      </w:pPr>
    </w:p>
    <w:p w14:paraId="374D3253" w14:textId="77777777" w:rsidR="00032BF6" w:rsidRDefault="00032BF6" w:rsidP="00AD5C71">
      <w:pPr>
        <w:spacing w:line="256" w:lineRule="auto"/>
        <w:jc w:val="both"/>
        <w:rPr>
          <w:rFonts w:ascii="Times New Roman" w:eastAsia="Calibri" w:hAnsi="Times New Roman" w:cs="Times New Roman"/>
          <w:sz w:val="24"/>
          <w:szCs w:val="24"/>
        </w:rPr>
      </w:pPr>
    </w:p>
    <w:p w14:paraId="32C531D5" w14:textId="77777777" w:rsidR="00032BF6" w:rsidRPr="00EF6D91" w:rsidRDefault="00032BF6" w:rsidP="00AD5C71">
      <w:pPr>
        <w:spacing w:line="256" w:lineRule="auto"/>
        <w:jc w:val="both"/>
        <w:rPr>
          <w:rFonts w:ascii="Times New Roman" w:eastAsia="Calibri" w:hAnsi="Times New Roman" w:cs="Times New Roman"/>
          <w:sz w:val="24"/>
          <w:szCs w:val="24"/>
        </w:rPr>
      </w:pPr>
    </w:p>
    <w:bookmarkEnd w:id="6"/>
    <w:p w14:paraId="2C24CA1E" w14:textId="77777777" w:rsidR="00D10E02" w:rsidRPr="00EF6D91" w:rsidRDefault="00D10E02" w:rsidP="00D10E02">
      <w:pPr>
        <w:rPr>
          <w:rFonts w:ascii="Times New Roman" w:hAnsi="Times New Roman" w:cs="Times New Roman"/>
          <w:color w:val="000000" w:themeColor="text1"/>
          <w:sz w:val="24"/>
          <w:szCs w:val="24"/>
          <w:lang w:val="en-IN"/>
        </w:rPr>
      </w:pPr>
      <w:r w:rsidRPr="00EF6D91">
        <w:rPr>
          <w:rFonts w:ascii="Times New Roman" w:hAnsi="Times New Roman" w:cs="Times New Roman"/>
          <w:color w:val="000000" w:themeColor="text1"/>
          <w:sz w:val="24"/>
          <w:szCs w:val="24"/>
          <w:lang w:val="en-IN"/>
        </w:rPr>
        <w:lastRenderedPageBreak/>
        <w:t xml:space="preserve">Table 1. Summary of </w:t>
      </w:r>
      <w:r w:rsidRPr="00EF6D91">
        <w:rPr>
          <w:rFonts w:ascii="Times New Roman" w:hAnsi="Times New Roman" w:cs="Times New Roman"/>
          <w:color w:val="000000" w:themeColor="text1"/>
          <w:sz w:val="24"/>
          <w:szCs w:val="24"/>
        </w:rPr>
        <w:t>barriers to EV adoption in LMD</w:t>
      </w:r>
    </w:p>
    <w:tbl>
      <w:tblPr>
        <w:tblStyle w:val="TableGrid"/>
        <w:tblW w:w="0" w:type="auto"/>
        <w:tblLook w:val="04A0" w:firstRow="1" w:lastRow="0" w:firstColumn="1" w:lastColumn="0" w:noHBand="0" w:noVBand="1"/>
      </w:tblPr>
      <w:tblGrid>
        <w:gridCol w:w="572"/>
        <w:gridCol w:w="1646"/>
        <w:gridCol w:w="4603"/>
        <w:gridCol w:w="2195"/>
      </w:tblGrid>
      <w:tr w:rsidR="00B525F2" w:rsidRPr="00EF6D91" w14:paraId="66BFC8C6" w14:textId="77777777" w:rsidTr="0086245C">
        <w:tc>
          <w:tcPr>
            <w:tcW w:w="465" w:type="dxa"/>
          </w:tcPr>
          <w:p w14:paraId="1A6AA490" w14:textId="66E3A6B4"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b/>
                <w:bCs/>
                <w:color w:val="000000" w:themeColor="text1"/>
                <w:sz w:val="16"/>
                <w:szCs w:val="16"/>
              </w:rPr>
              <w:t>Code</w:t>
            </w:r>
            <w:r w:rsidR="00D10E02" w:rsidRPr="00EF6D91">
              <w:rPr>
                <w:rFonts w:ascii="Times New Roman" w:hAnsi="Times New Roman" w:cs="Times New Roman"/>
                <w:b/>
                <w:bCs/>
                <w:color w:val="000000" w:themeColor="text1"/>
                <w:sz w:val="16"/>
                <w:szCs w:val="16"/>
              </w:rPr>
              <w:t xml:space="preserve"> </w:t>
            </w:r>
          </w:p>
        </w:tc>
        <w:tc>
          <w:tcPr>
            <w:tcW w:w="1657" w:type="dxa"/>
          </w:tcPr>
          <w:p w14:paraId="0837DC9E"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b/>
                <w:bCs/>
                <w:color w:val="000000" w:themeColor="text1"/>
                <w:sz w:val="16"/>
                <w:szCs w:val="16"/>
              </w:rPr>
              <w:t xml:space="preserve">Barriers </w:t>
            </w:r>
          </w:p>
        </w:tc>
        <w:tc>
          <w:tcPr>
            <w:tcW w:w="4677" w:type="dxa"/>
          </w:tcPr>
          <w:p w14:paraId="621744A1"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b/>
                <w:bCs/>
                <w:color w:val="000000" w:themeColor="text1"/>
                <w:sz w:val="16"/>
                <w:szCs w:val="16"/>
              </w:rPr>
              <w:t xml:space="preserve">Explanation of Barriers </w:t>
            </w:r>
          </w:p>
        </w:tc>
        <w:tc>
          <w:tcPr>
            <w:tcW w:w="2217" w:type="dxa"/>
          </w:tcPr>
          <w:p w14:paraId="31B0CD46"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b/>
                <w:bCs/>
                <w:color w:val="000000" w:themeColor="text1"/>
                <w:sz w:val="16"/>
                <w:szCs w:val="16"/>
              </w:rPr>
              <w:t xml:space="preserve">Sources </w:t>
            </w:r>
          </w:p>
        </w:tc>
      </w:tr>
      <w:tr w:rsidR="00B525F2" w:rsidRPr="00081445" w14:paraId="25D64E3E" w14:textId="77777777" w:rsidTr="0086245C">
        <w:tc>
          <w:tcPr>
            <w:tcW w:w="465" w:type="dxa"/>
          </w:tcPr>
          <w:p w14:paraId="668645AB" w14:textId="00DA40BF"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 </w:t>
            </w:r>
          </w:p>
        </w:tc>
        <w:tc>
          <w:tcPr>
            <w:tcW w:w="1657" w:type="dxa"/>
          </w:tcPr>
          <w:p w14:paraId="482BA6FC" w14:textId="467F323D"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Insufficient charging infrastructure </w:t>
            </w:r>
          </w:p>
        </w:tc>
        <w:tc>
          <w:tcPr>
            <w:tcW w:w="4677" w:type="dxa"/>
          </w:tcPr>
          <w:p w14:paraId="4DB1E0AC"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Insufficient charging infrastructure, such as a lack of charging stations, can result in an inflexible and inconvenient energy supply, making EV operations less appealing. </w:t>
            </w:r>
          </w:p>
        </w:tc>
        <w:tc>
          <w:tcPr>
            <w:tcW w:w="2217" w:type="dxa"/>
          </w:tcPr>
          <w:p w14:paraId="3C04F921" w14:textId="53DFAB78" w:rsidR="00D10E02" w:rsidRPr="00081445" w:rsidRDefault="00D10E02" w:rsidP="0086245C">
            <w:pPr>
              <w:pStyle w:val="Default"/>
              <w:rPr>
                <w:color w:val="000000" w:themeColor="text1"/>
                <w:sz w:val="16"/>
                <w:szCs w:val="16"/>
              </w:rPr>
            </w:pPr>
            <w:r w:rsidRPr="00EF6D91">
              <w:rPr>
                <w:color w:val="000000" w:themeColor="text1"/>
                <w:sz w:val="16"/>
                <w:szCs w:val="16"/>
              </w:rPr>
              <w:fldChar w:fldCharType="begin"/>
            </w:r>
            <w:r w:rsidR="00B525F2" w:rsidRPr="00EF6D91">
              <w:rPr>
                <w:color w:val="000000" w:themeColor="text1"/>
                <w:sz w:val="16"/>
                <w:szCs w:val="16"/>
              </w:rPr>
              <w:instrText xml:space="preserve"> ADDIN ZOTERO_ITEM CSL_CITATION {"citationID":"3yxNAxRN","properties":{"formattedCitation":"(Aungkulanon {\\i{}et al.}, 2023; Berkeley {\\i{}et al.}, 2017; Biresselioglu {\\i{}et al.}, 2018; Haddadian {\\i{}et al.}, 2015; Kuppusamy {\\i{}et al.}, 2017; Noel {\\i{}et al.}, 2020; Patyal {\\i{}et al.}, 2021; Tarei {\\i{}et al.}, 2021)","plainCitation":"(Aungkulanon et al., 2023; Berkeley et al., 2017; Biresselioglu et al., 2018; Haddadian et al., 2015; Kuppusamy et al., 2017; Noel et al., 2020; Patyal et al., 2021; Tarei et al., 2021)","noteIndex":0},"citationItems":[{"id":47997,"uris":["http://zotero.org/users/10594755/items/BBNJVXP2"],"itemData":{"id":47997,"type":"article-journal","abstract":"In response to the requirement to address the global climate crisis in urban areas caused by the logistics sector, an increasing number of governments around the world have begun aggressive strategic actions to encourage manufacturers and consumers to adopt electric vehicle (EV) technology. One of the most beneficial aspects of driving an EV is that it reduces pollution while also reducing the use of fossil fuels, as well as improving public health by improving local air quality. Nevertheless, the level of EV adoption differs significantly across markets and geographies. EV adoption barriers slow the overall rate of electric mobility. This study ranks a list of obstacles and sub-hindrances to the adoption of electric vehicles in Thailand using the Fuzzy Analytical Hierarchy Process (FAHP), a Multi-Criteria Decision Making (MCDM) technique. The results showed that infrastructure policy barrier (A), which had the highest weight of 0.6058, was the biggest barrier to EV adoption, followed by technological barrier (B) with a weight of 0.2657, and then by market barrier with a weight of 0.1285. Insufficient charging infrastructure network (A3), lack of proper government support/incentives and collaboration (A1), insufficient electric power supply (A2), high capital cost (C3), and EV charging time (B3) were key sub-barriers to EV adoption in Thailand. Decision Making Systems (DMS) have additionally been created to assist executives in making decisions about the aforementioned barriers. The DMS is based on the concept of computer-aided decision making in that it allows for direct user interaction, analysis, and the ability to change circumstances and the decision-making process based on the executives’ own experience and abilities. Thus, the findings of this study aid in the formulation of market strategies for relevant stakeholders and shed light on potential policy responses.","container-title":"Sustainability","DOI":"10.3390/su15087003","ISSN":"2071-1050","issue":"8","journalAbbreviation":"Sustainability","language":"en","page":"7003","source":"DOI.org (Crossref)","title":"Fuzzy Analytical Hierarchy Process for Strategic Decision Making in Electric Vehicle Adoption","volume":"15","author":[{"family":"Aungkulanon","given":"Pasura"},{"family":"Atthirawong","given":"Walailak"},{"family":"Luangpaiboon","given":"Pongchanun"}],"issued":{"date-parts":[["2023",4,21]]}}},{"id":31591,"uris":["http://zotero.org/users/10594755/items/68MQ82UJ"],"itemData":{"id":31591,"type":"article-journal","container-title":"Transportation Research Part A: Policy and Practice","DOI":"10.1016/j.tra.2017.10.004","ISSN":"09658564","journalAbbreviation":"Transportation Research Part A: Policy and Practice","language":"en","page":"320-332","source":"DOI.org (Crossref)","title":"Assessing the transition towards battery electric vehicles: a multi-level perspective on drivers of, and barriers to, take up","title-short":"Assessing the transition towards battery electric vehicles","volume":"106","author":[{"family":"Berkeley","given":"Nigel"},{"family":"Bailey","given":"David"},{"family":"Jones","given":"Andrew"},{"family":"Jarvis","given":"David"}],"issued":{"date-parts":[["2017",12]]}}},{"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31592,"uris":["http://zotero.org/users/10594755/items/2W8HUZ4D"],"itemData":{"id":31592,"type":"article-journal","container-title":"European Journal of Operational Research","DOI":"10.1016/j.ejor.2017.03.039","ISSN":"03772217","issue":"1","journalAbbreviation":"European Journal of Operational Research","language":"en","page":"123-135","source":"DOI.org (Crossref)","title":"Electric vehicle adoption decisions in a fleet environment","volume":"262","author":[{"family":"Kuppusamy","given":"Saravanan"},{"family":"Magazine","given":"Michael J."},{"family":"Rao","given":"Uday"}],"issued":{"date-parts":[["2017",10]]}}},{"id":48020,"uris":["http://zotero.org/users/10594755/items/MYACDSD6"],"itemData":{"id":48020,"type":"article-journal","container-title":"Energy Policy","DOI":"10.1016/j.enpol.2020.111292","ISSN":"03014215","journalAbbreviation":"Energy Policy","language":"en","page":"111292","source":"DOI.org (Crossref)","title":"Understanding the socio-technical nexus of Nordic electric vehicle (EV) barriers: A qualitative discussion of range, price, charging and knowledge","title-short":"Understanding the socio-technical nexus of Nordic electric vehicle (EV) barriers","volume":"138","author":[{"family":"Noel","given":"Lance"},{"family":"Zarazua De Rubens","given":"Gerardo"},{"family":"Kester","given":"Johannes"},{"family":"Sovacool","given":"Benjamin K."}],"issued":{"date-parts":[["2020"</w:instrText>
            </w:r>
            <w:r w:rsidR="00B525F2" w:rsidRPr="00081445">
              <w:rPr>
                <w:color w:val="000000" w:themeColor="text1"/>
                <w:sz w:val="16"/>
                <w:szCs w:val="16"/>
              </w:rPr>
              <w:instrText xml:space="preserve">,3]]}}},{"id":31594,"uris":["http://zotero.org/users/10594755/items/LPBWCTQU"],"itemData":{"id":31594,"type":"article-journal","container-title":"Energy","DOI":"10.1016/j.energy.2021.121554","ISSN":"03605442","journalAbbreviation":"Energy","language":"en","page":"121554","source":"DOI.org (Crossref)","title":"Modeling barriers to the adoption of electric vehicles: An Indian perspective","title-short":"Modeling barriers to the adoption of electric vehicles","volume":"237","author":[{"family":"Patyal","given":"Vishal Singh"},{"family":"Kumar","given":"Ravi"},{"family":"Kushwah","given":"Shiksha"}],"issued":{"date-parts":[["2021",12]]}}},{"id":47993,"uris":["http://zotero.org/users/10594755/items/E6ZHKNK7"],"itemData":{"id":47993,"type":"article-journal","container-title":"Journal of Cleaner Production","DOI":"10.1016/j.jclepro.2021.125847","ISSN":"09596526","journalAbbreviation":"Journal of Cleaner Production","language":"en","page":"125847","source":"DOI.org (Crossref)","title":"Barriers to the adoption of electric vehicles: Evidence from India","title-short":"Barriers to the adoption of electric vehicles","volume":"291","author":[{"family":"Tarei","given":"Pradeep Kumar"},{"family":"Chand","given":"Pushpendu"},{"family":"Gupta","given":"Himanshu"}],"issued":{"date-parts":[["2021",4]]}}}],"schema":"https://github.com/citation-style-language/schema/raw/master/csl-citation.json"} </w:instrText>
            </w:r>
            <w:r w:rsidRPr="00EF6D91">
              <w:rPr>
                <w:color w:val="000000" w:themeColor="text1"/>
                <w:sz w:val="16"/>
                <w:szCs w:val="16"/>
              </w:rPr>
              <w:fldChar w:fldCharType="separate"/>
            </w:r>
            <w:r w:rsidR="00B525F2" w:rsidRPr="00081445">
              <w:rPr>
                <w:sz w:val="16"/>
              </w:rPr>
              <w:t>(</w:t>
            </w:r>
            <w:proofErr w:type="spellStart"/>
            <w:r w:rsidR="00B525F2" w:rsidRPr="00081445">
              <w:rPr>
                <w:sz w:val="16"/>
              </w:rPr>
              <w:t>Aungkulanon</w:t>
            </w:r>
            <w:proofErr w:type="spellEnd"/>
            <w:r w:rsidR="00B525F2" w:rsidRPr="00081445">
              <w:rPr>
                <w:sz w:val="16"/>
              </w:rPr>
              <w:t xml:space="preserve"> </w:t>
            </w:r>
            <w:r w:rsidR="00B525F2" w:rsidRPr="00081445">
              <w:rPr>
                <w:i/>
                <w:iCs/>
                <w:sz w:val="16"/>
              </w:rPr>
              <w:t>et al.</w:t>
            </w:r>
            <w:r w:rsidR="00B525F2" w:rsidRPr="00081445">
              <w:rPr>
                <w:sz w:val="16"/>
              </w:rPr>
              <w:t xml:space="preserve">, 2023; Berkeley </w:t>
            </w:r>
            <w:r w:rsidR="00B525F2" w:rsidRPr="00081445">
              <w:rPr>
                <w:i/>
                <w:iCs/>
                <w:sz w:val="16"/>
              </w:rPr>
              <w:t>et al.</w:t>
            </w:r>
            <w:r w:rsidR="00B525F2" w:rsidRPr="00081445">
              <w:rPr>
                <w:sz w:val="16"/>
              </w:rPr>
              <w:t xml:space="preserve">, 2017; </w:t>
            </w:r>
            <w:proofErr w:type="spellStart"/>
            <w:r w:rsidR="00B525F2" w:rsidRPr="00081445">
              <w:rPr>
                <w:sz w:val="16"/>
              </w:rPr>
              <w:t>Biresselioglu</w:t>
            </w:r>
            <w:proofErr w:type="spellEnd"/>
            <w:r w:rsidR="00B525F2" w:rsidRPr="00081445">
              <w:rPr>
                <w:sz w:val="16"/>
              </w:rPr>
              <w:t xml:space="preserve"> </w:t>
            </w:r>
            <w:r w:rsidR="00B525F2" w:rsidRPr="00081445">
              <w:rPr>
                <w:i/>
                <w:iCs/>
                <w:sz w:val="16"/>
              </w:rPr>
              <w:t>et al.</w:t>
            </w:r>
            <w:r w:rsidR="00B525F2" w:rsidRPr="00081445">
              <w:rPr>
                <w:sz w:val="16"/>
              </w:rPr>
              <w:t xml:space="preserve">, 2018; Kuppusamy </w:t>
            </w:r>
            <w:r w:rsidR="00B525F2" w:rsidRPr="00081445">
              <w:rPr>
                <w:i/>
                <w:iCs/>
                <w:sz w:val="16"/>
              </w:rPr>
              <w:t>et al.</w:t>
            </w:r>
            <w:r w:rsidR="00B525F2" w:rsidRPr="00081445">
              <w:rPr>
                <w:sz w:val="16"/>
              </w:rPr>
              <w:t xml:space="preserve">, 2017; Noel </w:t>
            </w:r>
            <w:r w:rsidR="00B525F2" w:rsidRPr="00081445">
              <w:rPr>
                <w:i/>
                <w:iCs/>
                <w:sz w:val="16"/>
              </w:rPr>
              <w:t>et al.</w:t>
            </w:r>
            <w:r w:rsidR="00B525F2" w:rsidRPr="00081445">
              <w:rPr>
                <w:sz w:val="16"/>
              </w:rPr>
              <w:t xml:space="preserve">, 2020; </w:t>
            </w:r>
            <w:proofErr w:type="spellStart"/>
            <w:r w:rsidR="00B525F2" w:rsidRPr="00081445">
              <w:rPr>
                <w:sz w:val="16"/>
              </w:rPr>
              <w:t>Patyal</w:t>
            </w:r>
            <w:proofErr w:type="spellEnd"/>
            <w:r w:rsidR="00B525F2" w:rsidRPr="00081445">
              <w:rPr>
                <w:sz w:val="16"/>
              </w:rPr>
              <w:t xml:space="preserve"> </w:t>
            </w:r>
            <w:r w:rsidR="00B525F2" w:rsidRPr="00081445">
              <w:rPr>
                <w:i/>
                <w:iCs/>
                <w:sz w:val="16"/>
              </w:rPr>
              <w:t>et al.</w:t>
            </w:r>
            <w:r w:rsidR="00B525F2" w:rsidRPr="00081445">
              <w:rPr>
                <w:sz w:val="16"/>
              </w:rPr>
              <w:t xml:space="preserve">, 2021; Tarei </w:t>
            </w:r>
            <w:r w:rsidR="00B525F2" w:rsidRPr="00081445">
              <w:rPr>
                <w:i/>
                <w:iCs/>
                <w:sz w:val="16"/>
              </w:rPr>
              <w:t>et al.</w:t>
            </w:r>
            <w:r w:rsidR="00B525F2" w:rsidRPr="00081445">
              <w:rPr>
                <w:sz w:val="16"/>
              </w:rPr>
              <w:t>, 2021)</w:t>
            </w:r>
            <w:r w:rsidRPr="00EF6D91">
              <w:rPr>
                <w:color w:val="000000" w:themeColor="text1"/>
                <w:sz w:val="16"/>
                <w:szCs w:val="16"/>
              </w:rPr>
              <w:fldChar w:fldCharType="end"/>
            </w:r>
            <w:r w:rsidRPr="00081445">
              <w:rPr>
                <w:color w:val="000000" w:themeColor="text1"/>
                <w:sz w:val="16"/>
                <w:szCs w:val="16"/>
              </w:rPr>
              <w:t>.</w:t>
            </w:r>
          </w:p>
        </w:tc>
      </w:tr>
      <w:tr w:rsidR="00B525F2" w:rsidRPr="00C6516B" w14:paraId="3FEA7186" w14:textId="77777777" w:rsidTr="0086245C">
        <w:tc>
          <w:tcPr>
            <w:tcW w:w="465" w:type="dxa"/>
          </w:tcPr>
          <w:p w14:paraId="29845F8A" w14:textId="4FF29ACE"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2 </w:t>
            </w:r>
          </w:p>
        </w:tc>
        <w:tc>
          <w:tcPr>
            <w:tcW w:w="1657" w:type="dxa"/>
          </w:tcPr>
          <w:p w14:paraId="565201C1" w14:textId="18B728C0"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Deficiency of depot-based fast charging </w:t>
            </w:r>
          </w:p>
        </w:tc>
        <w:tc>
          <w:tcPr>
            <w:tcW w:w="4677" w:type="dxa"/>
          </w:tcPr>
          <w:p w14:paraId="231A340A"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A depot-based charging station requires installation in central locations, such as a depot or parking lot, where EVs can be charged while not in use, typically utilized in fleet operations. </w:t>
            </w:r>
          </w:p>
        </w:tc>
        <w:tc>
          <w:tcPr>
            <w:tcW w:w="2217" w:type="dxa"/>
          </w:tcPr>
          <w:p w14:paraId="3F4B1ED4" w14:textId="7258A844" w:rsidR="00D10E02" w:rsidRPr="00EF6D91"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{"citationID":"4HKZbnNI","properties":{"formattedCitation":"(D\\uc0\\u8217{}Adamo, Gastaldi, Piccioni, {\\i{}et al.}, 2023; Haddadian {\\i{}et al.}, 2015; Patyal {\\i{}et al.}, 2021)","plainCitation":"(D’Adamo, Gastaldi, Piccioni, et al., 2023; Haddadian et al., 2015; Patyal et al., 2021)","noteIndex":0},"citationItems":[{"id":47996,"uris":["http://zotero.org/users/10594755/items/4TDVZHJ5"],"itemData":{"id":47996,"type":"article-journal","abstract":"Abstract\nEven if the European Commission is acting against the climate change, greenhouse gas emissions are still increasing in the transport sector. In this scenario, the flexibility characterizing the automotive sectors could invert this negative trend. The goal of this work is identifying suitable methodologies to evaluate flexible initiatives in automotive contexts, with a specific focus on sustainable mobility and electric vehicles (EVs). The results show that stakeholders identify purchase price as a determinant in the choice to purchase an EV, while for a model toward a sustainable e-mobility transition, experts place emphasis on renewable energy production and consumers on charging stations. A flexible approach in policy choices is also suggested in order to foster a pragmatic sustainability model in which the deployment of EVs is accompanied by green and circular practices. However, such change also requires attention to be paid to the social sphere with job creation and a spread of consumer knowledge toward sustainable choices.","container-title":"Global Journal of Flexible Systems Management","DOI":"10.1007/s40171-023-00349-w","ISSN":"0972-2696, 0974-0198","issue":"3","journalAbbreviation":"Glob J Flex Syst Manag","language":"en","page":"459-481","source":"DOI.org (Crossref)","title":"The Role of Automotive Flexibility in Supporting the Diffusion of Sustainable Mobility Initiatives: A Stakeholder Attitudes Assessment","title-short":"The Role of Automotive Flexibility in Supporting the Diffusion of Sustainable Mobility Initiatives","volume":"24","author":[{"family":"D’Adamo","given":"Idiano"},{"family":"Gastaldi","given":"Massimo"},{"family":"Piccioni","give</w:instrText>
            </w:r>
            <w:r w:rsidR="00E9108F" w:rsidRPr="00EF6D91">
              <w:rPr>
                <w:rFonts w:ascii="Times New Roman" w:hAnsi="Times New Roman" w:cs="Times New Roman"/>
                <w:color w:val="000000" w:themeColor="text1"/>
                <w:sz w:val="16"/>
                <w:szCs w:val="16"/>
                <w:lang w:val="es-MX"/>
              </w:rPr>
              <w:instrText xml:space="preserve">n":"Jacopo"},{"family":"Rosa","given":"Paolo"}],"issued":{"date-parts":[["2023",9]]}}},{"id":31590,"uris":["http://zotero.org/users/10594755/items/DID4HWM5"],"itemData":{"id":31590,"type":"article-journal","container-title":"The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31594,"uris":["http://zotero.org/users/10594755/items/LPBWCTQU"],"itemData":{"id":31594,"type":"article-journal","container-title":"Energy","DOI":"10.1016/j.energy.2021.121554","ISSN":"03605442","journalAbbreviation":"Energy","language":"en","page":"121554","source":"DOI.org (Crossref)","title":"Modeling barriers to the adoption of electric vehicles: An Indian perspective","title-short":"Modeling barriers to the adoption of electric vehicles","volume":"237","author":[{"family":"Patyal","given":"Vishal Singh"},{"family":"Kumar","given":"Ravi"},{"family":"Kushwah","given":"Shiksha"}],"issued":{"date-parts":[["2021",12]]}}}],"schema":"https://github.com/citation-style-language/schema/raw/master/csl-citation.json"}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lang w:val="es-MX"/>
              </w:rPr>
              <w:t xml:space="preserve">(D’Adamo, Gastaldi, Piccioni, </w:t>
            </w:r>
            <w:r w:rsidR="00E9108F" w:rsidRPr="00EF6D91">
              <w:rPr>
                <w:rFonts w:ascii="Times New Roman" w:hAnsi="Times New Roman" w:cs="Times New Roman"/>
                <w:i/>
                <w:iCs/>
                <w:kern w:val="0"/>
                <w:sz w:val="16"/>
                <w:lang w:val="es-MX"/>
              </w:rPr>
              <w:t>et al.</w:t>
            </w:r>
            <w:r w:rsidR="00E9108F" w:rsidRPr="00EF6D91">
              <w:rPr>
                <w:rFonts w:ascii="Times New Roman" w:hAnsi="Times New Roman" w:cs="Times New Roman"/>
                <w:kern w:val="0"/>
                <w:sz w:val="16"/>
                <w:lang w:val="es-MX"/>
              </w:rPr>
              <w:t xml:space="preserve">, 2023; </w:t>
            </w:r>
            <w:proofErr w:type="spellStart"/>
            <w:r w:rsidR="00E9108F" w:rsidRPr="00EF6D91">
              <w:rPr>
                <w:rFonts w:ascii="Times New Roman" w:hAnsi="Times New Roman" w:cs="Times New Roman"/>
                <w:kern w:val="0"/>
                <w:sz w:val="16"/>
                <w:lang w:val="es-MX"/>
              </w:rPr>
              <w:t>Patyal</w:t>
            </w:r>
            <w:proofErr w:type="spellEnd"/>
            <w:r w:rsidR="00E9108F" w:rsidRPr="00EF6D91">
              <w:rPr>
                <w:rFonts w:ascii="Times New Roman" w:hAnsi="Times New Roman" w:cs="Times New Roman"/>
                <w:kern w:val="0"/>
                <w:sz w:val="16"/>
                <w:lang w:val="es-MX"/>
              </w:rPr>
              <w:t xml:space="preserve"> </w:t>
            </w:r>
            <w:r w:rsidR="00E9108F" w:rsidRPr="00EF6D91">
              <w:rPr>
                <w:rFonts w:ascii="Times New Roman" w:hAnsi="Times New Roman" w:cs="Times New Roman"/>
                <w:i/>
                <w:iCs/>
                <w:kern w:val="0"/>
                <w:sz w:val="16"/>
                <w:lang w:val="es-MX"/>
              </w:rPr>
              <w:t>et al.</w:t>
            </w:r>
            <w:r w:rsidR="00E9108F" w:rsidRPr="00EF6D91">
              <w:rPr>
                <w:rFonts w:ascii="Times New Roman" w:hAnsi="Times New Roman" w:cs="Times New Roman"/>
                <w:kern w:val="0"/>
                <w:sz w:val="16"/>
                <w:lang w:val="es-MX"/>
              </w:rPr>
              <w:t>, 2021)</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lang w:val="es-MX"/>
              </w:rPr>
              <w:t>.</w:t>
            </w:r>
          </w:p>
        </w:tc>
      </w:tr>
      <w:tr w:rsidR="00B525F2" w:rsidRPr="00EF6D91" w14:paraId="33DA19A2" w14:textId="77777777" w:rsidTr="0086245C">
        <w:tc>
          <w:tcPr>
            <w:tcW w:w="465" w:type="dxa"/>
          </w:tcPr>
          <w:p w14:paraId="2011F899" w14:textId="2929AC40"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3 </w:t>
            </w:r>
          </w:p>
        </w:tc>
        <w:tc>
          <w:tcPr>
            <w:tcW w:w="1657" w:type="dxa"/>
          </w:tcPr>
          <w:p w14:paraId="6C7AD408" w14:textId="45A31861"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Insufficient Electricity Provision </w:t>
            </w:r>
          </w:p>
        </w:tc>
        <w:tc>
          <w:tcPr>
            <w:tcW w:w="4677" w:type="dxa"/>
          </w:tcPr>
          <w:p w14:paraId="3F251790"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Increased electric mobility leads to a surge in electricity demand, which can be challenging for countries that intend to phase out nuclear energy and shift towards renewable energy sources. Renewable energy sources alone may not satisfy the growing need for electricity, and those peak loading periods are unlikely to provide access to affordable electricity. </w:t>
            </w:r>
          </w:p>
        </w:tc>
        <w:tc>
          <w:tcPr>
            <w:tcW w:w="2217" w:type="dxa"/>
          </w:tcPr>
          <w:p w14:paraId="0D05D571" w14:textId="190A52C2"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{"citationID":"gHKzQ6Po","properties":{"formattedCitation":"(Biresselioglu {\\i{}et al.}, 2018)","plainCitation":"(Biresselioglu et al., 2018)","noteIndex":0},"citationItems":[{"id":31593,"uris":["http://zotero.org/users/10594755/items/QQBU6W6J"],"itemData":{"id":31593,"type":"article-journal","container-title":"Transportation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(Biresselioglu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2018)</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EF6D91" w14:paraId="13617663" w14:textId="77777777" w:rsidTr="0086245C">
        <w:tc>
          <w:tcPr>
            <w:tcW w:w="465" w:type="dxa"/>
          </w:tcPr>
          <w:p w14:paraId="51161D90" w14:textId="3EC1E945"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4 </w:t>
            </w:r>
          </w:p>
        </w:tc>
        <w:tc>
          <w:tcPr>
            <w:tcW w:w="1657" w:type="dxa"/>
          </w:tcPr>
          <w:p w14:paraId="5879029D" w14:textId="1CEB17C8"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Increased investment for Power Grid upgrade </w:t>
            </w:r>
          </w:p>
        </w:tc>
        <w:tc>
          <w:tcPr>
            <w:tcW w:w="4677" w:type="dxa"/>
          </w:tcPr>
          <w:p w14:paraId="3566310E"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current power network system may not be adequate to charge a commercial fleet; hence, upgrading the grid demands investment. </w:t>
            </w:r>
          </w:p>
        </w:tc>
        <w:tc>
          <w:tcPr>
            <w:tcW w:w="2217" w:type="dxa"/>
          </w:tcPr>
          <w:p w14:paraId="2C74AEC5" w14:textId="1D1137B9" w:rsidR="00D10E02" w:rsidRPr="00EF6D91" w:rsidRDefault="00D10E02" w:rsidP="0086245C">
            <w:pPr>
              <w:pStyle w:val="Default"/>
              <w:rPr>
                <w:color w:val="000000" w:themeColor="text1"/>
                <w:sz w:val="16"/>
                <w:szCs w:val="16"/>
                <w:lang w:val="en-IN"/>
              </w:rPr>
            </w:pPr>
            <w:r w:rsidRPr="00EF6D91">
              <w:rPr>
                <w:color w:val="000000" w:themeColor="text1"/>
                <w:sz w:val="16"/>
                <w:szCs w:val="16"/>
              </w:rPr>
              <w:fldChar w:fldCharType="begin"/>
            </w:r>
            <w:r w:rsidR="009B06E8" w:rsidRPr="00EF6D91">
              <w:rPr>
                <w:color w:val="000000" w:themeColor="text1"/>
                <w:sz w:val="16"/>
                <w:szCs w:val="16"/>
              </w:rPr>
              <w:instrText xml:space="preserve"> ADDIN ZOTERO_ITEM CSL_CITATION {"citationID":"EuQNXhZn","properties":{"formattedCitation":"(Anosike {\\i{}et al.}, 2023; Haddadian {\\i{}et al.}, 2015; Morganti and Browne, 2018; Quak {\\i{}et al.}, 2016; Sch\\uc0\\u252{}cking {\\i{}et al.}, 2017)","plainCitation":"(Anosike et al., 2023; Haddadian et al., 2015; Morganti and Browne, 2018; Quak et al., 2016; Schücking et al., 2017)","noteIndex":0},"citationItems":[{"id":31598,"uris":["http://zotero.org/users/10594755/items/NMS45AKI"],"itemData":{"id":31598,"type":"article-journal","container-title":"International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Rooijen","given":"Tariq"}],"issued":{"date-parts":[["2016"]]}}},{"id":31597,"uris":["http://zotero.org/users/10594755/items/PVWTM4EN"],"itemData":{"id":31597,"type":"article-journal","container-title":"Transportation Research Part D: Transport and Environment","DOI":"10.1016/j.trd.2016.11.032","ISSN":"13619209","journalAbbreviation":"Transportation Research Part D: Transport and Environment","language":"en","page":"173-189","source":"DOI.org (Crossref)","title":"Charging strategies for economic operations of electric vehicles in commercial applications","volume":"51","author":[{"family":"Schücking","given":"Maximilian"},{"family":"Jochem","given":"Patrick"},{"family":"Fichtner","given":"Wolf"},{"family":"Wollersheim","given":"Olaf"},{"family":"Stella","given":"Kevin"}],"issued":{"date-parts":[["2017",3]]}}}],"schema":"https://github.com/citation-style-language/schema/raw/master/csl-citation.json"} </w:instrText>
            </w:r>
            <w:r w:rsidRPr="00EF6D91">
              <w:rPr>
                <w:color w:val="000000" w:themeColor="text1"/>
                <w:sz w:val="16"/>
                <w:szCs w:val="16"/>
              </w:rPr>
              <w:fldChar w:fldCharType="separate"/>
            </w:r>
            <w:r w:rsidR="009B06E8" w:rsidRPr="00EF6D91">
              <w:rPr>
                <w:sz w:val="16"/>
              </w:rPr>
              <w:t xml:space="preserve">(Anosike </w:t>
            </w:r>
            <w:r w:rsidR="009B06E8" w:rsidRPr="00EF6D91">
              <w:rPr>
                <w:i/>
                <w:iCs/>
                <w:sz w:val="16"/>
              </w:rPr>
              <w:t>et al.</w:t>
            </w:r>
            <w:r w:rsidR="009B06E8" w:rsidRPr="00EF6D91">
              <w:rPr>
                <w:sz w:val="16"/>
              </w:rPr>
              <w:t xml:space="preserve">, 2023; Morganti and Browne, 2018; </w:t>
            </w:r>
            <w:proofErr w:type="spellStart"/>
            <w:r w:rsidR="009B06E8" w:rsidRPr="00EF6D91">
              <w:rPr>
                <w:sz w:val="16"/>
              </w:rPr>
              <w:t>Schücking</w:t>
            </w:r>
            <w:proofErr w:type="spellEnd"/>
            <w:r w:rsidR="009B06E8" w:rsidRPr="00EF6D91">
              <w:rPr>
                <w:sz w:val="16"/>
              </w:rPr>
              <w:t xml:space="preserve"> </w:t>
            </w:r>
            <w:r w:rsidR="009B06E8" w:rsidRPr="00EF6D91">
              <w:rPr>
                <w:i/>
                <w:iCs/>
                <w:sz w:val="16"/>
              </w:rPr>
              <w:t>et al.</w:t>
            </w:r>
            <w:r w:rsidR="009B06E8" w:rsidRPr="00EF6D91">
              <w:rPr>
                <w:sz w:val="16"/>
              </w:rPr>
              <w:t>, 2017)</w:t>
            </w:r>
            <w:r w:rsidRPr="00EF6D91">
              <w:rPr>
                <w:color w:val="000000" w:themeColor="text1"/>
                <w:sz w:val="16"/>
                <w:szCs w:val="16"/>
              </w:rPr>
              <w:fldChar w:fldCharType="end"/>
            </w:r>
            <w:r w:rsidRPr="00EF6D91">
              <w:rPr>
                <w:color w:val="000000" w:themeColor="text1"/>
                <w:sz w:val="16"/>
                <w:szCs w:val="16"/>
              </w:rPr>
              <w:t>.</w:t>
            </w:r>
          </w:p>
        </w:tc>
      </w:tr>
      <w:tr w:rsidR="00B525F2" w:rsidRPr="00EF6D91" w14:paraId="4D385F75" w14:textId="77777777" w:rsidTr="0086245C">
        <w:tc>
          <w:tcPr>
            <w:tcW w:w="465" w:type="dxa"/>
          </w:tcPr>
          <w:p w14:paraId="1D077DFF" w14:textId="301EC3A0"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5 </w:t>
            </w:r>
          </w:p>
        </w:tc>
        <w:tc>
          <w:tcPr>
            <w:tcW w:w="1657" w:type="dxa"/>
          </w:tcPr>
          <w:p w14:paraId="437964CC" w14:textId="77777777" w:rsidR="00D10E02" w:rsidRPr="00EF6D91" w:rsidRDefault="00D10E02" w:rsidP="0086245C">
            <w:pPr>
              <w:pStyle w:val="Default"/>
              <w:rPr>
                <w:color w:val="000000" w:themeColor="text1"/>
                <w:sz w:val="16"/>
                <w:szCs w:val="16"/>
              </w:rPr>
            </w:pPr>
            <w:r w:rsidRPr="00EF6D91">
              <w:rPr>
                <w:color w:val="000000" w:themeColor="text1"/>
                <w:sz w:val="16"/>
                <w:szCs w:val="16"/>
              </w:rPr>
              <w:t xml:space="preserve">Extended charging </w:t>
            </w:r>
          </w:p>
          <w:p w14:paraId="231CB2B0" w14:textId="01FC25A2"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duration </w:t>
            </w:r>
          </w:p>
        </w:tc>
        <w:tc>
          <w:tcPr>
            <w:tcW w:w="4677" w:type="dxa"/>
          </w:tcPr>
          <w:p w14:paraId="1EFFD5D8"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Charging EVs in stations takes a long time, making EV adoption difficult. </w:t>
            </w:r>
          </w:p>
        </w:tc>
        <w:tc>
          <w:tcPr>
            <w:tcW w:w="2217" w:type="dxa"/>
          </w:tcPr>
          <w:p w14:paraId="57BB7305" w14:textId="0F8A6391" w:rsidR="00D10E02" w:rsidRPr="00EF6D91" w:rsidRDefault="00D10E02" w:rsidP="0086245C">
            <w:pPr>
              <w:pStyle w:val="Default"/>
              <w:rPr>
                <w:color w:val="000000" w:themeColor="text1"/>
                <w:sz w:val="16"/>
                <w:szCs w:val="16"/>
              </w:rPr>
            </w:pPr>
            <w:r w:rsidRPr="00EF6D91">
              <w:rPr>
                <w:color w:val="000000" w:themeColor="text1"/>
                <w:sz w:val="16"/>
                <w:szCs w:val="16"/>
              </w:rPr>
              <w:fldChar w:fldCharType="begin"/>
            </w:r>
            <w:r w:rsidR="00E9108F" w:rsidRPr="00EF6D91">
              <w:rPr>
                <w:color w:val="000000" w:themeColor="text1"/>
                <w:sz w:val="16"/>
                <w:szCs w:val="16"/>
              </w:rPr>
              <w:instrText xml:space="preserve"> ADDIN ZOTERO_ITEM CSL_CITATION {"citationID":"Is17QXVQ","properties":{"formattedCitation":"(Anosike {\\i{}et al.}, 2023; Biresselioglu {\\i{}et al.}, 2018; Pelletier {\\i{}et al.}, 2018)","plainCitation":"(Anosike et al., 2023; Biresselioglu et al., 2018; Pelletier et al., 2018)","noteIndex":0},"citationItems":[{"id":31598,"uris":["http://zotero.org/users/10594755/items/NMS45AKI"],"itemData":{"id":31598,"type":"article-journal","container-title":"International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Katharina"}],"issued":{"date-parts":[["2018",3]]}}},{"id":31602,"uris":["http://zotero.org/users/10594755/items/TBR8ZGSD"],"itemData":{"id":31602,"type":"article-journal","container-title":"Transportation Research Part B: Methodological","DOI":"10.1016/j.trb.2018.07.010","ISSN":"01912615","journalAbbreviation":"Transportation Research Part B: Methodological","language":"en","page":"246-269","source":"DOI.org (Crossref)","title":"Charge scheduling for electric freight vehicles","volume":"115","author":[{"family":"Pelletier","given":"Samuel"},{"family":"Jabali","given":"Ola"},{"family":"Laporte","given":"Gilbert"}],"issued":{"date-parts":[["2018",9]]}}}],"schema":"https://github.com/citation-style-language/schema/raw/master/csl-citation.json"} </w:instrText>
            </w:r>
            <w:r w:rsidRPr="00EF6D91">
              <w:rPr>
                <w:color w:val="000000" w:themeColor="text1"/>
                <w:sz w:val="16"/>
                <w:szCs w:val="16"/>
              </w:rPr>
              <w:fldChar w:fldCharType="separate"/>
            </w:r>
            <w:r w:rsidR="00E9108F" w:rsidRPr="00EF6D91">
              <w:rPr>
                <w:sz w:val="16"/>
              </w:rPr>
              <w:t xml:space="preserve">(Anosike </w:t>
            </w:r>
            <w:r w:rsidR="00E9108F" w:rsidRPr="00EF6D91">
              <w:rPr>
                <w:i/>
                <w:iCs/>
                <w:sz w:val="16"/>
              </w:rPr>
              <w:t>et al.</w:t>
            </w:r>
            <w:r w:rsidR="00E9108F" w:rsidRPr="00EF6D91">
              <w:rPr>
                <w:sz w:val="16"/>
              </w:rPr>
              <w:t xml:space="preserve">, 2023; Biresselioglu </w:t>
            </w:r>
            <w:r w:rsidR="00E9108F" w:rsidRPr="00EF6D91">
              <w:rPr>
                <w:i/>
                <w:iCs/>
                <w:sz w:val="16"/>
              </w:rPr>
              <w:t>et al.</w:t>
            </w:r>
            <w:r w:rsidR="00E9108F" w:rsidRPr="00EF6D91">
              <w:rPr>
                <w:sz w:val="16"/>
              </w:rPr>
              <w:t xml:space="preserve">, 2018; Pelletier </w:t>
            </w:r>
            <w:r w:rsidR="00E9108F" w:rsidRPr="00EF6D91">
              <w:rPr>
                <w:i/>
                <w:iCs/>
                <w:sz w:val="16"/>
              </w:rPr>
              <w:t>et al.</w:t>
            </w:r>
            <w:r w:rsidR="00E9108F" w:rsidRPr="00EF6D91">
              <w:rPr>
                <w:sz w:val="16"/>
              </w:rPr>
              <w:t>, 2018)</w:t>
            </w:r>
            <w:r w:rsidRPr="00EF6D91">
              <w:rPr>
                <w:color w:val="000000" w:themeColor="text1"/>
                <w:sz w:val="16"/>
                <w:szCs w:val="16"/>
              </w:rPr>
              <w:fldChar w:fldCharType="end"/>
            </w:r>
            <w:r w:rsidRPr="00EF6D91">
              <w:rPr>
                <w:color w:val="000000" w:themeColor="text1"/>
                <w:sz w:val="16"/>
                <w:szCs w:val="16"/>
              </w:rPr>
              <w:t xml:space="preserve">. </w:t>
            </w:r>
          </w:p>
        </w:tc>
      </w:tr>
      <w:tr w:rsidR="00B525F2" w:rsidRPr="00EF6D91" w14:paraId="1554A209" w14:textId="77777777" w:rsidTr="0086245C">
        <w:tc>
          <w:tcPr>
            <w:tcW w:w="465" w:type="dxa"/>
          </w:tcPr>
          <w:p w14:paraId="06B2E0C7" w14:textId="27439683"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6 </w:t>
            </w:r>
          </w:p>
        </w:tc>
        <w:tc>
          <w:tcPr>
            <w:tcW w:w="1657" w:type="dxa"/>
          </w:tcPr>
          <w:p w14:paraId="1765DA88" w14:textId="413C6063"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Limited range availability </w:t>
            </w:r>
          </w:p>
        </w:tc>
        <w:tc>
          <w:tcPr>
            <w:tcW w:w="4677" w:type="dxa"/>
          </w:tcPr>
          <w:p w14:paraId="397D5BA3" w14:textId="09CAC7E3"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EVs have a lower driving range than ICEVs due to technical and financial limitations in energy storage. </w:t>
            </w:r>
          </w:p>
        </w:tc>
        <w:tc>
          <w:tcPr>
            <w:tcW w:w="2217" w:type="dxa"/>
          </w:tcPr>
          <w:p w14:paraId="193159F4" w14:textId="253B3C02"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B525F2" w:rsidRPr="00EF6D91">
              <w:rPr>
                <w:rFonts w:ascii="Times New Roman" w:hAnsi="Times New Roman" w:cs="Times New Roman"/>
                <w:color w:val="000000" w:themeColor="text1"/>
                <w:sz w:val="16"/>
                <w:szCs w:val="16"/>
              </w:rPr>
              <w:instrText xml:space="preserve"> ADDIN ZOTERO_ITEM CSL_CITATION {"citationID":"fQ3oNnER","properties":{"formattedCitation":"(Anosike {\\i{}et al.}, 2023; Biresselioglu {\\i{}et al.}, 2018; Christensen {\\i{}et al.}, 2017; Noel {\\i{}et al.}, 2020; Quak {\\i{}et al.}, 2016; Wikstr\\uc0\\u246{}m {\\i{}et al.}, 2015)","plainCitation":"(Anosike et al., 2023; Biresselioglu et al., 2018; Christensen et al., 2017; Noel et al., 2020; Quak et al., 2016; Wikström et al., 2015)","noteIndex":0},"citationItems":[{"id":31598,"uris":["http://zotero.org/users/10594755/items/NMS45AKI"],"itemData":{"id":31598,"type":"article-journal","container-title":"International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Katharina"}],"issued":{"date-parts":[["2018",3]]}}},{"id":31640,"uris":["http://zotero.org/users/10594755/items/5RF5E2IN"],"itemData":{"id":31640,"type":"article-journal","container-title":"Research in Transportation Economics","DOI":"10.1016/j.retrec.2017.08.004","ISSN":"07398859","journalAbbreviation":"Research in Transportation Economics","language":"en","page":"48-60","source":"DOI.org (Crossref)","title":"Suitability of commercial transport for a shift to electric mobility with Denmark and Germany as use cases","volume":"64","author":[{"family":"Christensen","given":"Linda"},{"family":"Klauenberg","given":"Jens"},{"family":"Kveiborg","given":"Ole"},{"family":"Rudolph","given":"Christian"}],"issued":{"date-parts":[["2017",9]]}}},{"id":48020,"uris":["http://zotero.org/users/10594755/items/MYACDSD6"],"itemData":{"id":48020,"type":"article-journal","container-title":"Energy Policy","DOI":"10.1016/j.enpol.2020.111292","ISSN":"03014215","journalAbbreviation":"Energy Policy","language":"en","page":"111292","source":"DOI.org (Crossref)","title":"Understanding the socio-technical nexus of Nordic electric vehicle (EV) barriers: A qualitative discussion of range, price, charging and knowledge","title-short":"Understanding the socio-technical nexus of Nordic electric vehicle (EV) barriers","volume":"138","author":[{"family":"Noel","given":"Lance"},{"family":"Zarazua De Rubens","given":"Gerardo"},{"family":"Kester","given":"Johannes"},{"family":"Sovacool","given":"Benjamin K."}],"issued":{"date-parts":[["2020",3]]}}},{"id":31595,"uris":["http://zotero.org/users/10594755/items/FV4KGF4J"],"itemData":{"id":31595,"type":"article-journal","container-title":"Transportation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Rooijen","given":"Tariq"}],"issued":{"date-parts":[["2016"]]}}},{"id":31599,"uris":["http://zotero.org/users/10594755/items/2ECSAUND"],"itemData":{"id":31599,"type":"article-journal","container-title":"Energy Procedia","DOI":"10.1016/j.egypro.2015.07.223","ISSN":"18766102","journalAbbreviation":"Energy Procedia","language":"en","page":"1932-1937","source":"DOI.org (Crossref)","title":"An end has a start – investigating the usage of electric vehicles in commercial fleets","volume":"75","author":[{"family":"Wikström","given":"Martina"},{"family":"Hansson","given":"Lisa"},{"family":"Alvfors","given":"Per"}],"issued":{"date-parts":[["2015",8]]}}}],"schema":"https://github.com/citation-style-language/schema/raw/master/csl-citation.json"}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B525F2" w:rsidRPr="00EF6D91">
              <w:rPr>
                <w:rFonts w:ascii="Times New Roman" w:hAnsi="Times New Roman" w:cs="Times New Roman"/>
                <w:kern w:val="0"/>
                <w:sz w:val="16"/>
              </w:rPr>
              <w:t xml:space="preserve">(Anosike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2023; Biresselioglu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2018; Christensen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2017; Noel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2020; Wikström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2015)</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w:t>
            </w:r>
          </w:p>
        </w:tc>
      </w:tr>
      <w:tr w:rsidR="00B525F2" w:rsidRPr="00C6516B" w14:paraId="150CD7CC" w14:textId="77777777" w:rsidTr="0086245C">
        <w:tc>
          <w:tcPr>
            <w:tcW w:w="465" w:type="dxa"/>
          </w:tcPr>
          <w:p w14:paraId="6AD8F62E" w14:textId="66F1DAB5"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7 </w:t>
            </w:r>
          </w:p>
        </w:tc>
        <w:tc>
          <w:tcPr>
            <w:tcW w:w="1657" w:type="dxa"/>
          </w:tcPr>
          <w:p w14:paraId="2069246B" w14:textId="444A9A12"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Range Uncertainty </w:t>
            </w:r>
          </w:p>
        </w:tc>
        <w:tc>
          <w:tcPr>
            <w:tcW w:w="4677" w:type="dxa"/>
          </w:tcPr>
          <w:p w14:paraId="7CA6F150" w14:textId="498B7CAE"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Drivers feel that their vehicle could run out of battery charge before reaching their destination and th</w:t>
            </w:r>
            <w:r w:rsidR="005E5B8D" w:rsidRPr="00EF6D91">
              <w:rPr>
                <w:rFonts w:ascii="Times New Roman" w:hAnsi="Times New Roman" w:cs="Times New Roman"/>
                <w:color w:val="000000" w:themeColor="text1"/>
                <w:sz w:val="16"/>
                <w:szCs w:val="16"/>
              </w:rPr>
              <w:t>at there is a</w:t>
            </w:r>
            <w:r w:rsidRPr="00EF6D91">
              <w:rPr>
                <w:rFonts w:ascii="Times New Roman" w:hAnsi="Times New Roman" w:cs="Times New Roman"/>
                <w:color w:val="000000" w:themeColor="text1"/>
                <w:sz w:val="16"/>
                <w:szCs w:val="16"/>
              </w:rPr>
              <w:t xml:space="preserve"> possibility of not finding a charging station for recharging. </w:t>
            </w:r>
          </w:p>
        </w:tc>
        <w:tc>
          <w:tcPr>
            <w:tcW w:w="2217" w:type="dxa"/>
          </w:tcPr>
          <w:p w14:paraId="2B847F1A" w14:textId="52874BBE" w:rsidR="00D10E02" w:rsidRPr="00EF6D91" w:rsidRDefault="00D10E02" w:rsidP="0086245C">
            <w:pPr>
              <w:pStyle w:val="Default"/>
              <w:rPr>
                <w:color w:val="000000" w:themeColor="text1"/>
                <w:sz w:val="16"/>
                <w:szCs w:val="16"/>
                <w:lang w:val="es-MX"/>
              </w:rPr>
            </w:pPr>
            <w:r w:rsidRPr="00EF6D91">
              <w:rPr>
                <w:color w:val="000000" w:themeColor="text1"/>
                <w:sz w:val="16"/>
                <w:szCs w:val="16"/>
              </w:rPr>
              <w:fldChar w:fldCharType="begin"/>
            </w:r>
            <w:r w:rsidR="00E9108F" w:rsidRPr="00EF6D91">
              <w:rPr>
                <w:color w:val="000000" w:themeColor="text1"/>
                <w:sz w:val="16"/>
                <w:szCs w:val="16"/>
              </w:rPr>
              <w:instrText xml:space="preserve"> ADDIN ZOTERO_ITEM CSL_CITATION {"citationID":"Fxa0j8n5","properties":{"formattedCitation":"(Anosike {\\i{}et al.}, 2023; Berkeley {\\i{}et al.}, 2017; Christensen {\\i{}et al.}, 2017; Tarei {\\i{}et al.}, 2021)","plainCitation":"(Anosike et al., 2023; Berkeley et al., 2017; Christensen et al., 2017; Tarei et al., 2021)","noteIndex":0},"citationItems":[{"id":31598,"uris":["http://zotero.org/users/10594755/items/NMS45AKI"],"itemData":{"id":31598,"type":"article-journal","container-title":"International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Arturo"}],"issued":{"date-parts":[["2023",6,3]]}}},{"id":31591,"uris":["http://zotero.org/users/10594755/items/68MQ82UJ"],"itemData":{"id":31591,"type":"article-journal","container-title":"Transportation Research Part A: Policy and Practice","DOI":"10.1016/j.tra.2017.10.004","ISSN":"09658564","journalAbbreviation":"Transportation Research Part A: Policy and Practice","language":"en","page":"320-332","source":"DOI.org (Crossref)","title":"Assessing the transition towards battery electric vehicles: a multi-level perspective on drivers of, and barriers to, take up","title-short":"Assessing the transition towards battery electric vehicles","volume":"106","author":[{"family":"Berkeley","given":"Nigel"},{"family":"Bailey","given":"David"},{"family":"Jones","given":"Andrew"},{"family":"Jarvis","given"</w:instrText>
            </w:r>
            <w:r w:rsidR="00E9108F" w:rsidRPr="00EF6D91">
              <w:rPr>
                <w:color w:val="000000" w:themeColor="text1"/>
                <w:sz w:val="16"/>
                <w:szCs w:val="16"/>
                <w:lang w:val="es-MX"/>
              </w:rPr>
              <w:instrText xml:space="preserve">:"David"}],"issued":{"date-parts":[["2017",12]]}}},{"id":31640,"uris":["http://zotero.org/users/10594755/items/5RF5E2IN"],"itemData":{"id":31640,"type":"article-journal","container-title":"Research in Transportation Economics","DOI":"10.1016/j.retrec.2017.08.004","ISSN":"07398859","journalAbbreviation":"Research in Transportation Economics","language":"en","page":"48-60","source":"DOI.org (Crossref)","title":"Suitability of commercial transport for a shift to electric mobility with Denmark and Germany as use cases","volume":"64","author":[{"family":"Christensen","given":"Linda"},{"family":"Klauenberg","given":"Jens"},{"family":"Kveiborg","given":"Ole"},{"family":"Rudolph","given":"Christian"}],"issued":{"date-parts":[["2017",9]]}}},{"id":47993,"uris":["http://zotero.org/users/10594755/items/E6ZHKNK7"],"itemData":{"id":47993,"type":"article-journal","container-title":"Journal of Cleaner Production","DOI":"10.1016/j.jclepro.2021.125847","ISSN":"09596526","journalAbbreviation":"Journal of Cleaner Production","language":"en","page":"125847","source":"DOI.org (Crossref)","title":"Barriers to the adoption of electric vehicles: Evidence from India","title-short":"Barriers to the adoption of electric vehicles","volume":"291","author":[{"family":"Tarei","given":"Pradeep Kumar"},{"family":"Chand","given":"Pushpendu"},{"family":"Gupta","given":"Himanshu"}],"issued":{"date-parts":[["2021",4]]}}}],"schema":"https://github.com/citation-style-language/schema/raw/master/csl-citation.json"} </w:instrText>
            </w:r>
            <w:r w:rsidRPr="00EF6D91">
              <w:rPr>
                <w:color w:val="000000" w:themeColor="text1"/>
                <w:sz w:val="16"/>
                <w:szCs w:val="16"/>
              </w:rPr>
              <w:fldChar w:fldCharType="separate"/>
            </w:r>
            <w:r w:rsidR="00E9108F" w:rsidRPr="00EF6D91">
              <w:rPr>
                <w:sz w:val="16"/>
                <w:lang w:val="es-MX"/>
              </w:rPr>
              <w:t xml:space="preserve">(Anosike </w:t>
            </w:r>
            <w:r w:rsidR="00E9108F" w:rsidRPr="00EF6D91">
              <w:rPr>
                <w:i/>
                <w:iCs/>
                <w:sz w:val="16"/>
                <w:lang w:val="es-MX"/>
              </w:rPr>
              <w:t>et al.</w:t>
            </w:r>
            <w:r w:rsidR="00E9108F" w:rsidRPr="00EF6D91">
              <w:rPr>
                <w:sz w:val="16"/>
                <w:lang w:val="es-MX"/>
              </w:rPr>
              <w:t xml:space="preserve">, 2023; Berkeley </w:t>
            </w:r>
            <w:r w:rsidR="00E9108F" w:rsidRPr="00EF6D91">
              <w:rPr>
                <w:i/>
                <w:iCs/>
                <w:sz w:val="16"/>
                <w:lang w:val="es-MX"/>
              </w:rPr>
              <w:t>et al.</w:t>
            </w:r>
            <w:r w:rsidR="00E9108F" w:rsidRPr="00EF6D91">
              <w:rPr>
                <w:sz w:val="16"/>
                <w:lang w:val="es-MX"/>
              </w:rPr>
              <w:t xml:space="preserve">, 2017; Christensen </w:t>
            </w:r>
            <w:r w:rsidR="00E9108F" w:rsidRPr="00EF6D91">
              <w:rPr>
                <w:i/>
                <w:iCs/>
                <w:sz w:val="16"/>
                <w:lang w:val="es-MX"/>
              </w:rPr>
              <w:t>et al.</w:t>
            </w:r>
            <w:r w:rsidR="00E9108F" w:rsidRPr="00EF6D91">
              <w:rPr>
                <w:sz w:val="16"/>
                <w:lang w:val="es-MX"/>
              </w:rPr>
              <w:t xml:space="preserve">, 2017; Tarei </w:t>
            </w:r>
            <w:r w:rsidR="00E9108F" w:rsidRPr="00EF6D91">
              <w:rPr>
                <w:i/>
                <w:iCs/>
                <w:sz w:val="16"/>
                <w:lang w:val="es-MX"/>
              </w:rPr>
              <w:t>et al.</w:t>
            </w:r>
            <w:r w:rsidR="00E9108F" w:rsidRPr="00EF6D91">
              <w:rPr>
                <w:sz w:val="16"/>
                <w:lang w:val="es-MX"/>
              </w:rPr>
              <w:t>, 2021)</w:t>
            </w:r>
            <w:r w:rsidRPr="00EF6D91">
              <w:rPr>
                <w:color w:val="000000" w:themeColor="text1"/>
                <w:sz w:val="16"/>
                <w:szCs w:val="16"/>
              </w:rPr>
              <w:fldChar w:fldCharType="end"/>
            </w:r>
            <w:r w:rsidRPr="00EF6D91">
              <w:rPr>
                <w:color w:val="000000" w:themeColor="text1"/>
                <w:sz w:val="16"/>
                <w:szCs w:val="16"/>
                <w:lang w:val="es-MX"/>
              </w:rPr>
              <w:t xml:space="preserve">. </w:t>
            </w:r>
          </w:p>
        </w:tc>
      </w:tr>
      <w:tr w:rsidR="00B525F2" w:rsidRPr="00EF6D91" w14:paraId="0F2877C3" w14:textId="77777777" w:rsidTr="0086245C">
        <w:tc>
          <w:tcPr>
            <w:tcW w:w="465" w:type="dxa"/>
          </w:tcPr>
          <w:p w14:paraId="28BF6E4C" w14:textId="676037A8"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8 </w:t>
            </w:r>
          </w:p>
        </w:tc>
        <w:tc>
          <w:tcPr>
            <w:tcW w:w="1657" w:type="dxa"/>
          </w:tcPr>
          <w:p w14:paraId="52F7347F" w14:textId="585DAEEF"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Limited Loading Capacity </w:t>
            </w:r>
          </w:p>
        </w:tc>
        <w:tc>
          <w:tcPr>
            <w:tcW w:w="4677" w:type="dxa"/>
          </w:tcPr>
          <w:p w14:paraId="70A5D2A3"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The weight and size of EVs pose a further issue, reducing payload capacity compared to traditional vehicles. The additional weight of the battery contributes to a reduction in the automobile's freight capacity.</w:t>
            </w:r>
          </w:p>
        </w:tc>
        <w:tc>
          <w:tcPr>
            <w:tcW w:w="2217" w:type="dxa"/>
          </w:tcPr>
          <w:p w14:paraId="248EA3A3" w14:textId="592E2481" w:rsidR="00D10E02" w:rsidRPr="00EF6D91" w:rsidRDefault="00D10E02" w:rsidP="0086245C">
            <w:pPr>
              <w:pStyle w:val="Default"/>
              <w:rPr>
                <w:color w:val="000000" w:themeColor="text1"/>
                <w:sz w:val="16"/>
                <w:szCs w:val="16"/>
              </w:rPr>
            </w:pPr>
            <w:r w:rsidRPr="00EF6D91">
              <w:rPr>
                <w:color w:val="000000" w:themeColor="text1"/>
                <w:sz w:val="16"/>
                <w:szCs w:val="16"/>
              </w:rPr>
              <w:fldChar w:fldCharType="begin"/>
            </w:r>
            <w:r w:rsidR="009B06E8" w:rsidRPr="00EF6D91">
              <w:rPr>
                <w:color w:val="000000" w:themeColor="text1"/>
                <w:sz w:val="16"/>
                <w:szCs w:val="16"/>
              </w:rPr>
              <w:instrText xml:space="preserve"> ADDIN ZOTERO_ITEM CSL_CITATION {"citationID":"yOz1oCJR","properties":{"formattedCitation":"(Anosike {\\i{}et al.}, 2023; Christensen {\\i{}et al.}, 2017; Morganti and Browne, 2018, 2018)","plainCitation":"(Anosike et al., 2023; Christensen et al., 2017; Morganti and Browne, 2018, 2018)","noteIndex":0},"citationItems":[{"id":31598,"uris":["http://zotero.org/users/10594755/items/NMS45AKI"],"itemData":{"id":31598,"type":"article-journal","container-title":"International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Arturo"}],"issued":{"date-parts":[["2023",6,3]]}}},{"id":31640,"uris":["http://zotero.org/users/10594755/items/5RF5E2IN"],"itemData":{"id":31640,"type":"article-journal","container-title":"Research in Transportation Economics","DOI":"10.1016/j.retrec.2017.08.004","ISSN":"07398859","journalAbbreviation":"Research in Transportation Economics","language":"en","page":"48-60","source":"DOI.org (Crossref)","title":"Suitability of commercial transport for a shift to electric mobility with Denmark and Germany as use cases","volume":"64","author":[{"family":"Christensen","given":"Linda"},{"family":"Klauenberg","given":"Jens"},{"family":"Kveiborg","given":"Ole"},{"family":"Rudolph","given":"Christian"}],"issued":{"date-parts":[["2017",9]]}}},{"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UK","volume":"63","author":[{"family":"Morganti","given":"Eleonora"},{"family":"Browne","given":"Michael"}],"issued":{"date-parts":[["2018",4]]}}}],"schema":"https://github.com/citation-style-language/schema/raw/master/csl-citation.json"} </w:instrText>
            </w:r>
            <w:r w:rsidRPr="00EF6D91">
              <w:rPr>
                <w:color w:val="000000" w:themeColor="text1"/>
                <w:sz w:val="16"/>
                <w:szCs w:val="16"/>
              </w:rPr>
              <w:fldChar w:fldCharType="separate"/>
            </w:r>
            <w:r w:rsidR="009B06E8" w:rsidRPr="00EF6D91">
              <w:rPr>
                <w:sz w:val="16"/>
              </w:rPr>
              <w:t xml:space="preserve">(Anosike </w:t>
            </w:r>
            <w:r w:rsidR="009B06E8" w:rsidRPr="00EF6D91">
              <w:rPr>
                <w:i/>
                <w:iCs/>
                <w:sz w:val="16"/>
              </w:rPr>
              <w:t>et al.</w:t>
            </w:r>
            <w:r w:rsidR="009B06E8" w:rsidRPr="00EF6D91">
              <w:rPr>
                <w:sz w:val="16"/>
              </w:rPr>
              <w:t xml:space="preserve">, 2023; Christensen </w:t>
            </w:r>
            <w:r w:rsidR="009B06E8" w:rsidRPr="00EF6D91">
              <w:rPr>
                <w:i/>
                <w:iCs/>
                <w:sz w:val="16"/>
              </w:rPr>
              <w:t>et al.</w:t>
            </w:r>
            <w:r w:rsidR="009B06E8" w:rsidRPr="00EF6D91">
              <w:rPr>
                <w:sz w:val="16"/>
              </w:rPr>
              <w:t>, 2017; Morganti and Browne, 2018, 2018)</w:t>
            </w:r>
            <w:r w:rsidRPr="00EF6D91">
              <w:rPr>
                <w:color w:val="000000" w:themeColor="text1"/>
                <w:sz w:val="16"/>
                <w:szCs w:val="16"/>
              </w:rPr>
              <w:fldChar w:fldCharType="end"/>
            </w:r>
            <w:r w:rsidRPr="00EF6D91">
              <w:rPr>
                <w:color w:val="000000" w:themeColor="text1"/>
                <w:sz w:val="16"/>
                <w:szCs w:val="16"/>
              </w:rPr>
              <w:t xml:space="preserve">. </w:t>
            </w:r>
          </w:p>
        </w:tc>
      </w:tr>
      <w:tr w:rsidR="00B525F2" w:rsidRPr="00EF6D91" w14:paraId="1C60FBD4" w14:textId="77777777" w:rsidTr="0086245C">
        <w:tc>
          <w:tcPr>
            <w:tcW w:w="465" w:type="dxa"/>
          </w:tcPr>
          <w:p w14:paraId="1E873BA0" w14:textId="71440311"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9 </w:t>
            </w:r>
          </w:p>
        </w:tc>
        <w:tc>
          <w:tcPr>
            <w:tcW w:w="1657" w:type="dxa"/>
          </w:tcPr>
          <w:p w14:paraId="45071D0D" w14:textId="1D0CE2EA"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Limited Raw Material Availability </w:t>
            </w:r>
          </w:p>
        </w:tc>
        <w:tc>
          <w:tcPr>
            <w:tcW w:w="4677" w:type="dxa"/>
          </w:tcPr>
          <w:p w14:paraId="3CF250D7"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increasing demand for EVs requires considerable raw materials, some rare metals with an irregular supply. </w:t>
            </w:r>
          </w:p>
        </w:tc>
        <w:tc>
          <w:tcPr>
            <w:tcW w:w="2217" w:type="dxa"/>
          </w:tcPr>
          <w:p w14:paraId="37142F22" w14:textId="3CCE4051"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{"citationID":"TH5aN8cI","properties":{"formattedCitation":"(Biresselioglu {\\i{}et al.}, 2018)","plainCitation":"(Biresselioglu et al., 2018)","noteIndex":0},"citationItems":[{"id":31593,"uris":["http://zotero.org/users/10594755/items/QQBU6W6J"],"itemData":{"id":31593,"type":"article-journal","container-title":"Transportation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(Biresselioglu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2018)</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A22DBA" w14:paraId="015D1411" w14:textId="77777777" w:rsidTr="0086245C">
        <w:tc>
          <w:tcPr>
            <w:tcW w:w="465" w:type="dxa"/>
          </w:tcPr>
          <w:p w14:paraId="4FA9AAA3" w14:textId="5936979D"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10 </w:t>
            </w:r>
          </w:p>
        </w:tc>
        <w:tc>
          <w:tcPr>
            <w:tcW w:w="1657" w:type="dxa"/>
          </w:tcPr>
          <w:p w14:paraId="3B041904" w14:textId="1269E78E"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Battery costs </w:t>
            </w:r>
          </w:p>
        </w:tc>
        <w:tc>
          <w:tcPr>
            <w:tcW w:w="4677" w:type="dxa"/>
          </w:tcPr>
          <w:p w14:paraId="27407437"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Although EVs can reduce fuel, their economic viability may be lower due to high battery prices. </w:t>
            </w:r>
          </w:p>
        </w:tc>
        <w:tc>
          <w:tcPr>
            <w:tcW w:w="2217" w:type="dxa"/>
          </w:tcPr>
          <w:p w14:paraId="6EB71993" w14:textId="36539C24" w:rsidR="00D10E02" w:rsidRPr="00A22DBA"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fldChar w:fldCharType="begin"/>
            </w:r>
            <w:r w:rsidR="00AA1544" w:rsidRPr="00A22DBA">
              <w:rPr>
                <w:rFonts w:ascii="Times New Roman" w:hAnsi="Times New Roman" w:cs="Times New Roman"/>
                <w:color w:val="000000" w:themeColor="text1"/>
                <w:sz w:val="16"/>
                <w:szCs w:val="16"/>
                <w:lang w:val="es-MX"/>
              </w:rPr>
              <w:instrText xml:space="preserve"> ADDIN ZOTERO_ITEM CSL_CITATION {"citationID":"ripKfbxf","properties":{"formattedCitation":"(Biresselioglu {\\i{}et al.}, 2018; Haddadian {\\i{}et al.}, 2015; Lal {\\i{}et al.}, 2023)","plainCitation":"(Biresselioglu et al., 2018; Haddadian et al., 2015; Lal et al., 2023)","noteIndex":0},"citationItems":[{"id":31593,"uris":["http://zotero.org/users/10594755/items/QQBU6W6J"],"itemData":{"id":31593,"type":"article-journal","container-title":"Transportation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48008,"uris":["http://zotero.org/users/10594755/items/YEDWHYYH"],"itemData":{"id":48008,"type":"article-journal","container-title":"Journal of Cleaner Production","DOI":"10.1016/j.jclepro.2023.137933","ISSN":"09596526","journalAbbreviation":"Journal of Cleaner Production","language":"en","page":"137933","source":"DOI.org (Crossref)","title":"Electrifying light commercial vehicles for last-mile deliveries: Environmental and economic perspectives","title-short":"Electrifying light commercial vehicles for last-mile deliveries","volume":"416","author":[{"family":"Lal","given":"Apoorv"},{"family":"Renaldy","given":"Thomas"},{"family":"Breuning","given":"Larissa"},{"family":"Hamacher","given":"Thomas"},{"family":"You","given":"Fengqi"}],"issued":{"date-parts":[["2023",9]]}}}],"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AA1544" w:rsidRPr="00A22DBA">
              <w:rPr>
                <w:rFonts w:ascii="Times New Roman" w:hAnsi="Times New Roman" w:cs="Times New Roman"/>
                <w:kern w:val="0"/>
                <w:sz w:val="16"/>
                <w:lang w:val="es-MX"/>
              </w:rPr>
              <w:t>(</w:t>
            </w:r>
            <w:proofErr w:type="spellStart"/>
            <w:r w:rsidR="00AA1544" w:rsidRPr="00A22DBA">
              <w:rPr>
                <w:rFonts w:ascii="Times New Roman" w:hAnsi="Times New Roman" w:cs="Times New Roman"/>
                <w:kern w:val="0"/>
                <w:sz w:val="16"/>
                <w:lang w:val="es-MX"/>
              </w:rPr>
              <w:t>Biresselioglu</w:t>
            </w:r>
            <w:proofErr w:type="spellEnd"/>
            <w:r w:rsidR="00AA1544" w:rsidRPr="00A22DBA">
              <w:rPr>
                <w:rFonts w:ascii="Times New Roman" w:hAnsi="Times New Roman" w:cs="Times New Roman"/>
                <w:kern w:val="0"/>
                <w:sz w:val="16"/>
                <w:lang w:val="es-MX"/>
              </w:rPr>
              <w:t xml:space="preserve"> </w:t>
            </w:r>
            <w:r w:rsidR="00AA1544" w:rsidRPr="00A22DBA">
              <w:rPr>
                <w:rFonts w:ascii="Times New Roman" w:hAnsi="Times New Roman" w:cs="Times New Roman"/>
                <w:i/>
                <w:iCs/>
                <w:kern w:val="0"/>
                <w:sz w:val="16"/>
                <w:lang w:val="es-MX"/>
              </w:rPr>
              <w:t>et al.</w:t>
            </w:r>
            <w:r w:rsidR="00AA1544" w:rsidRPr="00A22DBA">
              <w:rPr>
                <w:rFonts w:ascii="Times New Roman" w:hAnsi="Times New Roman" w:cs="Times New Roman"/>
                <w:kern w:val="0"/>
                <w:sz w:val="16"/>
                <w:lang w:val="es-MX"/>
              </w:rPr>
              <w:t xml:space="preserve">, 2018; </w:t>
            </w:r>
            <w:proofErr w:type="spellStart"/>
            <w:r w:rsidR="00AA1544" w:rsidRPr="00A22DBA">
              <w:rPr>
                <w:rFonts w:ascii="Times New Roman" w:hAnsi="Times New Roman" w:cs="Times New Roman"/>
                <w:kern w:val="0"/>
                <w:sz w:val="16"/>
                <w:lang w:val="es-MX"/>
              </w:rPr>
              <w:t>Lal</w:t>
            </w:r>
            <w:proofErr w:type="spellEnd"/>
            <w:r w:rsidR="00AA1544" w:rsidRPr="00A22DBA">
              <w:rPr>
                <w:rFonts w:ascii="Times New Roman" w:hAnsi="Times New Roman" w:cs="Times New Roman"/>
                <w:kern w:val="0"/>
                <w:sz w:val="16"/>
                <w:lang w:val="es-MX"/>
              </w:rPr>
              <w:t xml:space="preserve"> </w:t>
            </w:r>
            <w:r w:rsidR="00AA1544" w:rsidRPr="00A22DBA">
              <w:rPr>
                <w:rFonts w:ascii="Times New Roman" w:hAnsi="Times New Roman" w:cs="Times New Roman"/>
                <w:i/>
                <w:iCs/>
                <w:kern w:val="0"/>
                <w:sz w:val="16"/>
                <w:lang w:val="es-MX"/>
              </w:rPr>
              <w:t>et al.</w:t>
            </w:r>
            <w:r w:rsidR="00AA1544" w:rsidRPr="00A22DBA">
              <w:rPr>
                <w:rFonts w:ascii="Times New Roman" w:hAnsi="Times New Roman" w:cs="Times New Roman"/>
                <w:kern w:val="0"/>
                <w:sz w:val="16"/>
                <w:lang w:val="es-MX"/>
              </w:rPr>
              <w:t>, 2023)</w:t>
            </w:r>
            <w:r w:rsidRPr="00EF6D91">
              <w:rPr>
                <w:rFonts w:ascii="Times New Roman" w:hAnsi="Times New Roman" w:cs="Times New Roman"/>
                <w:color w:val="000000" w:themeColor="text1"/>
                <w:sz w:val="16"/>
                <w:szCs w:val="16"/>
              </w:rPr>
              <w:fldChar w:fldCharType="end"/>
            </w:r>
            <w:r w:rsidRPr="00A22DBA">
              <w:rPr>
                <w:rFonts w:ascii="Times New Roman" w:hAnsi="Times New Roman" w:cs="Times New Roman"/>
                <w:color w:val="000000" w:themeColor="text1"/>
                <w:sz w:val="16"/>
                <w:szCs w:val="16"/>
                <w:lang w:val="es-MX"/>
              </w:rPr>
              <w:t xml:space="preserve">. </w:t>
            </w:r>
          </w:p>
        </w:tc>
      </w:tr>
      <w:tr w:rsidR="00B525F2" w:rsidRPr="00EF6D91" w14:paraId="6D5E03B2" w14:textId="77777777" w:rsidTr="0086245C">
        <w:tc>
          <w:tcPr>
            <w:tcW w:w="465" w:type="dxa"/>
          </w:tcPr>
          <w:p w14:paraId="6AD786CC" w14:textId="1E63465E"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11 </w:t>
            </w:r>
          </w:p>
        </w:tc>
        <w:tc>
          <w:tcPr>
            <w:tcW w:w="1657" w:type="dxa"/>
          </w:tcPr>
          <w:p w14:paraId="695B29E8" w14:textId="03E4DD13"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Battery lifespan </w:t>
            </w:r>
          </w:p>
        </w:tc>
        <w:tc>
          <w:tcPr>
            <w:tcW w:w="4677" w:type="dxa"/>
          </w:tcPr>
          <w:p w14:paraId="6963A0F1"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The high utilization of batteries in LMD makes buyers think their useful life is short.</w:t>
            </w:r>
          </w:p>
        </w:tc>
        <w:tc>
          <w:tcPr>
            <w:tcW w:w="2217" w:type="dxa"/>
          </w:tcPr>
          <w:p w14:paraId="2E221A77" w14:textId="1B2A6DB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{"citationID":"sRAb1Cjw","properties":{"formattedCitation":"(Gao {\\i{}et al.}, 2019; Pelletier {\\i{}et al.}, 2018; Quak {\\i{}et al.}, 2016; Sch\\uc0\\u252{}cking {\\i{}et al.}, 2017)","plainCitation":"(Gao et al., 2019; Pelletier et al., 2018; Quak et al., 2016; Schücking et al., 2017)","noteIndex":0},"citationItems":[{"id":31603,"uris":["http://zotero.org/users/10594755/items/BBSP6WAA"],"itemData":{"id":31603,"type":"article-journal","container-title":"IEEE Access","DOI":"10.1109/ACCESS.2019.2906117","ISSN":"2169-3536","journalAbbreviation":"IEEE Access","page":"43511-43524","source":"DOI.org (Crossref)","title":"Classification and review of the charging strategies for commercial lithium-ion batteries","volume":"7","author":[{"family":"Gao","given":"Yizhao"},{"family":"Zhang","given":"Xi"},{"family":"Cheng","given":"Qiyu"},{"family":"Guo","given":"Bangjun"},{"family":"Yang","given":"Jun"}],"issued":{"date-parts":[["2019"]]}}},{"id":31602,"uris":["http://zotero.org/users/10594755/items/TBR8ZGSD"],"itemData":{"id":31602,"type":"article-journal","container-title":"Transportation Research Part B: Methodological","DOI":"10.1016/j.trb.2018.07.010","ISSN":"01912615","journalAbbreviation":"Transportation Research Part B: Methodological","language":"en","page":"246-269","source":"DOI.org (Crossref)","title":"Charge scheduling for electric freight vehicles","volume":"115","author":[{"family":"Pelletier","given":"Samuel"},{"family":"Jabali","given":"Ola"},{"family":"Laporte","given":"Gilbert"}],"issued":{"date-parts":[["2018",9]]}}},{"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Rooijen","given":"Tariq"}],"issued":{"date-parts":[["2016"]]}}},{"id":31597,"uris":["http://zotero.org/users/10594755/items/PVWTM4EN"],"itemData":{"id":31597,"type":"article-journal","container-title":"Transportation Research Part D: Transport and Environment","DOI":"10.1016/j.trd.2016.11.032","ISSN":"13619209","journalAbbreviation":"Transportation Research Part D: Transport and Environment","language":"en","page":"173-189","source":"DOI.org (Crossref)","title":"Charging strategies for economic operations of electric vehicles in commercial applications","volume":"51","author":[{"family":"Schücking","given":"Maximilian"},{"family":"Jochem","given":"Patrick"},{"family":"Fichtner","given":"Wolf"},{"family":"Wollersheim","given":"Olaf"},{"family":"Stella","given":"Kevin"}],"issued":{"date-parts":[["2017",3]]}}}],"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(Gao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2019; Pelletier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2018; </w:t>
            </w:r>
            <w:proofErr w:type="spellStart"/>
            <w:r w:rsidR="00E9108F" w:rsidRPr="00EF6D91">
              <w:rPr>
                <w:rFonts w:ascii="Times New Roman" w:hAnsi="Times New Roman" w:cs="Times New Roman"/>
                <w:kern w:val="0"/>
                <w:sz w:val="16"/>
              </w:rPr>
              <w:t>Schücking</w:t>
            </w:r>
            <w:proofErr w:type="spellEnd"/>
            <w:r w:rsidR="00E9108F" w:rsidRPr="00EF6D91">
              <w:rPr>
                <w:rFonts w:ascii="Times New Roman" w:hAnsi="Times New Roman" w:cs="Times New Roman"/>
                <w:kern w:val="0"/>
                <w:sz w:val="16"/>
              </w:rPr>
              <w:t xml:space="preserve">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2017)</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EF6D91" w14:paraId="7407F7BF" w14:textId="77777777" w:rsidTr="0086245C">
        <w:tc>
          <w:tcPr>
            <w:tcW w:w="465" w:type="dxa"/>
          </w:tcPr>
          <w:p w14:paraId="4AC0B3E8" w14:textId="618F3FF1"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12 </w:t>
            </w:r>
          </w:p>
        </w:tc>
        <w:tc>
          <w:tcPr>
            <w:tcW w:w="1657" w:type="dxa"/>
          </w:tcPr>
          <w:p w14:paraId="5DC2A904" w14:textId="7E01D500"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Inadequate infrastructure for battery swapping </w:t>
            </w:r>
          </w:p>
        </w:tc>
        <w:tc>
          <w:tcPr>
            <w:tcW w:w="4677" w:type="dxa"/>
          </w:tcPr>
          <w:p w14:paraId="0FDAE136"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insufficient availability of battery swapping stations limits the practicality of battery switching to reduce EV range anxiety and increase the driving range. </w:t>
            </w:r>
          </w:p>
        </w:tc>
        <w:tc>
          <w:tcPr>
            <w:tcW w:w="2217" w:type="dxa"/>
          </w:tcPr>
          <w:p w14:paraId="5AFE9787" w14:textId="6E4CCA7F"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{"citationID":"gh1ARRYR","properties":{"formattedCitation":"(Anosike {\\i{}et al.}, 2023; Keskin and \\uc0\\u199{}atay, 2016; Kuppusamy {\\i{}et al.}, 2017)","plainCitation":"(Anosike et al., 2023; Keskin and Çatay, 2016; Kuppusamy et al., 2017)","noteIndex":0},"citationItems":[{"id":31598,"uris":["http://zotero.org/users/10594755/items/NMS45AKI"],"itemData":{"id":31598,"type":"article-journal","container-title":"International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Arturo"}],"issued":{"date-parts":[["2023",6,3]]}}},{"id":31604,"uris":["http://zotero.org/users/10594755/items/UHRSWKKR"],"itemData":{"id":31604,"type":"article-journal","container-title":"Transportation Research Part C: Emerging Technologies","DOI":"10.1016/j.trc.2016.01.013","ISSN":"0968090X","journalAbbreviation":"Transportation Research Part C: Emerging Technologies","language":"en","page":"111-127","source":"DOI.org (Crossref)","title":"Partial recharge strategies for the electric vehicle routing problem with time windows","volume":"65","author":[{"family":"Keskin","given":"Merve"},{"family":"Çatay","given":"Bülent"}],"issued":{"date-parts":[["2016",4]]}}},{"id":31592,"uris":["http://zotero.org/users/10594755/items/2W8HUZ4D"],"itemData":{"id":31592,"type":"article-journal","container-title":"European Journal of Operational Research","DOI":"10.1016/j.ejor.2017.03.039","ISSN":"03772217","issue":"1","journalAbbreviation":"European Journal of Operational Research","language":"en","page":"123-135","source":"DOI.org (Crossref)","title":"Electric vehicle adoption decisions in a fleet environment","volume":"262","author":[{"family":"Kuppusamy","given":"Saravanan"},{"family":"Magazine","given":"Michael J."},{"family":"Rao","given":"Uday"}],"issued":{"date-parts":[["2017",10]]}}}],"schema":"https://github.com/citation-style-language/schema/raw/master/csl-citation.json"}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(Anosike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2023; Keskin and Çatay, 2016; Kuppusamy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2017)</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EF6D91" w14:paraId="2DFF2CA7" w14:textId="77777777" w:rsidTr="0086245C">
        <w:tc>
          <w:tcPr>
            <w:tcW w:w="465" w:type="dxa"/>
          </w:tcPr>
          <w:p w14:paraId="70B85531" w14:textId="4F94D871"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13 </w:t>
            </w:r>
          </w:p>
        </w:tc>
        <w:tc>
          <w:tcPr>
            <w:tcW w:w="1657" w:type="dxa"/>
          </w:tcPr>
          <w:p w14:paraId="6AA92DE9" w14:textId="27555C8F"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Inventory cost for battery swapping </w:t>
            </w:r>
          </w:p>
        </w:tc>
        <w:tc>
          <w:tcPr>
            <w:tcW w:w="4677" w:type="dxa"/>
          </w:tcPr>
          <w:p w14:paraId="7753403F"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Holding a sufficient inventory of fully charged batteries for swapping results in additional expenses, increasing the overall costs of EV operations. </w:t>
            </w:r>
          </w:p>
        </w:tc>
        <w:tc>
          <w:tcPr>
            <w:tcW w:w="2217" w:type="dxa"/>
          </w:tcPr>
          <w:p w14:paraId="4FD4B3B6" w14:textId="74A6AA63"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{"citationID":"vo6x9ax8","properties":{"formattedCitation":"(Anosike {\\i{}et al.}, 2023; Kuppusamy {\\i{}et al.}, 2017; Quak {\\i{}et al.}, 2016)","plainCitation":"(Anosike et al., 2023; Kuppusamy et al., 2017; Quak et al., 2016)","noteIndex":0},"citationItems":[{"id":31598,"uris":["http://zotero.org/users/10594755/items/NMS45AKI"],"itemData":{"id":31598,"type":"article-journal","container-title":"International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Arturo"}],"issued":{"date-parts":[["2023",6,3]]}}},{"id":31592,"uris":["http://zotero.org/users/10594755/items/2W8HUZ4D"],"itemData":{"id":31592,"type":"article-journal","container-title":"European Journal of Operational Research","DOI":"10.1016/j.ejor.2017.03.039","ISSN":"03772217","issue":"1","journalAbbreviation":"European Journal of Operational Research","language":"en","page":"123-135","source":"DOI.org (Crossref)","title":"Electric vehicle adoption decisions in a fleet environment","volume":"262","author":[{"family":"Kuppusamy","given":"Saravanan"},{"family":"Magazine","given":"Michael J."},{"family":"Rao","given":"Uday"}],"issued":{"date-parts":[["2017",10]]}}},{"id":31595,"uris":["http://zotero.org/users/10594755/items/FV4KGF4J"],"itemData":{"id":31595,"type":"article-journal","container-title":"Transportation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(Anosike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2023; Kuppusamy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2017)</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C6516B" w14:paraId="0110CEB7" w14:textId="77777777" w:rsidTr="0086245C">
        <w:tc>
          <w:tcPr>
            <w:tcW w:w="465" w:type="dxa"/>
          </w:tcPr>
          <w:p w14:paraId="3160CCD9" w14:textId="1C40435D"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14 </w:t>
            </w:r>
          </w:p>
        </w:tc>
        <w:tc>
          <w:tcPr>
            <w:tcW w:w="1657" w:type="dxa"/>
          </w:tcPr>
          <w:p w14:paraId="699F73ED" w14:textId="10CCA1A9"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high initial upfront price </w:t>
            </w:r>
          </w:p>
        </w:tc>
        <w:tc>
          <w:tcPr>
            <w:tcW w:w="4677" w:type="dxa"/>
          </w:tcPr>
          <w:p w14:paraId="252F35CC" w14:textId="15BC040C" w:rsidR="00D10E02" w:rsidRPr="00EF6D91" w:rsidRDefault="005E5B8D"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Due to limited production, the high purchase cost of EVs can be a significant barrier to fleet operations' adop</w:t>
            </w:r>
            <w:r w:rsidR="00D10E02" w:rsidRPr="00EF6D91">
              <w:rPr>
                <w:rFonts w:ascii="Times New Roman" w:hAnsi="Times New Roman" w:cs="Times New Roman"/>
                <w:color w:val="000000" w:themeColor="text1"/>
                <w:sz w:val="16"/>
                <w:szCs w:val="16"/>
              </w:rPr>
              <w:t xml:space="preserve">tion. </w:t>
            </w:r>
          </w:p>
        </w:tc>
        <w:tc>
          <w:tcPr>
            <w:tcW w:w="2217" w:type="dxa"/>
          </w:tcPr>
          <w:p w14:paraId="1F2F9FC3" w14:textId="668BEA5F" w:rsidR="00D10E02" w:rsidRPr="00EF6D91"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fldChar w:fldCharType="begin"/>
            </w:r>
            <w:r w:rsidR="00B77513" w:rsidRPr="00EF6D91">
              <w:rPr>
                <w:rFonts w:ascii="Times New Roman" w:hAnsi="Times New Roman" w:cs="Times New Roman"/>
                <w:color w:val="000000" w:themeColor="text1"/>
                <w:sz w:val="16"/>
                <w:szCs w:val="16"/>
              </w:rPr>
              <w:instrText xml:space="preserve"> ADDIN ZOTERO_ITEM CSL_CITATION {"citationID":"tqk6G1pC","properties":{"formattedCitation":"(Biresselioglu {\\i{}et al.}, 2018; D\\uc0\\u8217{}Adamo, Gastaldi and Ozturk, 2023; D\\uc0\\u8217{}Adamo, Gastaldi, Piccioni, {\\i{}et al.}, 2023; Knupfer {\\i{}et al.}, 2016; Patyal {\\i{}et al.}, 2021; Quak {\\i{}et al.}, 2016; Siragusa {\\i{}et al.}, 2022)","plainCitation":"(Biresselioglu et al., 2018; D’Adamo, Gastaldi and Ozturk, 2023; D’Adamo, Gastaldi, Piccioni, et al., 2023; Knupfer et al., 2016; Patyal et al., 2021; Quak et al., 2016; Siragusa et al., 2022)","noteIndex":0},"citationItems":[{"id":31593,"uris":["http://zotero.org/users/10594755/items/QQBU6W6J"],"itemData":{"id":31593,"type":"article-journal","container-title":"Transportation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Katharina"}],"issued":{"date-parts":[["2018",3]]}}},{"id":47999,"uris":["http://zotero.org/users/10594755/items/ICKAKBII"],"itemData":{"id":47999,"type":"article-journal","abstract":"Abstract\nThe transportation sector has a strong negative impact on the environment and therefore requires new sustainable development measures. This paper proposes a new indicator of sustainability in transport obtained through a multi‐criteria analysis based on Eurostat data and a panel of 10 academics. The results show a positive performance of Sweden in the period 2015–2019 and a small number of countries above the European average. Furthermore, a quantitative analysis based on these experts identifies the critical success factors associated with purchasing electric vehicles. The greatest importance is assigned to purchase cost, followed by battery autonomy. Our analysis proposes that electric vehicles are unable to achieve a sustainable transition unless three conditions are met: (i) use of renewable sources, (ii) local industrial development of the sector, and (iii) battery recycling. Therefore, Europe urgently needs to realize new industrial activities and avoid social unsustainability. The long‐term objective of a policy plan is to promote independence from external sources of energy, materials, and other resources.","container-title":"Sustainable Development","DOI":"10.1002/sd.2424","ISSN":"0968-0802, 1099-1719","issue":"2","journalAbbreviation":"Sustainable Development","language":"en","page":"840-852","source":"DOI.org (Crossref)","title":"The sustainable development of mobility in the green transition: Renewable energy, local industrial chain, and battery recycling","title-short":"The sustainable development of mobility in the green transition","volume":"31","author":[{"family":"D'Adamo","given":"Idiano"},{"family":"Gastaldi","given":"Massimo"},{"family":"Ozturk","given":"Ilhan"}],"issued":{"date-parts":[["2023",4]]}}},{"id":47996,"uris":["http://zotero.org/users/10594755/items/4TDVZHJ5"],"itemData":{"id":47996,"type":"article-journal","abstract":"Abstract\nEven if the European Commission is acting against the climate change, greenhouse gas emissions are still increasing in the transport sector. In this scenario, the flexibility characterizing the automotive sectors could invert this negative trend. The goal of this work is identifying suitable methodologies to evaluate flexible initiatives in automotive contexts, with a specific focus on sustainable mobility and electric vehicles (EVs). The results show that stakeholders identify purchase price as a determinant in the choice to purchase an EV, while for a model toward a sustainable e-mobility transition, experts place emphasis on renewable energy production and consumers on charging stations. A flexible approach in policy choices is also suggested in order to foster a pragmatic sustainability model in which the deployment of EVs is accompanied by green and circular practices. However, such change also requires attention to be paid to the social sphere with job creation and a spread of consumer knowledge toward sustainable choices.","container-title":"Global Journal of Flexible Systems Management","DOI":"10.1007/s40171-023-00349-w","ISSN":"0972-2696, 0974-0198","issue":"3","journalAbbreviation":"Glob J Flex Syst Manag","language":"en","page":"459-481","source":"DOI.org (Crossref)","title":"The Role of Automotive Flexibility in Supporting the Diffusion of Sustainable Mobility Initiatives: A Stakeholder Attitudes Assessment","title-short":"The Role of Automotive Flexibility in Supporting the Diffusion of Sustainable Mobility Initiatives","volume":"24","author":[{"family":"D’Adamo","given":"Idiano"},{"family":"Gastaldi","given":"Massimo"},{"family":"Piccioni","given":"Jacopo"},{"family":"Rosa","given":"Paolo"}],"issued":{"date-parts":[["2023",9]]}}},{"id":31605,"uris":["http://zotero.org/users/10594755/items/EYLNP832"],"itemData":{"id":31605,"type":"paper-conference","container-title":"2016 IX International Conference on Power Drives Systems (ICPDS)","DOI":"10.1109/ICPDS.2016.7756682","event-place":"Perm, Russia","event-title":"2016 IX International Conference on Power Drives Systems (ICPDS)","ISBN":"978-1-5090-1474-3","page":"1-5","publisher":"IEEE","publisher-place":"Perm, Russia","source":"DOI.org (Crossref)","title":"Cross impact analysis of Vehicle-to-Grid technologies in the context of 2030","URL":"http://ieeexplore.ieee.org/document/7756682/","author":[{"family":"Knupfer","given":"Markus"},{"family":"Sprake","given":"David"},{"family":"Vagapov","given":"Yuriy"},{"family":"Anuchin","given":"Alecksey"}],"accessed":{"date-parts":[["2023",10,13]]},"issued":{"date-parts":[["2016",10]]}}},{"id":31594,"uris":["http://zotero.org/users/10594755/items/LPBWCTQU"],"itemData":{"id":31594,"type":"article-journal","container-title":"Energy","DOI":"10.1016/j.energy.2021.121554","ISSN":"03605442","journalAbbreviation":"Energy","language":"en","page":"121554","source":"DOI.org (Crossref)","title":"Modeling barriers to the adoption of electric vehicles: An Indian perspective","title-short":"Modeling barriers to the adoption of electric vehicles","volume":"237","author":[{"family":"Patyal","given":"Vishal Singh"},{"family":"Kumar","given":"Ravi"},{"family":"Kushwah","given":"Shiksha"}],"issued":{"date-parts":[["2021",12]]}}},{"id":31595,"uris":["http://zotero.org/users/1059</w:instrText>
            </w:r>
            <w:r w:rsidR="00B77513" w:rsidRPr="00EF6D91">
              <w:rPr>
                <w:rFonts w:ascii="Times New Roman" w:hAnsi="Times New Roman" w:cs="Times New Roman"/>
                <w:color w:val="000000" w:themeColor="text1"/>
                <w:sz w:val="16"/>
                <w:szCs w:val="16"/>
                <w:lang w:val="es-MX"/>
              </w:rPr>
              <w:instrText xml:space="preserve">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Rooijen","given":"Tariq"}],"issued":{"date-parts":[["2016"]]}}},{"id":31704,"uris":["http://zotero.org/users/10594755/items/QJDTT7K9"],"itemData":{"id":31704,"type":"article-journal","container-title":"International Journal of Sustainable Transportation","DOI":"10.1080/15568318.2020.1847367","ISSN":"1556-8318, 1556-8334","issue":"1","journalAbbreviation":"International Journal of Sustainable Transportation","language":"en","page":"22-33","source":"DOI.org (Crossref)","title":"Electric vehicles performing last-mile delivery in B2C e-commerce: An economic and environmental assessment","title-short":"Electric vehicles performing last-mile delivery in B2C e-commerce","volume":"16","author":[{"family":"Siragusa","given":"Chiara"},{"family":"Tumino","given":"Angela"},{"family":"Mangiaracina","given":"Riccardo"},{"family":"Perego","given":"Alessandro"}],"issued":{"date-parts":[["2022",1,3]]}}}],"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B77513" w:rsidRPr="00EF6D91">
              <w:rPr>
                <w:rFonts w:ascii="Times New Roman" w:hAnsi="Times New Roman" w:cs="Times New Roman"/>
                <w:kern w:val="0"/>
                <w:sz w:val="16"/>
                <w:lang w:val="es-MX"/>
              </w:rPr>
              <w:t xml:space="preserve">(Biresselioglu </w:t>
            </w:r>
            <w:r w:rsidR="00B77513" w:rsidRPr="00EF6D91">
              <w:rPr>
                <w:rFonts w:ascii="Times New Roman" w:hAnsi="Times New Roman" w:cs="Times New Roman"/>
                <w:i/>
                <w:iCs/>
                <w:kern w:val="0"/>
                <w:sz w:val="16"/>
                <w:lang w:val="es-MX"/>
              </w:rPr>
              <w:t>et al.</w:t>
            </w:r>
            <w:r w:rsidR="00B77513" w:rsidRPr="00EF6D91">
              <w:rPr>
                <w:rFonts w:ascii="Times New Roman" w:hAnsi="Times New Roman" w:cs="Times New Roman"/>
                <w:kern w:val="0"/>
                <w:sz w:val="16"/>
                <w:lang w:val="es-MX"/>
              </w:rPr>
              <w:t xml:space="preserve">, 2018; D’Adamo, Gastaldi and Ozturk, 2023; D’Adamo, Gastaldi, Piccioni, </w:t>
            </w:r>
            <w:r w:rsidR="00B77513" w:rsidRPr="00EF6D91">
              <w:rPr>
                <w:rFonts w:ascii="Times New Roman" w:hAnsi="Times New Roman" w:cs="Times New Roman"/>
                <w:i/>
                <w:iCs/>
                <w:kern w:val="0"/>
                <w:sz w:val="16"/>
                <w:lang w:val="es-MX"/>
              </w:rPr>
              <w:t>et al.</w:t>
            </w:r>
            <w:r w:rsidR="00B77513" w:rsidRPr="00EF6D91">
              <w:rPr>
                <w:rFonts w:ascii="Times New Roman" w:hAnsi="Times New Roman" w:cs="Times New Roman"/>
                <w:kern w:val="0"/>
                <w:sz w:val="16"/>
                <w:lang w:val="es-MX"/>
              </w:rPr>
              <w:t xml:space="preserve">, 2023; Knupfer </w:t>
            </w:r>
            <w:r w:rsidR="00B77513" w:rsidRPr="00EF6D91">
              <w:rPr>
                <w:rFonts w:ascii="Times New Roman" w:hAnsi="Times New Roman" w:cs="Times New Roman"/>
                <w:i/>
                <w:iCs/>
                <w:kern w:val="0"/>
                <w:sz w:val="16"/>
                <w:lang w:val="es-MX"/>
              </w:rPr>
              <w:t>et al.</w:t>
            </w:r>
            <w:r w:rsidR="00B77513" w:rsidRPr="00EF6D91">
              <w:rPr>
                <w:rFonts w:ascii="Times New Roman" w:hAnsi="Times New Roman" w:cs="Times New Roman"/>
                <w:kern w:val="0"/>
                <w:sz w:val="16"/>
                <w:lang w:val="es-MX"/>
              </w:rPr>
              <w:t xml:space="preserve">, 2016; Patyal </w:t>
            </w:r>
            <w:r w:rsidR="00B77513" w:rsidRPr="00EF6D91">
              <w:rPr>
                <w:rFonts w:ascii="Times New Roman" w:hAnsi="Times New Roman" w:cs="Times New Roman"/>
                <w:i/>
                <w:iCs/>
                <w:kern w:val="0"/>
                <w:sz w:val="16"/>
                <w:lang w:val="es-MX"/>
              </w:rPr>
              <w:t>et al.</w:t>
            </w:r>
            <w:r w:rsidR="00B77513" w:rsidRPr="00EF6D91">
              <w:rPr>
                <w:rFonts w:ascii="Times New Roman" w:hAnsi="Times New Roman" w:cs="Times New Roman"/>
                <w:kern w:val="0"/>
                <w:sz w:val="16"/>
                <w:lang w:val="es-MX"/>
              </w:rPr>
              <w:t xml:space="preserve">, 2021; </w:t>
            </w:r>
            <w:proofErr w:type="spellStart"/>
            <w:r w:rsidR="00B77513" w:rsidRPr="00EF6D91">
              <w:rPr>
                <w:rFonts w:ascii="Times New Roman" w:hAnsi="Times New Roman" w:cs="Times New Roman"/>
                <w:kern w:val="0"/>
                <w:sz w:val="16"/>
                <w:lang w:val="es-MX"/>
              </w:rPr>
              <w:t>Siragusa</w:t>
            </w:r>
            <w:proofErr w:type="spellEnd"/>
            <w:r w:rsidR="00B77513" w:rsidRPr="00EF6D91">
              <w:rPr>
                <w:rFonts w:ascii="Times New Roman" w:hAnsi="Times New Roman" w:cs="Times New Roman"/>
                <w:kern w:val="0"/>
                <w:sz w:val="16"/>
                <w:lang w:val="es-MX"/>
              </w:rPr>
              <w:t xml:space="preserve"> </w:t>
            </w:r>
            <w:r w:rsidR="00B77513" w:rsidRPr="00EF6D91">
              <w:rPr>
                <w:rFonts w:ascii="Times New Roman" w:hAnsi="Times New Roman" w:cs="Times New Roman"/>
                <w:i/>
                <w:iCs/>
                <w:kern w:val="0"/>
                <w:sz w:val="16"/>
                <w:lang w:val="es-MX"/>
              </w:rPr>
              <w:t>et al.</w:t>
            </w:r>
            <w:r w:rsidR="00B77513" w:rsidRPr="00EF6D91">
              <w:rPr>
                <w:rFonts w:ascii="Times New Roman" w:hAnsi="Times New Roman" w:cs="Times New Roman"/>
                <w:kern w:val="0"/>
                <w:sz w:val="16"/>
                <w:lang w:val="es-MX"/>
              </w:rPr>
              <w:t>, 2022)</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lang w:val="es-MX"/>
              </w:rPr>
              <w:t xml:space="preserve">. </w:t>
            </w:r>
          </w:p>
        </w:tc>
      </w:tr>
      <w:tr w:rsidR="00B525F2" w:rsidRPr="00C6516B" w14:paraId="2A56F3F5" w14:textId="77777777" w:rsidTr="003E71F5">
        <w:trPr>
          <w:trHeight w:val="1125"/>
        </w:trPr>
        <w:tc>
          <w:tcPr>
            <w:tcW w:w="465" w:type="dxa"/>
          </w:tcPr>
          <w:p w14:paraId="7CD6F1E8" w14:textId="6865183B"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15 </w:t>
            </w:r>
          </w:p>
        </w:tc>
        <w:tc>
          <w:tcPr>
            <w:tcW w:w="1657" w:type="dxa"/>
          </w:tcPr>
          <w:p w14:paraId="5D0B50A9" w14:textId="15627D5B"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Maintenance cost </w:t>
            </w:r>
          </w:p>
        </w:tc>
        <w:tc>
          <w:tcPr>
            <w:tcW w:w="4677" w:type="dxa"/>
          </w:tcPr>
          <w:p w14:paraId="162240AF"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maintenance expenses of EVs are significantly lower than those of conventional vehicles since they have fewer moving components. However, in the case of a failure, repair costs might become prohibitive, and the availability of infrastructure for regular upkeep, service, and fixing is questionable. </w:t>
            </w:r>
          </w:p>
        </w:tc>
        <w:tc>
          <w:tcPr>
            <w:tcW w:w="2217" w:type="dxa"/>
          </w:tcPr>
          <w:p w14:paraId="3B183285" w14:textId="0FAAE417" w:rsidR="00D10E02" w:rsidRPr="00EF6D91"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lang w:val="es-MX"/>
              </w:rPr>
              <w:instrText xml:space="preserve"> ADDIN ZOTERO_ITEM CSL_CITATION {"citationID":"o2xukHHD","properties":{"formattedCitation":"(Berkeley {\\i{}et al.}, 2017; Goel {\\i{}et al.}, 2021; Quak {\\i{}et al.}, 2016)","plainCitation":"(Berkeley et al., 2017; Goel et al., 2021; Quak et al., 2016)","noteIndex":0},"citationItems":[{"id":31591,"uris":["http://zotero.org/users/10594755/items/68MQ82UJ"],"itemData":{"id":31591,"type":"article-journal","container-title":"Transportation Research Part A: Policy and Practice","DOI":"10.1016/j.tra.2017.10.004","ISSN":"09658564","journalAbbreviation":"Transportation Research Part A: Policy and Practice","language":"en","page":"320-332","source":"DOI.org (Crossref)","title":"Assessing the transition towards battery electric vehicles: a multi-level perspective on drivers of, and barriers to, take up","title-short":"Assessing the transition towards battery electric vehicles","volume":"106","author":[{"family":"Berkeley","given":"Nigel"},{"family":"Bailey","given":"David"},{"family":"Jones","given":"Andrew"},{"family":"Jarvis","given":"David"}],"issued":{"date-parts":[["2017",12]]}}},{"id":47994,"uris":["http://zotero.org/users/10594755/items/BZMUL5XG"],"itemData":{"id":47994,"type":"article-journal","container-title":"Sustainable Production and Consumption","DOI":"10.1016/j.spc.2021.03.029","ISSN":"23525509","journalAbbreviation":"Sustainable Production and Consumption","language":"en","page":"71-90","source":"DOI.org (Crossref)","title":"Government is trying but consumers are not buying: A barrier analysis for electric vehicle sales in India","title-short":"Government is trying but consumers are not buying","volume":"28","author":[{"family":"Goel","given":"Pooja"},{"family":"Sharma","given":"Nitika"},{"family":"Mathiyazhagan","given":"K."},{"family":"Vimal","given":"K.E.K."}],"issued":{"date-parts":[["2021",10]]}}},{"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lang w:val="es-MX"/>
              </w:rPr>
              <w:t xml:space="preserve">(Berkeley </w:t>
            </w:r>
            <w:r w:rsidR="00E9108F" w:rsidRPr="00EF6D91">
              <w:rPr>
                <w:rFonts w:ascii="Times New Roman" w:hAnsi="Times New Roman" w:cs="Times New Roman"/>
                <w:i/>
                <w:iCs/>
                <w:kern w:val="0"/>
                <w:sz w:val="16"/>
                <w:lang w:val="es-MX"/>
              </w:rPr>
              <w:t>et al.</w:t>
            </w:r>
            <w:r w:rsidR="00E9108F" w:rsidRPr="00EF6D91">
              <w:rPr>
                <w:rFonts w:ascii="Times New Roman" w:hAnsi="Times New Roman" w:cs="Times New Roman"/>
                <w:kern w:val="0"/>
                <w:sz w:val="16"/>
                <w:lang w:val="es-MX"/>
              </w:rPr>
              <w:t xml:space="preserve">, 2017; Goel </w:t>
            </w:r>
            <w:r w:rsidR="00E9108F" w:rsidRPr="00EF6D91">
              <w:rPr>
                <w:rFonts w:ascii="Times New Roman" w:hAnsi="Times New Roman" w:cs="Times New Roman"/>
                <w:i/>
                <w:iCs/>
                <w:kern w:val="0"/>
                <w:sz w:val="16"/>
                <w:lang w:val="es-MX"/>
              </w:rPr>
              <w:t>et al.</w:t>
            </w:r>
            <w:r w:rsidR="00E9108F" w:rsidRPr="00EF6D91">
              <w:rPr>
                <w:rFonts w:ascii="Times New Roman" w:hAnsi="Times New Roman" w:cs="Times New Roman"/>
                <w:kern w:val="0"/>
                <w:sz w:val="16"/>
                <w:lang w:val="es-MX"/>
              </w:rPr>
              <w:t>, 2021)</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lang w:val="es-MX"/>
              </w:rPr>
              <w:t xml:space="preserve"> . </w:t>
            </w:r>
          </w:p>
        </w:tc>
      </w:tr>
      <w:tr w:rsidR="00B525F2" w:rsidRPr="00C6516B" w14:paraId="7275C9CA" w14:textId="77777777" w:rsidTr="0086245C">
        <w:tc>
          <w:tcPr>
            <w:tcW w:w="465" w:type="dxa"/>
          </w:tcPr>
          <w:p w14:paraId="64D9B719" w14:textId="095F7A49"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16 </w:t>
            </w:r>
          </w:p>
        </w:tc>
        <w:tc>
          <w:tcPr>
            <w:tcW w:w="1657" w:type="dxa"/>
          </w:tcPr>
          <w:p w14:paraId="0F5223A9" w14:textId="7E6FBEEE"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Total Cost of Ownership </w:t>
            </w:r>
          </w:p>
        </w:tc>
        <w:tc>
          <w:tcPr>
            <w:tcW w:w="4677" w:type="dxa"/>
          </w:tcPr>
          <w:p w14:paraId="5D2EBB3F"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TCO includes upfront costs, maintenance, electricity and other costs. Despite long-term savings, perceived high TCO often deter potential buyers, reducing the transition to sustainable transportation. </w:t>
            </w:r>
          </w:p>
        </w:tc>
        <w:tc>
          <w:tcPr>
            <w:tcW w:w="2217" w:type="dxa"/>
          </w:tcPr>
          <w:p w14:paraId="64D24A35" w14:textId="47708CA8" w:rsidR="00D10E02" w:rsidRPr="00EF6D91"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fldChar w:fldCharType="begin"/>
            </w:r>
            <w:r w:rsidR="003E71F5" w:rsidRPr="00EF6D91">
              <w:rPr>
                <w:rFonts w:ascii="Times New Roman" w:hAnsi="Times New Roman" w:cs="Times New Roman"/>
                <w:color w:val="000000" w:themeColor="text1"/>
                <w:sz w:val="16"/>
                <w:szCs w:val="16"/>
                <w:lang w:val="es-MX"/>
              </w:rPr>
              <w:instrText xml:space="preserve"> ADDIN ZOTERO_ITEM CSL_CITATION {"citationID":"DwiODUbt","properties":{"formattedCitation":"(Anosike {\\i{}et al.}, 2023; Asadi {\\i{}et al.}, 2022; Caggiani {\\i{}et al.}, 2021; Haddadian {\\i{}et al.}, 2015; Quak {\\i{}et al.}, 2016; Selter {\\i{}et al.}, 2024; Tarei {\\i{}et al.}, 2021)","plainCitation":"(Anosike et al., 2023; Asadi et al., 2022; Caggiani et al., 2021; Haddadian et al., 2015; Quak et al., 2016; Selter et al., 2024; Tarei et al., 2021)","noteIndex":0},"citationItems":[{"id":31598,"uris":["http://zotero.org/users/10594755/items/NMS45AKI"],"itemData":{"id":31598,"type":"article-journal","container-title":"International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Arturo"}],"issued":{"date-parts":[["2023",6,3]]}}},{"id":47995,"uris":["http://zotero.org/users/10594755/items/HXNWDPKJ"],"itemData":{"id":47995,"type":"article-journal","container-title":"Resources, Conservation and Recycling","DOI":"10.1016/j.resconrec.2021.105965","ISSN":"09213449","journalAbbreviation":"Resources, Conservation and Recycling","language":"en","page":"105965","source":"DOI.org (Crossref)","title":"Drivers and barriers of electric vehicle usage in Malaysia: A DEMATEL approach","title-short":"Drivers and barriers of electric vehicle usage in Malaysia","volume":"177","author":[{"family":"Asadi","given":"Shahla"},{"family":"Nilashi","given":"Mehrbakhsh"},{"family":"Iranmanesh","given":"Mohammad"},{"family":"Ghobakhloo","given":"Morteza"},{"family":"Samad","given":"Sarminah"},{"family":"Alghamdi","given":"Abdullah"},{"family":"Almulihi","given":"Ahmed"},{"family":"Mohd","given":"Saidatulakmal"}],"issued":{"date-parts":[["2022",2]]}}},{"id":48001,"uris":["http://zotero.org/users/10594755/items/DIXTPYXP"],"itemData":{"id":48001,"type":"article-journal","container-title":"Transportation Research Procedia","DOI":"10.1016/j.trpro.2021.01.010","ISSN":"23521465","journalAbbreviation":"Transportation Research Procedia","language":"en","page":"75-82","source":"DOI.org (Crossref)","title":"A green logistics solution for last-mile deliveries considering e-vans and e-cargo bikes","volume":"52","author":[{"family":"Caggiani","given":"Leonardo"},{"family":"Colovic","given":"Aleksandra"},{"family":"Prencipe","given":"Luigi Pio"},{"family":"Ottomanelli","given":"Michele"}],"issued":{"date-parts":[["2021"]]}}},{"id":31590,"uris":["http://zotero.org/users/10594755/items/DID4HWM5"],"itemData":{"id":31590,"type":"article-journal","container-title":"The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Rooijen","given":"Tariq"}],"issued":{"date-parts":[["2016"]]}}},{"id":48017,"uris":["http://zotero.org/users/10594755/items/TK5KPYGR"],"itemData":{"id":48017,"type":"article-journal","container-title":"Transportation Research Part D: Transport and Environment","DOI":"10.1016/j.trd.2023.104019","ISSN":"13619209","journalAbbreviation":"Transportation Research Part D: Transport and Environment","language":"en","page":"104019","source":"DOI.org (Crossref)","title":"Sustainability assessment of last-mile electrification: A qualitative study in Germany","title-short":"Sustainability assessment of last-mile electrification","volume":"126","author":[{"family":"Selter","given":"Jan-Lukas"},{"family":"Schmitz","given":"Julian"},{"family":"Schramm-Klein","given":"Hanna"}],"issued":{"date-parts":[["2024",1]]}}},{"id":47993,"uris":["http://zotero.org/users/10594755/items/E6ZHKNK7"],"itemData":{"id":47993,"type":"article-journal","container-title":"Journal of Cleaner Production","DOI":"10.1016/j.jclepro.2021.125847","ISSN":"09596526","journalAbbreviation":"Journal of Cleaner Production","language":"en","page":"125847","source":"DOI.org (Crossref)","title":"Barriers to the adoption of electric vehicles: Evidence from India","title-short":"Barriers to the adoption of electric vehicles","volume":"291","author":[{"family":"Tarei","given":"Pradeep Kumar"},{"family":"Chand","given":"Pushpendu"},{"family":"Gupta","given":"Himanshu"}],"issued":{"date-parts":[["2021",4]]}}}],"schema":"https://github.com/citation-style-language/schema/raw/master/csl-citation.json"}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3E71F5" w:rsidRPr="00EF6D91">
              <w:rPr>
                <w:rFonts w:ascii="Times New Roman" w:hAnsi="Times New Roman" w:cs="Times New Roman"/>
                <w:kern w:val="0"/>
                <w:sz w:val="16"/>
                <w:lang w:val="es-MX"/>
              </w:rPr>
              <w:t xml:space="preserve">(Anosike </w:t>
            </w:r>
            <w:r w:rsidR="003E71F5" w:rsidRPr="00EF6D91">
              <w:rPr>
                <w:rFonts w:ascii="Times New Roman" w:hAnsi="Times New Roman" w:cs="Times New Roman"/>
                <w:i/>
                <w:iCs/>
                <w:kern w:val="0"/>
                <w:sz w:val="16"/>
                <w:lang w:val="es-MX"/>
              </w:rPr>
              <w:t>et al.</w:t>
            </w:r>
            <w:r w:rsidR="003E71F5" w:rsidRPr="00EF6D91">
              <w:rPr>
                <w:rFonts w:ascii="Times New Roman" w:hAnsi="Times New Roman" w:cs="Times New Roman"/>
                <w:kern w:val="0"/>
                <w:sz w:val="16"/>
                <w:lang w:val="es-MX"/>
              </w:rPr>
              <w:t xml:space="preserve">, 2023; Asadi </w:t>
            </w:r>
            <w:r w:rsidR="003E71F5" w:rsidRPr="00EF6D91">
              <w:rPr>
                <w:rFonts w:ascii="Times New Roman" w:hAnsi="Times New Roman" w:cs="Times New Roman"/>
                <w:i/>
                <w:iCs/>
                <w:kern w:val="0"/>
                <w:sz w:val="16"/>
                <w:lang w:val="es-MX"/>
              </w:rPr>
              <w:t>et al.</w:t>
            </w:r>
            <w:r w:rsidR="003E71F5" w:rsidRPr="00EF6D91">
              <w:rPr>
                <w:rFonts w:ascii="Times New Roman" w:hAnsi="Times New Roman" w:cs="Times New Roman"/>
                <w:kern w:val="0"/>
                <w:sz w:val="16"/>
                <w:lang w:val="es-MX"/>
              </w:rPr>
              <w:t xml:space="preserve">, 2022; Caggiani </w:t>
            </w:r>
            <w:r w:rsidR="003E71F5" w:rsidRPr="00EF6D91">
              <w:rPr>
                <w:rFonts w:ascii="Times New Roman" w:hAnsi="Times New Roman" w:cs="Times New Roman"/>
                <w:i/>
                <w:iCs/>
                <w:kern w:val="0"/>
                <w:sz w:val="16"/>
                <w:lang w:val="es-MX"/>
              </w:rPr>
              <w:t>et al.</w:t>
            </w:r>
            <w:r w:rsidR="003E71F5" w:rsidRPr="00EF6D91">
              <w:rPr>
                <w:rFonts w:ascii="Times New Roman" w:hAnsi="Times New Roman" w:cs="Times New Roman"/>
                <w:kern w:val="0"/>
                <w:sz w:val="16"/>
                <w:lang w:val="es-MX"/>
              </w:rPr>
              <w:t>, 2021;</w:t>
            </w:r>
            <w:r w:rsidR="005C03DB">
              <w:rPr>
                <w:rFonts w:ascii="Times New Roman" w:hAnsi="Times New Roman" w:cs="Times New Roman"/>
                <w:kern w:val="0"/>
                <w:sz w:val="16"/>
                <w:lang w:val="es-MX"/>
              </w:rPr>
              <w:t xml:space="preserve"> </w:t>
            </w:r>
            <w:proofErr w:type="spellStart"/>
            <w:r w:rsidR="003E71F5" w:rsidRPr="00EF6D91">
              <w:rPr>
                <w:rFonts w:ascii="Times New Roman" w:hAnsi="Times New Roman" w:cs="Times New Roman"/>
                <w:kern w:val="0"/>
                <w:sz w:val="16"/>
                <w:lang w:val="es-MX"/>
              </w:rPr>
              <w:t>Selter</w:t>
            </w:r>
            <w:proofErr w:type="spellEnd"/>
            <w:r w:rsidR="003E71F5" w:rsidRPr="00EF6D91">
              <w:rPr>
                <w:rFonts w:ascii="Times New Roman" w:hAnsi="Times New Roman" w:cs="Times New Roman"/>
                <w:kern w:val="0"/>
                <w:sz w:val="16"/>
                <w:lang w:val="es-MX"/>
              </w:rPr>
              <w:t xml:space="preserve"> </w:t>
            </w:r>
            <w:r w:rsidR="003E71F5" w:rsidRPr="00EF6D91">
              <w:rPr>
                <w:rFonts w:ascii="Times New Roman" w:hAnsi="Times New Roman" w:cs="Times New Roman"/>
                <w:i/>
                <w:iCs/>
                <w:kern w:val="0"/>
                <w:sz w:val="16"/>
                <w:lang w:val="es-MX"/>
              </w:rPr>
              <w:t>et al.</w:t>
            </w:r>
            <w:r w:rsidR="003E71F5" w:rsidRPr="00EF6D91">
              <w:rPr>
                <w:rFonts w:ascii="Times New Roman" w:hAnsi="Times New Roman" w:cs="Times New Roman"/>
                <w:kern w:val="0"/>
                <w:sz w:val="16"/>
                <w:lang w:val="es-MX"/>
              </w:rPr>
              <w:t xml:space="preserve">, 2024; Tarei </w:t>
            </w:r>
            <w:r w:rsidR="003E71F5" w:rsidRPr="00EF6D91">
              <w:rPr>
                <w:rFonts w:ascii="Times New Roman" w:hAnsi="Times New Roman" w:cs="Times New Roman"/>
                <w:i/>
                <w:iCs/>
                <w:kern w:val="0"/>
                <w:sz w:val="16"/>
                <w:lang w:val="es-MX"/>
              </w:rPr>
              <w:t>et al.</w:t>
            </w:r>
            <w:r w:rsidR="003E71F5" w:rsidRPr="00EF6D91">
              <w:rPr>
                <w:rFonts w:ascii="Times New Roman" w:hAnsi="Times New Roman" w:cs="Times New Roman"/>
                <w:kern w:val="0"/>
                <w:sz w:val="16"/>
                <w:lang w:val="es-MX"/>
              </w:rPr>
              <w:t>, 2021)</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lang w:val="es-MX"/>
              </w:rPr>
              <w:t xml:space="preserve">. </w:t>
            </w:r>
          </w:p>
        </w:tc>
      </w:tr>
      <w:tr w:rsidR="00B525F2" w:rsidRPr="00EF6D91" w14:paraId="52053D98" w14:textId="77777777" w:rsidTr="0086245C">
        <w:tc>
          <w:tcPr>
            <w:tcW w:w="465" w:type="dxa"/>
          </w:tcPr>
          <w:p w14:paraId="2BCB31DC" w14:textId="2EE2F6BF"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17 </w:t>
            </w:r>
          </w:p>
        </w:tc>
        <w:tc>
          <w:tcPr>
            <w:tcW w:w="1657" w:type="dxa"/>
          </w:tcPr>
          <w:p w14:paraId="2D4498EB" w14:textId="1FFCBD7A"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Socio-technical barriers </w:t>
            </w:r>
          </w:p>
        </w:tc>
        <w:tc>
          <w:tcPr>
            <w:tcW w:w="4677" w:type="dxa"/>
          </w:tcPr>
          <w:p w14:paraId="3BAB3A9A"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For EVs to be successfully adopted, acceptance by consumers is essential. Socio-technical constraints, customer worries and perceptions, operational difficulties related to a lack of faith in the technology, and insufficient training hinder EV adoption.</w:t>
            </w:r>
          </w:p>
        </w:tc>
        <w:tc>
          <w:tcPr>
            <w:tcW w:w="2217" w:type="dxa"/>
          </w:tcPr>
          <w:p w14:paraId="32F3E782" w14:textId="3E1A459C"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B525F2" w:rsidRPr="00EF6D91">
              <w:rPr>
                <w:rFonts w:ascii="Times New Roman" w:hAnsi="Times New Roman" w:cs="Times New Roman"/>
                <w:color w:val="000000" w:themeColor="text1"/>
                <w:sz w:val="16"/>
                <w:szCs w:val="16"/>
              </w:rPr>
              <w:instrText xml:space="preserve"> ADDIN ZOTERO_ITEM CSL_CITATION {"citationID":"JcibE2wE","properties":{"formattedCitation":"(Anosike {\\i{}et al.}, 2023; Berkeley {\\i{}et al.}, 2017; Noel {\\i{}et al.}, 2020; Wikstr\\uc0\\u246{}m {\\i{}et al.}, 2015)","plainCitation":"(Anosike et al., 2023; Berkeley et al., 2017; Noel et al., 2020; Wikström et al., 2015)","noteIndex":0},"citationItems":[{"id":31598,"uris":["http://zotero.org/users/10594755/items/NMS45AKI"],"itemData":{"id":31598,"type":"article-journal","container-title":"International Journal of Logistics Research and Applications","DOI":"10.1080/13675567.2021.1978409","ISSN":"1367-5567, 1469-848X","issue":"6","journalAbbreviation":"International Journal of Logistics Research and Applications","language":"en","page":"683-707","source":"DOI.org (Crossref)","title":"Exploring the challenges of electric vehicle adoption in final mile parcel delivery","volume":"26","author":[{"family":"Anosike","given":"Anthony"},{"family":"Loomes","given":"Helena"},{"family":"Udokporo","given":"Chinonso Kenneth"},{"family":"Garza-Reyes","given":"Jose Arturo"}],"issued":{"date-parts":[["2023",6,3]]}}},{"id":31591,"uris":["http://zotero.org/users/10594755/items/68MQ82UJ"],"itemData":{"id":31591,"type":"article-journal","container-title":"Transportation Research Part A: Policy and Practice","DOI":"10.1016/j.tra.2017.10.004","ISSN":"09658564","journalAbbreviation":"Transportation Research Part A: Policy and Practice","language":"en","page":"320-332","source":"DOI.org (Crossref)","title":"Assessing the transition towards battery electric vehicles: a multi-level perspective on drivers of, and barriers to, take up","title-short":"Assessing the transition towards battery electric vehicles","volume":"106","author":[{"family":"Berkeley","given":"Nigel"},{"family":"Bailey","given":"David"},{"family":"Jones","given":"Andrew"},{"family":"Jarvis","given":"David"}],"issued":{"date-parts":[["2017",12]]}}},{"id":48020,"uris":["http://zotero.org/users/10594755/items/MYACDSD6"],"itemData":{"id":48020,"type":"article-journal","container-title":"Energy Policy","DOI":"10.1016/j.enpol.2020.111292","ISSN":"03014215","journalAbbreviation":"Energy Policy","language":"en","page":"111292","source":"DOI.org (Crossref)","title":"Understanding the socio-technical nexus of Nordic electric vehicle (EV) barriers: A qualitative discussion of range, price, charging and knowledge","title-short":"Understanding the socio-technical nexus of Nordic electric vehicle (EV) barriers","volume":"138","author":[{"family":"Noel","given":"Lance"},{"family":"Zarazua De Rubens","given":"Gerardo"},{"family":"Kester","given":"Johannes"},{"family":"Sovacool","given":"Benjamin K."}],"issued":{"date-parts":[["2020",3]]}}},{"id":31599,"uris":["http://zotero.org/users/10594755/items/2ECSAUND"],"itemData":{"id":31599,"type":"article-journal","container-title":"Energy Procedia","DOI":"10.1016/j.egypro.2015.07.223","ISSN":"18766102","journalAbbreviation":"Energy Procedia","language":"en","page":"1932-1937","source":"DOI.org (Crossref)","title":"An end has a start – investigating the usage of electric vehicles in commercial fleets","volume":"75","author":[{"family":"Wikström","given":"Martina"},{"family":"Hansson","given":"Lisa"},{"family":"Alvfors","given":"Per"}],"issued":{"date-parts":[["2015",8]]}}}],"schema":"https://github.com/citation-style-language/schema/raw/master/csl-citation.json"}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B525F2" w:rsidRPr="00EF6D91">
              <w:rPr>
                <w:rFonts w:ascii="Times New Roman" w:hAnsi="Times New Roman" w:cs="Times New Roman"/>
                <w:kern w:val="0"/>
                <w:sz w:val="16"/>
              </w:rPr>
              <w:t xml:space="preserve">(Anosike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2023; Berkeley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2017; Noel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xml:space="preserve">, 2020; Wikström </w:t>
            </w:r>
            <w:r w:rsidR="00B525F2" w:rsidRPr="00EF6D91">
              <w:rPr>
                <w:rFonts w:ascii="Times New Roman" w:hAnsi="Times New Roman" w:cs="Times New Roman"/>
                <w:i/>
                <w:iCs/>
                <w:kern w:val="0"/>
                <w:sz w:val="16"/>
              </w:rPr>
              <w:t>et al.</w:t>
            </w:r>
            <w:r w:rsidR="00B525F2" w:rsidRPr="00EF6D91">
              <w:rPr>
                <w:rFonts w:ascii="Times New Roman" w:hAnsi="Times New Roman" w:cs="Times New Roman"/>
                <w:kern w:val="0"/>
                <w:sz w:val="16"/>
              </w:rPr>
              <w:t>, 2015)</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w:t>
            </w:r>
          </w:p>
        </w:tc>
      </w:tr>
      <w:tr w:rsidR="00B525F2" w:rsidRPr="00EF6D91" w14:paraId="2EA420D5" w14:textId="77777777" w:rsidTr="0086245C">
        <w:tc>
          <w:tcPr>
            <w:tcW w:w="465" w:type="dxa"/>
          </w:tcPr>
          <w:p w14:paraId="2E18C21E" w14:textId="5420C804"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18 </w:t>
            </w:r>
          </w:p>
        </w:tc>
        <w:tc>
          <w:tcPr>
            <w:tcW w:w="1657" w:type="dxa"/>
          </w:tcPr>
          <w:p w14:paraId="06DBC0D5" w14:textId="3DFDC5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Lack of trust in environmental benefits </w:t>
            </w:r>
          </w:p>
        </w:tc>
        <w:tc>
          <w:tcPr>
            <w:tcW w:w="4677" w:type="dxa"/>
          </w:tcPr>
          <w:p w14:paraId="37816D3E" w14:textId="33F383E9" w:rsidR="00D10E02" w:rsidRPr="00EF6D91" w:rsidRDefault="005E5B8D"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Most</w:t>
            </w:r>
            <w:r w:rsidR="00D10E02" w:rsidRPr="00EF6D91">
              <w:rPr>
                <w:rFonts w:ascii="Times New Roman" w:hAnsi="Times New Roman" w:cs="Times New Roman"/>
                <w:color w:val="000000" w:themeColor="text1"/>
                <w:sz w:val="16"/>
                <w:szCs w:val="16"/>
              </w:rPr>
              <w:t xml:space="preserve"> prospective EV buyers are misinformed and unaware of their </w:t>
            </w:r>
            <w:r w:rsidR="00365F35" w:rsidRPr="00EF6D91">
              <w:rPr>
                <w:rFonts w:ascii="Times New Roman" w:hAnsi="Times New Roman" w:cs="Times New Roman"/>
                <w:color w:val="000000" w:themeColor="text1"/>
                <w:sz w:val="16"/>
                <w:szCs w:val="16"/>
              </w:rPr>
              <w:t xml:space="preserve">sustainable effects. EVs are perceived to increase CO2 emissions </w:t>
            </w:r>
            <w:r w:rsidR="00365F35" w:rsidRPr="00EF6D91">
              <w:rPr>
                <w:rFonts w:ascii="Times New Roman" w:hAnsi="Times New Roman" w:cs="Times New Roman"/>
                <w:color w:val="000000" w:themeColor="text1"/>
                <w:sz w:val="16"/>
                <w:szCs w:val="16"/>
              </w:rPr>
              <w:lastRenderedPageBreak/>
              <w:t>due to increased power demands, battery disposal issues, and uncertainty about environmental benefits</w:t>
            </w:r>
            <w:r w:rsidR="00756271" w:rsidRPr="00EF6D91">
              <w:rPr>
                <w:rFonts w:ascii="Times New Roman" w:hAnsi="Times New Roman" w:cs="Times New Roman"/>
                <w:color w:val="000000" w:themeColor="text1"/>
                <w:sz w:val="16"/>
                <w:szCs w:val="16"/>
              </w:rPr>
              <w:t>.</w:t>
            </w:r>
          </w:p>
        </w:tc>
        <w:tc>
          <w:tcPr>
            <w:tcW w:w="2217" w:type="dxa"/>
          </w:tcPr>
          <w:p w14:paraId="7B48B066" w14:textId="5252F8E6" w:rsidR="00D10E02" w:rsidRPr="00EF6D91" w:rsidRDefault="00D10E02" w:rsidP="0086245C">
            <w:pPr>
              <w:rPr>
                <w:rFonts w:ascii="Times New Roman" w:hAnsi="Times New Roman" w:cs="Times New Roman"/>
                <w:color w:val="000000" w:themeColor="text1"/>
                <w:sz w:val="16"/>
                <w:szCs w:val="16"/>
                <w:lang w:val="es-MX"/>
              </w:rPr>
            </w:pPr>
            <w:r w:rsidRPr="00EF6D91">
              <w:rPr>
                <w:rFonts w:ascii="Times New Roman" w:hAnsi="Times New Roman" w:cs="Times New Roman"/>
                <w:color w:val="000000" w:themeColor="text1"/>
                <w:sz w:val="16"/>
                <w:szCs w:val="16"/>
              </w:rPr>
              <w:lastRenderedPageBreak/>
              <w:fldChar w:fldCharType="begin"/>
            </w:r>
            <w:r w:rsidR="00E9108F" w:rsidRPr="00EF6D91">
              <w:rPr>
                <w:rFonts w:ascii="Times New Roman" w:hAnsi="Times New Roman" w:cs="Times New Roman"/>
                <w:color w:val="000000" w:themeColor="text1"/>
                <w:sz w:val="16"/>
                <w:szCs w:val="16"/>
                <w:lang w:val="es-MX"/>
              </w:rPr>
              <w:instrText xml:space="preserve"> ADDIN ZOTERO_ITEM CSL_CITATION {"citationID":"plkTCdBC","properties":{"formattedCitation":"(Asadi {\\i{}et al.}, 2022; Barisa {\\i{}et al.}, 2016; Biresselioglu {\\i{}et al.}, 2018; Gupta and Gupta, 2023)","plainCitation":"(Asadi et al., 2022; Barisa et al., 2016; Biresselioglu et al., 2018; Gupta and Gupta, 2023)","noteIndex":0},"citationItems":[{"id":47995,"uris":["http://zotero.org/users/10594755/items/HXNWDPKJ"],"itemData":{"id":47995,"type":"article-journal","container-title":"Resources, Conservation and Recycling","DOI":"10.1016/j.resconrec.2021.105965","ISSN":"09213449","journalAbbreviation":"Resources, Conservation and Recycling","language":"en","page":"105965","source":"DOI.org (Crossref)","title":"Drivers and barriers of electric vehicle usage in Malaysia: A DEMATEL approach","title-short":"Drivers and barriers of electric vehicle usage in Malaysia","volume":"177","author":[{"family":"Asadi","given":"Shahla"},{"family":"Nilashi","given":"Mehrbakhsh"},{"family":"Iranmanesh","given":"Mohammad"},{"family":"Ghobakhloo","given":"Morteza"},{"family":"Samad","given":"Sarminah"},{"family":"Alghamdi","given":"Abdullah"},{"family":"Almulihi","given":"Ahmed"},{"family":"Mohd","given":"Saidatulakmal"}],"issued":{"date-parts":[["2022",2]]}}},{"id":31606,"uris":["http://zotero.org/users/10594755/items/EZ6XGQ34"],"itemData":{"id":31606,"type":"article-journal","container-title":"Energy Procedia","DOI":"10.1016/j.egypro.2016.09.015","ISSN":"18766102","journalAbbreviation":"Energy Procedia","language":"en","page":"50-57","source":"DOI.org (Crossref)","title":"Introducing electric mobility in latvian municipalities: results of a survey","title-short":"Introducing electric mobility in latvian municipalities","volume":"95","author":[{"family":"Barisa","given":"Aiga"},{"family":"Rosa","given":"Marika"},{"family":"Kisele","given":"Agate"}],"issued":{"date-parts":[["2016",9]]}}},{"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Kaplan","given":"Melike"},{"family":"Yilmaz","given":"Barbara Katharina"}],"issued":{"date-parts":[["2018",3]]}}},{"id":47998,"uris":["http://zotero.org/users/10594755/items/A7FR4N8P"],"itemData":{"id":47998,"type":"article-journal","container-title":"Environment, Development and Sustainability","DOI":"10.1007/s10668-023-03599-x","ISSN":"1387-585X, 1573-2975","journalAbbreviation":"Environ Dev Sustain","language":"en","source":"DOI.org (Crossref)","title":"What drives customers crazy for green vehicles? a fuzzy AHP approach","title-short":"What drives customers crazy for green vehicles?","URL":"https://link.springer.com/10.1007/s10668-023-03599-x","author":[{"family":"Gupta","given":"Sanjay"},{"family":"Gupta","given":"Swati"}],"accessed":{"date-parts":[["2024",4,16]]},"issued":{"date-parts":[["2023",7,26]]}}}],"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E9108F" w:rsidRPr="00EF6D91">
              <w:rPr>
                <w:rFonts w:ascii="Times New Roman" w:hAnsi="Times New Roman" w:cs="Times New Roman"/>
                <w:kern w:val="0"/>
                <w:sz w:val="16"/>
              </w:rPr>
              <w:t xml:space="preserve">(Asadi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2022; Barisa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2016; Biresselioglu </w:t>
            </w:r>
            <w:r w:rsidR="00E9108F" w:rsidRPr="00EF6D91">
              <w:rPr>
                <w:rFonts w:ascii="Times New Roman" w:hAnsi="Times New Roman" w:cs="Times New Roman"/>
                <w:i/>
                <w:iCs/>
                <w:kern w:val="0"/>
                <w:sz w:val="16"/>
              </w:rPr>
              <w:t>et al.</w:t>
            </w:r>
            <w:r w:rsidR="00E9108F" w:rsidRPr="00EF6D91">
              <w:rPr>
                <w:rFonts w:ascii="Times New Roman" w:hAnsi="Times New Roman" w:cs="Times New Roman"/>
                <w:kern w:val="0"/>
                <w:sz w:val="16"/>
              </w:rPr>
              <w:t xml:space="preserve">, </w:t>
            </w:r>
            <w:r w:rsidR="00E9108F" w:rsidRPr="00EF6D91">
              <w:rPr>
                <w:rFonts w:ascii="Times New Roman" w:hAnsi="Times New Roman" w:cs="Times New Roman"/>
                <w:kern w:val="0"/>
                <w:sz w:val="16"/>
              </w:rPr>
              <w:lastRenderedPageBreak/>
              <w:t>2018; Gupta and Gupta, 2023)</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lang w:val="es-MX"/>
              </w:rPr>
              <w:t>.</w:t>
            </w:r>
          </w:p>
        </w:tc>
      </w:tr>
      <w:tr w:rsidR="00B525F2" w:rsidRPr="00EF6D91" w14:paraId="26B512FA" w14:textId="77777777" w:rsidTr="0086245C">
        <w:tc>
          <w:tcPr>
            <w:tcW w:w="465" w:type="dxa"/>
          </w:tcPr>
          <w:p w14:paraId="698C54E2" w14:textId="08A61800"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lastRenderedPageBreak/>
              <w:t>B</w:t>
            </w:r>
            <w:r w:rsidR="00D10E02" w:rsidRPr="00EF6D91">
              <w:rPr>
                <w:rFonts w:ascii="Times New Roman" w:hAnsi="Times New Roman" w:cs="Times New Roman"/>
                <w:color w:val="000000" w:themeColor="text1"/>
                <w:sz w:val="16"/>
                <w:szCs w:val="16"/>
              </w:rPr>
              <w:t xml:space="preserve">19 </w:t>
            </w:r>
          </w:p>
        </w:tc>
        <w:tc>
          <w:tcPr>
            <w:tcW w:w="1657" w:type="dxa"/>
          </w:tcPr>
          <w:p w14:paraId="47A14335" w14:textId="4B8D3F65"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Uncertainty Over Resale Value </w:t>
            </w:r>
          </w:p>
        </w:tc>
        <w:tc>
          <w:tcPr>
            <w:tcW w:w="4677" w:type="dxa"/>
          </w:tcPr>
          <w:p w14:paraId="109C31AE"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uncertainty and lack of clear information regarding the potential future resale value of EVs pose a concern for potential buyers, as it may impact their ability to recover a significant portion of their initial investment upon selling the vehicles. </w:t>
            </w:r>
          </w:p>
        </w:tc>
        <w:tc>
          <w:tcPr>
            <w:tcW w:w="2217" w:type="dxa"/>
          </w:tcPr>
          <w:p w14:paraId="532AA97D" w14:textId="66EB77C9" w:rsidR="00D10E02" w:rsidRPr="00EF6D91" w:rsidRDefault="00D10E02" w:rsidP="005C03DB">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E9108F" w:rsidRPr="00EF6D91">
              <w:rPr>
                <w:rFonts w:ascii="Times New Roman" w:hAnsi="Times New Roman" w:cs="Times New Roman"/>
                <w:color w:val="000000" w:themeColor="text1"/>
                <w:sz w:val="16"/>
                <w:szCs w:val="16"/>
              </w:rPr>
              <w:instrText xml:space="preserve"> ADDIN ZOTERO_ITEM CSL_CITATION {"citationID":"YVMnb7gI","properties":{"formattedCitation":"(Quak {\\i{}et al.}, 2016)","plainCitation":"(Quak et al., 2016)","noteIndex":0},"citationItems":[{"id":31595,"uris":["http://zotero.org/users/10594755/items/FV4KGF4J"],"itemData":{"id":31595,"type":"article-journal","container-title":"Transportation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proofErr w:type="gramStart"/>
            <w:r w:rsidR="00E9108F" w:rsidRPr="00EF6D91">
              <w:rPr>
                <w:rFonts w:ascii="Times New Roman" w:hAnsi="Times New Roman" w:cs="Times New Roman"/>
                <w:kern w:val="0"/>
                <w:sz w:val="16"/>
              </w:rPr>
              <w:t>(</w:t>
            </w:r>
            <w:r w:rsidR="005C03DB" w:rsidRPr="005C03DB">
              <w:rPr>
                <w:rFonts w:ascii="Times New Roman" w:hAnsi="Times New Roman" w:cs="Times New Roman"/>
                <w:kern w:val="0"/>
                <w:sz w:val="16"/>
              </w:rPr>
              <w:t xml:space="preserve"> </w:t>
            </w:r>
            <w:r w:rsidR="005C03DB" w:rsidRPr="005C03DB">
              <w:rPr>
                <w:rFonts w:ascii="Times New Roman" w:hAnsi="Times New Roman" w:cs="Times New Roman"/>
                <w:kern w:val="0"/>
                <w:sz w:val="16"/>
              </w:rPr>
              <w:t>Gupta</w:t>
            </w:r>
            <w:proofErr w:type="gramEnd"/>
            <w:r w:rsidR="005C03DB" w:rsidRPr="005C03DB">
              <w:rPr>
                <w:rFonts w:ascii="Times New Roman" w:hAnsi="Times New Roman" w:cs="Times New Roman"/>
                <w:kern w:val="0"/>
                <w:sz w:val="16"/>
              </w:rPr>
              <w:t xml:space="preserve"> and Gupta, 2023</w:t>
            </w:r>
            <w:r w:rsidR="00E9108F" w:rsidRPr="00EF6D91">
              <w:rPr>
                <w:rFonts w:ascii="Times New Roman" w:hAnsi="Times New Roman" w:cs="Times New Roman"/>
                <w:kern w:val="0"/>
                <w:sz w:val="16"/>
              </w:rPr>
              <w:t>)</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r w:rsidR="00B525F2" w:rsidRPr="00C6516B" w14:paraId="4606A132" w14:textId="77777777" w:rsidTr="0086245C">
        <w:tc>
          <w:tcPr>
            <w:tcW w:w="465" w:type="dxa"/>
          </w:tcPr>
          <w:p w14:paraId="0BA5D03F" w14:textId="66F3639B"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20 </w:t>
            </w:r>
          </w:p>
        </w:tc>
        <w:tc>
          <w:tcPr>
            <w:tcW w:w="1657" w:type="dxa"/>
          </w:tcPr>
          <w:p w14:paraId="7332C90A" w14:textId="04C5E561"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Limited variety of models </w:t>
            </w:r>
          </w:p>
        </w:tc>
        <w:tc>
          <w:tcPr>
            <w:tcW w:w="4677" w:type="dxa"/>
          </w:tcPr>
          <w:p w14:paraId="7E5781C2"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A shortage of diversity of vehicles makes it difficult to improve market acceptability since there are not enough models to satisfy </w:t>
            </w:r>
            <w:proofErr w:type="gramStart"/>
            <w:r w:rsidRPr="00EF6D91">
              <w:rPr>
                <w:rFonts w:ascii="Times New Roman" w:hAnsi="Times New Roman" w:cs="Times New Roman"/>
                <w:color w:val="000000" w:themeColor="text1"/>
                <w:sz w:val="16"/>
                <w:szCs w:val="16"/>
              </w:rPr>
              <w:t>all of</w:t>
            </w:r>
            <w:proofErr w:type="gramEnd"/>
            <w:r w:rsidRPr="00EF6D91">
              <w:rPr>
                <w:rFonts w:ascii="Times New Roman" w:hAnsi="Times New Roman" w:cs="Times New Roman"/>
                <w:color w:val="000000" w:themeColor="text1"/>
                <w:sz w:val="16"/>
                <w:szCs w:val="16"/>
              </w:rPr>
              <w:t xml:space="preserve"> the different customer segments' demands and expectations. </w:t>
            </w:r>
          </w:p>
        </w:tc>
        <w:tc>
          <w:tcPr>
            <w:tcW w:w="2217" w:type="dxa"/>
          </w:tcPr>
          <w:p w14:paraId="7E19FCDD" w14:textId="767D90FB" w:rsidR="00D10E02" w:rsidRPr="00EF6D91" w:rsidRDefault="00D10E02" w:rsidP="0086245C">
            <w:pPr>
              <w:pStyle w:val="Default"/>
              <w:rPr>
                <w:color w:val="000000" w:themeColor="text1"/>
                <w:sz w:val="16"/>
                <w:szCs w:val="16"/>
                <w:lang w:val="es-MX"/>
              </w:rPr>
            </w:pPr>
            <w:r w:rsidRPr="00EF6D91">
              <w:rPr>
                <w:color w:val="000000" w:themeColor="text1"/>
                <w:sz w:val="16"/>
                <w:szCs w:val="16"/>
              </w:rPr>
              <w:fldChar w:fldCharType="begin"/>
            </w:r>
            <w:r w:rsidR="00E9108F" w:rsidRPr="00EF6D91">
              <w:rPr>
                <w:color w:val="000000" w:themeColor="text1"/>
                <w:sz w:val="16"/>
                <w:szCs w:val="16"/>
              </w:rPr>
              <w:instrText xml:space="preserve"> ADDIN ZOTERO_ITEM CSL_CITATION {"citationID":"54K19w7o","properties":{"formattedCitation":"(Barisa {\\i{}et al.}, 2016; Biresselioglu {\\i{}et al.}, 2018; Haddadian {\\i{}et al.}, 2015; Quak {\\i{}et al.}, 2016)","plainCitation":"(Barisa et al., 2016; Biresselioglu et al., 2018; Haddadian et al., 2015; Quak et al., 2016)","noteIndex":0},"citationItems":[{"id":31606,"uris":["http://zotero.org/users/10594755/items/EZ6XGQ34"],"itemData":{"id":31606,"type":"article-journal","container-title":"Energy Procedia","DOI":"10.1016/j.egypro.2016.09.015","ISSN":"18766102","journalAbbreviation":"Energy Procedia","language":"en","page":"50-57","source":"DOI.org (Crossref)","title":"Introducing electric mobility in latvian municipalities: results of a survey","title-short":"Introducing electric mobility in latvian municipalities","volume":"95","author":[{"family":"Barisa","given":"Aiga"},{"family":"Rosa","given":"Marika"},{"family":"Kisele","given":"Agate"}],"issued":{"date-parts":[["2016",9]]}}},{"id":31593,"uris":["http://zotero.org/users/10594755/items/QQBU6W6J"],"itemData":{"id":31593,"type":"article-journal","container-title":"Transportation Research Part A: Policy and Practice","DOI":"10.1016/j.tra.2018.01.017","ISSN":"09658564","journalAbbreviation":"Transportation Research Part A: Policy and Practice","language":"en","page":"1-13","source":"DOI.org (Crossref)","title":"Electric mobility in Europe: A comprehensive review of motivators and barriers in decision making processes","title-short":"Electric mobility in Europe","volume":"109","author":[{"family":"Biresselioglu","given":"Mehmet Efe"},{"family":"Demirbag Kaplan","giv</w:instrText>
            </w:r>
            <w:r w:rsidR="00E9108F" w:rsidRPr="00EF6D91">
              <w:rPr>
                <w:color w:val="000000" w:themeColor="text1"/>
                <w:sz w:val="16"/>
                <w:szCs w:val="16"/>
                <w:lang w:val="es-MX"/>
              </w:rPr>
              <w:instrText xml:space="preserve">en":"Melike"},{"family":"Yilmaz","given":"Barbara Katharina"}],"issued":{"date-parts":[["2018",3]]}}},{"id":31590,"uris":["http://zotero.org/users/10594755/items/DID4HWM5"],"itemData":{"id":31590,"type":"article-journal","container-title":"The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31595,"uris":["http://zotero.org/users/10594755/items/FV4KGF4J"],"itemData":{"id":31595,"type":"article-journal","container-title":"Transportation Research Procedia","DOI":"10.1016/j.trpro.2016.02.055","ISSN":"23521465","journalAbbreviation":"Transportation Research Procedia","language":"en","page":"157-169","source":"DOI.org (Crossref)","title":"Possibilities and barriers for using electric-powered vehicles in city logistics practice","volume":"12","author":[{"family":"Quak","given":"Hans"},{"family":"Nesterova","given":"Nina"},{"family":"Van Rooijen","given":"Tariq"}],"issued":{"date-parts":[["2016"]]}}}],"schema":"https://github.com/citation-style-language/schema/raw/master/csl-citation.json"} </w:instrText>
            </w:r>
            <w:r w:rsidRPr="00EF6D91">
              <w:rPr>
                <w:color w:val="000000" w:themeColor="text1"/>
                <w:sz w:val="16"/>
                <w:szCs w:val="16"/>
              </w:rPr>
              <w:fldChar w:fldCharType="separate"/>
            </w:r>
            <w:r w:rsidR="00E9108F" w:rsidRPr="00EF6D91">
              <w:rPr>
                <w:sz w:val="16"/>
                <w:lang w:val="es-MX"/>
              </w:rPr>
              <w:t xml:space="preserve">(Barisa </w:t>
            </w:r>
            <w:r w:rsidR="00E9108F" w:rsidRPr="00EF6D91">
              <w:rPr>
                <w:i/>
                <w:iCs/>
                <w:sz w:val="16"/>
                <w:lang w:val="es-MX"/>
              </w:rPr>
              <w:t>et al.</w:t>
            </w:r>
            <w:r w:rsidR="00E9108F" w:rsidRPr="00EF6D91">
              <w:rPr>
                <w:sz w:val="16"/>
                <w:lang w:val="es-MX"/>
              </w:rPr>
              <w:t xml:space="preserve">, 2016; Biresselioglu </w:t>
            </w:r>
            <w:r w:rsidR="00E9108F" w:rsidRPr="00EF6D91">
              <w:rPr>
                <w:i/>
                <w:iCs/>
                <w:sz w:val="16"/>
                <w:lang w:val="es-MX"/>
              </w:rPr>
              <w:t>et al.</w:t>
            </w:r>
            <w:r w:rsidR="00E9108F" w:rsidRPr="00EF6D91">
              <w:rPr>
                <w:sz w:val="16"/>
                <w:lang w:val="es-MX"/>
              </w:rPr>
              <w:t>, 2018)</w:t>
            </w:r>
            <w:r w:rsidRPr="00EF6D91">
              <w:rPr>
                <w:color w:val="000000" w:themeColor="text1"/>
                <w:sz w:val="16"/>
                <w:szCs w:val="16"/>
              </w:rPr>
              <w:fldChar w:fldCharType="end"/>
            </w:r>
            <w:r w:rsidRPr="00EF6D91">
              <w:rPr>
                <w:color w:val="000000" w:themeColor="text1"/>
                <w:sz w:val="16"/>
                <w:szCs w:val="16"/>
                <w:lang w:val="es-MX"/>
              </w:rPr>
              <w:t xml:space="preserve">. </w:t>
            </w:r>
          </w:p>
        </w:tc>
      </w:tr>
      <w:tr w:rsidR="00B525F2" w:rsidRPr="00EF6D91" w14:paraId="29CCE592" w14:textId="77777777" w:rsidTr="0086245C">
        <w:tc>
          <w:tcPr>
            <w:tcW w:w="465" w:type="dxa"/>
          </w:tcPr>
          <w:p w14:paraId="0762DF32" w14:textId="0B374E7A" w:rsidR="00D10E02" w:rsidRPr="00EF6D91" w:rsidRDefault="00AE2CA8"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B</w:t>
            </w:r>
            <w:r w:rsidR="00D10E02" w:rsidRPr="00EF6D91">
              <w:rPr>
                <w:rFonts w:ascii="Times New Roman" w:hAnsi="Times New Roman" w:cs="Times New Roman"/>
                <w:color w:val="000000" w:themeColor="text1"/>
                <w:sz w:val="16"/>
                <w:szCs w:val="16"/>
              </w:rPr>
              <w:t xml:space="preserve">21 </w:t>
            </w:r>
          </w:p>
        </w:tc>
        <w:tc>
          <w:tcPr>
            <w:tcW w:w="1657" w:type="dxa"/>
          </w:tcPr>
          <w:p w14:paraId="77194772" w14:textId="36FD6BFE"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Policy and Regulatory obstacles </w:t>
            </w:r>
          </w:p>
        </w:tc>
        <w:tc>
          <w:tcPr>
            <w:tcW w:w="4677" w:type="dxa"/>
          </w:tcPr>
          <w:p w14:paraId="1FD6C8CB" w14:textId="77777777"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t xml:space="preserve">The existing legal and regulatory framework in specific regions or countries presents challenges or barriers, including laws, regulations, or policies that inadvertently or intentionally impede the adoption, use, or development of EVs. </w:t>
            </w:r>
          </w:p>
        </w:tc>
        <w:tc>
          <w:tcPr>
            <w:tcW w:w="2217" w:type="dxa"/>
          </w:tcPr>
          <w:p w14:paraId="0DE1C846" w14:textId="04EBE90C" w:rsidR="00D10E02" w:rsidRPr="00EF6D91" w:rsidRDefault="00D10E02" w:rsidP="0086245C">
            <w:pPr>
              <w:rPr>
                <w:rFonts w:ascii="Times New Roman" w:hAnsi="Times New Roman" w:cs="Times New Roman"/>
                <w:color w:val="000000" w:themeColor="text1"/>
                <w:sz w:val="16"/>
                <w:szCs w:val="16"/>
                <w:lang w:val="en-IN"/>
              </w:rPr>
            </w:pPr>
            <w:r w:rsidRPr="00EF6D91">
              <w:rPr>
                <w:rFonts w:ascii="Times New Roman" w:hAnsi="Times New Roman" w:cs="Times New Roman"/>
                <w:color w:val="000000" w:themeColor="text1"/>
                <w:sz w:val="16"/>
                <w:szCs w:val="16"/>
              </w:rPr>
              <w:fldChar w:fldCharType="begin"/>
            </w:r>
            <w:r w:rsidR="00AA1544" w:rsidRPr="00EF6D91">
              <w:rPr>
                <w:rFonts w:ascii="Times New Roman" w:hAnsi="Times New Roman" w:cs="Times New Roman"/>
                <w:color w:val="000000" w:themeColor="text1"/>
                <w:sz w:val="16"/>
                <w:szCs w:val="16"/>
              </w:rPr>
              <w:instrText xml:space="preserve"> ADDIN ZOTERO_ITEM CSL_CITATION {"citationID":"7XRvdnoB","properties":{"formattedCitation":"(Bruzzone {\\i{}et al.}, 2021; Goel {\\i{}et al.}, 2021; Haddadian {\\i{}et al.}, 2015; Morganti and Browne, 2018)","plainCitation":"(Bruzzone et al., 2021; Goel et al., 2021; Haddadian et al., 2015; Morganti and Browne, 2018)","noteIndex":0},"citationItems":[{"id":48019,"uris":["http://zotero.org/users/10594755/items/9EQNTMXX"],"itemData":{"id":48019,"type":"article-journal","container-title":"Transport Policy","DOI":"10.1016/j.tranpol.2020.10.009","ISSN":"0967070X","journalAbbreviation":"Transport Policy","language":"en","page":"31-48","source":"DOI.org (Crossref)","title":"The integration of passenger and freight transport for first-last mile operations","volume":"100","author":[{"family":"Bruzzone","given":"Francesco"},{"family":"Cavallaro","given":"Federico"},{"family":"Nocera","given":"Silvio"}],"issued":{"date-parts":[["2021",1]]}}},{"id":47994,"uris":["http://zotero.org/users/10594755/items/BZMUL5XG"],"itemData":{"id":47994,"type":"article-journal","container-title":"Sustainable Production and Consumption","DOI":"10.1016/j.spc.2021.03.029","ISSN":"23525509","journalAbbreviation":"Sustainable Production and Consumption","language":"en","page":"71-90","source":"DOI.org (Crossref)","title":"Government is trying but consumers are not buying: A barrier analysis for electric vehicle sales in India","title-short":"Government is trying but consumers are not buying","volume":"28","author":[{"family":"Goel","given":"Pooja"},{"family":"Sharma","given":"Nitika"},{"family":"Mathiyazhagan","given":"K."},{"family":"Vimal","given":"K.E.K."}],"issued":{"date-parts":[["2021",10]]}}},{"id":31590,"uris":["http://zotero.org/users/10594755/items/DID4HWM5"],"itemData":{"id":31590,"type":"article-journal","container-title":"The Electricity Journal","DOI":"10.1016/j.tej.2015.11.011","ISSN":"10406190","issue":"10","journalAbbreviation":"The Electricity Journal","language":"en","page":"53-68","source":"DOI.org (Crossref)","title":"Accelerating the global adoption of electric vehicles: barriers and drivers","title-short":"Accelerating the global adoption of electric vehicles","volume":"28","author":[{"family":"Haddadian","given":"Ghazale"},{"family":"Khodayar","given":"Mohammad"},{"family":"Shahidehpour","given":"Mohammad"}],"issued":{"date-parts":[["2015",12]]}}},{"id":31601,"uris":["http://zotero.org/users/10594755/items/SYUYQJJA"],"itemData":{"id":31601,"type":"article-journal","container-title":"Transport Policy","DOI":"10.1016/j.tranpol.2017.12.010","ISSN":"0967070X","journalAbbreviation":"Transport Policy","language":"en","page":"90-97","source":"DOI.org (Crossref)","title":"Technical and operational obstacles to the adoption of electric vans in France and the UK: An operator perspective","title-short":"Technical and operational obstacles to the adoption of electric vans in France and the UK","volume":"63","author":[{"family":"Morganti","given":"Eleonora"},{"family":"Browne","given":"Michael"}],"issued":{"date-parts":[["2018",4]]}}}],"schema":"https://github.com/citation-style-language/schema/raw/master/csl-citation.json"} </w:instrText>
            </w:r>
            <w:r w:rsidRPr="00EF6D91">
              <w:rPr>
                <w:rFonts w:ascii="Times New Roman" w:hAnsi="Times New Roman" w:cs="Times New Roman"/>
                <w:color w:val="000000" w:themeColor="text1"/>
                <w:sz w:val="16"/>
                <w:szCs w:val="16"/>
              </w:rPr>
              <w:fldChar w:fldCharType="separate"/>
            </w:r>
            <w:r w:rsidR="00AA1544" w:rsidRPr="00EF6D91">
              <w:rPr>
                <w:rFonts w:ascii="Times New Roman" w:hAnsi="Times New Roman" w:cs="Times New Roman"/>
                <w:kern w:val="0"/>
                <w:sz w:val="16"/>
              </w:rPr>
              <w:t xml:space="preserve">(Bruzzone </w:t>
            </w:r>
            <w:r w:rsidR="00AA1544" w:rsidRPr="00EF6D91">
              <w:rPr>
                <w:rFonts w:ascii="Times New Roman" w:hAnsi="Times New Roman" w:cs="Times New Roman"/>
                <w:i/>
                <w:iCs/>
                <w:kern w:val="0"/>
                <w:sz w:val="16"/>
              </w:rPr>
              <w:t>et al.</w:t>
            </w:r>
            <w:r w:rsidR="00AA1544" w:rsidRPr="00EF6D91">
              <w:rPr>
                <w:rFonts w:ascii="Times New Roman" w:hAnsi="Times New Roman" w:cs="Times New Roman"/>
                <w:kern w:val="0"/>
                <w:sz w:val="16"/>
              </w:rPr>
              <w:t xml:space="preserve">, 2021; Goel </w:t>
            </w:r>
            <w:r w:rsidR="00AA1544" w:rsidRPr="00EF6D91">
              <w:rPr>
                <w:rFonts w:ascii="Times New Roman" w:hAnsi="Times New Roman" w:cs="Times New Roman"/>
                <w:i/>
                <w:iCs/>
                <w:kern w:val="0"/>
                <w:sz w:val="16"/>
              </w:rPr>
              <w:t>et al.</w:t>
            </w:r>
            <w:r w:rsidR="00AA1544" w:rsidRPr="00EF6D91">
              <w:rPr>
                <w:rFonts w:ascii="Times New Roman" w:hAnsi="Times New Roman" w:cs="Times New Roman"/>
                <w:kern w:val="0"/>
                <w:sz w:val="16"/>
              </w:rPr>
              <w:t>, 2021; Morganti and Browne, 2018)</w:t>
            </w:r>
            <w:r w:rsidRPr="00EF6D91">
              <w:rPr>
                <w:rFonts w:ascii="Times New Roman" w:hAnsi="Times New Roman" w:cs="Times New Roman"/>
                <w:color w:val="000000" w:themeColor="text1"/>
                <w:sz w:val="16"/>
                <w:szCs w:val="16"/>
              </w:rPr>
              <w:fldChar w:fldCharType="end"/>
            </w:r>
            <w:r w:rsidRPr="00EF6D91">
              <w:rPr>
                <w:rFonts w:ascii="Times New Roman" w:hAnsi="Times New Roman" w:cs="Times New Roman"/>
                <w:color w:val="000000" w:themeColor="text1"/>
                <w:sz w:val="16"/>
                <w:szCs w:val="16"/>
              </w:rPr>
              <w:t xml:space="preserve">. </w:t>
            </w:r>
          </w:p>
        </w:tc>
      </w:tr>
    </w:tbl>
    <w:p w14:paraId="348FD819" w14:textId="77777777" w:rsidR="00D10E02" w:rsidRPr="00EF6D91" w:rsidRDefault="00D10E02" w:rsidP="00D10E02">
      <w:pPr>
        <w:jc w:val="both"/>
        <w:rPr>
          <w:color w:val="000000" w:themeColor="text1"/>
        </w:rPr>
      </w:pPr>
    </w:p>
    <w:p w14:paraId="2E13373D" w14:textId="5C17674D" w:rsidR="00D5018D" w:rsidRPr="00EF6D91" w:rsidRDefault="00C32397" w:rsidP="00B171BE">
      <w:pPr>
        <w:jc w:val="both"/>
        <w:rPr>
          <w:rFonts w:ascii="Times New Roman" w:hAnsi="Times New Roman" w:cs="Times New Roman"/>
          <w:color w:val="000000" w:themeColor="text1"/>
          <w:sz w:val="24"/>
          <w:szCs w:val="24"/>
        </w:rPr>
      </w:pPr>
      <w:r w:rsidRPr="00EF6D91">
        <w:rPr>
          <w:rFonts w:ascii="Times New Roman" w:hAnsi="Times New Roman" w:cs="Times New Roman"/>
          <w:color w:val="000000" w:themeColor="text1"/>
          <w:sz w:val="24"/>
          <w:szCs w:val="24"/>
        </w:rPr>
        <w:t>As shown in Fig. 1, the research methodology follows a tripartite structure. An extensive literature review initially</w:t>
      </w:r>
      <w:r w:rsidR="00D5018D" w:rsidRPr="00EF6D91">
        <w:rPr>
          <w:rFonts w:ascii="Times New Roman" w:hAnsi="Times New Roman" w:cs="Times New Roman"/>
          <w:color w:val="000000" w:themeColor="text1"/>
          <w:sz w:val="24"/>
          <w:szCs w:val="24"/>
        </w:rPr>
        <w:t xml:space="preserve"> yielded 21 potential barriers (Table 1). The subsequent phase involved empirical inquiry through a quantitative survey, collating insights from 157 industry professionals. </w:t>
      </w:r>
      <w:r w:rsidR="00BA0B42" w:rsidRPr="00EF6D91">
        <w:rPr>
          <w:rFonts w:ascii="Times New Roman" w:hAnsi="Times New Roman" w:cs="Times New Roman"/>
          <w:i/>
          <w:iCs/>
          <w:color w:val="000000" w:themeColor="text1"/>
          <w:sz w:val="24"/>
          <w:szCs w:val="24"/>
        </w:rPr>
        <w:t>Appendix I</w:t>
      </w:r>
      <w:r w:rsidR="00BA0B42" w:rsidRPr="00EF6D91">
        <w:rPr>
          <w:rFonts w:ascii="Times New Roman" w:hAnsi="Times New Roman" w:cs="Times New Roman"/>
          <w:color w:val="000000" w:themeColor="text1"/>
          <w:sz w:val="24"/>
          <w:szCs w:val="24"/>
        </w:rPr>
        <w:t xml:space="preserve"> presents the detailed survey instrument. </w:t>
      </w:r>
      <w:r w:rsidR="00D5018D" w:rsidRPr="00EF6D91">
        <w:rPr>
          <w:rFonts w:ascii="Times New Roman" w:hAnsi="Times New Roman" w:cs="Times New Roman"/>
          <w:color w:val="000000" w:themeColor="text1"/>
          <w:sz w:val="24"/>
          <w:szCs w:val="24"/>
        </w:rPr>
        <w:t>This data underwent</w:t>
      </w:r>
      <w:r w:rsidR="00165570">
        <w:rPr>
          <w:rFonts w:ascii="Times New Roman" w:hAnsi="Times New Roman" w:cs="Times New Roman"/>
          <w:color w:val="000000" w:themeColor="text1"/>
          <w:sz w:val="24"/>
          <w:szCs w:val="24"/>
        </w:rPr>
        <w:t xml:space="preserve"> an </w:t>
      </w:r>
      <w:r w:rsidR="00165570" w:rsidRPr="00165570">
        <w:rPr>
          <w:rFonts w:ascii="Times New Roman" w:hAnsi="Times New Roman" w:cs="Times New Roman"/>
          <w:color w:val="000000" w:themeColor="text1"/>
          <w:sz w:val="24"/>
          <w:szCs w:val="24"/>
        </w:rPr>
        <w:t>Exploratory Factor Analysis</w:t>
      </w:r>
      <w:r w:rsidR="00D5018D" w:rsidRPr="00EF6D91">
        <w:rPr>
          <w:rFonts w:ascii="Times New Roman" w:hAnsi="Times New Roman" w:cs="Times New Roman"/>
          <w:color w:val="000000" w:themeColor="text1"/>
          <w:sz w:val="24"/>
          <w:szCs w:val="24"/>
        </w:rPr>
        <w:t xml:space="preserve"> </w:t>
      </w:r>
      <w:r w:rsidR="00165570">
        <w:rPr>
          <w:rFonts w:ascii="Times New Roman" w:hAnsi="Times New Roman" w:cs="Times New Roman"/>
          <w:color w:val="000000" w:themeColor="text1"/>
          <w:sz w:val="24"/>
          <w:szCs w:val="24"/>
        </w:rPr>
        <w:t>(</w:t>
      </w:r>
      <w:r w:rsidR="002C4AFA" w:rsidRPr="00EF6D91">
        <w:rPr>
          <w:rFonts w:ascii="Times New Roman" w:hAnsi="Times New Roman" w:cs="Times New Roman"/>
          <w:color w:val="000000" w:themeColor="text1"/>
          <w:sz w:val="24"/>
          <w:szCs w:val="24"/>
        </w:rPr>
        <w:t>EFA</w:t>
      </w:r>
      <w:r w:rsidR="00165570">
        <w:rPr>
          <w:rFonts w:ascii="Times New Roman" w:hAnsi="Times New Roman" w:cs="Times New Roman"/>
          <w:color w:val="000000" w:themeColor="text1"/>
          <w:sz w:val="24"/>
          <w:szCs w:val="24"/>
        </w:rPr>
        <w:t>)</w:t>
      </w:r>
      <w:r w:rsidR="00D5018D" w:rsidRPr="00EF6D91">
        <w:rPr>
          <w:rFonts w:ascii="Times New Roman" w:hAnsi="Times New Roman" w:cs="Times New Roman"/>
          <w:color w:val="000000" w:themeColor="text1"/>
          <w:sz w:val="24"/>
          <w:szCs w:val="24"/>
        </w:rPr>
        <w:t xml:space="preserve"> for</w:t>
      </w:r>
      <w:r w:rsidR="00EB44AB">
        <w:rPr>
          <w:rFonts w:ascii="Times New Roman" w:hAnsi="Times New Roman" w:cs="Times New Roman"/>
          <w:color w:val="000000" w:themeColor="text1"/>
          <w:sz w:val="24"/>
          <w:szCs w:val="24"/>
        </w:rPr>
        <w:t xml:space="preserve"> barrier </w:t>
      </w:r>
      <w:r w:rsidR="00D5018D" w:rsidRPr="00EF6D91">
        <w:rPr>
          <w:rFonts w:ascii="Times New Roman" w:hAnsi="Times New Roman" w:cs="Times New Roman"/>
          <w:color w:val="000000" w:themeColor="text1"/>
          <w:sz w:val="24"/>
          <w:szCs w:val="24"/>
        </w:rPr>
        <w:t>categorization</w:t>
      </w:r>
      <w:r w:rsidR="00EB44AB">
        <w:rPr>
          <w:rFonts w:ascii="Times New Roman" w:hAnsi="Times New Roman" w:cs="Times New Roman"/>
          <w:color w:val="000000" w:themeColor="text1"/>
          <w:sz w:val="24"/>
          <w:szCs w:val="24"/>
        </w:rPr>
        <w:t xml:space="preserve"> and validation</w:t>
      </w:r>
      <w:r w:rsidR="00D5018D" w:rsidRPr="00EF6D91">
        <w:rPr>
          <w:rFonts w:ascii="Times New Roman" w:hAnsi="Times New Roman" w:cs="Times New Roman"/>
          <w:color w:val="000000" w:themeColor="text1"/>
          <w:sz w:val="24"/>
          <w:szCs w:val="24"/>
        </w:rPr>
        <w:t xml:space="preserve">. The culminating </w:t>
      </w:r>
      <w:r w:rsidRPr="00EF6D91">
        <w:rPr>
          <w:rFonts w:ascii="Times New Roman" w:hAnsi="Times New Roman" w:cs="Times New Roman"/>
          <w:color w:val="000000" w:themeColor="text1"/>
          <w:sz w:val="24"/>
          <w:szCs w:val="24"/>
        </w:rPr>
        <w:t>stag</w:t>
      </w:r>
      <w:r w:rsidR="00D5018D" w:rsidRPr="00EF6D91">
        <w:rPr>
          <w:rFonts w:ascii="Times New Roman" w:hAnsi="Times New Roman" w:cs="Times New Roman"/>
          <w:color w:val="000000" w:themeColor="text1"/>
          <w:sz w:val="24"/>
          <w:szCs w:val="24"/>
        </w:rPr>
        <w:t xml:space="preserve">e adopted the </w:t>
      </w:r>
      <w:r w:rsidR="002C4AFA" w:rsidRPr="00EF6D91">
        <w:rPr>
          <w:rFonts w:ascii="Times New Roman" w:hAnsi="Times New Roman" w:cs="Times New Roman"/>
          <w:color w:val="000000" w:themeColor="text1"/>
          <w:sz w:val="24"/>
          <w:szCs w:val="24"/>
        </w:rPr>
        <w:t>AHP</w:t>
      </w:r>
      <w:r w:rsidR="00D5018D" w:rsidRPr="00EF6D91">
        <w:rPr>
          <w:rFonts w:ascii="Times New Roman" w:hAnsi="Times New Roman" w:cs="Times New Roman"/>
          <w:color w:val="000000" w:themeColor="text1"/>
          <w:sz w:val="24"/>
          <w:szCs w:val="24"/>
        </w:rPr>
        <w:t xml:space="preserve"> for a hierarchical barrier ranking, emphasizing their contextual relevance in EV uptake. </w:t>
      </w:r>
    </w:p>
    <w:p w14:paraId="25E6E82F" w14:textId="3F589A4F" w:rsidR="00EC7E8E" w:rsidRPr="00EF6D91" w:rsidRDefault="00EC7E8E" w:rsidP="00EC7E8E">
      <w:pPr>
        <w:jc w:val="both"/>
        <w:rPr>
          <w:rFonts w:ascii="Times New Roman" w:hAnsi="Times New Roman" w:cs="Times New Roman"/>
          <w:i/>
          <w:iCs/>
          <w:color w:val="000000" w:themeColor="text1"/>
          <w:sz w:val="24"/>
          <w:szCs w:val="24"/>
        </w:rPr>
      </w:pPr>
      <w:r w:rsidRPr="00EF6D91">
        <w:rPr>
          <w:rFonts w:ascii="Times New Roman" w:hAnsi="Times New Roman" w:cs="Times New Roman"/>
          <w:i/>
          <w:iCs/>
          <w:color w:val="000000" w:themeColor="text1"/>
          <w:sz w:val="24"/>
          <w:szCs w:val="24"/>
        </w:rPr>
        <w:t>---------------------------------------------- Insert Fig. 1 -------------------------------------------------</w:t>
      </w:r>
    </w:p>
    <w:p w14:paraId="565B2A9E" w14:textId="77777777" w:rsidR="00D10E02" w:rsidRPr="00EF6D91" w:rsidRDefault="00D10E02" w:rsidP="00D5018D">
      <w:pPr>
        <w:jc w:val="both"/>
        <w:rPr>
          <w:rFonts w:ascii="Times New Roman" w:hAnsi="Times New Roman" w:cs="Times New Roman"/>
          <w:i/>
          <w:iCs/>
          <w:color w:val="000000" w:themeColor="text1"/>
          <w:sz w:val="24"/>
          <w:szCs w:val="24"/>
        </w:rPr>
      </w:pPr>
    </w:p>
    <w:p w14:paraId="53B069B4" w14:textId="77777777" w:rsidR="00D10E02" w:rsidRPr="00EF6D91" w:rsidRDefault="00D10E02" w:rsidP="00D5018D">
      <w:pPr>
        <w:jc w:val="both"/>
        <w:rPr>
          <w:rFonts w:ascii="Times New Roman" w:hAnsi="Times New Roman" w:cs="Times New Roman"/>
          <w:i/>
          <w:iCs/>
          <w:color w:val="000000" w:themeColor="text1"/>
          <w:sz w:val="24"/>
          <w:szCs w:val="24"/>
        </w:rPr>
      </w:pPr>
    </w:p>
    <w:p w14:paraId="2DDDE17A" w14:textId="48762335" w:rsidR="00D10E02" w:rsidRPr="00EF6D91" w:rsidRDefault="00E215CD" w:rsidP="00D5018D">
      <w:pPr>
        <w:jc w:val="both"/>
        <w:rPr>
          <w:rFonts w:ascii="Times New Roman" w:hAnsi="Times New Roman" w:cs="Times New Roman"/>
          <w:i/>
          <w:iCs/>
          <w:color w:val="000000" w:themeColor="text1"/>
          <w:sz w:val="24"/>
          <w:szCs w:val="24"/>
        </w:rPr>
      </w:pPr>
      <w:r w:rsidRPr="00EF6D91">
        <w:rPr>
          <w:rFonts w:ascii="Times New Roman" w:hAnsi="Times New Roman" w:cs="Times New Roman"/>
          <w:i/>
          <w:iCs/>
          <w:color w:val="000000" w:themeColor="text1"/>
          <w:sz w:val="24"/>
          <w:szCs w:val="24"/>
        </w:rPr>
        <w:lastRenderedPageBreak/>
        <w:t xml:space="preserve">               </w:t>
      </w:r>
      <w:r w:rsidR="003B2F6C" w:rsidRPr="00EF6D91">
        <w:rPr>
          <w:rFonts w:ascii="Times New Roman" w:hAnsi="Times New Roman" w:cs="Times New Roman"/>
          <w:i/>
          <w:iCs/>
          <w:noProof/>
          <w:color w:val="000000" w:themeColor="text1"/>
          <w:sz w:val="24"/>
          <w:szCs w:val="24"/>
        </w:rPr>
        <w:drawing>
          <wp:inline distT="0" distB="0" distL="0" distR="0" wp14:anchorId="7194F297" wp14:editId="6290071C">
            <wp:extent cx="4581161" cy="5384800"/>
            <wp:effectExtent l="0" t="0" r="0" b="6350"/>
            <wp:docPr id="19488176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385" cy="5386239"/>
                    </a:xfrm>
                    <a:prstGeom prst="rect">
                      <a:avLst/>
                    </a:prstGeom>
                    <a:noFill/>
                  </pic:spPr>
                </pic:pic>
              </a:graphicData>
            </a:graphic>
          </wp:inline>
        </w:drawing>
      </w:r>
    </w:p>
    <w:p w14:paraId="424018D9" w14:textId="6E31E98A" w:rsidR="00D10E02" w:rsidRPr="00EF6D91" w:rsidRDefault="00E215CD" w:rsidP="00D10E02">
      <w:pPr>
        <w:rPr>
          <w:rFonts w:ascii="Times New Roman" w:hAnsi="Times New Roman" w:cs="Times New Roman"/>
          <w:sz w:val="24"/>
          <w:szCs w:val="24"/>
        </w:rPr>
      </w:pPr>
      <w:r w:rsidRPr="00EF6D91">
        <w:rPr>
          <w:rFonts w:ascii="Times New Roman" w:hAnsi="Times New Roman" w:cs="Times New Roman"/>
          <w:sz w:val="24"/>
          <w:szCs w:val="24"/>
        </w:rPr>
        <w:t xml:space="preserve">                </w:t>
      </w:r>
      <w:r w:rsidR="00D10E02" w:rsidRPr="00EF6D91">
        <w:rPr>
          <w:rFonts w:ascii="Times New Roman" w:hAnsi="Times New Roman" w:cs="Times New Roman"/>
          <w:sz w:val="24"/>
          <w:szCs w:val="24"/>
        </w:rPr>
        <w:t>Fig 1. Implementation Process of the Research Methodology</w:t>
      </w:r>
    </w:p>
    <w:p w14:paraId="186A1B8C" w14:textId="6E3C2279" w:rsidR="00AD5C71" w:rsidRPr="00EF6D91" w:rsidRDefault="00B00725" w:rsidP="00B00725">
      <w:pPr>
        <w:spacing w:line="256" w:lineRule="auto"/>
        <w:jc w:val="both"/>
        <w:rPr>
          <w:rFonts w:ascii="Times New Roman" w:eastAsia="Aptos" w:hAnsi="Times New Roman" w:cs="Times New Roman"/>
          <w:sz w:val="24"/>
          <w:szCs w:val="24"/>
        </w:rPr>
      </w:pPr>
      <w:r>
        <w:rPr>
          <w:rFonts w:ascii="Times New Roman" w:eastAsia="Aptos" w:hAnsi="Times New Roman" w:cs="Times New Roman"/>
          <w:sz w:val="24"/>
          <w:szCs w:val="24"/>
        </w:rPr>
        <w:t>W</w:t>
      </w:r>
      <w:r w:rsidRPr="00EF6D91">
        <w:rPr>
          <w:rFonts w:ascii="Times New Roman" w:eastAsia="Aptos" w:hAnsi="Times New Roman" w:cs="Times New Roman"/>
          <w:sz w:val="24"/>
          <w:szCs w:val="24"/>
        </w:rPr>
        <w:t xml:space="preserve">e strategically chose the application of EFA to discern and validate the underlying dimensions among a broad array of identified barriers. This study reinforces the utility of EFA by its capacity to uncover latent structures without presupposing a specific model. This approach is crucial for empirical rigour and the integrity of our barrier categorization. This methodological choice reflects the recommendations of </w:t>
      </w:r>
      <w:r w:rsidRPr="00EF6D91">
        <w:rPr>
          <w:rFonts w:ascii="Times New Roman" w:eastAsia="Aptos" w:hAnsi="Times New Roman" w:cs="Times New Roman"/>
          <w:sz w:val="24"/>
          <w:szCs w:val="24"/>
        </w:rPr>
        <w:fldChar w:fldCharType="begin"/>
      </w:r>
      <w:r w:rsidRPr="00EF6D91">
        <w:rPr>
          <w:rFonts w:ascii="Times New Roman" w:eastAsia="Aptos" w:hAnsi="Times New Roman" w:cs="Times New Roman"/>
          <w:sz w:val="24"/>
          <w:szCs w:val="24"/>
        </w:rPr>
        <w:instrText xml:space="preserve"> ADDIN ZOTERO_ITEM CSL_CITATION {"citationID":"hfmmGbST","properties":{"formattedCitation":"(Osborne, 2014)","plainCitation":"(Osborne, 2014)","noteIndex":0},"citationItems":[{"id":48036,"uris":["http://zotero.org/users/10594755/items/9FLQ49X6"],"itemData":{"id":48036,"type":"book","abstract":"\"Best practices in exploraatory factor analysis (EFA) is a practitioner-enable look at this popular and often misundestood statistical technique. We avoid formulas and matrix algebra, instead focusing on evidence-based best practices so you can focus on getting the most from your data.\"--Page 4 of cover.","event-place":"[Louisville, Ky.]","ISBN":"978-1-5005-9434-3","language":"eng","number-of-pages":"99","publisher":"CreateSpace Independent Publishing Platform","publisher-place":"[Louisville, Ky.]","source":"Open WorldCat","title":"Best practices in exloratory factor analysis","author":[{"family":"Osborne","given":"Jason W."}],"issued":{"date-parts":[["2014"]]}}}],"schema":"https://github.com/citation-style-language/schema/raw/master/csl-citation.json"} </w:instrText>
      </w:r>
      <w:r w:rsidRPr="00EF6D91">
        <w:rPr>
          <w:rFonts w:ascii="Times New Roman" w:eastAsia="Aptos" w:hAnsi="Times New Roman" w:cs="Times New Roman"/>
          <w:sz w:val="24"/>
          <w:szCs w:val="24"/>
        </w:rPr>
        <w:fldChar w:fldCharType="separate"/>
      </w:r>
      <w:r w:rsidRPr="00EF6D91">
        <w:rPr>
          <w:rFonts w:ascii="Times New Roman" w:hAnsi="Times New Roman" w:cs="Times New Roman"/>
          <w:sz w:val="24"/>
        </w:rPr>
        <w:t>(Osborne, 2014)</w:t>
      </w:r>
      <w:r w:rsidRPr="00EF6D91">
        <w:rPr>
          <w:rFonts w:ascii="Times New Roman" w:eastAsia="Aptos" w:hAnsi="Times New Roman" w:cs="Times New Roman"/>
          <w:sz w:val="24"/>
          <w:szCs w:val="24"/>
        </w:rPr>
        <w:fldChar w:fldCharType="end"/>
      </w:r>
      <w:r w:rsidRPr="00EF6D91">
        <w:rPr>
          <w:rFonts w:ascii="Times New Roman" w:eastAsia="Aptos" w:hAnsi="Times New Roman" w:cs="Times New Roman"/>
          <w:sz w:val="24"/>
          <w:szCs w:val="24"/>
        </w:rPr>
        <w:t>, who advocate for EFA’s use in exploratory studies to identify factor structures among variables.</w:t>
      </w:r>
      <w:r>
        <w:rPr>
          <w:rFonts w:ascii="Times New Roman" w:eastAsia="Aptos" w:hAnsi="Times New Roman" w:cs="Times New Roman"/>
          <w:sz w:val="24"/>
          <w:szCs w:val="24"/>
        </w:rPr>
        <w:t xml:space="preserve"> On the other hand, w</w:t>
      </w:r>
      <w:r w:rsidR="005E5B8D" w:rsidRPr="00EF6D91">
        <w:rPr>
          <w:rFonts w:ascii="Times New Roman" w:eastAsia="Aptos" w:hAnsi="Times New Roman" w:cs="Times New Roman"/>
          <w:sz w:val="24"/>
          <w:szCs w:val="24"/>
        </w:rPr>
        <w:t xml:space="preserve">e chose </w:t>
      </w:r>
      <w:r w:rsidR="00D2470D">
        <w:rPr>
          <w:rFonts w:ascii="Times New Roman" w:eastAsia="Aptos" w:hAnsi="Times New Roman" w:cs="Times New Roman"/>
          <w:sz w:val="24"/>
          <w:szCs w:val="24"/>
        </w:rPr>
        <w:t xml:space="preserve">the </w:t>
      </w:r>
      <w:r w:rsidR="00D2470D" w:rsidRPr="00EF6D91">
        <w:rPr>
          <w:rFonts w:ascii="Times New Roman" w:eastAsia="Aptos" w:hAnsi="Times New Roman" w:cs="Times New Roman"/>
          <w:sz w:val="24"/>
          <w:szCs w:val="24"/>
        </w:rPr>
        <w:t>Analytical Hierarchy Process (AHP)</w:t>
      </w:r>
      <w:r w:rsidR="00D2470D">
        <w:rPr>
          <w:rFonts w:ascii="Times New Roman" w:eastAsia="Aptos" w:hAnsi="Times New Roman" w:cs="Times New Roman"/>
          <w:sz w:val="24"/>
          <w:szCs w:val="24"/>
        </w:rPr>
        <w:t xml:space="preserve"> </w:t>
      </w:r>
      <w:r w:rsidR="005E5B8D" w:rsidRPr="00EF6D91">
        <w:rPr>
          <w:rFonts w:ascii="Times New Roman" w:eastAsia="Aptos" w:hAnsi="Times New Roman" w:cs="Times New Roman"/>
          <w:sz w:val="24"/>
          <w:szCs w:val="24"/>
        </w:rPr>
        <w:t>in this study to align with our research objectives and ensure a robust analytical framework.</w:t>
      </w:r>
      <w:r w:rsidR="00AD5C71" w:rsidRPr="00EF6D91">
        <w:rPr>
          <w:rFonts w:ascii="Times New Roman" w:eastAsia="Aptos" w:hAnsi="Times New Roman" w:cs="Times New Roman"/>
          <w:sz w:val="24"/>
          <w:szCs w:val="24"/>
        </w:rPr>
        <w:t xml:space="preserve"> </w:t>
      </w:r>
      <w:r w:rsidR="005E5B8D" w:rsidRPr="00EF6D91">
        <w:rPr>
          <w:rFonts w:ascii="Times New Roman" w:eastAsia="Aptos" w:hAnsi="Times New Roman" w:cs="Times New Roman"/>
          <w:sz w:val="24"/>
          <w:szCs w:val="24"/>
        </w:rPr>
        <w:t xml:space="preserve">The well-documented efficacy of the AHP in structuring complex decision-making scenarios and its proficiency in facilitating the prioritization of factors through pairwise comparisons guided our decision to utilize AHP over the Analytic Network Process (ANP). </w:t>
      </w:r>
      <w:r w:rsidR="00AD5C71" w:rsidRPr="00EF6D91">
        <w:rPr>
          <w:rFonts w:ascii="Times New Roman" w:eastAsia="Aptos" w:hAnsi="Times New Roman" w:cs="Times New Roman"/>
          <w:sz w:val="24"/>
          <w:szCs w:val="24"/>
        </w:rPr>
        <w:t xml:space="preserve">This characteristic of AHP </w:t>
      </w:r>
      <w:r w:rsidR="00B171BE">
        <w:rPr>
          <w:rFonts w:ascii="Times New Roman" w:eastAsia="Aptos" w:hAnsi="Times New Roman" w:cs="Times New Roman"/>
          <w:sz w:val="24"/>
          <w:szCs w:val="24"/>
        </w:rPr>
        <w:t>was</w:t>
      </w:r>
      <w:r w:rsidR="00AD5C71" w:rsidRPr="00EF6D91">
        <w:rPr>
          <w:rFonts w:ascii="Times New Roman" w:eastAsia="Aptos" w:hAnsi="Times New Roman" w:cs="Times New Roman"/>
          <w:sz w:val="24"/>
          <w:szCs w:val="24"/>
        </w:rPr>
        <w:t xml:space="preserve"> particularly beneficial for </w:t>
      </w:r>
      <w:r w:rsidR="00756271" w:rsidRPr="00EF6D91">
        <w:rPr>
          <w:rFonts w:ascii="Times New Roman" w:eastAsia="Aptos" w:hAnsi="Times New Roman" w:cs="Times New Roman"/>
          <w:sz w:val="24"/>
          <w:szCs w:val="24"/>
        </w:rPr>
        <w:t>systematically categorising and ranking</w:t>
      </w:r>
      <w:r w:rsidR="00AD5C71" w:rsidRPr="00EF6D91">
        <w:rPr>
          <w:rFonts w:ascii="Times New Roman" w:eastAsia="Aptos" w:hAnsi="Times New Roman" w:cs="Times New Roman"/>
          <w:sz w:val="24"/>
          <w:szCs w:val="24"/>
        </w:rPr>
        <w:t xml:space="preserve"> the diverse barriers to EV adoption in LMD. </w:t>
      </w:r>
    </w:p>
    <w:p w14:paraId="20F169AB" w14:textId="764480B6" w:rsidR="00AD5C71" w:rsidRPr="00EF6D91" w:rsidRDefault="00AD5C71" w:rsidP="00896BAB">
      <w:pPr>
        <w:spacing w:line="256" w:lineRule="auto"/>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Collectively, the integration of EFA and AHP in our research methodology is not only methodologically sound but also supported by a substantial body of literature that attests to </w:t>
      </w:r>
      <w:r w:rsidRPr="00EF6D91">
        <w:rPr>
          <w:rFonts w:ascii="Times New Roman" w:eastAsia="Aptos" w:hAnsi="Times New Roman" w:cs="Times New Roman"/>
          <w:sz w:val="24"/>
          <w:szCs w:val="24"/>
        </w:rPr>
        <w:lastRenderedPageBreak/>
        <w:t xml:space="preserve">their robustness and appropriateness for the aims of our study </w:t>
      </w:r>
      <w:r w:rsidR="003502CD" w:rsidRPr="00EF6D91">
        <w:rPr>
          <w:rFonts w:ascii="Times New Roman" w:eastAsia="Aptos" w:hAnsi="Times New Roman" w:cs="Times New Roman"/>
          <w:sz w:val="24"/>
          <w:szCs w:val="24"/>
        </w:rPr>
        <w:fldChar w:fldCharType="begin"/>
      </w:r>
      <w:r w:rsidR="003502CD" w:rsidRPr="00EF6D91">
        <w:rPr>
          <w:rFonts w:ascii="Times New Roman" w:eastAsia="Aptos" w:hAnsi="Times New Roman" w:cs="Times New Roman"/>
          <w:sz w:val="24"/>
          <w:szCs w:val="24"/>
        </w:rPr>
        <w:instrText xml:space="preserve"> ADDIN ZOTERO_ITEM CSL_CITATION {"citationID":"Jy2xpaml","properties":{"formattedCitation":"(Dwivedi {\\i{}et al.}, 2022; Singh {\\i{}et al.}, 2023)","plainCitation":"(Dwivedi et al., 2022; Singh et al., 2023)","noteIndex":0},"citationItems":[{"id":48024,"uris":["http://zotero.org/users/10594755/items/RDCVKRHM"],"itemData":{"id":48024,"type":"article-journal","container-title":"Technological Forecasting and Social Change","DOI":"10.1016/j.techfore.2021.121335","ISSN":"00401625","journalAbbreviation":"Technological Forecasting and Social Change","language":"en","page":"121335","source":"DOI.org (Crossref)","title":"Integrating the circular economy and industry 4.0 for sustainable development: Implications for responsible footwear production in a big data-driven world","title-short":"Integrating the circular economy and industry 4.0 for sustainable development","volume":"175","author":[{"family":"Dwivedi","given":"Ashish"},{"family":"Moktadir","given":"Md. Abdul"},{"family":"Chiappetta Jabbour","given":"Charbel José"},{"family":"De Carvalho","given":"Daniel Estima"}],"issued":{"date-parts":[["2022",2]]}}},{"id":48022,"uris":["http://zotero.org/users/10594755/items/Y5QRYRIU"],"itemData":{"id":48022,"type":"article-journal","container-title":"Journal of Cleaner Production","DOI":"10.1016/j.jclepro.2023.138908","ISSN":"09596526","journalAbbreviation":"Journal of Cleaner Production","language":"en","page":"138908","source":"DOI.org (Crossref)","title":"Critical success factors of additive manufacturing for higher sustainable competitive advantage in supply chains","volume":"425","author":[{"family":"Singh","given":"Satbir"},{"family":"Mohanty","given":"R.P."},{"family":"Mangla","given":"Sachin Kumar"},{"family":"Agrawal","given":"Vivek"}],"issued":{"date-parts":[["2023",11]]}}}],"schema":"https://github.com/citation-style-language/schema/raw/master/csl-citation.json"} </w:instrText>
      </w:r>
      <w:r w:rsidR="003502CD" w:rsidRPr="00EF6D91">
        <w:rPr>
          <w:rFonts w:ascii="Times New Roman" w:eastAsia="Aptos" w:hAnsi="Times New Roman" w:cs="Times New Roman"/>
          <w:sz w:val="24"/>
          <w:szCs w:val="24"/>
        </w:rPr>
        <w:fldChar w:fldCharType="separate"/>
      </w:r>
      <w:r w:rsidR="003502CD" w:rsidRPr="00EF6D91">
        <w:rPr>
          <w:rFonts w:ascii="Times New Roman" w:hAnsi="Times New Roman" w:cs="Times New Roman"/>
          <w:kern w:val="0"/>
          <w:sz w:val="24"/>
        </w:rPr>
        <w:t xml:space="preserve">(Dwivedi </w:t>
      </w:r>
      <w:r w:rsidR="003502CD" w:rsidRPr="00EF6D91">
        <w:rPr>
          <w:rFonts w:ascii="Times New Roman" w:hAnsi="Times New Roman" w:cs="Times New Roman"/>
          <w:i/>
          <w:iCs/>
          <w:kern w:val="0"/>
          <w:sz w:val="24"/>
        </w:rPr>
        <w:t>et al.</w:t>
      </w:r>
      <w:r w:rsidR="003502CD" w:rsidRPr="00EF6D91">
        <w:rPr>
          <w:rFonts w:ascii="Times New Roman" w:hAnsi="Times New Roman" w:cs="Times New Roman"/>
          <w:kern w:val="0"/>
          <w:sz w:val="24"/>
        </w:rPr>
        <w:t>, 2022</w:t>
      </w:r>
      <w:r w:rsidR="00901359" w:rsidRPr="00EF6D91">
        <w:rPr>
          <w:rFonts w:ascii="Times New Roman" w:hAnsi="Times New Roman" w:cs="Times New Roman"/>
          <w:kern w:val="0"/>
          <w:sz w:val="24"/>
        </w:rPr>
        <w:t xml:space="preserve">; </w:t>
      </w:r>
      <w:r w:rsidR="003502CD" w:rsidRPr="00EF6D91">
        <w:rPr>
          <w:rFonts w:ascii="Times New Roman" w:hAnsi="Times New Roman" w:cs="Times New Roman"/>
          <w:kern w:val="0"/>
          <w:sz w:val="24"/>
        </w:rPr>
        <w:t xml:space="preserve">Singh </w:t>
      </w:r>
      <w:r w:rsidR="003502CD" w:rsidRPr="00EF6D91">
        <w:rPr>
          <w:rFonts w:ascii="Times New Roman" w:hAnsi="Times New Roman" w:cs="Times New Roman"/>
          <w:i/>
          <w:iCs/>
          <w:kern w:val="0"/>
          <w:sz w:val="24"/>
        </w:rPr>
        <w:t>et al.</w:t>
      </w:r>
      <w:r w:rsidR="003502CD" w:rsidRPr="00EF6D91">
        <w:rPr>
          <w:rFonts w:ascii="Times New Roman" w:hAnsi="Times New Roman" w:cs="Times New Roman"/>
          <w:kern w:val="0"/>
          <w:sz w:val="24"/>
        </w:rPr>
        <w:t>, 2023)</w:t>
      </w:r>
      <w:r w:rsidR="003502CD" w:rsidRPr="00EF6D91">
        <w:rPr>
          <w:rFonts w:ascii="Times New Roman" w:eastAsia="Aptos" w:hAnsi="Times New Roman" w:cs="Times New Roman"/>
          <w:sz w:val="24"/>
          <w:szCs w:val="24"/>
        </w:rPr>
        <w:fldChar w:fldCharType="end"/>
      </w:r>
      <w:r w:rsidRPr="00EF6D91">
        <w:rPr>
          <w:rFonts w:ascii="Times New Roman" w:eastAsia="Aptos" w:hAnsi="Times New Roman" w:cs="Times New Roman"/>
          <w:sz w:val="24"/>
          <w:szCs w:val="24"/>
        </w:rPr>
        <w:t xml:space="preserve">. </w:t>
      </w:r>
    </w:p>
    <w:p w14:paraId="323AEDFC" w14:textId="3D7D43FF" w:rsidR="00D5018D" w:rsidRPr="00EF6D91" w:rsidRDefault="00D5018D" w:rsidP="00D5018D">
      <w:pPr>
        <w:jc w:val="both"/>
        <w:rPr>
          <w:rFonts w:ascii="Times New Roman" w:hAnsi="Times New Roman" w:cs="Times New Roman"/>
          <w:i/>
          <w:iCs/>
          <w:color w:val="000000" w:themeColor="text1"/>
          <w:sz w:val="24"/>
          <w:szCs w:val="24"/>
        </w:rPr>
      </w:pPr>
      <w:r w:rsidRPr="00EF6D91">
        <w:rPr>
          <w:rFonts w:ascii="Times New Roman" w:hAnsi="Times New Roman" w:cs="Times New Roman"/>
          <w:i/>
          <w:iCs/>
          <w:color w:val="000000" w:themeColor="text1"/>
          <w:sz w:val="24"/>
          <w:szCs w:val="24"/>
        </w:rPr>
        <w:t>3.1 Data collection and analysis</w:t>
      </w:r>
    </w:p>
    <w:p w14:paraId="19C8B9AF" w14:textId="16AF953B" w:rsidR="00D5018D" w:rsidRPr="00EF6D91" w:rsidRDefault="00D5018D" w:rsidP="00D5018D">
      <w:pPr>
        <w:jc w:val="both"/>
        <w:rPr>
          <w:rFonts w:ascii="Times New Roman" w:hAnsi="Times New Roman" w:cs="Times New Roman"/>
          <w:color w:val="000000" w:themeColor="text1"/>
          <w:sz w:val="24"/>
          <w:szCs w:val="24"/>
        </w:rPr>
      </w:pPr>
      <w:r w:rsidRPr="00EF6D91">
        <w:rPr>
          <w:rFonts w:ascii="Times New Roman" w:hAnsi="Times New Roman" w:cs="Times New Roman"/>
          <w:color w:val="000000" w:themeColor="text1"/>
          <w:sz w:val="24"/>
          <w:szCs w:val="24"/>
        </w:rPr>
        <w:t xml:space="preserve">An appended survey questionnaire </w:t>
      </w:r>
      <w:r w:rsidR="00CD6C93" w:rsidRPr="00EF6D91">
        <w:rPr>
          <w:rFonts w:ascii="Times New Roman" w:hAnsi="Times New Roman" w:cs="Times New Roman"/>
          <w:color w:val="000000" w:themeColor="text1"/>
          <w:sz w:val="24"/>
          <w:szCs w:val="24"/>
        </w:rPr>
        <w:t xml:space="preserve">in Qualtrics </w:t>
      </w:r>
      <w:r w:rsidRPr="00EF6D91">
        <w:rPr>
          <w:rFonts w:ascii="Times New Roman" w:hAnsi="Times New Roman" w:cs="Times New Roman"/>
          <w:color w:val="000000" w:themeColor="text1"/>
          <w:sz w:val="24"/>
          <w:szCs w:val="24"/>
        </w:rPr>
        <w:t xml:space="preserve">harvested these up-to-date expert perspectives, subsequently facilitating barrier validation and categorization via </w:t>
      </w:r>
      <w:r w:rsidR="00A7120C" w:rsidRPr="00EF6D91">
        <w:rPr>
          <w:rFonts w:ascii="Times New Roman" w:hAnsi="Times New Roman" w:cs="Times New Roman"/>
          <w:color w:val="000000" w:themeColor="text1"/>
          <w:sz w:val="24"/>
          <w:szCs w:val="24"/>
        </w:rPr>
        <w:t>EFA</w:t>
      </w:r>
      <w:r w:rsidRPr="00EF6D91">
        <w:rPr>
          <w:rFonts w:ascii="Times New Roman" w:hAnsi="Times New Roman" w:cs="Times New Roman"/>
          <w:color w:val="000000" w:themeColor="text1"/>
          <w:sz w:val="24"/>
          <w:szCs w:val="24"/>
        </w:rPr>
        <w:t xml:space="preserve">. </w:t>
      </w:r>
      <w:r w:rsidR="005E5B8D" w:rsidRPr="00EF6D91">
        <w:rPr>
          <w:rFonts w:ascii="Times New Roman" w:hAnsi="Times New Roman" w:cs="Times New Roman"/>
          <w:color w:val="000000" w:themeColor="text1"/>
          <w:sz w:val="24"/>
          <w:szCs w:val="24"/>
        </w:rPr>
        <w:t xml:space="preserve">Researchers gathered data within the defined period of the research's time horizon. </w:t>
      </w:r>
      <w:r w:rsidRPr="00EF6D91">
        <w:rPr>
          <w:rFonts w:ascii="Times New Roman" w:hAnsi="Times New Roman" w:cs="Times New Roman"/>
          <w:color w:val="000000" w:themeColor="text1"/>
          <w:sz w:val="24"/>
          <w:szCs w:val="24"/>
        </w:rPr>
        <w:t xml:space="preserve">The </w:t>
      </w:r>
      <w:r w:rsidR="00A7120C" w:rsidRPr="00EF6D91">
        <w:rPr>
          <w:rFonts w:ascii="Times New Roman" w:hAnsi="Times New Roman" w:cs="Times New Roman"/>
          <w:color w:val="000000" w:themeColor="text1"/>
          <w:sz w:val="24"/>
          <w:szCs w:val="24"/>
        </w:rPr>
        <w:t>AHP</w:t>
      </w:r>
      <w:r w:rsidRPr="00EF6D91">
        <w:rPr>
          <w:rFonts w:ascii="Times New Roman" w:hAnsi="Times New Roman" w:cs="Times New Roman"/>
          <w:color w:val="000000" w:themeColor="text1"/>
          <w:sz w:val="24"/>
          <w:szCs w:val="24"/>
        </w:rPr>
        <w:t xml:space="preserve"> then ranked these barriers, drawing upon expert panel feedback. </w:t>
      </w:r>
    </w:p>
    <w:p w14:paraId="7DFFE332" w14:textId="25C1D3B9" w:rsidR="00392FF8" w:rsidRPr="00EF6D91" w:rsidRDefault="00D5018D" w:rsidP="00E56F59">
      <w:pPr>
        <w:jc w:val="both"/>
        <w:rPr>
          <w:rFonts w:ascii="Times New Roman" w:hAnsi="Times New Roman" w:cs="Times New Roman"/>
          <w:color w:val="000000" w:themeColor="text1"/>
          <w:sz w:val="24"/>
          <w:szCs w:val="24"/>
        </w:rPr>
      </w:pPr>
      <w:r w:rsidRPr="00EF6D91">
        <w:rPr>
          <w:rFonts w:ascii="Times New Roman" w:hAnsi="Times New Roman" w:cs="Times New Roman"/>
          <w:color w:val="000000" w:themeColor="text1"/>
          <w:sz w:val="24"/>
          <w:szCs w:val="24"/>
        </w:rPr>
        <w:t xml:space="preserve">The study disseminated the survey through email and LinkedIn, the latter capitalizing on a diverse network of scholars and practitioners. </w:t>
      </w:r>
      <w:r w:rsidR="00C32397" w:rsidRPr="00EF6D91">
        <w:rPr>
          <w:rFonts w:ascii="Times New Roman" w:hAnsi="Times New Roman" w:cs="Times New Roman"/>
          <w:color w:val="000000" w:themeColor="text1"/>
          <w:sz w:val="24"/>
          <w:szCs w:val="24"/>
        </w:rPr>
        <w:t xml:space="preserve">This approach conforms to the suggested 5:1 ratio of respondents to variables for EFA, as outlined by </w:t>
      </w:r>
      <w:r w:rsidR="00C32397" w:rsidRPr="00EF6D91">
        <w:rPr>
          <w:rFonts w:ascii="Times New Roman" w:hAnsi="Times New Roman" w:cs="Times New Roman"/>
          <w:color w:val="000000" w:themeColor="text1"/>
          <w:sz w:val="24"/>
          <w:szCs w:val="24"/>
        </w:rPr>
        <w:fldChar w:fldCharType="begin"/>
      </w:r>
      <w:r w:rsidR="00C32397" w:rsidRPr="00EF6D91">
        <w:rPr>
          <w:rFonts w:ascii="Times New Roman" w:hAnsi="Times New Roman" w:cs="Times New Roman"/>
          <w:color w:val="000000" w:themeColor="text1"/>
          <w:sz w:val="24"/>
          <w:szCs w:val="24"/>
        </w:rPr>
        <w:instrText xml:space="preserve"> ADDIN ZOTERO_ITEM CSL_CITATION {"citationID":"SPKo2fkM","properties":{"formattedCitation":"(Reio and Shuck, 2015)","plainCitation":"(Reio and Shuck, 2015)","noteIndex":0},"citationItems":[{"id":31708,"uris":["http://zotero.org/users/10594755/items/GVZW6U28"],"itemData":{"id":31708,"type":"article-journal","abstract":"The Problem\nExploratory factor analysis (EFA) serves many useful purposes in human resource development (HRD) research. The most frequent applications of EFA among researchers consists of reducing relatively large sets of variables into more manageable ones, developing and refining a new instrument’s scales, and exploring relations among variables to build theory. Because researchers face a number of decisions when conducting EFA that can involve some subjectivity (e.g., factor extraction method, rotation), poor analytic decisions regarding how the EFA should be conducted (e.g., number of factors to extract) can produce misleading findings to the detriment of these efforts, especially theory building.\n\n\nThe Solution\nSteps must be taken to improve the quality of the decision making associated with conducting EFAs if sound theory building and research related to this statistical method is to continue. Higher quality EFAs facilitate higher quality theory building and research.\n\n\nThe Stakeholders\nHRD theorists, researchers, and scholar-practitioners are the intended audience of this article. In particular, those interested in refining measures and theory building would benefit most from being exposed to best EFA decision-making practices.","container-title":"Advances in Developing Human Resources","DOI":"10.1177/1523422314559804","ISSN":"1523-4223, 1552-3055","issue":"1","journalAbbreviation":"Advances in Developing Human Resources","language":"en","page":"12-25","source":"DOI.org (Crossref)","title":"Exploratory factor analysis: implications for theory, research, and practice","title-short":"Exploratory factor analysis","volume":"17","author":[{"family":"Reio","given":"Thomas G."},{"family":"Shuck","given":"Brad"}],"issued":{"date-parts":[["2015",2]]}}}],"schema":"https://github.com/citation-style-language/schema/raw/master/csl-citation.json"} </w:instrText>
      </w:r>
      <w:r w:rsidR="00C32397" w:rsidRPr="00EF6D91">
        <w:rPr>
          <w:rFonts w:ascii="Times New Roman" w:hAnsi="Times New Roman" w:cs="Times New Roman"/>
          <w:color w:val="000000" w:themeColor="text1"/>
          <w:sz w:val="24"/>
          <w:szCs w:val="24"/>
        </w:rPr>
        <w:fldChar w:fldCharType="separate"/>
      </w:r>
      <w:r w:rsidR="00E9108F" w:rsidRPr="00EF6D91">
        <w:rPr>
          <w:rFonts w:ascii="Times New Roman" w:hAnsi="Times New Roman" w:cs="Times New Roman"/>
          <w:sz w:val="24"/>
        </w:rPr>
        <w:t>Reio and Shuck</w:t>
      </w:r>
      <w:r w:rsidR="00213E93">
        <w:rPr>
          <w:rFonts w:ascii="Times New Roman" w:hAnsi="Times New Roman" w:cs="Times New Roman"/>
          <w:sz w:val="24"/>
        </w:rPr>
        <w:t xml:space="preserve"> (</w:t>
      </w:r>
      <w:r w:rsidR="00E9108F" w:rsidRPr="00EF6D91">
        <w:rPr>
          <w:rFonts w:ascii="Times New Roman" w:hAnsi="Times New Roman" w:cs="Times New Roman"/>
          <w:sz w:val="24"/>
        </w:rPr>
        <w:t>2015)</w:t>
      </w:r>
      <w:r w:rsidR="00C32397" w:rsidRPr="00EF6D91">
        <w:rPr>
          <w:rFonts w:ascii="Times New Roman" w:hAnsi="Times New Roman" w:cs="Times New Roman"/>
          <w:color w:val="000000" w:themeColor="text1"/>
          <w:sz w:val="24"/>
          <w:szCs w:val="24"/>
        </w:rPr>
        <w:fldChar w:fldCharType="end"/>
      </w:r>
      <w:r w:rsidR="00C32397" w:rsidRPr="00EF6D91">
        <w:rPr>
          <w:rFonts w:ascii="Times New Roman" w:hAnsi="Times New Roman" w:cs="Times New Roman"/>
          <w:color w:val="000000" w:themeColor="text1"/>
          <w:sz w:val="24"/>
          <w:szCs w:val="24"/>
        </w:rPr>
        <w:t>, to secure a minimum of 105 survey participants</w:t>
      </w:r>
      <w:r w:rsidR="00392FF8" w:rsidRPr="00EF6D91">
        <w:rPr>
          <w:rFonts w:ascii="Times New Roman" w:hAnsi="Times New Roman" w:cs="Times New Roman"/>
          <w:color w:val="000000" w:themeColor="text1"/>
          <w:sz w:val="24"/>
          <w:szCs w:val="24"/>
        </w:rPr>
        <w:t xml:space="preserve">. </w:t>
      </w:r>
      <w:r w:rsidRPr="00EF6D91">
        <w:rPr>
          <w:rFonts w:ascii="Times New Roman" w:hAnsi="Times New Roman" w:cs="Times New Roman"/>
          <w:color w:val="000000" w:themeColor="text1"/>
          <w:sz w:val="24"/>
          <w:szCs w:val="24"/>
        </w:rPr>
        <w:t xml:space="preserve">Post-collection data underwent stringent cleaning, coding, and validation in SPSS (Version 28). Demographic analyses and EFA proceeded using SPSS to structure the barriers into coherent clusters. </w:t>
      </w:r>
      <w:r w:rsidR="00392FF8" w:rsidRPr="00EF6D91">
        <w:rPr>
          <w:rFonts w:ascii="Times New Roman" w:hAnsi="Times New Roman" w:cs="Times New Roman"/>
          <w:color w:val="000000" w:themeColor="text1"/>
          <w:sz w:val="24"/>
          <w:szCs w:val="24"/>
        </w:rPr>
        <w:t xml:space="preserve">The utilization of the </w:t>
      </w:r>
      <w:r w:rsidR="00A7120C" w:rsidRPr="00EF6D91">
        <w:rPr>
          <w:rFonts w:ascii="Times New Roman" w:hAnsi="Times New Roman" w:cs="Times New Roman"/>
          <w:color w:val="000000" w:themeColor="text1"/>
          <w:sz w:val="24"/>
          <w:szCs w:val="24"/>
        </w:rPr>
        <w:t>AHP</w:t>
      </w:r>
      <w:r w:rsidR="00392FF8" w:rsidRPr="00EF6D91">
        <w:rPr>
          <w:rFonts w:ascii="Times New Roman" w:hAnsi="Times New Roman" w:cs="Times New Roman"/>
          <w:color w:val="000000" w:themeColor="text1"/>
          <w:sz w:val="24"/>
          <w:szCs w:val="24"/>
        </w:rPr>
        <w:t xml:space="preserve"> facilitated the structured ranking of the identified barriers. </w:t>
      </w:r>
    </w:p>
    <w:p w14:paraId="32F1B894" w14:textId="205B6723" w:rsidR="00D5018D" w:rsidRPr="00EF6D91" w:rsidRDefault="00D5018D" w:rsidP="00D5018D">
      <w:pPr>
        <w:jc w:val="both"/>
        <w:rPr>
          <w:rFonts w:ascii="Times New Roman" w:hAnsi="Times New Roman" w:cs="Times New Roman"/>
          <w:b/>
          <w:bCs/>
          <w:color w:val="000000" w:themeColor="text1"/>
          <w:sz w:val="24"/>
          <w:szCs w:val="24"/>
        </w:rPr>
      </w:pPr>
      <w:bookmarkStart w:id="7" w:name="_Hlk164781855"/>
      <w:r w:rsidRPr="00EF6D91">
        <w:rPr>
          <w:rFonts w:ascii="Times New Roman" w:hAnsi="Times New Roman" w:cs="Times New Roman"/>
          <w:b/>
          <w:bCs/>
          <w:color w:val="000000" w:themeColor="text1"/>
          <w:sz w:val="24"/>
          <w:szCs w:val="24"/>
        </w:rPr>
        <w:t>4. Analysis</w:t>
      </w:r>
      <w:r w:rsidR="00476A17">
        <w:rPr>
          <w:rFonts w:ascii="Times New Roman" w:hAnsi="Times New Roman" w:cs="Times New Roman"/>
          <w:b/>
          <w:bCs/>
          <w:color w:val="000000" w:themeColor="text1"/>
          <w:sz w:val="24"/>
          <w:szCs w:val="24"/>
        </w:rPr>
        <w:t xml:space="preserve"> and Results</w:t>
      </w:r>
    </w:p>
    <w:p w14:paraId="1BCFD8F7" w14:textId="77777777" w:rsidR="00AD5C71" w:rsidRPr="00EF6D91" w:rsidRDefault="00AD5C71" w:rsidP="00AD5C71">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4.1 Data Cleansing and Coding</w:t>
      </w:r>
    </w:p>
    <w:p w14:paraId="73137FE1" w14:textId="33DD3886" w:rsidR="005E5B8D" w:rsidRPr="00EF6D91" w:rsidRDefault="005E5B8D"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team applied meticulous data cleansing and coding procedures to ensure the integrity of the data analysis. </w:t>
      </w:r>
      <w:r w:rsidR="00AD5C71" w:rsidRPr="00EF6D91">
        <w:rPr>
          <w:rFonts w:ascii="Times New Roman" w:eastAsia="Calibri" w:hAnsi="Times New Roman" w:cs="Times New Roman"/>
          <w:color w:val="000000"/>
          <w:sz w:val="24"/>
          <w:szCs w:val="24"/>
        </w:rPr>
        <w:t xml:space="preserve">Initially, a total of 201 responses were collected. </w:t>
      </w:r>
      <w:r w:rsidRPr="00EF6D91">
        <w:rPr>
          <w:rFonts w:ascii="Times New Roman" w:eastAsia="Calibri" w:hAnsi="Times New Roman" w:cs="Times New Roman"/>
          <w:color w:val="000000"/>
          <w:sz w:val="24"/>
          <w:szCs w:val="24"/>
        </w:rPr>
        <w:t xml:space="preserve">After conducting a detailed review for completeness and consistency, the researchers excluded 37 responses due to incomplete data and omitted an additional seven due to uniform responses across the 21 barriers evaluated. </w:t>
      </w:r>
      <w:r w:rsidR="00AD5C71" w:rsidRPr="00EF6D91">
        <w:rPr>
          <w:rFonts w:ascii="Times New Roman" w:eastAsia="Calibri" w:hAnsi="Times New Roman" w:cs="Times New Roman"/>
          <w:color w:val="000000"/>
          <w:sz w:val="24"/>
          <w:szCs w:val="24"/>
        </w:rPr>
        <w:t>Consequently, 157 responses were deemed suitable for further analysis. This final sample size not only meets but exceeds the projected requirement of 105 participants, as outlined in Section 3.1, providing a robust basis for statistical reliability</w:t>
      </w:r>
      <w:r w:rsidR="005F7E1F">
        <w:rPr>
          <w:rFonts w:ascii="Times New Roman" w:eastAsia="Calibri" w:hAnsi="Times New Roman" w:cs="Times New Roman"/>
          <w:color w:val="000000"/>
          <w:sz w:val="24"/>
          <w:szCs w:val="24"/>
        </w:rPr>
        <w:t xml:space="preserve"> and the EFA </w:t>
      </w:r>
      <w:r w:rsidR="005F7E1F" w:rsidRPr="00EF6D91">
        <w:rPr>
          <w:rFonts w:ascii="Times New Roman" w:eastAsia="Calibri" w:hAnsi="Times New Roman" w:cs="Times New Roman"/>
          <w:color w:val="000000"/>
          <w:sz w:val="24"/>
          <w:szCs w:val="24"/>
        </w:rPr>
        <w:fldChar w:fldCharType="begin"/>
      </w:r>
      <w:r w:rsidR="005F7E1F" w:rsidRPr="00EF6D91">
        <w:rPr>
          <w:rFonts w:ascii="Times New Roman" w:eastAsia="Calibri" w:hAnsi="Times New Roman" w:cs="Times New Roman"/>
          <w:color w:val="000000"/>
          <w:sz w:val="24"/>
          <w:szCs w:val="24"/>
        </w:rPr>
        <w:instrText xml:space="preserve"> ADDIN ZOTERO_ITEM CSL_CITATION {"citationID":"fOWEP6By","properties":{"formattedCitation":"(Maskey {\\i{}et al.}, 2018)","plainCitation":"(Maskey et al., 2018)","noteIndex":0},"citationItems":[{"id":31735,"uris":["http://zotero.org/users/10594755/items/5K3II8WU"],"itemData":{"id":31735,"type":"article-journal","abstract":"The purpose of this paper is to discuss the approaches that are undertaken while applying exploratory factor analysis (EFA) in maritime journals to attain a factor solution that fulfils the criteria of EFA, achieves the research objectives and makes interpretation easy. To achieve the aim of this paper, published articles across maritime journals will be examined to discuss the use of EFA. This will be followed by an example of EFA using an empirical data set to emphasise the approaches that can be undertaken to make appropriate decisions as to whether to retain or drop an item from the analysis to attain an interpretable factor solution. The results of this study demonstrate that majority of maritime studies employing EFA retain a factor solution based on the researchers’ subjective judgement. However, the researchers do not provide sufficient information to allow readers to evaluate the analysis. The majority of the reviewed papers failed to provide important information related to EFA explaining how the final factor structure has been acquired. Furthermore, some papers have failed to justify their decisions, for example, for deleting an item or retaining factors with single measured variable. The first contribution of this study is the analysis of how studies carried out in the maritime sector have been applying EFA in their studies. The second contribution of this study is to provide future researchers aiming to use EFA in their studies for the first time an example of a complete EFA process, explaining different steps that can be undertaken while carrying out EFA.","container-title":"The Asian Journal of Shipping and Logistics","DOI":"10.1016/j.ajsl.2018.06.006","ISSN":"2092-5212","issue":"2","journalAbbreviation":"The Asian Journal of Shipping and Logistics","page":"91-111","source":"ScienceDirect","title":"Use of exploratory factor analysis in maritime research","volume":"34","author":[{"family":"Maskey","given":"Reenu"},{"family":"Fei","given":"Jiangang"},{"family":"Nguyen","given":"Hong-Oanh"}],"issued":{"date-parts":[["2018",6,1]]}}}],"schema":"https://github.com/citation-style-language/schema/raw/master/csl-citation.json"} </w:instrText>
      </w:r>
      <w:r w:rsidR="005F7E1F" w:rsidRPr="00EF6D91">
        <w:rPr>
          <w:rFonts w:ascii="Times New Roman" w:eastAsia="Calibri" w:hAnsi="Times New Roman" w:cs="Times New Roman"/>
          <w:color w:val="000000"/>
          <w:sz w:val="24"/>
          <w:szCs w:val="24"/>
        </w:rPr>
        <w:fldChar w:fldCharType="separate"/>
      </w:r>
      <w:r w:rsidR="005F7E1F" w:rsidRPr="00EF6D91">
        <w:rPr>
          <w:rFonts w:ascii="Times New Roman" w:hAnsi="Times New Roman" w:cs="Times New Roman"/>
          <w:kern w:val="0"/>
          <w:sz w:val="24"/>
        </w:rPr>
        <w:t xml:space="preserve">(Maskey </w:t>
      </w:r>
      <w:r w:rsidR="005F7E1F" w:rsidRPr="00EF6D91">
        <w:rPr>
          <w:rFonts w:ascii="Times New Roman" w:hAnsi="Times New Roman" w:cs="Times New Roman"/>
          <w:i/>
          <w:iCs/>
          <w:kern w:val="0"/>
          <w:sz w:val="24"/>
        </w:rPr>
        <w:t>et al.</w:t>
      </w:r>
      <w:r w:rsidR="005F7E1F" w:rsidRPr="00EF6D91">
        <w:rPr>
          <w:rFonts w:ascii="Times New Roman" w:hAnsi="Times New Roman" w:cs="Times New Roman"/>
          <w:kern w:val="0"/>
          <w:sz w:val="24"/>
        </w:rPr>
        <w:t>, 2018)</w:t>
      </w:r>
      <w:r w:rsidR="005F7E1F" w:rsidRPr="00EF6D91">
        <w:rPr>
          <w:rFonts w:ascii="Times New Roman" w:eastAsia="Calibri" w:hAnsi="Times New Roman" w:cs="Times New Roman"/>
          <w:color w:val="000000"/>
          <w:sz w:val="24"/>
          <w:szCs w:val="24"/>
        </w:rPr>
        <w:fldChar w:fldCharType="end"/>
      </w:r>
      <w:r w:rsidR="00AD5C71" w:rsidRPr="00EF6D91">
        <w:rPr>
          <w:rFonts w:ascii="Times New Roman" w:eastAsia="Calibri" w:hAnsi="Times New Roman" w:cs="Times New Roman"/>
          <w:color w:val="000000"/>
          <w:sz w:val="24"/>
          <w:szCs w:val="24"/>
        </w:rPr>
        <w:t xml:space="preserve">. </w:t>
      </w:r>
      <w:r w:rsidRPr="00EF6D91">
        <w:rPr>
          <w:rFonts w:ascii="Times New Roman" w:eastAsia="Calibri" w:hAnsi="Times New Roman" w:cs="Times New Roman"/>
          <w:color w:val="000000"/>
          <w:sz w:val="24"/>
          <w:szCs w:val="24"/>
        </w:rPr>
        <w:t>For clarity and reference, we categorized demographic data as '</w:t>
      </w:r>
      <w:proofErr w:type="spellStart"/>
      <w:r w:rsidRPr="00EF6D91">
        <w:rPr>
          <w:rFonts w:ascii="Times New Roman" w:eastAsia="Calibri" w:hAnsi="Times New Roman" w:cs="Times New Roman"/>
          <w:color w:val="000000"/>
          <w:sz w:val="24"/>
          <w:szCs w:val="24"/>
        </w:rPr>
        <w:t>DMa</w:t>
      </w:r>
      <w:proofErr w:type="spellEnd"/>
      <w:r w:rsidRPr="00EF6D91">
        <w:rPr>
          <w:rFonts w:ascii="Times New Roman" w:eastAsia="Calibri" w:hAnsi="Times New Roman" w:cs="Times New Roman"/>
          <w:color w:val="000000"/>
          <w:sz w:val="24"/>
          <w:szCs w:val="24"/>
        </w:rPr>
        <w:t>' and tagged details concerning barriers as 'Ba', with specifics provided in Table 2 and Table 3, respectively.</w:t>
      </w:r>
    </w:p>
    <w:p w14:paraId="105648EA" w14:textId="7F5B77E5" w:rsidR="00AD5C71" w:rsidRPr="00EF6D91" w:rsidRDefault="00AD5C71" w:rsidP="00AD5C71">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4.2 Demographic Analysis</w:t>
      </w:r>
    </w:p>
    <w:p w14:paraId="4E743FDD" w14:textId="3C15D47D" w:rsidR="005E5B8D" w:rsidRPr="00EF6D91" w:rsidRDefault="005E5B8D" w:rsidP="005E5B8D">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Table 2 details these demographics, providing a breakdown of the participant distribution across these categories, ensuring a diverse and representative sample that supports the validity of the study’s conclusions.</w:t>
      </w:r>
    </w:p>
    <w:p w14:paraId="4BAC67AC" w14:textId="7B859363" w:rsidR="00D10E02" w:rsidRPr="00EF6D91" w:rsidRDefault="00E215CD" w:rsidP="005E5B8D">
      <w:pPr>
        <w:jc w:val="both"/>
        <w:rPr>
          <w:rFonts w:ascii="Times New Roman" w:hAnsi="Times New Roman" w:cs="Times New Roman"/>
          <w:sz w:val="16"/>
          <w:szCs w:val="16"/>
        </w:rPr>
      </w:pPr>
      <w:r w:rsidRPr="00EF6D91">
        <w:rPr>
          <w:rFonts w:ascii="Times New Roman" w:hAnsi="Times New Roman" w:cs="Times New Roman"/>
          <w:sz w:val="24"/>
          <w:szCs w:val="24"/>
          <w:lang w:val="en-IN"/>
        </w:rPr>
        <w:t xml:space="preserve">             </w:t>
      </w:r>
      <w:r w:rsidR="00D10E02" w:rsidRPr="00EF6D91">
        <w:rPr>
          <w:rFonts w:ascii="Times New Roman" w:hAnsi="Times New Roman" w:cs="Times New Roman"/>
          <w:sz w:val="24"/>
          <w:szCs w:val="24"/>
          <w:lang w:val="en-IN"/>
        </w:rPr>
        <w:t xml:space="preserve">Table </w:t>
      </w:r>
      <w:r w:rsidR="00EC3650" w:rsidRPr="00EF6D91">
        <w:rPr>
          <w:rFonts w:ascii="Times New Roman" w:hAnsi="Times New Roman" w:cs="Times New Roman"/>
          <w:sz w:val="24"/>
          <w:szCs w:val="24"/>
          <w:lang w:val="en-IN"/>
        </w:rPr>
        <w:t>2</w:t>
      </w:r>
      <w:r w:rsidR="00D10E02" w:rsidRPr="00EF6D91">
        <w:rPr>
          <w:rFonts w:ascii="Times New Roman" w:hAnsi="Times New Roman" w:cs="Times New Roman"/>
          <w:sz w:val="24"/>
          <w:szCs w:val="24"/>
          <w:lang w:val="en-IN"/>
        </w:rPr>
        <w:t>.</w:t>
      </w:r>
      <w:r w:rsidR="00D10E02" w:rsidRPr="00EF6D91">
        <w:rPr>
          <w:rFonts w:ascii="Times New Roman" w:hAnsi="Times New Roman" w:cs="Times New Roman"/>
          <w:sz w:val="24"/>
          <w:szCs w:val="24"/>
        </w:rPr>
        <w:t xml:space="preserve"> Demographic Analysis of Survey Data</w:t>
      </w:r>
    </w:p>
    <w:tbl>
      <w:tblPr>
        <w:tblStyle w:val="TableGrid"/>
        <w:tblW w:w="0" w:type="auto"/>
        <w:tblInd w:w="839" w:type="dxa"/>
        <w:tblLook w:val="04A0" w:firstRow="1" w:lastRow="0" w:firstColumn="1" w:lastColumn="0" w:noHBand="0" w:noVBand="1"/>
      </w:tblPr>
      <w:tblGrid>
        <w:gridCol w:w="2122"/>
        <w:gridCol w:w="2976"/>
        <w:gridCol w:w="1134"/>
        <w:gridCol w:w="1102"/>
      </w:tblGrid>
      <w:tr w:rsidR="00D10E02" w:rsidRPr="00EF6D91" w14:paraId="39E32691" w14:textId="77777777" w:rsidTr="00E215CD">
        <w:trPr>
          <w:trHeight w:val="180"/>
        </w:trPr>
        <w:tc>
          <w:tcPr>
            <w:tcW w:w="2122" w:type="dxa"/>
          </w:tcPr>
          <w:p w14:paraId="3011FD8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Variables </w:t>
            </w:r>
          </w:p>
        </w:tc>
        <w:tc>
          <w:tcPr>
            <w:tcW w:w="2976" w:type="dxa"/>
          </w:tcPr>
          <w:p w14:paraId="3D38589F"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Received Responses </w:t>
            </w:r>
          </w:p>
        </w:tc>
        <w:tc>
          <w:tcPr>
            <w:tcW w:w="1134" w:type="dxa"/>
          </w:tcPr>
          <w:p w14:paraId="35AC9C2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Frequency</w:t>
            </w:r>
          </w:p>
        </w:tc>
        <w:tc>
          <w:tcPr>
            <w:tcW w:w="1102" w:type="dxa"/>
          </w:tcPr>
          <w:p w14:paraId="39EFA6E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Per cent</w:t>
            </w:r>
          </w:p>
        </w:tc>
      </w:tr>
      <w:tr w:rsidR="00D10E02" w:rsidRPr="00EF6D91" w14:paraId="0D7D2CBB" w14:textId="77777777" w:rsidTr="00E215CD">
        <w:trPr>
          <w:trHeight w:val="190"/>
        </w:trPr>
        <w:tc>
          <w:tcPr>
            <w:tcW w:w="2122" w:type="dxa"/>
          </w:tcPr>
          <w:p w14:paraId="5A4B4E0F" w14:textId="77777777" w:rsidR="00D10E02" w:rsidRPr="00EF6D91" w:rsidRDefault="00D10E02" w:rsidP="0086245C">
            <w:pPr>
              <w:pStyle w:val="Default"/>
              <w:rPr>
                <w:sz w:val="16"/>
                <w:szCs w:val="16"/>
                <w:lang w:val="en-IN"/>
              </w:rPr>
            </w:pPr>
            <w:r w:rsidRPr="00EF6D91">
              <w:rPr>
                <w:sz w:val="16"/>
                <w:szCs w:val="16"/>
              </w:rPr>
              <w:t xml:space="preserve">DM1: Position </w:t>
            </w:r>
          </w:p>
        </w:tc>
        <w:tc>
          <w:tcPr>
            <w:tcW w:w="2976" w:type="dxa"/>
          </w:tcPr>
          <w:p w14:paraId="15FE76EF"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Manager/Supervisor </w:t>
            </w:r>
          </w:p>
        </w:tc>
        <w:tc>
          <w:tcPr>
            <w:tcW w:w="1134" w:type="dxa"/>
          </w:tcPr>
          <w:p w14:paraId="5E256E5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95.00</w:t>
            </w:r>
          </w:p>
        </w:tc>
        <w:tc>
          <w:tcPr>
            <w:tcW w:w="1102" w:type="dxa"/>
          </w:tcPr>
          <w:p w14:paraId="5D07C0D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60.51</w:t>
            </w:r>
          </w:p>
        </w:tc>
      </w:tr>
      <w:tr w:rsidR="00D10E02" w:rsidRPr="00EF6D91" w14:paraId="4CB2C157" w14:textId="77777777" w:rsidTr="00E215CD">
        <w:trPr>
          <w:trHeight w:val="180"/>
        </w:trPr>
        <w:tc>
          <w:tcPr>
            <w:tcW w:w="2122" w:type="dxa"/>
          </w:tcPr>
          <w:p w14:paraId="1629BFC1" w14:textId="77777777" w:rsidR="00D10E02" w:rsidRPr="00EF6D91" w:rsidRDefault="00D10E02" w:rsidP="0086245C">
            <w:pPr>
              <w:rPr>
                <w:rFonts w:ascii="Times New Roman" w:hAnsi="Times New Roman" w:cs="Times New Roman"/>
                <w:sz w:val="16"/>
                <w:szCs w:val="16"/>
                <w:lang w:val="en-IN"/>
              </w:rPr>
            </w:pPr>
          </w:p>
        </w:tc>
        <w:tc>
          <w:tcPr>
            <w:tcW w:w="2976" w:type="dxa"/>
          </w:tcPr>
          <w:p w14:paraId="5AADFCF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Executive </w:t>
            </w:r>
          </w:p>
        </w:tc>
        <w:tc>
          <w:tcPr>
            <w:tcW w:w="1134" w:type="dxa"/>
          </w:tcPr>
          <w:p w14:paraId="5FCE963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28.00</w:t>
            </w:r>
          </w:p>
        </w:tc>
        <w:tc>
          <w:tcPr>
            <w:tcW w:w="1102" w:type="dxa"/>
          </w:tcPr>
          <w:p w14:paraId="13660AA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17.83</w:t>
            </w:r>
          </w:p>
        </w:tc>
      </w:tr>
      <w:tr w:rsidR="00D10E02" w:rsidRPr="00EF6D91" w14:paraId="55AC26A3" w14:textId="77777777" w:rsidTr="00E215CD">
        <w:trPr>
          <w:trHeight w:val="190"/>
        </w:trPr>
        <w:tc>
          <w:tcPr>
            <w:tcW w:w="2122" w:type="dxa"/>
          </w:tcPr>
          <w:p w14:paraId="00B0144E" w14:textId="77777777" w:rsidR="00D10E02" w:rsidRPr="00EF6D91" w:rsidRDefault="00D10E02" w:rsidP="0086245C">
            <w:pPr>
              <w:rPr>
                <w:rFonts w:ascii="Times New Roman" w:hAnsi="Times New Roman" w:cs="Times New Roman"/>
                <w:sz w:val="16"/>
                <w:szCs w:val="16"/>
                <w:lang w:val="en-IN"/>
              </w:rPr>
            </w:pPr>
          </w:p>
        </w:tc>
        <w:tc>
          <w:tcPr>
            <w:tcW w:w="2976" w:type="dxa"/>
          </w:tcPr>
          <w:p w14:paraId="7E07A4D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Other </w:t>
            </w:r>
          </w:p>
        </w:tc>
        <w:tc>
          <w:tcPr>
            <w:tcW w:w="1134" w:type="dxa"/>
          </w:tcPr>
          <w:p w14:paraId="064AAD6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27.00</w:t>
            </w:r>
          </w:p>
        </w:tc>
        <w:tc>
          <w:tcPr>
            <w:tcW w:w="1102" w:type="dxa"/>
          </w:tcPr>
          <w:p w14:paraId="79EB5F18"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17.20</w:t>
            </w:r>
          </w:p>
        </w:tc>
      </w:tr>
      <w:tr w:rsidR="00D10E02" w:rsidRPr="00EF6D91" w14:paraId="76FC2CD8" w14:textId="77777777" w:rsidTr="00E215CD">
        <w:trPr>
          <w:trHeight w:val="180"/>
        </w:trPr>
        <w:tc>
          <w:tcPr>
            <w:tcW w:w="2122" w:type="dxa"/>
          </w:tcPr>
          <w:p w14:paraId="48530C10" w14:textId="77777777" w:rsidR="00D10E02" w:rsidRPr="00EF6D91" w:rsidRDefault="00D10E02" w:rsidP="0086245C">
            <w:pPr>
              <w:rPr>
                <w:rFonts w:ascii="Times New Roman" w:hAnsi="Times New Roman" w:cs="Times New Roman"/>
                <w:sz w:val="16"/>
                <w:szCs w:val="16"/>
                <w:lang w:val="en-IN"/>
              </w:rPr>
            </w:pPr>
          </w:p>
        </w:tc>
        <w:tc>
          <w:tcPr>
            <w:tcW w:w="2976" w:type="dxa"/>
          </w:tcPr>
          <w:p w14:paraId="35029B4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Engineer </w:t>
            </w:r>
          </w:p>
        </w:tc>
        <w:tc>
          <w:tcPr>
            <w:tcW w:w="1134" w:type="dxa"/>
          </w:tcPr>
          <w:p w14:paraId="400BC7F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7.00</w:t>
            </w:r>
          </w:p>
        </w:tc>
        <w:tc>
          <w:tcPr>
            <w:tcW w:w="1102" w:type="dxa"/>
          </w:tcPr>
          <w:p w14:paraId="1F03FC8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4.46</w:t>
            </w:r>
          </w:p>
        </w:tc>
      </w:tr>
      <w:tr w:rsidR="00D10E02" w:rsidRPr="00EF6D91" w14:paraId="5ADAB3DE" w14:textId="77777777" w:rsidTr="00E215CD">
        <w:trPr>
          <w:trHeight w:val="180"/>
        </w:trPr>
        <w:tc>
          <w:tcPr>
            <w:tcW w:w="2122" w:type="dxa"/>
          </w:tcPr>
          <w:p w14:paraId="43515E31" w14:textId="77777777" w:rsidR="00D10E02" w:rsidRPr="00EF6D91" w:rsidRDefault="00D10E02" w:rsidP="0086245C">
            <w:pPr>
              <w:rPr>
                <w:rFonts w:ascii="Times New Roman" w:hAnsi="Times New Roman" w:cs="Times New Roman"/>
                <w:sz w:val="16"/>
                <w:szCs w:val="16"/>
                <w:lang w:val="en-IN"/>
              </w:rPr>
            </w:pPr>
          </w:p>
        </w:tc>
        <w:tc>
          <w:tcPr>
            <w:tcW w:w="2976" w:type="dxa"/>
          </w:tcPr>
          <w:p w14:paraId="2397643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Total</w:t>
            </w:r>
          </w:p>
        </w:tc>
        <w:tc>
          <w:tcPr>
            <w:tcW w:w="1134" w:type="dxa"/>
          </w:tcPr>
          <w:p w14:paraId="01ECEA8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157</w:t>
            </w:r>
          </w:p>
        </w:tc>
        <w:tc>
          <w:tcPr>
            <w:tcW w:w="1102" w:type="dxa"/>
          </w:tcPr>
          <w:p w14:paraId="78EDEE4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100.00</w:t>
            </w:r>
          </w:p>
        </w:tc>
      </w:tr>
      <w:tr w:rsidR="00D10E02" w:rsidRPr="00EF6D91" w14:paraId="4CA92E40" w14:textId="77777777" w:rsidTr="00E215CD">
        <w:trPr>
          <w:trHeight w:val="190"/>
        </w:trPr>
        <w:tc>
          <w:tcPr>
            <w:tcW w:w="2122" w:type="dxa"/>
          </w:tcPr>
          <w:p w14:paraId="133344A9" w14:textId="77777777" w:rsidR="00D10E02" w:rsidRPr="00EF6D91" w:rsidRDefault="00D10E02" w:rsidP="0086245C">
            <w:pPr>
              <w:pStyle w:val="Default"/>
              <w:rPr>
                <w:sz w:val="16"/>
                <w:szCs w:val="16"/>
                <w:lang w:val="en-IN"/>
              </w:rPr>
            </w:pPr>
            <w:r w:rsidRPr="00EF6D91">
              <w:rPr>
                <w:sz w:val="16"/>
                <w:szCs w:val="16"/>
              </w:rPr>
              <w:t xml:space="preserve">DM2: Experience </w:t>
            </w:r>
          </w:p>
        </w:tc>
        <w:tc>
          <w:tcPr>
            <w:tcW w:w="2976" w:type="dxa"/>
          </w:tcPr>
          <w:p w14:paraId="30DDC849" w14:textId="3C401692"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More than </w:t>
            </w:r>
            <w:r w:rsidR="005E5B8D" w:rsidRPr="00EF6D91">
              <w:rPr>
                <w:rFonts w:ascii="Times New Roman" w:hAnsi="Times New Roman" w:cs="Times New Roman"/>
                <w:sz w:val="16"/>
                <w:szCs w:val="16"/>
              </w:rPr>
              <w:t>five</w:t>
            </w:r>
            <w:r w:rsidRPr="00EF6D91">
              <w:rPr>
                <w:rFonts w:ascii="Times New Roman" w:hAnsi="Times New Roman" w:cs="Times New Roman"/>
                <w:sz w:val="16"/>
                <w:szCs w:val="16"/>
              </w:rPr>
              <w:t xml:space="preserve"> years </w:t>
            </w:r>
          </w:p>
        </w:tc>
        <w:tc>
          <w:tcPr>
            <w:tcW w:w="1134" w:type="dxa"/>
          </w:tcPr>
          <w:p w14:paraId="4759578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87.00</w:t>
            </w:r>
          </w:p>
        </w:tc>
        <w:tc>
          <w:tcPr>
            <w:tcW w:w="1102" w:type="dxa"/>
          </w:tcPr>
          <w:p w14:paraId="497FF36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55.41</w:t>
            </w:r>
          </w:p>
        </w:tc>
      </w:tr>
      <w:tr w:rsidR="00D10E02" w:rsidRPr="00EF6D91" w14:paraId="40A5208F" w14:textId="77777777" w:rsidTr="00E215CD">
        <w:trPr>
          <w:trHeight w:val="180"/>
        </w:trPr>
        <w:tc>
          <w:tcPr>
            <w:tcW w:w="2122" w:type="dxa"/>
          </w:tcPr>
          <w:p w14:paraId="11602ECF" w14:textId="77777777" w:rsidR="00D10E02" w:rsidRPr="00EF6D91" w:rsidRDefault="00D10E02" w:rsidP="0086245C">
            <w:pPr>
              <w:rPr>
                <w:rFonts w:ascii="Times New Roman" w:hAnsi="Times New Roman" w:cs="Times New Roman"/>
                <w:sz w:val="16"/>
                <w:szCs w:val="16"/>
                <w:lang w:val="en-IN"/>
              </w:rPr>
            </w:pPr>
          </w:p>
        </w:tc>
        <w:tc>
          <w:tcPr>
            <w:tcW w:w="2976" w:type="dxa"/>
          </w:tcPr>
          <w:p w14:paraId="31F081B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Between 3 and 5 years </w:t>
            </w:r>
          </w:p>
        </w:tc>
        <w:tc>
          <w:tcPr>
            <w:tcW w:w="1134" w:type="dxa"/>
          </w:tcPr>
          <w:p w14:paraId="72ACD3A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38.00</w:t>
            </w:r>
          </w:p>
        </w:tc>
        <w:tc>
          <w:tcPr>
            <w:tcW w:w="1102" w:type="dxa"/>
          </w:tcPr>
          <w:p w14:paraId="6B413BE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24.20</w:t>
            </w:r>
          </w:p>
        </w:tc>
      </w:tr>
      <w:tr w:rsidR="00D10E02" w:rsidRPr="00EF6D91" w14:paraId="1BFA7227" w14:textId="77777777" w:rsidTr="00E215CD">
        <w:trPr>
          <w:trHeight w:val="190"/>
        </w:trPr>
        <w:tc>
          <w:tcPr>
            <w:tcW w:w="2122" w:type="dxa"/>
          </w:tcPr>
          <w:p w14:paraId="19DED49C" w14:textId="77777777" w:rsidR="00D10E02" w:rsidRPr="00EF6D91" w:rsidRDefault="00D10E02" w:rsidP="0086245C">
            <w:pPr>
              <w:rPr>
                <w:rFonts w:ascii="Times New Roman" w:hAnsi="Times New Roman" w:cs="Times New Roman"/>
                <w:sz w:val="16"/>
                <w:szCs w:val="16"/>
                <w:lang w:val="en-IN"/>
              </w:rPr>
            </w:pPr>
          </w:p>
        </w:tc>
        <w:tc>
          <w:tcPr>
            <w:tcW w:w="2976" w:type="dxa"/>
          </w:tcPr>
          <w:p w14:paraId="148F232A" w14:textId="26A1254B"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Less than </w:t>
            </w:r>
            <w:r w:rsidR="005E5B8D" w:rsidRPr="00EF6D91">
              <w:rPr>
                <w:rFonts w:ascii="Times New Roman" w:hAnsi="Times New Roman" w:cs="Times New Roman"/>
                <w:sz w:val="16"/>
                <w:szCs w:val="16"/>
              </w:rPr>
              <w:t>three</w:t>
            </w:r>
            <w:r w:rsidRPr="00EF6D91">
              <w:rPr>
                <w:rFonts w:ascii="Times New Roman" w:hAnsi="Times New Roman" w:cs="Times New Roman"/>
                <w:sz w:val="16"/>
                <w:szCs w:val="16"/>
              </w:rPr>
              <w:t xml:space="preserve"> years </w:t>
            </w:r>
          </w:p>
        </w:tc>
        <w:tc>
          <w:tcPr>
            <w:tcW w:w="1134" w:type="dxa"/>
          </w:tcPr>
          <w:p w14:paraId="5244C87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32.00</w:t>
            </w:r>
          </w:p>
        </w:tc>
        <w:tc>
          <w:tcPr>
            <w:tcW w:w="1102" w:type="dxa"/>
          </w:tcPr>
          <w:p w14:paraId="33CB5EA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20.38</w:t>
            </w:r>
          </w:p>
        </w:tc>
      </w:tr>
      <w:tr w:rsidR="00D10E02" w:rsidRPr="00EF6D91" w14:paraId="033D6280" w14:textId="77777777" w:rsidTr="00E215CD">
        <w:trPr>
          <w:trHeight w:val="180"/>
        </w:trPr>
        <w:tc>
          <w:tcPr>
            <w:tcW w:w="2122" w:type="dxa"/>
          </w:tcPr>
          <w:p w14:paraId="71F9FAF6" w14:textId="77777777" w:rsidR="00D10E02" w:rsidRPr="00EF6D91" w:rsidRDefault="00D10E02" w:rsidP="0086245C">
            <w:pPr>
              <w:rPr>
                <w:rFonts w:ascii="Times New Roman" w:hAnsi="Times New Roman" w:cs="Times New Roman"/>
                <w:sz w:val="16"/>
                <w:szCs w:val="16"/>
                <w:lang w:val="en-IN"/>
              </w:rPr>
            </w:pPr>
          </w:p>
        </w:tc>
        <w:tc>
          <w:tcPr>
            <w:tcW w:w="2976" w:type="dxa"/>
          </w:tcPr>
          <w:p w14:paraId="1E1DA36F"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Total</w:t>
            </w:r>
          </w:p>
        </w:tc>
        <w:tc>
          <w:tcPr>
            <w:tcW w:w="1134" w:type="dxa"/>
          </w:tcPr>
          <w:p w14:paraId="72139AB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157</w:t>
            </w:r>
          </w:p>
        </w:tc>
        <w:tc>
          <w:tcPr>
            <w:tcW w:w="1102" w:type="dxa"/>
          </w:tcPr>
          <w:p w14:paraId="75240E1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100.00</w:t>
            </w:r>
          </w:p>
        </w:tc>
      </w:tr>
      <w:tr w:rsidR="00D10E02" w:rsidRPr="00EF6D91" w14:paraId="61D1B0E6" w14:textId="77777777" w:rsidTr="00E215CD">
        <w:trPr>
          <w:trHeight w:val="50"/>
        </w:trPr>
        <w:tc>
          <w:tcPr>
            <w:tcW w:w="2122" w:type="dxa"/>
          </w:tcPr>
          <w:p w14:paraId="28F01792" w14:textId="728498FD" w:rsidR="00D10E02" w:rsidRPr="00EF6D91" w:rsidRDefault="00D10E02" w:rsidP="003B3C70">
            <w:pPr>
              <w:pStyle w:val="Default"/>
              <w:rPr>
                <w:lang w:val="en-IN"/>
              </w:rPr>
            </w:pPr>
            <w:r w:rsidRPr="00EF6D91">
              <w:rPr>
                <w:sz w:val="16"/>
                <w:szCs w:val="16"/>
              </w:rPr>
              <w:t xml:space="preserve">DM3: Industry </w:t>
            </w:r>
          </w:p>
        </w:tc>
        <w:tc>
          <w:tcPr>
            <w:tcW w:w="2976" w:type="dxa"/>
          </w:tcPr>
          <w:p w14:paraId="1DC4F84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Logistics, Courier, and Postal Services </w:t>
            </w:r>
          </w:p>
        </w:tc>
        <w:tc>
          <w:tcPr>
            <w:tcW w:w="1134" w:type="dxa"/>
          </w:tcPr>
          <w:p w14:paraId="2875BD7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61.00</w:t>
            </w:r>
          </w:p>
        </w:tc>
        <w:tc>
          <w:tcPr>
            <w:tcW w:w="1102" w:type="dxa"/>
          </w:tcPr>
          <w:p w14:paraId="47F374B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38.85</w:t>
            </w:r>
          </w:p>
        </w:tc>
      </w:tr>
      <w:tr w:rsidR="00D10E02" w:rsidRPr="00EF6D91" w14:paraId="345B8C9A" w14:textId="77777777" w:rsidTr="00E215CD">
        <w:trPr>
          <w:trHeight w:val="180"/>
        </w:trPr>
        <w:tc>
          <w:tcPr>
            <w:tcW w:w="2122" w:type="dxa"/>
          </w:tcPr>
          <w:p w14:paraId="447C63A3" w14:textId="77777777" w:rsidR="00D10E02" w:rsidRPr="00EF6D91" w:rsidRDefault="00D10E02" w:rsidP="0086245C">
            <w:pPr>
              <w:rPr>
                <w:rFonts w:ascii="Times New Roman" w:hAnsi="Times New Roman" w:cs="Times New Roman"/>
                <w:sz w:val="16"/>
                <w:szCs w:val="16"/>
                <w:lang w:val="en-IN"/>
              </w:rPr>
            </w:pPr>
          </w:p>
        </w:tc>
        <w:tc>
          <w:tcPr>
            <w:tcW w:w="2976" w:type="dxa"/>
          </w:tcPr>
          <w:p w14:paraId="7307364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Retail and E-commerce </w:t>
            </w:r>
          </w:p>
        </w:tc>
        <w:tc>
          <w:tcPr>
            <w:tcW w:w="1134" w:type="dxa"/>
          </w:tcPr>
          <w:p w14:paraId="76B97E3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56.00</w:t>
            </w:r>
          </w:p>
        </w:tc>
        <w:tc>
          <w:tcPr>
            <w:tcW w:w="1102" w:type="dxa"/>
          </w:tcPr>
          <w:p w14:paraId="452B976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35.67</w:t>
            </w:r>
          </w:p>
        </w:tc>
      </w:tr>
      <w:tr w:rsidR="00D10E02" w:rsidRPr="00EF6D91" w14:paraId="7FA50377" w14:textId="77777777" w:rsidTr="00E215CD">
        <w:trPr>
          <w:trHeight w:val="190"/>
        </w:trPr>
        <w:tc>
          <w:tcPr>
            <w:tcW w:w="2122" w:type="dxa"/>
          </w:tcPr>
          <w:p w14:paraId="372DCF68" w14:textId="77777777" w:rsidR="00D10E02" w:rsidRPr="00EF6D91" w:rsidRDefault="00D10E02" w:rsidP="0086245C">
            <w:pPr>
              <w:rPr>
                <w:rFonts w:ascii="Times New Roman" w:hAnsi="Times New Roman" w:cs="Times New Roman"/>
                <w:sz w:val="16"/>
                <w:szCs w:val="16"/>
                <w:lang w:val="en-IN"/>
              </w:rPr>
            </w:pPr>
          </w:p>
        </w:tc>
        <w:tc>
          <w:tcPr>
            <w:tcW w:w="2976" w:type="dxa"/>
          </w:tcPr>
          <w:p w14:paraId="737A8BFD"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Other </w:t>
            </w:r>
          </w:p>
        </w:tc>
        <w:tc>
          <w:tcPr>
            <w:tcW w:w="1134" w:type="dxa"/>
          </w:tcPr>
          <w:p w14:paraId="3F59667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35.00</w:t>
            </w:r>
          </w:p>
        </w:tc>
        <w:tc>
          <w:tcPr>
            <w:tcW w:w="1102" w:type="dxa"/>
          </w:tcPr>
          <w:p w14:paraId="63BDB3B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22.29</w:t>
            </w:r>
          </w:p>
        </w:tc>
      </w:tr>
      <w:tr w:rsidR="00D10E02" w:rsidRPr="00EF6D91" w14:paraId="05A3D593" w14:textId="77777777" w:rsidTr="00E215CD">
        <w:trPr>
          <w:trHeight w:val="133"/>
        </w:trPr>
        <w:tc>
          <w:tcPr>
            <w:tcW w:w="2122" w:type="dxa"/>
          </w:tcPr>
          <w:p w14:paraId="7882FA11" w14:textId="77777777" w:rsidR="00D10E02" w:rsidRPr="00EF6D91" w:rsidRDefault="00D10E02" w:rsidP="0086245C">
            <w:pPr>
              <w:rPr>
                <w:rFonts w:ascii="Times New Roman" w:hAnsi="Times New Roman" w:cs="Times New Roman"/>
                <w:sz w:val="16"/>
                <w:szCs w:val="16"/>
                <w:lang w:val="en-IN"/>
              </w:rPr>
            </w:pPr>
          </w:p>
        </w:tc>
        <w:tc>
          <w:tcPr>
            <w:tcW w:w="2976" w:type="dxa"/>
          </w:tcPr>
          <w:p w14:paraId="53C0588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Food Delivery and Catering Services </w:t>
            </w:r>
          </w:p>
        </w:tc>
        <w:tc>
          <w:tcPr>
            <w:tcW w:w="1134" w:type="dxa"/>
          </w:tcPr>
          <w:p w14:paraId="15114B1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5.00</w:t>
            </w:r>
          </w:p>
        </w:tc>
        <w:tc>
          <w:tcPr>
            <w:tcW w:w="1102" w:type="dxa"/>
          </w:tcPr>
          <w:p w14:paraId="5379E06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3.18</w:t>
            </w:r>
          </w:p>
        </w:tc>
      </w:tr>
      <w:tr w:rsidR="00D10E02" w:rsidRPr="00EF6D91" w14:paraId="45690A03" w14:textId="77777777" w:rsidTr="00E215CD">
        <w:trPr>
          <w:trHeight w:val="190"/>
        </w:trPr>
        <w:tc>
          <w:tcPr>
            <w:tcW w:w="2122" w:type="dxa"/>
          </w:tcPr>
          <w:p w14:paraId="7945144F" w14:textId="77777777" w:rsidR="00D10E02" w:rsidRPr="00EF6D91" w:rsidRDefault="00D10E02" w:rsidP="0086245C">
            <w:pPr>
              <w:rPr>
                <w:rFonts w:ascii="Times New Roman" w:hAnsi="Times New Roman" w:cs="Times New Roman"/>
                <w:sz w:val="16"/>
                <w:szCs w:val="16"/>
                <w:lang w:val="en-IN"/>
              </w:rPr>
            </w:pPr>
          </w:p>
        </w:tc>
        <w:tc>
          <w:tcPr>
            <w:tcW w:w="2976" w:type="dxa"/>
          </w:tcPr>
          <w:p w14:paraId="6A29057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Total</w:t>
            </w:r>
          </w:p>
        </w:tc>
        <w:tc>
          <w:tcPr>
            <w:tcW w:w="1134" w:type="dxa"/>
          </w:tcPr>
          <w:p w14:paraId="42C3C6A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157</w:t>
            </w:r>
          </w:p>
        </w:tc>
        <w:tc>
          <w:tcPr>
            <w:tcW w:w="1102" w:type="dxa"/>
          </w:tcPr>
          <w:p w14:paraId="6BA8CA6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100.00</w:t>
            </w:r>
          </w:p>
        </w:tc>
      </w:tr>
      <w:tr w:rsidR="00D10E02" w:rsidRPr="00EF6D91" w14:paraId="4DCE61D0" w14:textId="77777777" w:rsidTr="00E215CD">
        <w:trPr>
          <w:trHeight w:val="50"/>
        </w:trPr>
        <w:tc>
          <w:tcPr>
            <w:tcW w:w="2122" w:type="dxa"/>
          </w:tcPr>
          <w:p w14:paraId="69B1EB08" w14:textId="77777777" w:rsidR="00D10E02" w:rsidRPr="00EF6D91" w:rsidRDefault="00D10E02" w:rsidP="0086245C">
            <w:pPr>
              <w:pStyle w:val="Default"/>
              <w:rPr>
                <w:sz w:val="16"/>
                <w:szCs w:val="16"/>
                <w:lang w:val="en-IN"/>
              </w:rPr>
            </w:pPr>
            <w:r w:rsidRPr="00EF6D91">
              <w:rPr>
                <w:sz w:val="16"/>
                <w:szCs w:val="16"/>
              </w:rPr>
              <w:t xml:space="preserve">DM4: Organization Size </w:t>
            </w:r>
          </w:p>
        </w:tc>
        <w:tc>
          <w:tcPr>
            <w:tcW w:w="2976" w:type="dxa"/>
          </w:tcPr>
          <w:p w14:paraId="699278D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Large (250 employees or above) </w:t>
            </w:r>
          </w:p>
        </w:tc>
        <w:tc>
          <w:tcPr>
            <w:tcW w:w="1134" w:type="dxa"/>
          </w:tcPr>
          <w:p w14:paraId="3333596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106.00</w:t>
            </w:r>
          </w:p>
        </w:tc>
        <w:tc>
          <w:tcPr>
            <w:tcW w:w="1102" w:type="dxa"/>
          </w:tcPr>
          <w:p w14:paraId="53FA8BB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67.52</w:t>
            </w:r>
          </w:p>
        </w:tc>
      </w:tr>
      <w:tr w:rsidR="00D10E02" w:rsidRPr="00EF6D91" w14:paraId="1DA99262" w14:textId="77777777" w:rsidTr="00E215CD">
        <w:trPr>
          <w:trHeight w:val="180"/>
        </w:trPr>
        <w:tc>
          <w:tcPr>
            <w:tcW w:w="2122" w:type="dxa"/>
          </w:tcPr>
          <w:p w14:paraId="018B5836" w14:textId="77777777" w:rsidR="00D10E02" w:rsidRPr="00EF6D91" w:rsidRDefault="00D10E02" w:rsidP="0086245C">
            <w:pPr>
              <w:rPr>
                <w:rFonts w:ascii="Times New Roman" w:hAnsi="Times New Roman" w:cs="Times New Roman"/>
                <w:sz w:val="16"/>
                <w:szCs w:val="16"/>
                <w:lang w:val="en-IN"/>
              </w:rPr>
            </w:pPr>
          </w:p>
        </w:tc>
        <w:tc>
          <w:tcPr>
            <w:tcW w:w="2976" w:type="dxa"/>
          </w:tcPr>
          <w:p w14:paraId="59C3B57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Medium (50-249 employees) </w:t>
            </w:r>
          </w:p>
        </w:tc>
        <w:tc>
          <w:tcPr>
            <w:tcW w:w="1134" w:type="dxa"/>
          </w:tcPr>
          <w:p w14:paraId="441518E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27.00</w:t>
            </w:r>
          </w:p>
        </w:tc>
        <w:tc>
          <w:tcPr>
            <w:tcW w:w="1102" w:type="dxa"/>
          </w:tcPr>
          <w:p w14:paraId="786A361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17.20</w:t>
            </w:r>
          </w:p>
        </w:tc>
      </w:tr>
      <w:tr w:rsidR="00D10E02" w:rsidRPr="00EF6D91" w14:paraId="0E1BE630" w14:textId="77777777" w:rsidTr="00E215CD">
        <w:trPr>
          <w:trHeight w:val="180"/>
        </w:trPr>
        <w:tc>
          <w:tcPr>
            <w:tcW w:w="2122" w:type="dxa"/>
          </w:tcPr>
          <w:p w14:paraId="0D61697C" w14:textId="77777777" w:rsidR="00D10E02" w:rsidRPr="00EF6D91" w:rsidRDefault="00D10E02" w:rsidP="0086245C">
            <w:pPr>
              <w:rPr>
                <w:rFonts w:ascii="Times New Roman" w:hAnsi="Times New Roman" w:cs="Times New Roman"/>
                <w:sz w:val="16"/>
                <w:szCs w:val="16"/>
                <w:lang w:val="en-IN"/>
              </w:rPr>
            </w:pPr>
          </w:p>
        </w:tc>
        <w:tc>
          <w:tcPr>
            <w:tcW w:w="2976" w:type="dxa"/>
          </w:tcPr>
          <w:p w14:paraId="6D18702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Small (1-49 employees) </w:t>
            </w:r>
          </w:p>
        </w:tc>
        <w:tc>
          <w:tcPr>
            <w:tcW w:w="1134" w:type="dxa"/>
          </w:tcPr>
          <w:p w14:paraId="5D931AD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24.00</w:t>
            </w:r>
          </w:p>
        </w:tc>
        <w:tc>
          <w:tcPr>
            <w:tcW w:w="1102" w:type="dxa"/>
          </w:tcPr>
          <w:p w14:paraId="6F78F35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15.29</w:t>
            </w:r>
          </w:p>
        </w:tc>
      </w:tr>
      <w:tr w:rsidR="00D10E02" w:rsidRPr="00EF6D91" w14:paraId="442EE0C7" w14:textId="77777777" w:rsidTr="00E215CD">
        <w:trPr>
          <w:trHeight w:val="190"/>
        </w:trPr>
        <w:tc>
          <w:tcPr>
            <w:tcW w:w="2122" w:type="dxa"/>
          </w:tcPr>
          <w:p w14:paraId="5F5A7EE6" w14:textId="77777777" w:rsidR="00D10E02" w:rsidRPr="00EF6D91" w:rsidRDefault="00D10E02" w:rsidP="0086245C">
            <w:pPr>
              <w:rPr>
                <w:rFonts w:ascii="Times New Roman" w:hAnsi="Times New Roman" w:cs="Times New Roman"/>
                <w:sz w:val="16"/>
                <w:szCs w:val="16"/>
                <w:lang w:val="en-IN"/>
              </w:rPr>
            </w:pPr>
          </w:p>
        </w:tc>
        <w:tc>
          <w:tcPr>
            <w:tcW w:w="2976" w:type="dxa"/>
          </w:tcPr>
          <w:p w14:paraId="2DC337FD"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Total</w:t>
            </w:r>
          </w:p>
        </w:tc>
        <w:tc>
          <w:tcPr>
            <w:tcW w:w="1134" w:type="dxa"/>
          </w:tcPr>
          <w:p w14:paraId="3547B71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157</w:t>
            </w:r>
          </w:p>
        </w:tc>
        <w:tc>
          <w:tcPr>
            <w:tcW w:w="1102" w:type="dxa"/>
          </w:tcPr>
          <w:p w14:paraId="1B486A9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100.00</w:t>
            </w:r>
          </w:p>
        </w:tc>
      </w:tr>
      <w:tr w:rsidR="00D10E02" w:rsidRPr="00EF6D91" w14:paraId="14712D14" w14:textId="77777777" w:rsidTr="00E215CD">
        <w:trPr>
          <w:trHeight w:val="180"/>
        </w:trPr>
        <w:tc>
          <w:tcPr>
            <w:tcW w:w="2122" w:type="dxa"/>
          </w:tcPr>
          <w:p w14:paraId="557200AB" w14:textId="77777777" w:rsidR="00D10E02" w:rsidRPr="00EF6D91" w:rsidRDefault="00D10E02" w:rsidP="0086245C">
            <w:pPr>
              <w:pStyle w:val="Default"/>
              <w:rPr>
                <w:sz w:val="16"/>
                <w:szCs w:val="16"/>
                <w:lang w:val="en-IN"/>
              </w:rPr>
            </w:pPr>
            <w:r w:rsidRPr="00EF6D91">
              <w:rPr>
                <w:sz w:val="16"/>
                <w:szCs w:val="16"/>
              </w:rPr>
              <w:t xml:space="preserve">DM5: Region </w:t>
            </w:r>
          </w:p>
        </w:tc>
        <w:tc>
          <w:tcPr>
            <w:tcW w:w="2976" w:type="dxa"/>
          </w:tcPr>
          <w:p w14:paraId="119079D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Europe </w:t>
            </w:r>
          </w:p>
        </w:tc>
        <w:tc>
          <w:tcPr>
            <w:tcW w:w="1134" w:type="dxa"/>
          </w:tcPr>
          <w:p w14:paraId="6E9DE44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53.00</w:t>
            </w:r>
          </w:p>
        </w:tc>
        <w:tc>
          <w:tcPr>
            <w:tcW w:w="1102" w:type="dxa"/>
          </w:tcPr>
          <w:p w14:paraId="3A4C193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33.76</w:t>
            </w:r>
          </w:p>
        </w:tc>
      </w:tr>
      <w:tr w:rsidR="00D10E02" w:rsidRPr="00EF6D91" w14:paraId="29017F73" w14:textId="77777777" w:rsidTr="00E215CD">
        <w:trPr>
          <w:trHeight w:val="180"/>
        </w:trPr>
        <w:tc>
          <w:tcPr>
            <w:tcW w:w="2122" w:type="dxa"/>
          </w:tcPr>
          <w:p w14:paraId="54DB0BAA" w14:textId="77777777" w:rsidR="00D10E02" w:rsidRPr="00EF6D91" w:rsidRDefault="00D10E02" w:rsidP="0086245C">
            <w:pPr>
              <w:rPr>
                <w:rFonts w:ascii="Times New Roman" w:hAnsi="Times New Roman" w:cs="Times New Roman"/>
                <w:sz w:val="16"/>
                <w:szCs w:val="16"/>
                <w:lang w:val="en-IN"/>
              </w:rPr>
            </w:pPr>
          </w:p>
        </w:tc>
        <w:tc>
          <w:tcPr>
            <w:tcW w:w="2976" w:type="dxa"/>
          </w:tcPr>
          <w:p w14:paraId="725B69D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Asia Pacific </w:t>
            </w:r>
          </w:p>
        </w:tc>
        <w:tc>
          <w:tcPr>
            <w:tcW w:w="1134" w:type="dxa"/>
          </w:tcPr>
          <w:p w14:paraId="37F7A12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27.00</w:t>
            </w:r>
          </w:p>
        </w:tc>
        <w:tc>
          <w:tcPr>
            <w:tcW w:w="1102" w:type="dxa"/>
          </w:tcPr>
          <w:p w14:paraId="31EE961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17.20</w:t>
            </w:r>
          </w:p>
        </w:tc>
      </w:tr>
      <w:tr w:rsidR="00D10E02" w:rsidRPr="00EF6D91" w14:paraId="25DCF3D9" w14:textId="77777777" w:rsidTr="00E215CD">
        <w:trPr>
          <w:trHeight w:val="190"/>
        </w:trPr>
        <w:tc>
          <w:tcPr>
            <w:tcW w:w="2122" w:type="dxa"/>
          </w:tcPr>
          <w:p w14:paraId="398318FF" w14:textId="77777777" w:rsidR="00D10E02" w:rsidRPr="00EF6D91" w:rsidRDefault="00D10E02" w:rsidP="0086245C">
            <w:pPr>
              <w:rPr>
                <w:rFonts w:ascii="Times New Roman" w:hAnsi="Times New Roman" w:cs="Times New Roman"/>
                <w:sz w:val="16"/>
                <w:szCs w:val="16"/>
                <w:lang w:val="en-IN"/>
              </w:rPr>
            </w:pPr>
          </w:p>
        </w:tc>
        <w:tc>
          <w:tcPr>
            <w:tcW w:w="2976" w:type="dxa"/>
          </w:tcPr>
          <w:p w14:paraId="7562CDA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Multiple regions </w:t>
            </w:r>
          </w:p>
        </w:tc>
        <w:tc>
          <w:tcPr>
            <w:tcW w:w="1134" w:type="dxa"/>
          </w:tcPr>
          <w:p w14:paraId="6A78191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22.00</w:t>
            </w:r>
          </w:p>
        </w:tc>
        <w:tc>
          <w:tcPr>
            <w:tcW w:w="1102" w:type="dxa"/>
          </w:tcPr>
          <w:p w14:paraId="1C66913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14.01</w:t>
            </w:r>
          </w:p>
        </w:tc>
      </w:tr>
      <w:tr w:rsidR="00D10E02" w:rsidRPr="00EF6D91" w14:paraId="1EDA7982" w14:textId="77777777" w:rsidTr="00E215CD">
        <w:trPr>
          <w:trHeight w:val="180"/>
        </w:trPr>
        <w:tc>
          <w:tcPr>
            <w:tcW w:w="2122" w:type="dxa"/>
          </w:tcPr>
          <w:p w14:paraId="288386A7" w14:textId="77777777" w:rsidR="00D10E02" w:rsidRPr="00EF6D91" w:rsidRDefault="00D10E02" w:rsidP="0086245C">
            <w:pPr>
              <w:rPr>
                <w:rFonts w:ascii="Times New Roman" w:hAnsi="Times New Roman" w:cs="Times New Roman"/>
                <w:sz w:val="16"/>
                <w:szCs w:val="16"/>
                <w:lang w:val="en-IN"/>
              </w:rPr>
            </w:pPr>
          </w:p>
        </w:tc>
        <w:tc>
          <w:tcPr>
            <w:tcW w:w="2976" w:type="dxa"/>
          </w:tcPr>
          <w:p w14:paraId="58D17EB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North America </w:t>
            </w:r>
          </w:p>
        </w:tc>
        <w:tc>
          <w:tcPr>
            <w:tcW w:w="1134" w:type="dxa"/>
          </w:tcPr>
          <w:p w14:paraId="77F65E2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17.00</w:t>
            </w:r>
          </w:p>
        </w:tc>
        <w:tc>
          <w:tcPr>
            <w:tcW w:w="1102" w:type="dxa"/>
          </w:tcPr>
          <w:p w14:paraId="4188240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10.83</w:t>
            </w:r>
          </w:p>
        </w:tc>
      </w:tr>
      <w:tr w:rsidR="00D10E02" w:rsidRPr="00EF6D91" w14:paraId="5F8032A7" w14:textId="77777777" w:rsidTr="00E215CD">
        <w:trPr>
          <w:trHeight w:val="190"/>
        </w:trPr>
        <w:tc>
          <w:tcPr>
            <w:tcW w:w="2122" w:type="dxa"/>
          </w:tcPr>
          <w:p w14:paraId="3E7431B7" w14:textId="77777777" w:rsidR="00D10E02" w:rsidRPr="00EF6D91" w:rsidRDefault="00D10E02" w:rsidP="0086245C">
            <w:pPr>
              <w:rPr>
                <w:rFonts w:ascii="Times New Roman" w:hAnsi="Times New Roman" w:cs="Times New Roman"/>
                <w:sz w:val="16"/>
                <w:szCs w:val="16"/>
                <w:lang w:val="en-IN"/>
              </w:rPr>
            </w:pPr>
          </w:p>
        </w:tc>
        <w:tc>
          <w:tcPr>
            <w:tcW w:w="2976" w:type="dxa"/>
          </w:tcPr>
          <w:p w14:paraId="0AA409E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Africa </w:t>
            </w:r>
          </w:p>
        </w:tc>
        <w:tc>
          <w:tcPr>
            <w:tcW w:w="1134" w:type="dxa"/>
          </w:tcPr>
          <w:p w14:paraId="521BD2C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14.00</w:t>
            </w:r>
          </w:p>
        </w:tc>
        <w:tc>
          <w:tcPr>
            <w:tcW w:w="1102" w:type="dxa"/>
          </w:tcPr>
          <w:p w14:paraId="1071240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8.92</w:t>
            </w:r>
          </w:p>
        </w:tc>
      </w:tr>
      <w:tr w:rsidR="00D10E02" w:rsidRPr="00EF6D91" w14:paraId="37510078" w14:textId="77777777" w:rsidTr="00E215CD">
        <w:trPr>
          <w:trHeight w:val="180"/>
        </w:trPr>
        <w:tc>
          <w:tcPr>
            <w:tcW w:w="2122" w:type="dxa"/>
          </w:tcPr>
          <w:p w14:paraId="54241226" w14:textId="77777777" w:rsidR="00D10E02" w:rsidRPr="00EF6D91" w:rsidRDefault="00D10E02" w:rsidP="0086245C">
            <w:pPr>
              <w:rPr>
                <w:rFonts w:ascii="Times New Roman" w:hAnsi="Times New Roman" w:cs="Times New Roman"/>
                <w:sz w:val="16"/>
                <w:szCs w:val="16"/>
                <w:lang w:val="en-IN"/>
              </w:rPr>
            </w:pPr>
          </w:p>
        </w:tc>
        <w:tc>
          <w:tcPr>
            <w:tcW w:w="2976" w:type="dxa"/>
          </w:tcPr>
          <w:p w14:paraId="06D921B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South America </w:t>
            </w:r>
          </w:p>
        </w:tc>
        <w:tc>
          <w:tcPr>
            <w:tcW w:w="1134" w:type="dxa"/>
          </w:tcPr>
          <w:p w14:paraId="52EEF7C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12.00</w:t>
            </w:r>
          </w:p>
        </w:tc>
        <w:tc>
          <w:tcPr>
            <w:tcW w:w="1102" w:type="dxa"/>
          </w:tcPr>
          <w:p w14:paraId="34A4F4D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7.64</w:t>
            </w:r>
          </w:p>
        </w:tc>
      </w:tr>
      <w:tr w:rsidR="00D10E02" w:rsidRPr="00EF6D91" w14:paraId="3A9E1EA5" w14:textId="77777777" w:rsidTr="00E215CD">
        <w:trPr>
          <w:trHeight w:val="180"/>
        </w:trPr>
        <w:tc>
          <w:tcPr>
            <w:tcW w:w="2122" w:type="dxa"/>
          </w:tcPr>
          <w:p w14:paraId="398BCFD0" w14:textId="77777777" w:rsidR="00D10E02" w:rsidRPr="00EF6D91" w:rsidRDefault="00D10E02" w:rsidP="0086245C">
            <w:pPr>
              <w:rPr>
                <w:rFonts w:ascii="Times New Roman" w:hAnsi="Times New Roman" w:cs="Times New Roman"/>
                <w:sz w:val="16"/>
                <w:szCs w:val="16"/>
                <w:lang w:val="en-IN"/>
              </w:rPr>
            </w:pPr>
          </w:p>
        </w:tc>
        <w:tc>
          <w:tcPr>
            <w:tcW w:w="2976" w:type="dxa"/>
          </w:tcPr>
          <w:p w14:paraId="43B03EB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Middle East </w:t>
            </w:r>
          </w:p>
        </w:tc>
        <w:tc>
          <w:tcPr>
            <w:tcW w:w="1134" w:type="dxa"/>
          </w:tcPr>
          <w:p w14:paraId="5B620E3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11.00</w:t>
            </w:r>
          </w:p>
        </w:tc>
        <w:tc>
          <w:tcPr>
            <w:tcW w:w="1102" w:type="dxa"/>
          </w:tcPr>
          <w:p w14:paraId="5BC89F8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7.01</w:t>
            </w:r>
          </w:p>
        </w:tc>
      </w:tr>
      <w:tr w:rsidR="00D10E02" w:rsidRPr="00EF6D91" w14:paraId="42BF8C38" w14:textId="77777777" w:rsidTr="00E215CD">
        <w:trPr>
          <w:trHeight w:val="190"/>
        </w:trPr>
        <w:tc>
          <w:tcPr>
            <w:tcW w:w="2122" w:type="dxa"/>
          </w:tcPr>
          <w:p w14:paraId="5F0A76C8" w14:textId="77777777" w:rsidR="00D10E02" w:rsidRPr="00EF6D91" w:rsidRDefault="00D10E02" w:rsidP="0086245C">
            <w:pPr>
              <w:rPr>
                <w:rFonts w:ascii="Times New Roman" w:hAnsi="Times New Roman" w:cs="Times New Roman"/>
                <w:sz w:val="16"/>
                <w:szCs w:val="16"/>
                <w:lang w:val="en-IN"/>
              </w:rPr>
            </w:pPr>
          </w:p>
        </w:tc>
        <w:tc>
          <w:tcPr>
            <w:tcW w:w="2976" w:type="dxa"/>
          </w:tcPr>
          <w:p w14:paraId="2F7BC481"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Other </w:t>
            </w:r>
          </w:p>
        </w:tc>
        <w:tc>
          <w:tcPr>
            <w:tcW w:w="1134" w:type="dxa"/>
          </w:tcPr>
          <w:p w14:paraId="3A2E474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1.00</w:t>
            </w:r>
          </w:p>
        </w:tc>
        <w:tc>
          <w:tcPr>
            <w:tcW w:w="1102" w:type="dxa"/>
          </w:tcPr>
          <w:p w14:paraId="1C71546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0.64</w:t>
            </w:r>
          </w:p>
        </w:tc>
      </w:tr>
      <w:tr w:rsidR="00D10E02" w:rsidRPr="00EF6D91" w14:paraId="4DCA9851" w14:textId="77777777" w:rsidTr="00E215CD">
        <w:trPr>
          <w:trHeight w:val="180"/>
        </w:trPr>
        <w:tc>
          <w:tcPr>
            <w:tcW w:w="2122" w:type="dxa"/>
          </w:tcPr>
          <w:p w14:paraId="49731EE7" w14:textId="77777777" w:rsidR="00D10E02" w:rsidRPr="00EF6D91" w:rsidRDefault="00D10E02" w:rsidP="0086245C">
            <w:pPr>
              <w:rPr>
                <w:rFonts w:ascii="Times New Roman" w:hAnsi="Times New Roman" w:cs="Times New Roman"/>
                <w:sz w:val="16"/>
                <w:szCs w:val="16"/>
                <w:lang w:val="en-IN"/>
              </w:rPr>
            </w:pPr>
          </w:p>
        </w:tc>
        <w:tc>
          <w:tcPr>
            <w:tcW w:w="2976" w:type="dxa"/>
          </w:tcPr>
          <w:p w14:paraId="60756699" w14:textId="77777777" w:rsidR="00D10E02" w:rsidRPr="00EF6D91" w:rsidRDefault="00D10E02" w:rsidP="0086245C">
            <w:pPr>
              <w:rPr>
                <w:rFonts w:ascii="Times New Roman" w:hAnsi="Times New Roman" w:cs="Times New Roman"/>
                <w:sz w:val="16"/>
                <w:szCs w:val="16"/>
              </w:rPr>
            </w:pPr>
            <w:r w:rsidRPr="00EF6D91">
              <w:rPr>
                <w:rFonts w:ascii="Times New Roman" w:hAnsi="Times New Roman" w:cs="Times New Roman"/>
                <w:sz w:val="16"/>
                <w:szCs w:val="16"/>
              </w:rPr>
              <w:t>Total</w:t>
            </w:r>
          </w:p>
        </w:tc>
        <w:tc>
          <w:tcPr>
            <w:tcW w:w="1134" w:type="dxa"/>
          </w:tcPr>
          <w:p w14:paraId="12EDDDE4" w14:textId="77777777" w:rsidR="00D10E02" w:rsidRPr="00EF6D91" w:rsidRDefault="00D10E02" w:rsidP="0086245C">
            <w:pPr>
              <w:jc w:val="center"/>
              <w:rPr>
                <w:rFonts w:ascii="Times New Roman" w:hAnsi="Times New Roman" w:cs="Times New Roman"/>
                <w:sz w:val="16"/>
                <w:szCs w:val="16"/>
              </w:rPr>
            </w:pPr>
            <w:r w:rsidRPr="00EF6D91">
              <w:rPr>
                <w:rFonts w:ascii="Times New Roman" w:hAnsi="Times New Roman" w:cs="Times New Roman"/>
                <w:sz w:val="16"/>
                <w:szCs w:val="16"/>
              </w:rPr>
              <w:t>157</w:t>
            </w:r>
          </w:p>
        </w:tc>
        <w:tc>
          <w:tcPr>
            <w:tcW w:w="1102" w:type="dxa"/>
          </w:tcPr>
          <w:p w14:paraId="4A66334B" w14:textId="77777777" w:rsidR="00D10E02" w:rsidRPr="00EF6D91" w:rsidRDefault="00D10E02" w:rsidP="0086245C">
            <w:pPr>
              <w:jc w:val="center"/>
              <w:rPr>
                <w:rFonts w:ascii="Times New Roman" w:hAnsi="Times New Roman" w:cs="Times New Roman"/>
                <w:sz w:val="16"/>
                <w:szCs w:val="16"/>
              </w:rPr>
            </w:pPr>
            <w:r w:rsidRPr="00EF6D91">
              <w:rPr>
                <w:rFonts w:ascii="Times New Roman" w:hAnsi="Times New Roman" w:cs="Times New Roman"/>
                <w:sz w:val="16"/>
                <w:szCs w:val="16"/>
              </w:rPr>
              <w:t>100.00</w:t>
            </w:r>
          </w:p>
        </w:tc>
      </w:tr>
    </w:tbl>
    <w:p w14:paraId="56033775" w14:textId="77777777" w:rsidR="00AD5C71" w:rsidRPr="00EF6D91" w:rsidRDefault="00AD5C71" w:rsidP="00D5018D">
      <w:pPr>
        <w:jc w:val="both"/>
        <w:rPr>
          <w:rFonts w:ascii="Times New Roman" w:hAnsi="Times New Roman" w:cs="Times New Roman"/>
          <w:i/>
          <w:iCs/>
          <w:color w:val="000000" w:themeColor="text1"/>
          <w:sz w:val="24"/>
          <w:szCs w:val="24"/>
        </w:rPr>
      </w:pPr>
    </w:p>
    <w:p w14:paraId="7FCBA2B4" w14:textId="77777777" w:rsidR="00AD5C71" w:rsidRPr="00EF6D91" w:rsidRDefault="00AD5C71" w:rsidP="00AD5C71">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4.3 Assessment of Reliability and Validity</w:t>
      </w:r>
    </w:p>
    <w:p w14:paraId="387089C5" w14:textId="154D0616" w:rsidR="005E5B8D"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Ensuring the reliability and validity of the survey instrument is fundamental for maintaining the integrity and consistency of the data collected, which underpins the credibility of the analysis (Hair, 2010). </w:t>
      </w:r>
      <w:r w:rsidR="005E5B8D" w:rsidRPr="00EF6D91">
        <w:rPr>
          <w:rFonts w:ascii="Times New Roman" w:eastAsia="Calibri" w:hAnsi="Times New Roman" w:cs="Times New Roman"/>
          <w:color w:val="000000"/>
          <w:sz w:val="24"/>
          <w:szCs w:val="24"/>
        </w:rPr>
        <w:t xml:space="preserve">To this end, the research team captured responses through a secure survey platform and preserved them on a password-protected drive. </w:t>
      </w:r>
      <w:r w:rsidRPr="00EF6D91">
        <w:rPr>
          <w:rFonts w:ascii="Times New Roman" w:eastAsia="Calibri" w:hAnsi="Times New Roman" w:cs="Times New Roman"/>
          <w:color w:val="000000"/>
          <w:sz w:val="24"/>
          <w:szCs w:val="24"/>
        </w:rPr>
        <w:t>The data, designated by variable codes B1 through B21, underwent a rigorous reliability assessment employing Cronbach's Alpha. The computed Alpha value of 0.853 significantly surpasse</w:t>
      </w:r>
      <w:r w:rsidR="005A503D">
        <w:rPr>
          <w:rFonts w:ascii="Times New Roman" w:eastAsia="Calibri" w:hAnsi="Times New Roman" w:cs="Times New Roman"/>
          <w:color w:val="000000"/>
          <w:sz w:val="24"/>
          <w:szCs w:val="24"/>
        </w:rPr>
        <w:t>d</w:t>
      </w:r>
      <w:r w:rsidRPr="00EF6D91">
        <w:rPr>
          <w:rFonts w:ascii="Times New Roman" w:eastAsia="Calibri" w:hAnsi="Times New Roman" w:cs="Times New Roman"/>
          <w:color w:val="000000"/>
          <w:sz w:val="24"/>
          <w:szCs w:val="24"/>
        </w:rPr>
        <w:t xml:space="preserve"> the accepted benchmark of 0.7, underscoring the reliability of the survey data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{"citationID":"wMkTpJKN","properties":{"formattedCitation":"(Taber, 2018)","plainCitation":"(Taber, 2018)","noteIndex":0},"citationItems":[{"id":31710,"uris":["http://zotero.org/users/10594755/items/TQ7NFV33"],"itemData":{"id":31710,"type":"article-journal","container-title":"Research in Science Education","DOI":"10.1007/s11165-016-9602-2","ISSN":"0157-244X, 1573-1898","issue":"6","journalAbbreviation":"Res Sci Educ","language":"en","page":"1273-1296","source":"DOI.org (Crossref)","title":"The use of cronbach’s alpha when developing and reporting research instruments in science education","volume":"48","author":[{"family":"Taber","given":"Keith S."}],"issued":{"date-parts":[["2018",12]]}}}],"schema":"https://github.com/citation-style-language/schema/raw/master/csl-citation.json"}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sz w:val="24"/>
        </w:rPr>
        <w:t>(Taber, 2018)</w:t>
      </w:r>
      <w:r w:rsidR="003502CD"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w:t>
      </w:r>
      <w:r w:rsidR="005E5B8D" w:rsidRPr="00EF6D91">
        <w:rPr>
          <w:rFonts w:ascii="Times New Roman" w:eastAsia="Calibri" w:hAnsi="Times New Roman" w:cs="Times New Roman"/>
          <w:color w:val="000000"/>
          <w:sz w:val="24"/>
          <w:szCs w:val="24"/>
        </w:rPr>
        <w:t>We systematically present these statistical details in Table 3.</w:t>
      </w:r>
    </w:p>
    <w:p w14:paraId="73DBD75F" w14:textId="713C7C11" w:rsidR="00AD5C71"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Given the cross-sectional nature of our study, where participants provided their responses only once, the survey’s reliability relied solely on internal consistency, as temporal stability measures were not applicable.</w:t>
      </w:r>
    </w:p>
    <w:p w14:paraId="6DC2D488" w14:textId="38192817" w:rsidR="00CA6488" w:rsidRPr="00EF6D91" w:rsidRDefault="00876247" w:rsidP="00CA6488">
      <w:pPr>
        <w:rPr>
          <w:rFonts w:ascii="Times New Roman" w:hAnsi="Times New Roman" w:cs="Times New Roman"/>
          <w:sz w:val="24"/>
          <w:szCs w:val="24"/>
        </w:rPr>
      </w:pPr>
      <w:r w:rsidRPr="00EF6D91">
        <w:rPr>
          <w:rFonts w:ascii="Times New Roman" w:hAnsi="Times New Roman" w:cs="Times New Roman"/>
          <w:sz w:val="24"/>
          <w:szCs w:val="24"/>
          <w:lang w:val="en-IN"/>
        </w:rPr>
        <w:t xml:space="preserve">          </w:t>
      </w:r>
      <w:r w:rsidR="00CA6488" w:rsidRPr="00EF6D91">
        <w:rPr>
          <w:rFonts w:ascii="Times New Roman" w:hAnsi="Times New Roman" w:cs="Times New Roman"/>
          <w:sz w:val="24"/>
          <w:szCs w:val="24"/>
          <w:lang w:val="en-IN"/>
        </w:rPr>
        <w:t xml:space="preserve">Table 3. </w:t>
      </w:r>
      <w:r w:rsidR="00CA6488" w:rsidRPr="00EF6D91">
        <w:rPr>
          <w:rFonts w:ascii="Times New Roman" w:hAnsi="Times New Roman" w:cs="Times New Roman"/>
          <w:sz w:val="24"/>
          <w:szCs w:val="24"/>
        </w:rPr>
        <w:t xml:space="preserve">Reliability Test Outcome of Survey Data </w:t>
      </w:r>
    </w:p>
    <w:tbl>
      <w:tblPr>
        <w:tblStyle w:val="TableGrid"/>
        <w:tblW w:w="0" w:type="auto"/>
        <w:tblInd w:w="626" w:type="dxa"/>
        <w:tblLook w:val="04A0" w:firstRow="1" w:lastRow="0" w:firstColumn="1" w:lastColumn="0" w:noHBand="0" w:noVBand="1"/>
      </w:tblPr>
      <w:tblGrid>
        <w:gridCol w:w="1219"/>
        <w:gridCol w:w="3437"/>
        <w:gridCol w:w="1292"/>
        <w:gridCol w:w="1179"/>
        <w:gridCol w:w="635"/>
      </w:tblGrid>
      <w:tr w:rsidR="00CA6488" w:rsidRPr="00EF6D91" w14:paraId="4C3B3287" w14:textId="77777777" w:rsidTr="00876247">
        <w:trPr>
          <w:trHeight w:val="738"/>
        </w:trPr>
        <w:tc>
          <w:tcPr>
            <w:tcW w:w="1219" w:type="dxa"/>
          </w:tcPr>
          <w:p w14:paraId="6660459D"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Variable</w:t>
            </w:r>
          </w:p>
        </w:tc>
        <w:tc>
          <w:tcPr>
            <w:tcW w:w="3437" w:type="dxa"/>
          </w:tcPr>
          <w:p w14:paraId="165B7A92"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EV Adoption Barriers in LMD Operations </w:t>
            </w:r>
          </w:p>
        </w:tc>
        <w:tc>
          <w:tcPr>
            <w:tcW w:w="1292" w:type="dxa"/>
          </w:tcPr>
          <w:p w14:paraId="4E79E10B" w14:textId="77777777" w:rsidR="00CA6488" w:rsidRPr="00EF6D91" w:rsidRDefault="00CA6488" w:rsidP="004F22C5">
            <w:pPr>
              <w:pStyle w:val="Default"/>
              <w:jc w:val="center"/>
              <w:rPr>
                <w:sz w:val="16"/>
                <w:szCs w:val="16"/>
              </w:rPr>
            </w:pPr>
            <w:r w:rsidRPr="00EF6D91">
              <w:rPr>
                <w:b/>
                <w:bCs/>
                <w:sz w:val="16"/>
                <w:szCs w:val="16"/>
              </w:rPr>
              <w:t>Cronbach’s Alpha</w:t>
            </w:r>
          </w:p>
          <w:p w14:paraId="34BB5111"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if Item Deleted</w:t>
            </w:r>
          </w:p>
        </w:tc>
        <w:tc>
          <w:tcPr>
            <w:tcW w:w="1179" w:type="dxa"/>
          </w:tcPr>
          <w:p w14:paraId="1121CC80"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Mean</w:t>
            </w:r>
          </w:p>
        </w:tc>
        <w:tc>
          <w:tcPr>
            <w:tcW w:w="635" w:type="dxa"/>
          </w:tcPr>
          <w:p w14:paraId="58AEFD60"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lang w:val="en-IN"/>
              </w:rPr>
              <w:t>SD</w:t>
            </w:r>
          </w:p>
        </w:tc>
      </w:tr>
      <w:tr w:rsidR="00CA6488" w:rsidRPr="00EF6D91" w14:paraId="4F2DC187" w14:textId="77777777" w:rsidTr="00876247">
        <w:trPr>
          <w:trHeight w:val="179"/>
        </w:trPr>
        <w:tc>
          <w:tcPr>
            <w:tcW w:w="1219" w:type="dxa"/>
          </w:tcPr>
          <w:p w14:paraId="160E390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w:t>
            </w:r>
          </w:p>
        </w:tc>
        <w:tc>
          <w:tcPr>
            <w:tcW w:w="3437" w:type="dxa"/>
          </w:tcPr>
          <w:p w14:paraId="3AAEFFDD"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Insufficient Charging Infrastructure </w:t>
            </w:r>
          </w:p>
        </w:tc>
        <w:tc>
          <w:tcPr>
            <w:tcW w:w="1292" w:type="dxa"/>
          </w:tcPr>
          <w:p w14:paraId="669A82D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0.848</w:t>
            </w:r>
          </w:p>
        </w:tc>
        <w:tc>
          <w:tcPr>
            <w:tcW w:w="1179" w:type="dxa"/>
          </w:tcPr>
          <w:p w14:paraId="509A9633"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3.94</w:t>
            </w:r>
          </w:p>
        </w:tc>
        <w:tc>
          <w:tcPr>
            <w:tcW w:w="635" w:type="dxa"/>
          </w:tcPr>
          <w:p w14:paraId="5580F46C"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1.12</w:t>
            </w:r>
          </w:p>
        </w:tc>
      </w:tr>
      <w:tr w:rsidR="00CA6488" w:rsidRPr="00EF6D91" w14:paraId="53E84944" w14:textId="77777777" w:rsidTr="00876247">
        <w:trPr>
          <w:trHeight w:val="179"/>
        </w:trPr>
        <w:tc>
          <w:tcPr>
            <w:tcW w:w="1219" w:type="dxa"/>
          </w:tcPr>
          <w:p w14:paraId="2966404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B2</w:t>
            </w:r>
          </w:p>
        </w:tc>
        <w:tc>
          <w:tcPr>
            <w:tcW w:w="3437" w:type="dxa"/>
          </w:tcPr>
          <w:p w14:paraId="52BC63F1"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Deficiency of depot-based fast charging </w:t>
            </w:r>
          </w:p>
        </w:tc>
        <w:tc>
          <w:tcPr>
            <w:tcW w:w="1292" w:type="dxa"/>
          </w:tcPr>
          <w:p w14:paraId="2052FC5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0.851</w:t>
            </w:r>
          </w:p>
        </w:tc>
        <w:tc>
          <w:tcPr>
            <w:tcW w:w="1179" w:type="dxa"/>
          </w:tcPr>
          <w:p w14:paraId="2AA6EBF2"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3.89</w:t>
            </w:r>
          </w:p>
        </w:tc>
        <w:tc>
          <w:tcPr>
            <w:tcW w:w="635" w:type="dxa"/>
          </w:tcPr>
          <w:p w14:paraId="60B67D0D"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1.01</w:t>
            </w:r>
          </w:p>
        </w:tc>
      </w:tr>
      <w:tr w:rsidR="00CA6488" w:rsidRPr="00EF6D91" w14:paraId="0F26ABEF" w14:textId="77777777" w:rsidTr="00876247">
        <w:trPr>
          <w:trHeight w:val="189"/>
        </w:trPr>
        <w:tc>
          <w:tcPr>
            <w:tcW w:w="1219" w:type="dxa"/>
          </w:tcPr>
          <w:p w14:paraId="114FA4F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B3</w:t>
            </w:r>
          </w:p>
        </w:tc>
        <w:tc>
          <w:tcPr>
            <w:tcW w:w="3437" w:type="dxa"/>
          </w:tcPr>
          <w:p w14:paraId="3778B42E"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Insufficient Electricity Provision </w:t>
            </w:r>
          </w:p>
        </w:tc>
        <w:tc>
          <w:tcPr>
            <w:tcW w:w="1292" w:type="dxa"/>
          </w:tcPr>
          <w:p w14:paraId="2CA52CB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0.847</w:t>
            </w:r>
          </w:p>
        </w:tc>
        <w:tc>
          <w:tcPr>
            <w:tcW w:w="1179" w:type="dxa"/>
          </w:tcPr>
          <w:p w14:paraId="57B23B4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3.59</w:t>
            </w:r>
          </w:p>
        </w:tc>
        <w:tc>
          <w:tcPr>
            <w:tcW w:w="635" w:type="dxa"/>
          </w:tcPr>
          <w:p w14:paraId="6B9A07B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1.20</w:t>
            </w:r>
          </w:p>
        </w:tc>
      </w:tr>
      <w:tr w:rsidR="00CA6488" w:rsidRPr="00EF6D91" w14:paraId="5ED78C2D" w14:textId="77777777" w:rsidTr="00876247">
        <w:trPr>
          <w:trHeight w:val="111"/>
        </w:trPr>
        <w:tc>
          <w:tcPr>
            <w:tcW w:w="1219" w:type="dxa"/>
          </w:tcPr>
          <w:p w14:paraId="599EA8F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B4</w:t>
            </w:r>
          </w:p>
        </w:tc>
        <w:tc>
          <w:tcPr>
            <w:tcW w:w="3437" w:type="dxa"/>
          </w:tcPr>
          <w:p w14:paraId="36C608D1"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Increased investment for Power Grid upgrade </w:t>
            </w:r>
          </w:p>
        </w:tc>
        <w:tc>
          <w:tcPr>
            <w:tcW w:w="1292" w:type="dxa"/>
          </w:tcPr>
          <w:p w14:paraId="664D0D0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0.849</w:t>
            </w:r>
          </w:p>
        </w:tc>
        <w:tc>
          <w:tcPr>
            <w:tcW w:w="1179" w:type="dxa"/>
          </w:tcPr>
          <w:p w14:paraId="34F9638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3.74</w:t>
            </w:r>
          </w:p>
        </w:tc>
        <w:tc>
          <w:tcPr>
            <w:tcW w:w="635" w:type="dxa"/>
          </w:tcPr>
          <w:p w14:paraId="5E6B8B9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1.10</w:t>
            </w:r>
          </w:p>
        </w:tc>
      </w:tr>
      <w:tr w:rsidR="00CA6488" w:rsidRPr="00EF6D91" w14:paraId="08ECC25B" w14:textId="77777777" w:rsidTr="00876247">
        <w:trPr>
          <w:trHeight w:val="179"/>
        </w:trPr>
        <w:tc>
          <w:tcPr>
            <w:tcW w:w="1219" w:type="dxa"/>
          </w:tcPr>
          <w:p w14:paraId="0E299682"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B5</w:t>
            </w:r>
          </w:p>
        </w:tc>
        <w:tc>
          <w:tcPr>
            <w:tcW w:w="3437" w:type="dxa"/>
          </w:tcPr>
          <w:p w14:paraId="6C7FABE0"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Longer charging duration </w:t>
            </w:r>
          </w:p>
        </w:tc>
        <w:tc>
          <w:tcPr>
            <w:tcW w:w="1292" w:type="dxa"/>
          </w:tcPr>
          <w:p w14:paraId="78F1A87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0.846</w:t>
            </w:r>
          </w:p>
        </w:tc>
        <w:tc>
          <w:tcPr>
            <w:tcW w:w="1179" w:type="dxa"/>
          </w:tcPr>
          <w:p w14:paraId="69D97D7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3.68</w:t>
            </w:r>
          </w:p>
        </w:tc>
        <w:tc>
          <w:tcPr>
            <w:tcW w:w="635" w:type="dxa"/>
          </w:tcPr>
          <w:p w14:paraId="57AFA8D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1.06</w:t>
            </w:r>
          </w:p>
        </w:tc>
      </w:tr>
      <w:tr w:rsidR="00CA6488" w:rsidRPr="00EF6D91" w14:paraId="7907BC64" w14:textId="77777777" w:rsidTr="00876247">
        <w:trPr>
          <w:trHeight w:val="179"/>
        </w:trPr>
        <w:tc>
          <w:tcPr>
            <w:tcW w:w="1219" w:type="dxa"/>
          </w:tcPr>
          <w:p w14:paraId="7DE8E1C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B6</w:t>
            </w:r>
          </w:p>
        </w:tc>
        <w:tc>
          <w:tcPr>
            <w:tcW w:w="3437" w:type="dxa"/>
          </w:tcPr>
          <w:p w14:paraId="6A2A0BB2"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Range Availability </w:t>
            </w:r>
          </w:p>
        </w:tc>
        <w:tc>
          <w:tcPr>
            <w:tcW w:w="1292" w:type="dxa"/>
          </w:tcPr>
          <w:p w14:paraId="6A0F904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0.854</w:t>
            </w:r>
          </w:p>
        </w:tc>
        <w:tc>
          <w:tcPr>
            <w:tcW w:w="1179" w:type="dxa"/>
          </w:tcPr>
          <w:p w14:paraId="721F64E9"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3.68</w:t>
            </w:r>
          </w:p>
        </w:tc>
        <w:tc>
          <w:tcPr>
            <w:tcW w:w="635" w:type="dxa"/>
          </w:tcPr>
          <w:p w14:paraId="396F2C6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1.17</w:t>
            </w:r>
          </w:p>
        </w:tc>
      </w:tr>
      <w:tr w:rsidR="00CA6488" w:rsidRPr="00EF6D91" w14:paraId="6BF9E147" w14:textId="77777777" w:rsidTr="00876247">
        <w:trPr>
          <w:trHeight w:val="189"/>
        </w:trPr>
        <w:tc>
          <w:tcPr>
            <w:tcW w:w="1219" w:type="dxa"/>
          </w:tcPr>
          <w:p w14:paraId="38D3390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B7</w:t>
            </w:r>
          </w:p>
        </w:tc>
        <w:tc>
          <w:tcPr>
            <w:tcW w:w="3437" w:type="dxa"/>
          </w:tcPr>
          <w:p w14:paraId="1A3F55DA"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Range Uncertainty </w:t>
            </w:r>
          </w:p>
        </w:tc>
        <w:tc>
          <w:tcPr>
            <w:tcW w:w="1292" w:type="dxa"/>
          </w:tcPr>
          <w:p w14:paraId="0ACD484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0.847</w:t>
            </w:r>
          </w:p>
        </w:tc>
        <w:tc>
          <w:tcPr>
            <w:tcW w:w="1179" w:type="dxa"/>
          </w:tcPr>
          <w:p w14:paraId="005B0C4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3.52</w:t>
            </w:r>
          </w:p>
        </w:tc>
        <w:tc>
          <w:tcPr>
            <w:tcW w:w="635" w:type="dxa"/>
          </w:tcPr>
          <w:p w14:paraId="3FF31859"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1.07</w:t>
            </w:r>
          </w:p>
        </w:tc>
      </w:tr>
      <w:tr w:rsidR="00CA6488" w:rsidRPr="00EF6D91" w14:paraId="14859351" w14:textId="77777777" w:rsidTr="00876247">
        <w:trPr>
          <w:trHeight w:val="179"/>
        </w:trPr>
        <w:tc>
          <w:tcPr>
            <w:tcW w:w="1219" w:type="dxa"/>
          </w:tcPr>
          <w:p w14:paraId="6C444BF0"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B8</w:t>
            </w:r>
          </w:p>
        </w:tc>
        <w:tc>
          <w:tcPr>
            <w:tcW w:w="3437" w:type="dxa"/>
          </w:tcPr>
          <w:p w14:paraId="13222CCD"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loading capacity </w:t>
            </w:r>
          </w:p>
        </w:tc>
        <w:tc>
          <w:tcPr>
            <w:tcW w:w="1292" w:type="dxa"/>
          </w:tcPr>
          <w:p w14:paraId="211D7CA1"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0.849</w:t>
            </w:r>
          </w:p>
        </w:tc>
        <w:tc>
          <w:tcPr>
            <w:tcW w:w="1179" w:type="dxa"/>
          </w:tcPr>
          <w:p w14:paraId="03430342"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3.43</w:t>
            </w:r>
          </w:p>
        </w:tc>
        <w:tc>
          <w:tcPr>
            <w:tcW w:w="635" w:type="dxa"/>
          </w:tcPr>
          <w:p w14:paraId="3CE0BB7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1.19</w:t>
            </w:r>
          </w:p>
        </w:tc>
      </w:tr>
      <w:tr w:rsidR="00CA6488" w:rsidRPr="00EF6D91" w14:paraId="537E0DD1" w14:textId="77777777" w:rsidTr="00876247">
        <w:trPr>
          <w:trHeight w:val="189"/>
        </w:trPr>
        <w:tc>
          <w:tcPr>
            <w:tcW w:w="1219" w:type="dxa"/>
          </w:tcPr>
          <w:p w14:paraId="637139E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B9</w:t>
            </w:r>
          </w:p>
        </w:tc>
        <w:tc>
          <w:tcPr>
            <w:tcW w:w="3437" w:type="dxa"/>
          </w:tcPr>
          <w:p w14:paraId="09C83F73"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raw material availability </w:t>
            </w:r>
          </w:p>
        </w:tc>
        <w:tc>
          <w:tcPr>
            <w:tcW w:w="1292" w:type="dxa"/>
          </w:tcPr>
          <w:p w14:paraId="6236C60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0.844</w:t>
            </w:r>
          </w:p>
        </w:tc>
        <w:tc>
          <w:tcPr>
            <w:tcW w:w="1179" w:type="dxa"/>
          </w:tcPr>
          <w:p w14:paraId="6A584E5D"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3.39</w:t>
            </w:r>
          </w:p>
        </w:tc>
        <w:tc>
          <w:tcPr>
            <w:tcW w:w="635" w:type="dxa"/>
          </w:tcPr>
          <w:p w14:paraId="58C332B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1.24</w:t>
            </w:r>
          </w:p>
        </w:tc>
      </w:tr>
      <w:tr w:rsidR="00CA6488" w:rsidRPr="00EF6D91" w14:paraId="0D5444CC" w14:textId="77777777" w:rsidTr="00876247">
        <w:trPr>
          <w:trHeight w:val="179"/>
        </w:trPr>
        <w:tc>
          <w:tcPr>
            <w:tcW w:w="1219" w:type="dxa"/>
          </w:tcPr>
          <w:p w14:paraId="25E4FB9F"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B10</w:t>
            </w:r>
          </w:p>
        </w:tc>
        <w:tc>
          <w:tcPr>
            <w:tcW w:w="3437" w:type="dxa"/>
          </w:tcPr>
          <w:p w14:paraId="5C95BD6E"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Battery costs </w:t>
            </w:r>
          </w:p>
        </w:tc>
        <w:tc>
          <w:tcPr>
            <w:tcW w:w="1292" w:type="dxa"/>
          </w:tcPr>
          <w:p w14:paraId="7791076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0.848</w:t>
            </w:r>
          </w:p>
        </w:tc>
        <w:tc>
          <w:tcPr>
            <w:tcW w:w="1179" w:type="dxa"/>
          </w:tcPr>
          <w:p w14:paraId="11D66146"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3.55</w:t>
            </w:r>
          </w:p>
        </w:tc>
        <w:tc>
          <w:tcPr>
            <w:tcW w:w="635" w:type="dxa"/>
          </w:tcPr>
          <w:p w14:paraId="685E865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1.08</w:t>
            </w:r>
          </w:p>
        </w:tc>
      </w:tr>
      <w:tr w:rsidR="00CA6488" w:rsidRPr="00EF6D91" w14:paraId="46289EC6" w14:textId="77777777" w:rsidTr="00876247">
        <w:trPr>
          <w:trHeight w:val="179"/>
        </w:trPr>
        <w:tc>
          <w:tcPr>
            <w:tcW w:w="1219" w:type="dxa"/>
          </w:tcPr>
          <w:p w14:paraId="74DFF862"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B11</w:t>
            </w:r>
          </w:p>
        </w:tc>
        <w:tc>
          <w:tcPr>
            <w:tcW w:w="3437" w:type="dxa"/>
          </w:tcPr>
          <w:p w14:paraId="4F48C33C"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Battery lifespan </w:t>
            </w:r>
          </w:p>
        </w:tc>
        <w:tc>
          <w:tcPr>
            <w:tcW w:w="1292" w:type="dxa"/>
          </w:tcPr>
          <w:p w14:paraId="3576A38C"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0.844</w:t>
            </w:r>
          </w:p>
        </w:tc>
        <w:tc>
          <w:tcPr>
            <w:tcW w:w="1179" w:type="dxa"/>
          </w:tcPr>
          <w:p w14:paraId="236D0807"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3.56</w:t>
            </w:r>
          </w:p>
        </w:tc>
        <w:tc>
          <w:tcPr>
            <w:tcW w:w="635" w:type="dxa"/>
          </w:tcPr>
          <w:p w14:paraId="28D9CA0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1.14</w:t>
            </w:r>
          </w:p>
        </w:tc>
      </w:tr>
      <w:tr w:rsidR="00CA6488" w:rsidRPr="00EF6D91" w14:paraId="4BF12BE8" w14:textId="77777777" w:rsidTr="00876247">
        <w:trPr>
          <w:trHeight w:val="207"/>
        </w:trPr>
        <w:tc>
          <w:tcPr>
            <w:tcW w:w="1219" w:type="dxa"/>
          </w:tcPr>
          <w:p w14:paraId="1F5FF42A"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B12</w:t>
            </w:r>
          </w:p>
        </w:tc>
        <w:tc>
          <w:tcPr>
            <w:tcW w:w="3437" w:type="dxa"/>
          </w:tcPr>
          <w:p w14:paraId="3F26A7C1"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Inadequate infrastructure for battery swapping </w:t>
            </w:r>
          </w:p>
        </w:tc>
        <w:tc>
          <w:tcPr>
            <w:tcW w:w="1292" w:type="dxa"/>
          </w:tcPr>
          <w:p w14:paraId="48FE6F4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0.845</w:t>
            </w:r>
          </w:p>
        </w:tc>
        <w:tc>
          <w:tcPr>
            <w:tcW w:w="1179" w:type="dxa"/>
          </w:tcPr>
          <w:p w14:paraId="6400D52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3.39</w:t>
            </w:r>
          </w:p>
        </w:tc>
        <w:tc>
          <w:tcPr>
            <w:tcW w:w="635" w:type="dxa"/>
          </w:tcPr>
          <w:p w14:paraId="0EFE46DC"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1.17</w:t>
            </w:r>
          </w:p>
        </w:tc>
      </w:tr>
      <w:tr w:rsidR="00CA6488" w:rsidRPr="00EF6D91" w14:paraId="3604C96F" w14:textId="77777777" w:rsidTr="00876247">
        <w:trPr>
          <w:trHeight w:val="189"/>
        </w:trPr>
        <w:tc>
          <w:tcPr>
            <w:tcW w:w="1219" w:type="dxa"/>
          </w:tcPr>
          <w:p w14:paraId="7E2E2FC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B13</w:t>
            </w:r>
          </w:p>
        </w:tc>
        <w:tc>
          <w:tcPr>
            <w:tcW w:w="3437" w:type="dxa"/>
          </w:tcPr>
          <w:p w14:paraId="4CEBF6F4"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Inventory cost for battery swapping </w:t>
            </w:r>
          </w:p>
        </w:tc>
        <w:tc>
          <w:tcPr>
            <w:tcW w:w="1292" w:type="dxa"/>
          </w:tcPr>
          <w:p w14:paraId="136DCCA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0.842</w:t>
            </w:r>
          </w:p>
        </w:tc>
        <w:tc>
          <w:tcPr>
            <w:tcW w:w="1179" w:type="dxa"/>
          </w:tcPr>
          <w:p w14:paraId="7651E11C"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3.16</w:t>
            </w:r>
          </w:p>
        </w:tc>
        <w:tc>
          <w:tcPr>
            <w:tcW w:w="635" w:type="dxa"/>
          </w:tcPr>
          <w:p w14:paraId="3E35EE53"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1.11</w:t>
            </w:r>
          </w:p>
        </w:tc>
      </w:tr>
      <w:tr w:rsidR="00CA6488" w:rsidRPr="00EF6D91" w14:paraId="0CC10BB8" w14:textId="77777777" w:rsidTr="00876247">
        <w:trPr>
          <w:trHeight w:val="179"/>
        </w:trPr>
        <w:tc>
          <w:tcPr>
            <w:tcW w:w="1219" w:type="dxa"/>
          </w:tcPr>
          <w:p w14:paraId="70B074A6"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B14</w:t>
            </w:r>
          </w:p>
        </w:tc>
        <w:tc>
          <w:tcPr>
            <w:tcW w:w="3437" w:type="dxa"/>
          </w:tcPr>
          <w:p w14:paraId="3C77EF87"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High initial purchase cost </w:t>
            </w:r>
          </w:p>
        </w:tc>
        <w:tc>
          <w:tcPr>
            <w:tcW w:w="1292" w:type="dxa"/>
          </w:tcPr>
          <w:p w14:paraId="602CE52F"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0.849</w:t>
            </w:r>
          </w:p>
        </w:tc>
        <w:tc>
          <w:tcPr>
            <w:tcW w:w="1179" w:type="dxa"/>
          </w:tcPr>
          <w:p w14:paraId="35611F6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3.80</w:t>
            </w:r>
          </w:p>
        </w:tc>
        <w:tc>
          <w:tcPr>
            <w:tcW w:w="635" w:type="dxa"/>
          </w:tcPr>
          <w:p w14:paraId="69FF9341"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1.11</w:t>
            </w:r>
          </w:p>
        </w:tc>
      </w:tr>
      <w:tr w:rsidR="00CA6488" w:rsidRPr="00EF6D91" w14:paraId="7506FCE9" w14:textId="77777777" w:rsidTr="00876247">
        <w:trPr>
          <w:trHeight w:val="189"/>
        </w:trPr>
        <w:tc>
          <w:tcPr>
            <w:tcW w:w="1219" w:type="dxa"/>
          </w:tcPr>
          <w:p w14:paraId="64EB42E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B15</w:t>
            </w:r>
          </w:p>
        </w:tc>
        <w:tc>
          <w:tcPr>
            <w:tcW w:w="3437" w:type="dxa"/>
          </w:tcPr>
          <w:p w14:paraId="3073309A"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Maintenance cost </w:t>
            </w:r>
          </w:p>
        </w:tc>
        <w:tc>
          <w:tcPr>
            <w:tcW w:w="1292" w:type="dxa"/>
          </w:tcPr>
          <w:p w14:paraId="4E1C47C1"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0.842</w:t>
            </w:r>
          </w:p>
        </w:tc>
        <w:tc>
          <w:tcPr>
            <w:tcW w:w="1179" w:type="dxa"/>
          </w:tcPr>
          <w:p w14:paraId="2DF99FB7"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3.30</w:t>
            </w:r>
          </w:p>
        </w:tc>
        <w:tc>
          <w:tcPr>
            <w:tcW w:w="635" w:type="dxa"/>
          </w:tcPr>
          <w:p w14:paraId="5C70F8D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1.24</w:t>
            </w:r>
          </w:p>
        </w:tc>
      </w:tr>
      <w:tr w:rsidR="00CA6488" w:rsidRPr="00EF6D91" w14:paraId="213E7B6C" w14:textId="77777777" w:rsidTr="00876247">
        <w:trPr>
          <w:trHeight w:val="179"/>
        </w:trPr>
        <w:tc>
          <w:tcPr>
            <w:tcW w:w="1219" w:type="dxa"/>
          </w:tcPr>
          <w:p w14:paraId="28216850"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B16</w:t>
            </w:r>
          </w:p>
        </w:tc>
        <w:tc>
          <w:tcPr>
            <w:tcW w:w="3437" w:type="dxa"/>
          </w:tcPr>
          <w:p w14:paraId="24AB8DAC"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Total Cost of Ownership </w:t>
            </w:r>
          </w:p>
        </w:tc>
        <w:tc>
          <w:tcPr>
            <w:tcW w:w="1292" w:type="dxa"/>
          </w:tcPr>
          <w:p w14:paraId="6466B355"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0.842</w:t>
            </w:r>
          </w:p>
        </w:tc>
        <w:tc>
          <w:tcPr>
            <w:tcW w:w="1179" w:type="dxa"/>
          </w:tcPr>
          <w:p w14:paraId="52FAB86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3.70</w:t>
            </w:r>
          </w:p>
        </w:tc>
        <w:tc>
          <w:tcPr>
            <w:tcW w:w="635" w:type="dxa"/>
          </w:tcPr>
          <w:p w14:paraId="7780BF79"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1.11</w:t>
            </w:r>
          </w:p>
        </w:tc>
      </w:tr>
      <w:tr w:rsidR="00CA6488" w:rsidRPr="00EF6D91" w14:paraId="59490813" w14:textId="77777777" w:rsidTr="00876247">
        <w:trPr>
          <w:trHeight w:val="189"/>
        </w:trPr>
        <w:tc>
          <w:tcPr>
            <w:tcW w:w="1219" w:type="dxa"/>
          </w:tcPr>
          <w:p w14:paraId="75119873"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B17</w:t>
            </w:r>
          </w:p>
        </w:tc>
        <w:tc>
          <w:tcPr>
            <w:tcW w:w="3437" w:type="dxa"/>
          </w:tcPr>
          <w:p w14:paraId="3F127926"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Socio-technical barriers </w:t>
            </w:r>
          </w:p>
        </w:tc>
        <w:tc>
          <w:tcPr>
            <w:tcW w:w="1292" w:type="dxa"/>
          </w:tcPr>
          <w:p w14:paraId="42BE8CEF"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0.850</w:t>
            </w:r>
          </w:p>
        </w:tc>
        <w:tc>
          <w:tcPr>
            <w:tcW w:w="1179" w:type="dxa"/>
          </w:tcPr>
          <w:p w14:paraId="2331766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3.01</w:t>
            </w:r>
          </w:p>
        </w:tc>
        <w:tc>
          <w:tcPr>
            <w:tcW w:w="635" w:type="dxa"/>
          </w:tcPr>
          <w:p w14:paraId="3B98357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1.09</w:t>
            </w:r>
          </w:p>
        </w:tc>
      </w:tr>
      <w:tr w:rsidR="00CA6488" w:rsidRPr="00EF6D91" w14:paraId="1A2B1B49" w14:textId="77777777" w:rsidTr="00876247">
        <w:trPr>
          <w:trHeight w:val="179"/>
        </w:trPr>
        <w:tc>
          <w:tcPr>
            <w:tcW w:w="1219" w:type="dxa"/>
          </w:tcPr>
          <w:p w14:paraId="61C7B0E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B18</w:t>
            </w:r>
          </w:p>
        </w:tc>
        <w:tc>
          <w:tcPr>
            <w:tcW w:w="3437" w:type="dxa"/>
          </w:tcPr>
          <w:p w14:paraId="44DB166A"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Lack of trust in environmental benefits </w:t>
            </w:r>
          </w:p>
        </w:tc>
        <w:tc>
          <w:tcPr>
            <w:tcW w:w="1292" w:type="dxa"/>
          </w:tcPr>
          <w:p w14:paraId="23F7C1B1"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0.850</w:t>
            </w:r>
          </w:p>
        </w:tc>
        <w:tc>
          <w:tcPr>
            <w:tcW w:w="1179" w:type="dxa"/>
          </w:tcPr>
          <w:p w14:paraId="72CE6D5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2.90</w:t>
            </w:r>
          </w:p>
        </w:tc>
        <w:tc>
          <w:tcPr>
            <w:tcW w:w="635" w:type="dxa"/>
          </w:tcPr>
          <w:p w14:paraId="74451B09"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1.12</w:t>
            </w:r>
          </w:p>
        </w:tc>
      </w:tr>
      <w:tr w:rsidR="00CA6488" w:rsidRPr="00EF6D91" w14:paraId="265C705F" w14:textId="77777777" w:rsidTr="00876247">
        <w:trPr>
          <w:trHeight w:val="179"/>
        </w:trPr>
        <w:tc>
          <w:tcPr>
            <w:tcW w:w="1219" w:type="dxa"/>
          </w:tcPr>
          <w:p w14:paraId="02C2927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B19</w:t>
            </w:r>
          </w:p>
        </w:tc>
        <w:tc>
          <w:tcPr>
            <w:tcW w:w="3437" w:type="dxa"/>
          </w:tcPr>
          <w:p w14:paraId="7D79BBFD"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Uncertainty Over Resale Value </w:t>
            </w:r>
          </w:p>
        </w:tc>
        <w:tc>
          <w:tcPr>
            <w:tcW w:w="1292" w:type="dxa"/>
          </w:tcPr>
          <w:p w14:paraId="422DD42B"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0.842</w:t>
            </w:r>
          </w:p>
        </w:tc>
        <w:tc>
          <w:tcPr>
            <w:tcW w:w="1179" w:type="dxa"/>
          </w:tcPr>
          <w:p w14:paraId="73315EB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3.17</w:t>
            </w:r>
          </w:p>
        </w:tc>
        <w:tc>
          <w:tcPr>
            <w:tcW w:w="635" w:type="dxa"/>
          </w:tcPr>
          <w:p w14:paraId="480C9928"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1.20</w:t>
            </w:r>
          </w:p>
        </w:tc>
      </w:tr>
      <w:tr w:rsidR="00CA6488" w:rsidRPr="00EF6D91" w14:paraId="454FECDA" w14:textId="77777777" w:rsidTr="00876247">
        <w:trPr>
          <w:trHeight w:val="189"/>
        </w:trPr>
        <w:tc>
          <w:tcPr>
            <w:tcW w:w="1219" w:type="dxa"/>
          </w:tcPr>
          <w:p w14:paraId="434FA203"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B20</w:t>
            </w:r>
          </w:p>
        </w:tc>
        <w:tc>
          <w:tcPr>
            <w:tcW w:w="3437" w:type="dxa"/>
          </w:tcPr>
          <w:p w14:paraId="61071B17"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variety of models </w:t>
            </w:r>
          </w:p>
        </w:tc>
        <w:tc>
          <w:tcPr>
            <w:tcW w:w="1292" w:type="dxa"/>
          </w:tcPr>
          <w:p w14:paraId="68A71E90"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0.852</w:t>
            </w:r>
          </w:p>
        </w:tc>
        <w:tc>
          <w:tcPr>
            <w:tcW w:w="1179" w:type="dxa"/>
          </w:tcPr>
          <w:p w14:paraId="6E4C7904"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2.98</w:t>
            </w:r>
          </w:p>
        </w:tc>
        <w:tc>
          <w:tcPr>
            <w:tcW w:w="635" w:type="dxa"/>
          </w:tcPr>
          <w:p w14:paraId="06CB6E37"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1.12</w:t>
            </w:r>
          </w:p>
        </w:tc>
      </w:tr>
      <w:tr w:rsidR="00CA6488" w:rsidRPr="00EF6D91" w14:paraId="764EBDCA" w14:textId="77777777" w:rsidTr="00876247">
        <w:trPr>
          <w:trHeight w:val="179"/>
        </w:trPr>
        <w:tc>
          <w:tcPr>
            <w:tcW w:w="1219" w:type="dxa"/>
          </w:tcPr>
          <w:p w14:paraId="263E3BDE"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B21</w:t>
            </w:r>
          </w:p>
        </w:tc>
        <w:tc>
          <w:tcPr>
            <w:tcW w:w="3437" w:type="dxa"/>
          </w:tcPr>
          <w:p w14:paraId="3C8B70DE" w14:textId="77777777" w:rsidR="00CA6488" w:rsidRPr="00EF6D91" w:rsidRDefault="00CA6488" w:rsidP="004F22C5">
            <w:pPr>
              <w:rPr>
                <w:rFonts w:ascii="Times New Roman" w:hAnsi="Times New Roman" w:cs="Times New Roman"/>
                <w:sz w:val="16"/>
                <w:szCs w:val="16"/>
                <w:lang w:val="en-IN"/>
              </w:rPr>
            </w:pPr>
            <w:r w:rsidRPr="00EF6D91">
              <w:rPr>
                <w:rFonts w:ascii="Times New Roman" w:hAnsi="Times New Roman" w:cs="Times New Roman"/>
                <w:sz w:val="16"/>
                <w:szCs w:val="16"/>
              </w:rPr>
              <w:t xml:space="preserve">Policy and Regulatory obstacles </w:t>
            </w:r>
          </w:p>
        </w:tc>
        <w:tc>
          <w:tcPr>
            <w:tcW w:w="1292" w:type="dxa"/>
          </w:tcPr>
          <w:p w14:paraId="4C75B77C"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0.846</w:t>
            </w:r>
          </w:p>
        </w:tc>
        <w:tc>
          <w:tcPr>
            <w:tcW w:w="1179" w:type="dxa"/>
          </w:tcPr>
          <w:p w14:paraId="5B0CEAC9"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3.32</w:t>
            </w:r>
          </w:p>
        </w:tc>
        <w:tc>
          <w:tcPr>
            <w:tcW w:w="635" w:type="dxa"/>
          </w:tcPr>
          <w:p w14:paraId="1997F996" w14:textId="77777777" w:rsidR="00CA6488" w:rsidRPr="00EF6D91" w:rsidRDefault="00CA6488" w:rsidP="004F22C5">
            <w:pPr>
              <w:jc w:val="center"/>
              <w:rPr>
                <w:rFonts w:ascii="Times New Roman" w:hAnsi="Times New Roman" w:cs="Times New Roman"/>
                <w:sz w:val="16"/>
                <w:szCs w:val="16"/>
                <w:lang w:val="en-IN"/>
              </w:rPr>
            </w:pPr>
            <w:r w:rsidRPr="00EF6D91">
              <w:rPr>
                <w:rFonts w:ascii="Times New Roman" w:hAnsi="Times New Roman" w:cs="Times New Roman"/>
                <w:sz w:val="16"/>
                <w:szCs w:val="16"/>
              </w:rPr>
              <w:t>1.23</w:t>
            </w:r>
          </w:p>
        </w:tc>
      </w:tr>
    </w:tbl>
    <w:p w14:paraId="45D3E778" w14:textId="77777777" w:rsidR="00CA6488" w:rsidRPr="00EF6D91" w:rsidRDefault="00CA6488" w:rsidP="00CA6488">
      <w:pPr>
        <w:jc w:val="both"/>
        <w:rPr>
          <w:rFonts w:ascii="Times New Roman" w:hAnsi="Times New Roman" w:cs="Times New Roman"/>
          <w:i/>
          <w:iCs/>
          <w:color w:val="000000" w:themeColor="text1"/>
          <w:sz w:val="24"/>
          <w:szCs w:val="24"/>
        </w:rPr>
      </w:pPr>
    </w:p>
    <w:p w14:paraId="13B1448E" w14:textId="75745DF4" w:rsidR="00DC32F4" w:rsidRPr="00EF6D91" w:rsidRDefault="00C32397" w:rsidP="00D82119">
      <w:pPr>
        <w:jc w:val="both"/>
        <w:rPr>
          <w:rFonts w:ascii="Times New Roman" w:hAnsi="Times New Roman" w:cs="Times New Roman"/>
          <w:color w:val="000000" w:themeColor="text1"/>
          <w:sz w:val="24"/>
          <w:szCs w:val="24"/>
        </w:rPr>
      </w:pPr>
      <w:bookmarkStart w:id="8" w:name="_Hlk164634577"/>
      <w:r w:rsidRPr="00EF6D91">
        <w:rPr>
          <w:rFonts w:ascii="Times New Roman" w:hAnsi="Times New Roman" w:cs="Times New Roman"/>
          <w:color w:val="000000" w:themeColor="text1"/>
          <w:sz w:val="24"/>
          <w:szCs w:val="24"/>
        </w:rPr>
        <w:t xml:space="preserve">A specialized panel comprising eight experts from both academic and industrial sectors conducted a pilot test to confirm face validity. </w:t>
      </w:r>
      <w:r w:rsidR="00D82119" w:rsidRPr="00EF6D91">
        <w:rPr>
          <w:rFonts w:ascii="Times New Roman" w:hAnsi="Times New Roman" w:cs="Times New Roman"/>
          <w:color w:val="000000" w:themeColor="text1"/>
          <w:sz w:val="24"/>
          <w:szCs w:val="24"/>
        </w:rPr>
        <w:t xml:space="preserve">The feedback led to minor revisions, overall affirming the survey's appropriateness. </w:t>
      </w:r>
      <w:r w:rsidR="005E5B8D" w:rsidRPr="00EF6D91">
        <w:rPr>
          <w:rFonts w:ascii="Times New Roman" w:hAnsi="Times New Roman" w:cs="Times New Roman"/>
          <w:color w:val="000000" w:themeColor="text1"/>
          <w:sz w:val="24"/>
          <w:szCs w:val="24"/>
        </w:rPr>
        <w:t>The research team assessed divergent validity by applying the Pearson Correlation Coefficient to the rated barriers</w:t>
      </w:r>
      <w:r w:rsidR="0057796D">
        <w:rPr>
          <w:rFonts w:ascii="Times New Roman" w:hAnsi="Times New Roman" w:cs="Times New Roman"/>
          <w:color w:val="000000" w:themeColor="text1"/>
          <w:sz w:val="24"/>
          <w:szCs w:val="24"/>
        </w:rPr>
        <w:t xml:space="preserve">, </w:t>
      </w:r>
      <w:r w:rsidR="005E5B8D" w:rsidRPr="00EF6D91">
        <w:rPr>
          <w:rFonts w:ascii="Times New Roman" w:hAnsi="Times New Roman" w:cs="Times New Roman"/>
          <w:color w:val="000000" w:themeColor="text1"/>
          <w:sz w:val="24"/>
          <w:szCs w:val="24"/>
        </w:rPr>
        <w:t xml:space="preserve">see Table 4. </w:t>
      </w:r>
      <w:r w:rsidR="00D82119" w:rsidRPr="00EF6D91">
        <w:rPr>
          <w:rFonts w:ascii="Times New Roman" w:hAnsi="Times New Roman" w:cs="Times New Roman"/>
          <w:color w:val="000000" w:themeColor="text1"/>
          <w:sz w:val="24"/>
          <w:szCs w:val="24"/>
        </w:rPr>
        <w:t xml:space="preserve">Observed variables exhibited weak to moderate correlations, all falling beneath an absolute value of 0.6, </w:t>
      </w:r>
      <w:r w:rsidR="00D82119" w:rsidRPr="00EF6D91">
        <w:rPr>
          <w:rFonts w:ascii="Times New Roman" w:hAnsi="Times New Roman" w:cs="Times New Roman"/>
          <w:color w:val="000000" w:themeColor="text1"/>
          <w:sz w:val="24"/>
          <w:szCs w:val="24"/>
        </w:rPr>
        <w:lastRenderedPageBreak/>
        <w:t xml:space="preserve">suggesting distinct criteria for </w:t>
      </w:r>
      <w:r w:rsidRPr="00EF6D91">
        <w:rPr>
          <w:rFonts w:ascii="Times New Roman" w:hAnsi="Times New Roman" w:cs="Times New Roman"/>
          <w:color w:val="000000" w:themeColor="text1"/>
          <w:sz w:val="24"/>
          <w:szCs w:val="24"/>
        </w:rPr>
        <w:t>measuring</w:t>
      </w:r>
      <w:r w:rsidR="00D82119" w:rsidRPr="00EF6D91">
        <w:rPr>
          <w:rFonts w:ascii="Times New Roman" w:hAnsi="Times New Roman" w:cs="Times New Roman"/>
          <w:color w:val="000000" w:themeColor="text1"/>
          <w:sz w:val="24"/>
          <w:szCs w:val="24"/>
        </w:rPr>
        <w:t xml:space="preserve"> each barrier </w:t>
      </w:r>
      <w:r w:rsidR="00DC32F4" w:rsidRPr="00EF6D91">
        <w:rPr>
          <w:rFonts w:ascii="Times New Roman" w:hAnsi="Times New Roman" w:cs="Times New Roman"/>
          <w:color w:val="000000" w:themeColor="text1"/>
          <w:sz w:val="24"/>
          <w:szCs w:val="24"/>
        </w:rPr>
        <w:fldChar w:fldCharType="begin"/>
      </w:r>
      <w:r w:rsidR="00E9108F" w:rsidRPr="00EF6D91">
        <w:rPr>
          <w:rFonts w:ascii="Times New Roman" w:hAnsi="Times New Roman" w:cs="Times New Roman"/>
          <w:color w:val="000000" w:themeColor="text1"/>
          <w:sz w:val="24"/>
          <w:szCs w:val="24"/>
        </w:rPr>
        <w:instrText xml:space="preserve"> ADDIN ZOTERO_ITEM CSL_CITATION {"citationID":"Jzt32uEX","properties":{"formattedCitation":"(Akoglu, 2018; Chien {\\i{}et al.}, 2011)","plainCitation":"(Akoglu, 2018; Chien et al., 2011)","noteIndex":0},"citationItems":[{"id":31712,"uris":["http://zotero.org/users/10594755/items/2PGFTC2F"],"itemData":{"id":31712,"type":"article-journal","container-title":"Turkish Journal of Emergency Medicine","DOI":"10.1016/j.tjem.2018.08.001","ISSN":"24522473","issue":"3","journalAbbreviation":"Turkish Journal of Emergency Medicine","language":"en","page":"91-93","source":"DOI.org (Crossref)","title":"User's guide to correlation coefficients","volume":"18","author":[{"family":"Akoglu","given":"Haldun"}],"issued":{"date-parts":[["2018",9]]}}},{"id":31713,"uris":["http://zotero.org/users/10594755/items/9YVGLAM4"],"itemData":{"id":31713,"type":"article-journal","abstract":"Objective/Background\nThis study sought to investigate the convergent and discriminant validity of a new naturalistic observational Assessment of Children's Hand Skills (ACHS) in children with and without disabilities.\n\n\nMethods\nThe participants were 134 children aged 2–-12 years in Taiwan, and 70 had known disabilities. Outcome measures included the ACHS, one daily living skills questionnaire, and three instruments related to hand skills. Discriminant validity was assessed by comparing the ACHS scores between children with and without disabilities. Convergent validity was examined using a correlation analysis between the ACHS and daily living and hand skills measures.\n\n\nResults\nChildren with disabilities had significantly lower ACHS scores than typically developing children. The ACHS correlated moderately to highly with the daily living skills questionnaire and demonstrated a varied range of correlations with the three related instruments.\n\n\nConclusion\nPreliminary evidence for the convergent and discriminant validity of the ACHS was established. The findings indicate that the ACHS can be used with confidence in measuring and differentiating children's hand skill performance in real-life contexts.","container-title":"Hong Kong Journal of Occupational Therapy","DOI":"10.1016/j.hkjot.2011.10.003","ISSN":"1569-1861, 1876-4398","issue":"2","journalAbbreviation":"Hong Kong Journal of Occupational Therapy","language":"en","page":"64-71","source":"DOI.org (Crossref)","title":"Convergent and discriminant validity of a naturalistic observational assessment of children's hand skills","volume":"21","author":[{"family":"Chien","given":"Chi-Wen"},{"family":"Brown","given":"Ted"},{"family":"McDonald","given":"Rachael"},{"family":"Rodger","given":"Sylvia"}],"issued":{"date-parts":[["2011",12]]}}}],"schema":"https://github.com/citation-style-language/schema/raw/master/csl-citation.json"} </w:instrText>
      </w:r>
      <w:r w:rsidR="00DC32F4" w:rsidRPr="00EF6D91">
        <w:rPr>
          <w:rFonts w:ascii="Times New Roman" w:hAnsi="Times New Roman" w:cs="Times New Roman"/>
          <w:color w:val="000000" w:themeColor="text1"/>
          <w:sz w:val="24"/>
          <w:szCs w:val="24"/>
        </w:rPr>
        <w:fldChar w:fldCharType="separate"/>
      </w:r>
      <w:r w:rsidR="00E9108F" w:rsidRPr="00EF6D91">
        <w:rPr>
          <w:rFonts w:ascii="Times New Roman" w:hAnsi="Times New Roman" w:cs="Times New Roman"/>
          <w:kern w:val="0"/>
          <w:sz w:val="24"/>
        </w:rPr>
        <w:t>(</w:t>
      </w:r>
      <w:proofErr w:type="spellStart"/>
      <w:r w:rsidR="00E9108F" w:rsidRPr="00EF6D91">
        <w:rPr>
          <w:rFonts w:ascii="Times New Roman" w:hAnsi="Times New Roman" w:cs="Times New Roman"/>
          <w:kern w:val="0"/>
          <w:sz w:val="24"/>
        </w:rPr>
        <w:t>Akoglu</w:t>
      </w:r>
      <w:proofErr w:type="spellEnd"/>
      <w:r w:rsidR="00E9108F" w:rsidRPr="00EF6D91">
        <w:rPr>
          <w:rFonts w:ascii="Times New Roman" w:hAnsi="Times New Roman" w:cs="Times New Roman"/>
          <w:kern w:val="0"/>
          <w:sz w:val="24"/>
        </w:rPr>
        <w:t>, 2018)</w:t>
      </w:r>
      <w:r w:rsidR="00DC32F4" w:rsidRPr="00EF6D91">
        <w:rPr>
          <w:rFonts w:ascii="Times New Roman" w:hAnsi="Times New Roman" w:cs="Times New Roman"/>
          <w:color w:val="000000" w:themeColor="text1"/>
          <w:sz w:val="24"/>
          <w:szCs w:val="24"/>
        </w:rPr>
        <w:fldChar w:fldCharType="end"/>
      </w:r>
      <w:r w:rsidR="00DC32F4" w:rsidRPr="00EF6D91">
        <w:rPr>
          <w:rFonts w:ascii="Times New Roman" w:hAnsi="Times New Roman" w:cs="Times New Roman"/>
          <w:color w:val="000000" w:themeColor="text1"/>
          <w:sz w:val="24"/>
          <w:szCs w:val="24"/>
        </w:rPr>
        <w:t>.</w:t>
      </w:r>
      <w:r w:rsidR="00EC0DD3" w:rsidRPr="00EF6D91">
        <w:rPr>
          <w:rFonts w:ascii="Times New Roman" w:hAnsi="Times New Roman" w:cs="Times New Roman"/>
          <w:color w:val="000000" w:themeColor="text1"/>
          <w:sz w:val="24"/>
          <w:szCs w:val="24"/>
        </w:rPr>
        <w:t xml:space="preserve">  Additionally, </w:t>
      </w:r>
      <w:r w:rsidR="00D82119" w:rsidRPr="00EF6D91">
        <w:rPr>
          <w:rFonts w:ascii="Times New Roman" w:hAnsi="Times New Roman" w:cs="Times New Roman"/>
          <w:color w:val="000000" w:themeColor="text1"/>
          <w:sz w:val="24"/>
          <w:szCs w:val="24"/>
        </w:rPr>
        <w:t xml:space="preserve">Table </w:t>
      </w:r>
      <w:r w:rsidR="00EC0DD3" w:rsidRPr="00EF6D91">
        <w:rPr>
          <w:rFonts w:ascii="Times New Roman" w:hAnsi="Times New Roman" w:cs="Times New Roman"/>
          <w:color w:val="000000" w:themeColor="text1"/>
          <w:sz w:val="24"/>
          <w:szCs w:val="24"/>
        </w:rPr>
        <w:t>3</w:t>
      </w:r>
      <w:r w:rsidR="00D82119" w:rsidRPr="00EF6D91">
        <w:rPr>
          <w:rFonts w:ascii="Times New Roman" w:hAnsi="Times New Roman" w:cs="Times New Roman"/>
          <w:color w:val="000000" w:themeColor="text1"/>
          <w:sz w:val="24"/>
          <w:szCs w:val="24"/>
        </w:rPr>
        <w:t xml:space="preserve"> showcases the results of the descriptive analysis, where mean values exceeded the threshold of 2.5, underlining the significance of the barriers and thereby justifying their inclusion in the EFA </w:t>
      </w:r>
      <w:r w:rsidR="00DC32F4" w:rsidRPr="00EF6D91">
        <w:rPr>
          <w:rFonts w:ascii="Times New Roman" w:hAnsi="Times New Roman" w:cs="Times New Roman"/>
          <w:color w:val="000000" w:themeColor="text1"/>
          <w:sz w:val="24"/>
          <w:szCs w:val="24"/>
        </w:rPr>
        <w:fldChar w:fldCharType="begin"/>
      </w:r>
      <w:r w:rsidR="00DC32F4" w:rsidRPr="00EF6D91">
        <w:rPr>
          <w:rFonts w:ascii="Times New Roman" w:hAnsi="Times New Roman" w:cs="Times New Roman"/>
          <w:color w:val="000000" w:themeColor="text1"/>
          <w:sz w:val="24"/>
          <w:szCs w:val="24"/>
        </w:rPr>
        <w:instrText xml:space="preserve"> ADDIN ZOTERO_ITEM CSL_CITATION {"citationID":"BGLqncVX","properties":{"formattedCitation":"(Taber, 2018)","plainCitation":"(Taber, 2018)","noteIndex":0},"citationItems":[{"id":31710,"uris":["http://zotero.org/users/10594755/items/TQ7NFV33"],"itemData":{"id":31710,"type":"article-journal","container-title":"Research in Science Education","DOI":"10.1007/s11165-016-9602-2","ISSN":"0157-244X, 1573-1898","issue":"6","journalAbbreviation":"Res Sci Educ","language":"en","page":"1273-1296","source":"DOI.org (Crossref)","title":"The use of cronbach’s alpha when developing and reporting research instruments in science education","volume":"48","author":[{"family":"Taber","given":"Keith S."}],"issued":{"date-parts":[["2018",12]]}}}],"schema":"https://github.com/citation-style-language/schema/raw/master/csl-citation.json"} </w:instrText>
      </w:r>
      <w:r w:rsidR="00DC32F4" w:rsidRPr="00EF6D91">
        <w:rPr>
          <w:rFonts w:ascii="Times New Roman" w:hAnsi="Times New Roman" w:cs="Times New Roman"/>
          <w:color w:val="000000" w:themeColor="text1"/>
          <w:sz w:val="24"/>
          <w:szCs w:val="24"/>
        </w:rPr>
        <w:fldChar w:fldCharType="separate"/>
      </w:r>
      <w:r w:rsidR="00E9108F" w:rsidRPr="00EF6D91">
        <w:rPr>
          <w:rFonts w:ascii="Times New Roman" w:hAnsi="Times New Roman" w:cs="Times New Roman"/>
          <w:sz w:val="24"/>
        </w:rPr>
        <w:t>(Taber, 2018)</w:t>
      </w:r>
      <w:r w:rsidR="00DC32F4" w:rsidRPr="00EF6D91">
        <w:rPr>
          <w:rFonts w:ascii="Times New Roman" w:hAnsi="Times New Roman" w:cs="Times New Roman"/>
          <w:color w:val="000000" w:themeColor="text1"/>
          <w:sz w:val="24"/>
          <w:szCs w:val="24"/>
        </w:rPr>
        <w:fldChar w:fldCharType="end"/>
      </w:r>
      <w:r w:rsidR="00DC32F4" w:rsidRPr="00EF6D91">
        <w:rPr>
          <w:rFonts w:ascii="Times New Roman" w:hAnsi="Times New Roman" w:cs="Times New Roman"/>
          <w:color w:val="000000" w:themeColor="text1"/>
          <w:sz w:val="24"/>
          <w:szCs w:val="24"/>
        </w:rPr>
        <w:t>.</w:t>
      </w:r>
    </w:p>
    <w:bookmarkEnd w:id="8"/>
    <w:p w14:paraId="669F2DFB" w14:textId="776940E2" w:rsidR="00D10E02" w:rsidRPr="00EF6D91" w:rsidRDefault="00D10E02" w:rsidP="00AC21CE">
      <w:pPr>
        <w:jc w:val="both"/>
        <w:rPr>
          <w:rFonts w:ascii="Times New Roman" w:hAnsi="Times New Roman" w:cs="Times New Roman"/>
          <w:sz w:val="24"/>
          <w:szCs w:val="24"/>
          <w:lang w:val="en-IN"/>
        </w:rPr>
      </w:pPr>
      <w:r w:rsidRPr="00EF6D91">
        <w:rPr>
          <w:rFonts w:ascii="Times New Roman" w:hAnsi="Times New Roman" w:cs="Times New Roman"/>
          <w:sz w:val="24"/>
          <w:szCs w:val="24"/>
          <w:lang w:val="en-IN"/>
        </w:rPr>
        <w:t xml:space="preserve">Table </w:t>
      </w:r>
      <w:r w:rsidR="003B5D21" w:rsidRPr="00EF6D91">
        <w:rPr>
          <w:rFonts w:ascii="Times New Roman" w:hAnsi="Times New Roman" w:cs="Times New Roman"/>
          <w:sz w:val="24"/>
          <w:szCs w:val="24"/>
          <w:lang w:val="en-IN"/>
        </w:rPr>
        <w:t>4</w:t>
      </w:r>
      <w:r w:rsidRPr="00EF6D91">
        <w:rPr>
          <w:rFonts w:ascii="Times New Roman" w:hAnsi="Times New Roman" w:cs="Times New Roman"/>
          <w:sz w:val="24"/>
          <w:szCs w:val="24"/>
          <w:lang w:val="en-IN"/>
        </w:rPr>
        <w:t xml:space="preserve">. Correlation Matrix of the </w:t>
      </w:r>
      <w:r w:rsidRPr="00EF6D91">
        <w:rPr>
          <w:rFonts w:ascii="Times New Roman" w:hAnsi="Times New Roman" w:cs="Times New Roman"/>
          <w:sz w:val="24"/>
          <w:szCs w:val="24"/>
        </w:rPr>
        <w:t>barriers to EV adoption in LMD based on Pearson Correlation coefficients.</w:t>
      </w:r>
    </w:p>
    <w:tbl>
      <w:tblPr>
        <w:tblStyle w:val="TableGrid"/>
        <w:tblW w:w="0" w:type="auto"/>
        <w:tblLook w:val="04A0" w:firstRow="1" w:lastRow="0" w:firstColumn="1" w:lastColumn="0" w:noHBand="0" w:noVBand="1"/>
      </w:tblPr>
      <w:tblGrid>
        <w:gridCol w:w="406"/>
        <w:gridCol w:w="323"/>
        <w:gridCol w:w="378"/>
        <w:gridCol w:w="378"/>
        <w:gridCol w:w="377"/>
        <w:gridCol w:w="376"/>
        <w:gridCol w:w="376"/>
        <w:gridCol w:w="376"/>
        <w:gridCol w:w="408"/>
        <w:gridCol w:w="408"/>
        <w:gridCol w:w="408"/>
        <w:gridCol w:w="408"/>
        <w:gridCol w:w="408"/>
        <w:gridCol w:w="408"/>
        <w:gridCol w:w="408"/>
        <w:gridCol w:w="408"/>
        <w:gridCol w:w="408"/>
        <w:gridCol w:w="408"/>
        <w:gridCol w:w="408"/>
        <w:gridCol w:w="408"/>
        <w:gridCol w:w="408"/>
        <w:gridCol w:w="408"/>
      </w:tblGrid>
      <w:tr w:rsidR="003B5D21" w:rsidRPr="00EF6D91" w14:paraId="4BA6DDD2" w14:textId="77777777" w:rsidTr="003B5D21">
        <w:tc>
          <w:tcPr>
            <w:tcW w:w="406" w:type="dxa"/>
          </w:tcPr>
          <w:p w14:paraId="03B3E202" w14:textId="77777777" w:rsidR="003B5D21" w:rsidRPr="00EF6D91" w:rsidRDefault="003B5D21" w:rsidP="0086245C">
            <w:pPr>
              <w:rPr>
                <w:rFonts w:ascii="Times New Roman" w:hAnsi="Times New Roman" w:cs="Times New Roman"/>
                <w:sz w:val="9"/>
                <w:szCs w:val="9"/>
                <w:lang w:val="en-IN"/>
              </w:rPr>
            </w:pPr>
            <w:bookmarkStart w:id="9" w:name="_Hlk147570059"/>
          </w:p>
        </w:tc>
        <w:tc>
          <w:tcPr>
            <w:tcW w:w="323" w:type="dxa"/>
          </w:tcPr>
          <w:p w14:paraId="26F228D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 </w:t>
            </w:r>
          </w:p>
        </w:tc>
        <w:tc>
          <w:tcPr>
            <w:tcW w:w="378" w:type="dxa"/>
          </w:tcPr>
          <w:p w14:paraId="37B22C6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B2 </w:t>
            </w:r>
          </w:p>
        </w:tc>
        <w:tc>
          <w:tcPr>
            <w:tcW w:w="378" w:type="dxa"/>
          </w:tcPr>
          <w:p w14:paraId="495D762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B3 </w:t>
            </w:r>
          </w:p>
        </w:tc>
        <w:tc>
          <w:tcPr>
            <w:tcW w:w="377" w:type="dxa"/>
          </w:tcPr>
          <w:p w14:paraId="218AAC1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B4 </w:t>
            </w:r>
          </w:p>
        </w:tc>
        <w:tc>
          <w:tcPr>
            <w:tcW w:w="376" w:type="dxa"/>
          </w:tcPr>
          <w:p w14:paraId="5FF95DE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B5 </w:t>
            </w:r>
          </w:p>
        </w:tc>
        <w:tc>
          <w:tcPr>
            <w:tcW w:w="376" w:type="dxa"/>
          </w:tcPr>
          <w:p w14:paraId="7C94357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B6 </w:t>
            </w:r>
          </w:p>
        </w:tc>
        <w:tc>
          <w:tcPr>
            <w:tcW w:w="376" w:type="dxa"/>
          </w:tcPr>
          <w:p w14:paraId="5CD317A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B7 </w:t>
            </w:r>
          </w:p>
        </w:tc>
        <w:tc>
          <w:tcPr>
            <w:tcW w:w="408" w:type="dxa"/>
          </w:tcPr>
          <w:p w14:paraId="294029C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B8 </w:t>
            </w:r>
          </w:p>
        </w:tc>
        <w:tc>
          <w:tcPr>
            <w:tcW w:w="408" w:type="dxa"/>
          </w:tcPr>
          <w:p w14:paraId="1D8FA0A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B9 </w:t>
            </w:r>
          </w:p>
        </w:tc>
        <w:tc>
          <w:tcPr>
            <w:tcW w:w="408" w:type="dxa"/>
          </w:tcPr>
          <w:p w14:paraId="2A129C4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B10 </w:t>
            </w:r>
          </w:p>
        </w:tc>
        <w:tc>
          <w:tcPr>
            <w:tcW w:w="408" w:type="dxa"/>
          </w:tcPr>
          <w:p w14:paraId="270139F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B11 </w:t>
            </w:r>
          </w:p>
        </w:tc>
        <w:tc>
          <w:tcPr>
            <w:tcW w:w="408" w:type="dxa"/>
          </w:tcPr>
          <w:p w14:paraId="75187B3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B12 </w:t>
            </w:r>
          </w:p>
        </w:tc>
        <w:tc>
          <w:tcPr>
            <w:tcW w:w="408" w:type="dxa"/>
          </w:tcPr>
          <w:p w14:paraId="473C9ED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B13 </w:t>
            </w:r>
          </w:p>
        </w:tc>
        <w:tc>
          <w:tcPr>
            <w:tcW w:w="408" w:type="dxa"/>
          </w:tcPr>
          <w:p w14:paraId="7BA6634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B14 </w:t>
            </w:r>
          </w:p>
        </w:tc>
        <w:tc>
          <w:tcPr>
            <w:tcW w:w="408" w:type="dxa"/>
          </w:tcPr>
          <w:p w14:paraId="393AF44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B15 </w:t>
            </w:r>
          </w:p>
        </w:tc>
        <w:tc>
          <w:tcPr>
            <w:tcW w:w="408" w:type="dxa"/>
          </w:tcPr>
          <w:p w14:paraId="25BA3A3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B16 </w:t>
            </w:r>
          </w:p>
        </w:tc>
        <w:tc>
          <w:tcPr>
            <w:tcW w:w="408" w:type="dxa"/>
          </w:tcPr>
          <w:p w14:paraId="7457EB1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B17 </w:t>
            </w:r>
          </w:p>
        </w:tc>
        <w:tc>
          <w:tcPr>
            <w:tcW w:w="408" w:type="dxa"/>
          </w:tcPr>
          <w:p w14:paraId="6BE33B3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B18 </w:t>
            </w:r>
          </w:p>
        </w:tc>
        <w:tc>
          <w:tcPr>
            <w:tcW w:w="408" w:type="dxa"/>
          </w:tcPr>
          <w:p w14:paraId="0763365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B19 </w:t>
            </w:r>
          </w:p>
        </w:tc>
        <w:tc>
          <w:tcPr>
            <w:tcW w:w="408" w:type="dxa"/>
          </w:tcPr>
          <w:p w14:paraId="0428C2F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B20 </w:t>
            </w:r>
          </w:p>
        </w:tc>
        <w:tc>
          <w:tcPr>
            <w:tcW w:w="408" w:type="dxa"/>
          </w:tcPr>
          <w:p w14:paraId="2ACB130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b/>
                <w:bCs/>
                <w:sz w:val="9"/>
                <w:szCs w:val="9"/>
              </w:rPr>
              <w:t xml:space="preserve">B21 </w:t>
            </w:r>
          </w:p>
        </w:tc>
      </w:tr>
      <w:bookmarkEnd w:id="9"/>
      <w:tr w:rsidR="003B5D21" w:rsidRPr="00EF6D91" w14:paraId="3302326C" w14:textId="77777777" w:rsidTr="003B5D21">
        <w:tc>
          <w:tcPr>
            <w:tcW w:w="406" w:type="dxa"/>
          </w:tcPr>
          <w:p w14:paraId="5B98A40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 </w:t>
            </w:r>
          </w:p>
        </w:tc>
        <w:tc>
          <w:tcPr>
            <w:tcW w:w="323" w:type="dxa"/>
          </w:tcPr>
          <w:p w14:paraId="09DA234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1</w:t>
            </w:r>
          </w:p>
        </w:tc>
        <w:tc>
          <w:tcPr>
            <w:tcW w:w="378" w:type="dxa"/>
          </w:tcPr>
          <w:p w14:paraId="4A06536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0.53 </w:t>
            </w:r>
          </w:p>
        </w:tc>
        <w:tc>
          <w:tcPr>
            <w:tcW w:w="378" w:type="dxa"/>
          </w:tcPr>
          <w:p w14:paraId="6FB9588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0.41 </w:t>
            </w:r>
          </w:p>
        </w:tc>
        <w:tc>
          <w:tcPr>
            <w:tcW w:w="377" w:type="dxa"/>
          </w:tcPr>
          <w:p w14:paraId="3486E86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0.32 </w:t>
            </w:r>
          </w:p>
        </w:tc>
        <w:tc>
          <w:tcPr>
            <w:tcW w:w="376" w:type="dxa"/>
          </w:tcPr>
          <w:p w14:paraId="368F50E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c>
          <w:tcPr>
            <w:tcW w:w="376" w:type="dxa"/>
          </w:tcPr>
          <w:p w14:paraId="332057D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0.18 </w:t>
            </w:r>
          </w:p>
        </w:tc>
        <w:tc>
          <w:tcPr>
            <w:tcW w:w="376" w:type="dxa"/>
          </w:tcPr>
          <w:p w14:paraId="7AD6680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0.31 </w:t>
            </w:r>
          </w:p>
        </w:tc>
        <w:tc>
          <w:tcPr>
            <w:tcW w:w="408" w:type="dxa"/>
          </w:tcPr>
          <w:p w14:paraId="0E61089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3B92759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0.09 </w:t>
            </w:r>
          </w:p>
        </w:tc>
        <w:tc>
          <w:tcPr>
            <w:tcW w:w="408" w:type="dxa"/>
          </w:tcPr>
          <w:p w14:paraId="7CB7318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0.10 </w:t>
            </w:r>
          </w:p>
        </w:tc>
        <w:tc>
          <w:tcPr>
            <w:tcW w:w="408" w:type="dxa"/>
          </w:tcPr>
          <w:p w14:paraId="1AF3B69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0.12 </w:t>
            </w:r>
          </w:p>
        </w:tc>
        <w:tc>
          <w:tcPr>
            <w:tcW w:w="408" w:type="dxa"/>
          </w:tcPr>
          <w:p w14:paraId="12AFF79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03BA8C6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26A889B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2AB7B32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645FD2A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4B2220F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7756C58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0.09 </w:t>
            </w:r>
          </w:p>
        </w:tc>
        <w:tc>
          <w:tcPr>
            <w:tcW w:w="408" w:type="dxa"/>
          </w:tcPr>
          <w:p w14:paraId="56E5595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37A10B3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0.01 </w:t>
            </w:r>
          </w:p>
        </w:tc>
        <w:tc>
          <w:tcPr>
            <w:tcW w:w="408" w:type="dxa"/>
          </w:tcPr>
          <w:p w14:paraId="38370D3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r>
      <w:tr w:rsidR="003B5D21" w:rsidRPr="00EF6D91" w14:paraId="3CE98D01" w14:textId="77777777" w:rsidTr="003B5D21">
        <w:tc>
          <w:tcPr>
            <w:tcW w:w="406" w:type="dxa"/>
          </w:tcPr>
          <w:p w14:paraId="76552B5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B2 </w:t>
            </w:r>
          </w:p>
        </w:tc>
        <w:tc>
          <w:tcPr>
            <w:tcW w:w="323" w:type="dxa"/>
          </w:tcPr>
          <w:p w14:paraId="3C6D1EE5" w14:textId="77777777" w:rsidR="003B5D21" w:rsidRPr="00EF6D91" w:rsidRDefault="003B5D21" w:rsidP="0086245C">
            <w:pPr>
              <w:rPr>
                <w:rFonts w:ascii="Times New Roman" w:hAnsi="Times New Roman" w:cs="Times New Roman"/>
                <w:sz w:val="9"/>
                <w:szCs w:val="9"/>
                <w:lang w:val="en-IN"/>
              </w:rPr>
            </w:pPr>
          </w:p>
        </w:tc>
        <w:tc>
          <w:tcPr>
            <w:tcW w:w="378" w:type="dxa"/>
          </w:tcPr>
          <w:p w14:paraId="5EB5ADF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1 </w:t>
            </w:r>
          </w:p>
        </w:tc>
        <w:tc>
          <w:tcPr>
            <w:tcW w:w="378" w:type="dxa"/>
          </w:tcPr>
          <w:p w14:paraId="7ADF691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0.40 </w:t>
            </w:r>
          </w:p>
        </w:tc>
        <w:tc>
          <w:tcPr>
            <w:tcW w:w="377" w:type="dxa"/>
          </w:tcPr>
          <w:p w14:paraId="67CF966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0.31 </w:t>
            </w:r>
          </w:p>
        </w:tc>
        <w:tc>
          <w:tcPr>
            <w:tcW w:w="376" w:type="dxa"/>
          </w:tcPr>
          <w:p w14:paraId="21CAFC9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0.24 </w:t>
            </w:r>
          </w:p>
        </w:tc>
        <w:tc>
          <w:tcPr>
            <w:tcW w:w="376" w:type="dxa"/>
          </w:tcPr>
          <w:p w14:paraId="0347EAC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376" w:type="dxa"/>
          </w:tcPr>
          <w:p w14:paraId="7907365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24BCF4E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000C73E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c>
          <w:tcPr>
            <w:tcW w:w="408" w:type="dxa"/>
          </w:tcPr>
          <w:p w14:paraId="78C61B0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0.06 </w:t>
            </w:r>
          </w:p>
        </w:tc>
        <w:tc>
          <w:tcPr>
            <w:tcW w:w="408" w:type="dxa"/>
          </w:tcPr>
          <w:p w14:paraId="6309019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0.07 </w:t>
            </w:r>
          </w:p>
        </w:tc>
        <w:tc>
          <w:tcPr>
            <w:tcW w:w="408" w:type="dxa"/>
          </w:tcPr>
          <w:p w14:paraId="6B8FD28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0.15 </w:t>
            </w:r>
          </w:p>
        </w:tc>
        <w:tc>
          <w:tcPr>
            <w:tcW w:w="408" w:type="dxa"/>
          </w:tcPr>
          <w:p w14:paraId="078D685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0.09 </w:t>
            </w:r>
          </w:p>
        </w:tc>
        <w:tc>
          <w:tcPr>
            <w:tcW w:w="408" w:type="dxa"/>
          </w:tcPr>
          <w:p w14:paraId="56E92BB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-0.01 </w:t>
            </w:r>
          </w:p>
        </w:tc>
        <w:tc>
          <w:tcPr>
            <w:tcW w:w="408" w:type="dxa"/>
          </w:tcPr>
          <w:p w14:paraId="4A3F28A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0.18 </w:t>
            </w:r>
          </w:p>
        </w:tc>
        <w:tc>
          <w:tcPr>
            <w:tcW w:w="408" w:type="dxa"/>
          </w:tcPr>
          <w:p w14:paraId="7408783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0.10 </w:t>
            </w:r>
          </w:p>
        </w:tc>
        <w:tc>
          <w:tcPr>
            <w:tcW w:w="408" w:type="dxa"/>
          </w:tcPr>
          <w:p w14:paraId="03F7FFF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0.00 </w:t>
            </w:r>
          </w:p>
        </w:tc>
        <w:tc>
          <w:tcPr>
            <w:tcW w:w="408" w:type="dxa"/>
          </w:tcPr>
          <w:p w14:paraId="5C236C7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5605D55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38D76EC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3BC2D81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r>
      <w:tr w:rsidR="003B5D21" w:rsidRPr="00EF6D91" w14:paraId="244CDEA2" w14:textId="77777777" w:rsidTr="003B5D21">
        <w:tc>
          <w:tcPr>
            <w:tcW w:w="406" w:type="dxa"/>
          </w:tcPr>
          <w:p w14:paraId="66D3293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B3 </w:t>
            </w:r>
          </w:p>
        </w:tc>
        <w:tc>
          <w:tcPr>
            <w:tcW w:w="323" w:type="dxa"/>
          </w:tcPr>
          <w:p w14:paraId="4DE20D1C" w14:textId="77777777" w:rsidR="003B5D21" w:rsidRPr="00EF6D91" w:rsidRDefault="003B5D21" w:rsidP="0086245C">
            <w:pPr>
              <w:rPr>
                <w:rFonts w:ascii="Times New Roman" w:hAnsi="Times New Roman" w:cs="Times New Roman"/>
                <w:sz w:val="9"/>
                <w:szCs w:val="9"/>
                <w:lang w:val="en-IN"/>
              </w:rPr>
            </w:pPr>
          </w:p>
        </w:tc>
        <w:tc>
          <w:tcPr>
            <w:tcW w:w="378" w:type="dxa"/>
          </w:tcPr>
          <w:p w14:paraId="345B3E6D" w14:textId="77777777" w:rsidR="003B5D21" w:rsidRPr="00EF6D91" w:rsidRDefault="003B5D21" w:rsidP="0086245C">
            <w:pPr>
              <w:rPr>
                <w:rFonts w:ascii="Times New Roman" w:hAnsi="Times New Roman" w:cs="Times New Roman"/>
                <w:sz w:val="9"/>
                <w:szCs w:val="9"/>
                <w:lang w:val="en-IN"/>
              </w:rPr>
            </w:pPr>
          </w:p>
        </w:tc>
        <w:tc>
          <w:tcPr>
            <w:tcW w:w="378" w:type="dxa"/>
          </w:tcPr>
          <w:p w14:paraId="2B76BCA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1 </w:t>
            </w:r>
          </w:p>
        </w:tc>
        <w:tc>
          <w:tcPr>
            <w:tcW w:w="377" w:type="dxa"/>
          </w:tcPr>
          <w:p w14:paraId="052F4EF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0.52 </w:t>
            </w:r>
          </w:p>
        </w:tc>
        <w:tc>
          <w:tcPr>
            <w:tcW w:w="376" w:type="dxa"/>
          </w:tcPr>
          <w:p w14:paraId="02F4675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0.32 </w:t>
            </w:r>
          </w:p>
        </w:tc>
        <w:tc>
          <w:tcPr>
            <w:tcW w:w="376" w:type="dxa"/>
          </w:tcPr>
          <w:p w14:paraId="752C5A4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376" w:type="dxa"/>
          </w:tcPr>
          <w:p w14:paraId="418F429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c>
          <w:tcPr>
            <w:tcW w:w="408" w:type="dxa"/>
          </w:tcPr>
          <w:p w14:paraId="2FF95BB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0.25 </w:t>
            </w:r>
          </w:p>
        </w:tc>
        <w:tc>
          <w:tcPr>
            <w:tcW w:w="408" w:type="dxa"/>
          </w:tcPr>
          <w:p w14:paraId="0C40475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18FC74A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0.02 </w:t>
            </w:r>
          </w:p>
        </w:tc>
        <w:tc>
          <w:tcPr>
            <w:tcW w:w="408" w:type="dxa"/>
          </w:tcPr>
          <w:p w14:paraId="2813BAB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17EE604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2EF0A2A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0.15 </w:t>
            </w:r>
          </w:p>
        </w:tc>
        <w:tc>
          <w:tcPr>
            <w:tcW w:w="408" w:type="dxa"/>
          </w:tcPr>
          <w:p w14:paraId="609C4A6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0.18 </w:t>
            </w:r>
          </w:p>
        </w:tc>
        <w:tc>
          <w:tcPr>
            <w:tcW w:w="408" w:type="dxa"/>
          </w:tcPr>
          <w:p w14:paraId="66DFA05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2C182A8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3623C0C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14A850D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0.12 </w:t>
            </w:r>
          </w:p>
        </w:tc>
        <w:tc>
          <w:tcPr>
            <w:tcW w:w="408" w:type="dxa"/>
          </w:tcPr>
          <w:p w14:paraId="18311B5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0.12 </w:t>
            </w:r>
          </w:p>
        </w:tc>
        <w:tc>
          <w:tcPr>
            <w:tcW w:w="408" w:type="dxa"/>
          </w:tcPr>
          <w:p w14:paraId="2EF1F7E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-0.02 </w:t>
            </w:r>
          </w:p>
        </w:tc>
        <w:tc>
          <w:tcPr>
            <w:tcW w:w="408" w:type="dxa"/>
          </w:tcPr>
          <w:p w14:paraId="13BF131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r>
      <w:tr w:rsidR="003B5D21" w:rsidRPr="00EF6D91" w14:paraId="329FC0D1" w14:textId="77777777" w:rsidTr="003B5D21">
        <w:tc>
          <w:tcPr>
            <w:tcW w:w="406" w:type="dxa"/>
          </w:tcPr>
          <w:p w14:paraId="3405AEF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B4 </w:t>
            </w:r>
          </w:p>
        </w:tc>
        <w:tc>
          <w:tcPr>
            <w:tcW w:w="323" w:type="dxa"/>
          </w:tcPr>
          <w:p w14:paraId="59150EF8" w14:textId="77777777" w:rsidR="003B5D21" w:rsidRPr="00EF6D91" w:rsidRDefault="003B5D21" w:rsidP="0086245C">
            <w:pPr>
              <w:rPr>
                <w:rFonts w:ascii="Times New Roman" w:hAnsi="Times New Roman" w:cs="Times New Roman"/>
                <w:sz w:val="9"/>
                <w:szCs w:val="9"/>
                <w:lang w:val="en-IN"/>
              </w:rPr>
            </w:pPr>
          </w:p>
        </w:tc>
        <w:tc>
          <w:tcPr>
            <w:tcW w:w="378" w:type="dxa"/>
          </w:tcPr>
          <w:p w14:paraId="57E814C7" w14:textId="77777777" w:rsidR="003B5D21" w:rsidRPr="00EF6D91" w:rsidRDefault="003B5D21" w:rsidP="0086245C">
            <w:pPr>
              <w:rPr>
                <w:rFonts w:ascii="Times New Roman" w:hAnsi="Times New Roman" w:cs="Times New Roman"/>
                <w:sz w:val="9"/>
                <w:szCs w:val="9"/>
                <w:lang w:val="en-IN"/>
              </w:rPr>
            </w:pPr>
          </w:p>
        </w:tc>
        <w:tc>
          <w:tcPr>
            <w:tcW w:w="378" w:type="dxa"/>
          </w:tcPr>
          <w:p w14:paraId="7D720C3A" w14:textId="77777777" w:rsidR="003B5D21" w:rsidRPr="00EF6D91" w:rsidRDefault="003B5D21" w:rsidP="0086245C">
            <w:pPr>
              <w:rPr>
                <w:rFonts w:ascii="Times New Roman" w:hAnsi="Times New Roman" w:cs="Times New Roman"/>
                <w:sz w:val="9"/>
                <w:szCs w:val="9"/>
                <w:lang w:val="en-IN"/>
              </w:rPr>
            </w:pPr>
          </w:p>
        </w:tc>
        <w:tc>
          <w:tcPr>
            <w:tcW w:w="377" w:type="dxa"/>
          </w:tcPr>
          <w:p w14:paraId="1B4C098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1 </w:t>
            </w:r>
          </w:p>
        </w:tc>
        <w:tc>
          <w:tcPr>
            <w:tcW w:w="376" w:type="dxa"/>
          </w:tcPr>
          <w:p w14:paraId="4F164EA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376" w:type="dxa"/>
          </w:tcPr>
          <w:p w14:paraId="25D3D82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376" w:type="dxa"/>
          </w:tcPr>
          <w:p w14:paraId="4B18EDB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16648E9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2ABF6CD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c>
          <w:tcPr>
            <w:tcW w:w="408" w:type="dxa"/>
          </w:tcPr>
          <w:p w14:paraId="0CBFEF4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0.05 </w:t>
            </w:r>
          </w:p>
        </w:tc>
        <w:tc>
          <w:tcPr>
            <w:tcW w:w="408" w:type="dxa"/>
          </w:tcPr>
          <w:p w14:paraId="3A4AD82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6452F87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5E1355E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0.15 </w:t>
            </w:r>
          </w:p>
        </w:tc>
        <w:tc>
          <w:tcPr>
            <w:tcW w:w="408" w:type="dxa"/>
          </w:tcPr>
          <w:p w14:paraId="26D298B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0.06 </w:t>
            </w:r>
          </w:p>
        </w:tc>
        <w:tc>
          <w:tcPr>
            <w:tcW w:w="408" w:type="dxa"/>
          </w:tcPr>
          <w:p w14:paraId="7839879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c>
          <w:tcPr>
            <w:tcW w:w="408" w:type="dxa"/>
          </w:tcPr>
          <w:p w14:paraId="5214516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70848FD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0.12 </w:t>
            </w:r>
          </w:p>
        </w:tc>
        <w:tc>
          <w:tcPr>
            <w:tcW w:w="408" w:type="dxa"/>
          </w:tcPr>
          <w:p w14:paraId="288F5C1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0.12 </w:t>
            </w:r>
          </w:p>
        </w:tc>
        <w:tc>
          <w:tcPr>
            <w:tcW w:w="408" w:type="dxa"/>
          </w:tcPr>
          <w:p w14:paraId="1ECC935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293CE77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208893E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r>
      <w:tr w:rsidR="003B5D21" w:rsidRPr="00EF6D91" w14:paraId="11312139" w14:textId="77777777" w:rsidTr="003B5D21">
        <w:tc>
          <w:tcPr>
            <w:tcW w:w="406" w:type="dxa"/>
          </w:tcPr>
          <w:p w14:paraId="35B4E3F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B5 </w:t>
            </w:r>
          </w:p>
        </w:tc>
        <w:tc>
          <w:tcPr>
            <w:tcW w:w="323" w:type="dxa"/>
          </w:tcPr>
          <w:p w14:paraId="779A9D52" w14:textId="77777777" w:rsidR="003B5D21" w:rsidRPr="00EF6D91" w:rsidRDefault="003B5D21" w:rsidP="0086245C">
            <w:pPr>
              <w:rPr>
                <w:rFonts w:ascii="Times New Roman" w:hAnsi="Times New Roman" w:cs="Times New Roman"/>
                <w:sz w:val="9"/>
                <w:szCs w:val="9"/>
                <w:lang w:val="en-IN"/>
              </w:rPr>
            </w:pPr>
          </w:p>
        </w:tc>
        <w:tc>
          <w:tcPr>
            <w:tcW w:w="378" w:type="dxa"/>
          </w:tcPr>
          <w:p w14:paraId="6672616A" w14:textId="77777777" w:rsidR="003B5D21" w:rsidRPr="00EF6D91" w:rsidRDefault="003B5D21" w:rsidP="0086245C">
            <w:pPr>
              <w:rPr>
                <w:rFonts w:ascii="Times New Roman" w:hAnsi="Times New Roman" w:cs="Times New Roman"/>
                <w:sz w:val="9"/>
                <w:szCs w:val="9"/>
                <w:lang w:val="en-IN"/>
              </w:rPr>
            </w:pPr>
          </w:p>
        </w:tc>
        <w:tc>
          <w:tcPr>
            <w:tcW w:w="378" w:type="dxa"/>
          </w:tcPr>
          <w:p w14:paraId="4D100736" w14:textId="77777777" w:rsidR="003B5D21" w:rsidRPr="00EF6D91" w:rsidRDefault="003B5D21" w:rsidP="0086245C">
            <w:pPr>
              <w:rPr>
                <w:rFonts w:ascii="Times New Roman" w:hAnsi="Times New Roman" w:cs="Times New Roman"/>
                <w:sz w:val="9"/>
                <w:szCs w:val="9"/>
                <w:lang w:val="en-IN"/>
              </w:rPr>
            </w:pPr>
          </w:p>
        </w:tc>
        <w:tc>
          <w:tcPr>
            <w:tcW w:w="377" w:type="dxa"/>
          </w:tcPr>
          <w:p w14:paraId="7AF1708A" w14:textId="77777777" w:rsidR="003B5D21" w:rsidRPr="00EF6D91" w:rsidRDefault="003B5D21" w:rsidP="0086245C">
            <w:pPr>
              <w:rPr>
                <w:rFonts w:ascii="Times New Roman" w:hAnsi="Times New Roman" w:cs="Times New Roman"/>
                <w:sz w:val="9"/>
                <w:szCs w:val="9"/>
                <w:lang w:val="en-IN"/>
              </w:rPr>
            </w:pPr>
          </w:p>
        </w:tc>
        <w:tc>
          <w:tcPr>
            <w:tcW w:w="376" w:type="dxa"/>
          </w:tcPr>
          <w:p w14:paraId="1B775AB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1 </w:t>
            </w:r>
          </w:p>
        </w:tc>
        <w:tc>
          <w:tcPr>
            <w:tcW w:w="376" w:type="dxa"/>
          </w:tcPr>
          <w:p w14:paraId="4CE0E13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0.31 </w:t>
            </w:r>
          </w:p>
        </w:tc>
        <w:tc>
          <w:tcPr>
            <w:tcW w:w="376" w:type="dxa"/>
          </w:tcPr>
          <w:p w14:paraId="6A2C218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3A0EA37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5EA0DB6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5C0DBE7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16515A2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49FBC84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c>
          <w:tcPr>
            <w:tcW w:w="408" w:type="dxa"/>
          </w:tcPr>
          <w:p w14:paraId="5B403F2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4AC303A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0.30 </w:t>
            </w:r>
          </w:p>
        </w:tc>
        <w:tc>
          <w:tcPr>
            <w:tcW w:w="408" w:type="dxa"/>
          </w:tcPr>
          <w:p w14:paraId="366FBA4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774A918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0.20 </w:t>
            </w:r>
          </w:p>
        </w:tc>
        <w:tc>
          <w:tcPr>
            <w:tcW w:w="408" w:type="dxa"/>
          </w:tcPr>
          <w:p w14:paraId="02BEEB4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0.04 </w:t>
            </w:r>
          </w:p>
        </w:tc>
        <w:tc>
          <w:tcPr>
            <w:tcW w:w="408" w:type="dxa"/>
          </w:tcPr>
          <w:p w14:paraId="7154AB7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5843595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0.37 </w:t>
            </w:r>
          </w:p>
        </w:tc>
        <w:tc>
          <w:tcPr>
            <w:tcW w:w="408" w:type="dxa"/>
          </w:tcPr>
          <w:p w14:paraId="2AC820E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5AA1EDE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r>
      <w:tr w:rsidR="003B5D21" w:rsidRPr="00EF6D91" w14:paraId="69818447" w14:textId="77777777" w:rsidTr="003B5D21">
        <w:tc>
          <w:tcPr>
            <w:tcW w:w="406" w:type="dxa"/>
          </w:tcPr>
          <w:p w14:paraId="24D43AC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B6 </w:t>
            </w:r>
          </w:p>
        </w:tc>
        <w:tc>
          <w:tcPr>
            <w:tcW w:w="323" w:type="dxa"/>
          </w:tcPr>
          <w:p w14:paraId="7CE0EC64" w14:textId="77777777" w:rsidR="003B5D21" w:rsidRPr="00EF6D91" w:rsidRDefault="003B5D21" w:rsidP="0086245C">
            <w:pPr>
              <w:rPr>
                <w:rFonts w:ascii="Times New Roman" w:hAnsi="Times New Roman" w:cs="Times New Roman"/>
                <w:sz w:val="9"/>
                <w:szCs w:val="9"/>
                <w:lang w:val="en-IN"/>
              </w:rPr>
            </w:pPr>
          </w:p>
        </w:tc>
        <w:tc>
          <w:tcPr>
            <w:tcW w:w="378" w:type="dxa"/>
          </w:tcPr>
          <w:p w14:paraId="47CE8A81" w14:textId="77777777" w:rsidR="003B5D21" w:rsidRPr="00EF6D91" w:rsidRDefault="003B5D21" w:rsidP="0086245C">
            <w:pPr>
              <w:rPr>
                <w:rFonts w:ascii="Times New Roman" w:hAnsi="Times New Roman" w:cs="Times New Roman"/>
                <w:sz w:val="9"/>
                <w:szCs w:val="9"/>
                <w:lang w:val="en-IN"/>
              </w:rPr>
            </w:pPr>
          </w:p>
        </w:tc>
        <w:tc>
          <w:tcPr>
            <w:tcW w:w="378" w:type="dxa"/>
          </w:tcPr>
          <w:p w14:paraId="59A45439" w14:textId="77777777" w:rsidR="003B5D21" w:rsidRPr="00EF6D91" w:rsidRDefault="003B5D21" w:rsidP="0086245C">
            <w:pPr>
              <w:rPr>
                <w:rFonts w:ascii="Times New Roman" w:hAnsi="Times New Roman" w:cs="Times New Roman"/>
                <w:sz w:val="9"/>
                <w:szCs w:val="9"/>
                <w:lang w:val="en-IN"/>
              </w:rPr>
            </w:pPr>
          </w:p>
        </w:tc>
        <w:tc>
          <w:tcPr>
            <w:tcW w:w="377" w:type="dxa"/>
          </w:tcPr>
          <w:p w14:paraId="103FF4FD" w14:textId="77777777" w:rsidR="003B5D21" w:rsidRPr="00EF6D91" w:rsidRDefault="003B5D21" w:rsidP="0086245C">
            <w:pPr>
              <w:rPr>
                <w:rFonts w:ascii="Times New Roman" w:hAnsi="Times New Roman" w:cs="Times New Roman"/>
                <w:sz w:val="9"/>
                <w:szCs w:val="9"/>
                <w:lang w:val="en-IN"/>
              </w:rPr>
            </w:pPr>
          </w:p>
        </w:tc>
        <w:tc>
          <w:tcPr>
            <w:tcW w:w="376" w:type="dxa"/>
          </w:tcPr>
          <w:p w14:paraId="00A63F11" w14:textId="77777777" w:rsidR="003B5D21" w:rsidRPr="00EF6D91" w:rsidRDefault="003B5D21" w:rsidP="0086245C">
            <w:pPr>
              <w:rPr>
                <w:rFonts w:ascii="Times New Roman" w:hAnsi="Times New Roman" w:cs="Times New Roman"/>
                <w:sz w:val="9"/>
                <w:szCs w:val="9"/>
                <w:lang w:val="en-IN"/>
              </w:rPr>
            </w:pPr>
          </w:p>
        </w:tc>
        <w:tc>
          <w:tcPr>
            <w:tcW w:w="376" w:type="dxa"/>
          </w:tcPr>
          <w:p w14:paraId="04CE28A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376" w:type="dxa"/>
          </w:tcPr>
          <w:p w14:paraId="73FA27F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0.37 </w:t>
            </w:r>
          </w:p>
        </w:tc>
        <w:tc>
          <w:tcPr>
            <w:tcW w:w="408" w:type="dxa"/>
          </w:tcPr>
          <w:p w14:paraId="5EDD2FB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0.35 </w:t>
            </w:r>
          </w:p>
        </w:tc>
        <w:tc>
          <w:tcPr>
            <w:tcW w:w="408" w:type="dxa"/>
          </w:tcPr>
          <w:p w14:paraId="667D7F5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778AF4F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-0.07 </w:t>
            </w:r>
          </w:p>
        </w:tc>
        <w:tc>
          <w:tcPr>
            <w:tcW w:w="408" w:type="dxa"/>
          </w:tcPr>
          <w:p w14:paraId="28E5533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00B665F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0.05 </w:t>
            </w:r>
          </w:p>
        </w:tc>
        <w:tc>
          <w:tcPr>
            <w:tcW w:w="408" w:type="dxa"/>
          </w:tcPr>
          <w:p w14:paraId="70714C7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458ED4A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0.11 </w:t>
            </w:r>
          </w:p>
        </w:tc>
        <w:tc>
          <w:tcPr>
            <w:tcW w:w="408" w:type="dxa"/>
          </w:tcPr>
          <w:p w14:paraId="13821B2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0.02 </w:t>
            </w:r>
          </w:p>
        </w:tc>
        <w:tc>
          <w:tcPr>
            <w:tcW w:w="408" w:type="dxa"/>
          </w:tcPr>
          <w:p w14:paraId="0158C8B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4618DFA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-0.10 </w:t>
            </w:r>
          </w:p>
        </w:tc>
        <w:tc>
          <w:tcPr>
            <w:tcW w:w="408" w:type="dxa"/>
          </w:tcPr>
          <w:p w14:paraId="43482AC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0.04 </w:t>
            </w:r>
          </w:p>
        </w:tc>
        <w:tc>
          <w:tcPr>
            <w:tcW w:w="408" w:type="dxa"/>
          </w:tcPr>
          <w:p w14:paraId="429F2E2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6FBA57A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5AC2429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0.05 </w:t>
            </w:r>
          </w:p>
        </w:tc>
      </w:tr>
      <w:tr w:rsidR="003B5D21" w:rsidRPr="00EF6D91" w14:paraId="0FFCC5FA" w14:textId="77777777" w:rsidTr="003B5D21">
        <w:tc>
          <w:tcPr>
            <w:tcW w:w="406" w:type="dxa"/>
          </w:tcPr>
          <w:p w14:paraId="28BC877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B7 </w:t>
            </w:r>
          </w:p>
        </w:tc>
        <w:tc>
          <w:tcPr>
            <w:tcW w:w="323" w:type="dxa"/>
          </w:tcPr>
          <w:p w14:paraId="63A49FE3" w14:textId="77777777" w:rsidR="003B5D21" w:rsidRPr="00EF6D91" w:rsidRDefault="003B5D21" w:rsidP="0086245C">
            <w:pPr>
              <w:rPr>
                <w:rFonts w:ascii="Times New Roman" w:hAnsi="Times New Roman" w:cs="Times New Roman"/>
                <w:sz w:val="9"/>
                <w:szCs w:val="9"/>
                <w:lang w:val="en-IN"/>
              </w:rPr>
            </w:pPr>
          </w:p>
        </w:tc>
        <w:tc>
          <w:tcPr>
            <w:tcW w:w="378" w:type="dxa"/>
          </w:tcPr>
          <w:p w14:paraId="5AE72EC5" w14:textId="77777777" w:rsidR="003B5D21" w:rsidRPr="00EF6D91" w:rsidRDefault="003B5D21" w:rsidP="0086245C">
            <w:pPr>
              <w:rPr>
                <w:rFonts w:ascii="Times New Roman" w:hAnsi="Times New Roman" w:cs="Times New Roman"/>
                <w:sz w:val="9"/>
                <w:szCs w:val="9"/>
                <w:lang w:val="en-IN"/>
              </w:rPr>
            </w:pPr>
          </w:p>
        </w:tc>
        <w:tc>
          <w:tcPr>
            <w:tcW w:w="378" w:type="dxa"/>
          </w:tcPr>
          <w:p w14:paraId="71FA1255" w14:textId="77777777" w:rsidR="003B5D21" w:rsidRPr="00EF6D91" w:rsidRDefault="003B5D21" w:rsidP="0086245C">
            <w:pPr>
              <w:rPr>
                <w:rFonts w:ascii="Times New Roman" w:hAnsi="Times New Roman" w:cs="Times New Roman"/>
                <w:sz w:val="9"/>
                <w:szCs w:val="9"/>
                <w:lang w:val="en-IN"/>
              </w:rPr>
            </w:pPr>
          </w:p>
        </w:tc>
        <w:tc>
          <w:tcPr>
            <w:tcW w:w="377" w:type="dxa"/>
          </w:tcPr>
          <w:p w14:paraId="219E2DC2" w14:textId="77777777" w:rsidR="003B5D21" w:rsidRPr="00EF6D91" w:rsidRDefault="003B5D21" w:rsidP="0086245C">
            <w:pPr>
              <w:rPr>
                <w:rFonts w:ascii="Times New Roman" w:hAnsi="Times New Roman" w:cs="Times New Roman"/>
                <w:sz w:val="9"/>
                <w:szCs w:val="9"/>
                <w:lang w:val="en-IN"/>
              </w:rPr>
            </w:pPr>
          </w:p>
        </w:tc>
        <w:tc>
          <w:tcPr>
            <w:tcW w:w="376" w:type="dxa"/>
          </w:tcPr>
          <w:p w14:paraId="4C4E2E16" w14:textId="77777777" w:rsidR="003B5D21" w:rsidRPr="00EF6D91" w:rsidRDefault="003B5D21" w:rsidP="0086245C">
            <w:pPr>
              <w:rPr>
                <w:rFonts w:ascii="Times New Roman" w:hAnsi="Times New Roman" w:cs="Times New Roman"/>
                <w:sz w:val="9"/>
                <w:szCs w:val="9"/>
                <w:lang w:val="en-IN"/>
              </w:rPr>
            </w:pPr>
          </w:p>
        </w:tc>
        <w:tc>
          <w:tcPr>
            <w:tcW w:w="376" w:type="dxa"/>
          </w:tcPr>
          <w:p w14:paraId="6E4AEE30" w14:textId="77777777" w:rsidR="003B5D21" w:rsidRPr="00EF6D91" w:rsidRDefault="003B5D21" w:rsidP="0086245C">
            <w:pPr>
              <w:rPr>
                <w:rFonts w:ascii="Times New Roman" w:hAnsi="Times New Roman" w:cs="Times New Roman"/>
                <w:sz w:val="9"/>
                <w:szCs w:val="9"/>
                <w:lang w:val="en-IN"/>
              </w:rPr>
            </w:pPr>
          </w:p>
        </w:tc>
        <w:tc>
          <w:tcPr>
            <w:tcW w:w="376" w:type="dxa"/>
          </w:tcPr>
          <w:p w14:paraId="4BA08C5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6935BF6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0.39 </w:t>
            </w:r>
          </w:p>
        </w:tc>
        <w:tc>
          <w:tcPr>
            <w:tcW w:w="408" w:type="dxa"/>
          </w:tcPr>
          <w:p w14:paraId="4DFC904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0.15 </w:t>
            </w:r>
          </w:p>
        </w:tc>
        <w:tc>
          <w:tcPr>
            <w:tcW w:w="408" w:type="dxa"/>
          </w:tcPr>
          <w:p w14:paraId="6D3901E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3F0A3D7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06E54D4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25D1B1F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0.36 </w:t>
            </w:r>
          </w:p>
        </w:tc>
        <w:tc>
          <w:tcPr>
            <w:tcW w:w="408" w:type="dxa"/>
          </w:tcPr>
          <w:p w14:paraId="78A46A0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5683811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0DFBB88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0.20 </w:t>
            </w:r>
          </w:p>
        </w:tc>
        <w:tc>
          <w:tcPr>
            <w:tcW w:w="408" w:type="dxa"/>
          </w:tcPr>
          <w:p w14:paraId="0CE1F75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53DAB39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0.08 </w:t>
            </w:r>
          </w:p>
        </w:tc>
        <w:tc>
          <w:tcPr>
            <w:tcW w:w="408" w:type="dxa"/>
          </w:tcPr>
          <w:p w14:paraId="0827E89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7E13C38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0.06 </w:t>
            </w:r>
          </w:p>
        </w:tc>
        <w:tc>
          <w:tcPr>
            <w:tcW w:w="408" w:type="dxa"/>
          </w:tcPr>
          <w:p w14:paraId="5741BD0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0.09 </w:t>
            </w:r>
          </w:p>
        </w:tc>
      </w:tr>
      <w:tr w:rsidR="003B5D21" w:rsidRPr="00EF6D91" w14:paraId="5BDD2453" w14:textId="77777777" w:rsidTr="003B5D21">
        <w:tc>
          <w:tcPr>
            <w:tcW w:w="406" w:type="dxa"/>
          </w:tcPr>
          <w:p w14:paraId="6F43CFE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B8 </w:t>
            </w:r>
          </w:p>
        </w:tc>
        <w:tc>
          <w:tcPr>
            <w:tcW w:w="323" w:type="dxa"/>
          </w:tcPr>
          <w:p w14:paraId="178BA0B8" w14:textId="77777777" w:rsidR="003B5D21" w:rsidRPr="00EF6D91" w:rsidRDefault="003B5D21" w:rsidP="0086245C">
            <w:pPr>
              <w:rPr>
                <w:rFonts w:ascii="Times New Roman" w:hAnsi="Times New Roman" w:cs="Times New Roman"/>
                <w:sz w:val="9"/>
                <w:szCs w:val="9"/>
                <w:lang w:val="en-IN"/>
              </w:rPr>
            </w:pPr>
          </w:p>
        </w:tc>
        <w:tc>
          <w:tcPr>
            <w:tcW w:w="378" w:type="dxa"/>
          </w:tcPr>
          <w:p w14:paraId="67744BB7" w14:textId="77777777" w:rsidR="003B5D21" w:rsidRPr="00EF6D91" w:rsidRDefault="003B5D21" w:rsidP="0086245C">
            <w:pPr>
              <w:rPr>
                <w:rFonts w:ascii="Times New Roman" w:hAnsi="Times New Roman" w:cs="Times New Roman"/>
                <w:sz w:val="9"/>
                <w:szCs w:val="9"/>
                <w:lang w:val="en-IN"/>
              </w:rPr>
            </w:pPr>
          </w:p>
        </w:tc>
        <w:tc>
          <w:tcPr>
            <w:tcW w:w="378" w:type="dxa"/>
          </w:tcPr>
          <w:p w14:paraId="7389901B" w14:textId="77777777" w:rsidR="003B5D21" w:rsidRPr="00EF6D91" w:rsidRDefault="003B5D21" w:rsidP="0086245C">
            <w:pPr>
              <w:rPr>
                <w:rFonts w:ascii="Times New Roman" w:hAnsi="Times New Roman" w:cs="Times New Roman"/>
                <w:sz w:val="9"/>
                <w:szCs w:val="9"/>
                <w:lang w:val="en-IN"/>
              </w:rPr>
            </w:pPr>
          </w:p>
        </w:tc>
        <w:tc>
          <w:tcPr>
            <w:tcW w:w="377" w:type="dxa"/>
          </w:tcPr>
          <w:p w14:paraId="7F6A59D6" w14:textId="77777777" w:rsidR="003B5D21" w:rsidRPr="00EF6D91" w:rsidRDefault="003B5D21" w:rsidP="0086245C">
            <w:pPr>
              <w:rPr>
                <w:rFonts w:ascii="Times New Roman" w:hAnsi="Times New Roman" w:cs="Times New Roman"/>
                <w:sz w:val="9"/>
                <w:szCs w:val="9"/>
                <w:lang w:val="en-IN"/>
              </w:rPr>
            </w:pPr>
          </w:p>
        </w:tc>
        <w:tc>
          <w:tcPr>
            <w:tcW w:w="376" w:type="dxa"/>
          </w:tcPr>
          <w:p w14:paraId="2E0554AA" w14:textId="77777777" w:rsidR="003B5D21" w:rsidRPr="00EF6D91" w:rsidRDefault="003B5D21" w:rsidP="0086245C">
            <w:pPr>
              <w:rPr>
                <w:rFonts w:ascii="Times New Roman" w:hAnsi="Times New Roman" w:cs="Times New Roman"/>
                <w:sz w:val="9"/>
                <w:szCs w:val="9"/>
                <w:lang w:val="en-IN"/>
              </w:rPr>
            </w:pPr>
          </w:p>
        </w:tc>
        <w:tc>
          <w:tcPr>
            <w:tcW w:w="376" w:type="dxa"/>
          </w:tcPr>
          <w:p w14:paraId="1D8DC338" w14:textId="77777777" w:rsidR="003B5D21" w:rsidRPr="00EF6D91" w:rsidRDefault="003B5D21" w:rsidP="0086245C">
            <w:pPr>
              <w:rPr>
                <w:rFonts w:ascii="Times New Roman" w:hAnsi="Times New Roman" w:cs="Times New Roman"/>
                <w:sz w:val="9"/>
                <w:szCs w:val="9"/>
                <w:lang w:val="en-IN"/>
              </w:rPr>
            </w:pPr>
          </w:p>
        </w:tc>
        <w:tc>
          <w:tcPr>
            <w:tcW w:w="376" w:type="dxa"/>
          </w:tcPr>
          <w:p w14:paraId="6286FD6E" w14:textId="77777777" w:rsidR="003B5D21" w:rsidRPr="00EF6D91" w:rsidRDefault="003B5D21" w:rsidP="0086245C">
            <w:pPr>
              <w:rPr>
                <w:rFonts w:ascii="Times New Roman" w:hAnsi="Times New Roman" w:cs="Times New Roman"/>
                <w:sz w:val="9"/>
                <w:szCs w:val="9"/>
                <w:lang w:val="en-IN"/>
              </w:rPr>
            </w:pPr>
          </w:p>
        </w:tc>
        <w:tc>
          <w:tcPr>
            <w:tcW w:w="408" w:type="dxa"/>
          </w:tcPr>
          <w:p w14:paraId="6FB546B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1867C27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c>
          <w:tcPr>
            <w:tcW w:w="408" w:type="dxa"/>
          </w:tcPr>
          <w:p w14:paraId="5F9B0D3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-0.01 </w:t>
            </w:r>
          </w:p>
        </w:tc>
        <w:tc>
          <w:tcPr>
            <w:tcW w:w="408" w:type="dxa"/>
          </w:tcPr>
          <w:p w14:paraId="5A57D31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0.20 </w:t>
            </w:r>
          </w:p>
        </w:tc>
        <w:tc>
          <w:tcPr>
            <w:tcW w:w="408" w:type="dxa"/>
          </w:tcPr>
          <w:p w14:paraId="764A3C2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18F358E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4AA54AA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0.10 </w:t>
            </w:r>
          </w:p>
        </w:tc>
        <w:tc>
          <w:tcPr>
            <w:tcW w:w="408" w:type="dxa"/>
          </w:tcPr>
          <w:p w14:paraId="422D311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c>
          <w:tcPr>
            <w:tcW w:w="408" w:type="dxa"/>
          </w:tcPr>
          <w:p w14:paraId="5AC061E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0.24 </w:t>
            </w:r>
          </w:p>
        </w:tc>
        <w:tc>
          <w:tcPr>
            <w:tcW w:w="408" w:type="dxa"/>
          </w:tcPr>
          <w:p w14:paraId="2179612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0.09 </w:t>
            </w:r>
          </w:p>
        </w:tc>
        <w:tc>
          <w:tcPr>
            <w:tcW w:w="408" w:type="dxa"/>
          </w:tcPr>
          <w:p w14:paraId="48917E9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0.02 </w:t>
            </w:r>
          </w:p>
        </w:tc>
        <w:tc>
          <w:tcPr>
            <w:tcW w:w="408" w:type="dxa"/>
          </w:tcPr>
          <w:p w14:paraId="10B1799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039335F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0.18 </w:t>
            </w:r>
          </w:p>
        </w:tc>
        <w:tc>
          <w:tcPr>
            <w:tcW w:w="408" w:type="dxa"/>
          </w:tcPr>
          <w:p w14:paraId="4189BB2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0.15 </w:t>
            </w:r>
          </w:p>
        </w:tc>
      </w:tr>
      <w:tr w:rsidR="003B5D21" w:rsidRPr="00EF6D91" w14:paraId="16DF5E71" w14:textId="77777777" w:rsidTr="003B5D21">
        <w:tc>
          <w:tcPr>
            <w:tcW w:w="406" w:type="dxa"/>
          </w:tcPr>
          <w:p w14:paraId="4DC7729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B9 </w:t>
            </w:r>
          </w:p>
        </w:tc>
        <w:tc>
          <w:tcPr>
            <w:tcW w:w="323" w:type="dxa"/>
          </w:tcPr>
          <w:p w14:paraId="77842761" w14:textId="77777777" w:rsidR="003B5D21" w:rsidRPr="00EF6D91" w:rsidRDefault="003B5D21" w:rsidP="0086245C">
            <w:pPr>
              <w:rPr>
                <w:rFonts w:ascii="Times New Roman" w:hAnsi="Times New Roman" w:cs="Times New Roman"/>
                <w:sz w:val="9"/>
                <w:szCs w:val="9"/>
                <w:lang w:val="en-IN"/>
              </w:rPr>
            </w:pPr>
          </w:p>
        </w:tc>
        <w:tc>
          <w:tcPr>
            <w:tcW w:w="378" w:type="dxa"/>
          </w:tcPr>
          <w:p w14:paraId="07D4A953" w14:textId="77777777" w:rsidR="003B5D21" w:rsidRPr="00EF6D91" w:rsidRDefault="003B5D21" w:rsidP="0086245C">
            <w:pPr>
              <w:rPr>
                <w:rFonts w:ascii="Times New Roman" w:hAnsi="Times New Roman" w:cs="Times New Roman"/>
                <w:sz w:val="9"/>
                <w:szCs w:val="9"/>
                <w:lang w:val="en-IN"/>
              </w:rPr>
            </w:pPr>
          </w:p>
        </w:tc>
        <w:tc>
          <w:tcPr>
            <w:tcW w:w="378" w:type="dxa"/>
          </w:tcPr>
          <w:p w14:paraId="0470978B" w14:textId="77777777" w:rsidR="003B5D21" w:rsidRPr="00EF6D91" w:rsidRDefault="003B5D21" w:rsidP="0086245C">
            <w:pPr>
              <w:rPr>
                <w:rFonts w:ascii="Times New Roman" w:hAnsi="Times New Roman" w:cs="Times New Roman"/>
                <w:sz w:val="9"/>
                <w:szCs w:val="9"/>
                <w:lang w:val="en-IN"/>
              </w:rPr>
            </w:pPr>
          </w:p>
        </w:tc>
        <w:tc>
          <w:tcPr>
            <w:tcW w:w="377" w:type="dxa"/>
          </w:tcPr>
          <w:p w14:paraId="6E72606C" w14:textId="77777777" w:rsidR="003B5D21" w:rsidRPr="00EF6D91" w:rsidRDefault="003B5D21" w:rsidP="0086245C">
            <w:pPr>
              <w:rPr>
                <w:rFonts w:ascii="Times New Roman" w:hAnsi="Times New Roman" w:cs="Times New Roman"/>
                <w:sz w:val="9"/>
                <w:szCs w:val="9"/>
                <w:lang w:val="en-IN"/>
              </w:rPr>
            </w:pPr>
          </w:p>
        </w:tc>
        <w:tc>
          <w:tcPr>
            <w:tcW w:w="376" w:type="dxa"/>
          </w:tcPr>
          <w:p w14:paraId="34EA0087" w14:textId="77777777" w:rsidR="003B5D21" w:rsidRPr="00EF6D91" w:rsidRDefault="003B5D21" w:rsidP="0086245C">
            <w:pPr>
              <w:rPr>
                <w:rFonts w:ascii="Times New Roman" w:hAnsi="Times New Roman" w:cs="Times New Roman"/>
                <w:sz w:val="9"/>
                <w:szCs w:val="9"/>
                <w:lang w:val="en-IN"/>
              </w:rPr>
            </w:pPr>
          </w:p>
        </w:tc>
        <w:tc>
          <w:tcPr>
            <w:tcW w:w="376" w:type="dxa"/>
          </w:tcPr>
          <w:p w14:paraId="10230719" w14:textId="77777777" w:rsidR="003B5D21" w:rsidRPr="00EF6D91" w:rsidRDefault="003B5D21" w:rsidP="0086245C">
            <w:pPr>
              <w:rPr>
                <w:rFonts w:ascii="Times New Roman" w:hAnsi="Times New Roman" w:cs="Times New Roman"/>
                <w:sz w:val="9"/>
                <w:szCs w:val="9"/>
                <w:lang w:val="en-IN"/>
              </w:rPr>
            </w:pPr>
          </w:p>
        </w:tc>
        <w:tc>
          <w:tcPr>
            <w:tcW w:w="376" w:type="dxa"/>
          </w:tcPr>
          <w:p w14:paraId="2AD40B92" w14:textId="77777777" w:rsidR="003B5D21" w:rsidRPr="00EF6D91" w:rsidRDefault="003B5D21" w:rsidP="0086245C">
            <w:pPr>
              <w:rPr>
                <w:rFonts w:ascii="Times New Roman" w:hAnsi="Times New Roman" w:cs="Times New Roman"/>
                <w:sz w:val="9"/>
                <w:szCs w:val="9"/>
                <w:lang w:val="en-IN"/>
              </w:rPr>
            </w:pPr>
          </w:p>
        </w:tc>
        <w:tc>
          <w:tcPr>
            <w:tcW w:w="408" w:type="dxa"/>
          </w:tcPr>
          <w:p w14:paraId="23CCB070" w14:textId="77777777" w:rsidR="003B5D21" w:rsidRPr="00EF6D91" w:rsidRDefault="003B5D21" w:rsidP="0086245C">
            <w:pPr>
              <w:rPr>
                <w:rFonts w:ascii="Times New Roman" w:hAnsi="Times New Roman" w:cs="Times New Roman"/>
                <w:sz w:val="9"/>
                <w:szCs w:val="9"/>
                <w:lang w:val="en-IN"/>
              </w:rPr>
            </w:pPr>
          </w:p>
        </w:tc>
        <w:tc>
          <w:tcPr>
            <w:tcW w:w="408" w:type="dxa"/>
          </w:tcPr>
          <w:p w14:paraId="7E998EB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64047D4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0.36 </w:t>
            </w:r>
          </w:p>
        </w:tc>
        <w:tc>
          <w:tcPr>
            <w:tcW w:w="408" w:type="dxa"/>
          </w:tcPr>
          <w:p w14:paraId="1B482B8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c>
          <w:tcPr>
            <w:tcW w:w="408" w:type="dxa"/>
          </w:tcPr>
          <w:p w14:paraId="3ABA75C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1E44C1F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0.35 </w:t>
            </w:r>
          </w:p>
        </w:tc>
        <w:tc>
          <w:tcPr>
            <w:tcW w:w="408" w:type="dxa"/>
          </w:tcPr>
          <w:p w14:paraId="4ED2BBF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0.25 </w:t>
            </w:r>
          </w:p>
        </w:tc>
        <w:tc>
          <w:tcPr>
            <w:tcW w:w="408" w:type="dxa"/>
          </w:tcPr>
          <w:p w14:paraId="058196E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c>
          <w:tcPr>
            <w:tcW w:w="408" w:type="dxa"/>
          </w:tcPr>
          <w:p w14:paraId="5787AB4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c>
          <w:tcPr>
            <w:tcW w:w="408" w:type="dxa"/>
          </w:tcPr>
          <w:p w14:paraId="0AC3CBC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146DF94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0.11 </w:t>
            </w:r>
          </w:p>
        </w:tc>
        <w:tc>
          <w:tcPr>
            <w:tcW w:w="408" w:type="dxa"/>
          </w:tcPr>
          <w:p w14:paraId="5A00B3B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c>
          <w:tcPr>
            <w:tcW w:w="408" w:type="dxa"/>
          </w:tcPr>
          <w:p w14:paraId="67FA6F2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0.25 </w:t>
            </w:r>
          </w:p>
        </w:tc>
        <w:tc>
          <w:tcPr>
            <w:tcW w:w="408" w:type="dxa"/>
          </w:tcPr>
          <w:p w14:paraId="0D8733E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r>
      <w:tr w:rsidR="003B5D21" w:rsidRPr="00EF6D91" w14:paraId="06DF86E7" w14:textId="77777777" w:rsidTr="003B5D21">
        <w:tc>
          <w:tcPr>
            <w:tcW w:w="406" w:type="dxa"/>
          </w:tcPr>
          <w:p w14:paraId="1236E50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B10 </w:t>
            </w:r>
          </w:p>
        </w:tc>
        <w:tc>
          <w:tcPr>
            <w:tcW w:w="323" w:type="dxa"/>
          </w:tcPr>
          <w:p w14:paraId="5EFC0392" w14:textId="77777777" w:rsidR="003B5D21" w:rsidRPr="00EF6D91" w:rsidRDefault="003B5D21" w:rsidP="0086245C">
            <w:pPr>
              <w:rPr>
                <w:rFonts w:ascii="Times New Roman" w:hAnsi="Times New Roman" w:cs="Times New Roman"/>
                <w:sz w:val="9"/>
                <w:szCs w:val="9"/>
                <w:lang w:val="en-IN"/>
              </w:rPr>
            </w:pPr>
          </w:p>
        </w:tc>
        <w:tc>
          <w:tcPr>
            <w:tcW w:w="378" w:type="dxa"/>
          </w:tcPr>
          <w:p w14:paraId="7E74AB49" w14:textId="77777777" w:rsidR="003B5D21" w:rsidRPr="00EF6D91" w:rsidRDefault="003B5D21" w:rsidP="0086245C">
            <w:pPr>
              <w:rPr>
                <w:rFonts w:ascii="Times New Roman" w:hAnsi="Times New Roman" w:cs="Times New Roman"/>
                <w:sz w:val="9"/>
                <w:szCs w:val="9"/>
                <w:lang w:val="en-IN"/>
              </w:rPr>
            </w:pPr>
          </w:p>
        </w:tc>
        <w:tc>
          <w:tcPr>
            <w:tcW w:w="378" w:type="dxa"/>
          </w:tcPr>
          <w:p w14:paraId="5CDC0621" w14:textId="77777777" w:rsidR="003B5D21" w:rsidRPr="00EF6D91" w:rsidRDefault="003B5D21" w:rsidP="0086245C">
            <w:pPr>
              <w:rPr>
                <w:rFonts w:ascii="Times New Roman" w:hAnsi="Times New Roman" w:cs="Times New Roman"/>
                <w:sz w:val="9"/>
                <w:szCs w:val="9"/>
                <w:lang w:val="en-IN"/>
              </w:rPr>
            </w:pPr>
          </w:p>
        </w:tc>
        <w:tc>
          <w:tcPr>
            <w:tcW w:w="377" w:type="dxa"/>
          </w:tcPr>
          <w:p w14:paraId="7FE40E81" w14:textId="77777777" w:rsidR="003B5D21" w:rsidRPr="00EF6D91" w:rsidRDefault="003B5D21" w:rsidP="0086245C">
            <w:pPr>
              <w:rPr>
                <w:rFonts w:ascii="Times New Roman" w:hAnsi="Times New Roman" w:cs="Times New Roman"/>
                <w:sz w:val="9"/>
                <w:szCs w:val="9"/>
                <w:lang w:val="en-IN"/>
              </w:rPr>
            </w:pPr>
          </w:p>
        </w:tc>
        <w:tc>
          <w:tcPr>
            <w:tcW w:w="376" w:type="dxa"/>
          </w:tcPr>
          <w:p w14:paraId="6B0D67FE" w14:textId="77777777" w:rsidR="003B5D21" w:rsidRPr="00EF6D91" w:rsidRDefault="003B5D21" w:rsidP="0086245C">
            <w:pPr>
              <w:rPr>
                <w:rFonts w:ascii="Times New Roman" w:hAnsi="Times New Roman" w:cs="Times New Roman"/>
                <w:sz w:val="9"/>
                <w:szCs w:val="9"/>
                <w:lang w:val="en-IN"/>
              </w:rPr>
            </w:pPr>
          </w:p>
        </w:tc>
        <w:tc>
          <w:tcPr>
            <w:tcW w:w="376" w:type="dxa"/>
          </w:tcPr>
          <w:p w14:paraId="7C5B624C" w14:textId="77777777" w:rsidR="003B5D21" w:rsidRPr="00EF6D91" w:rsidRDefault="003B5D21" w:rsidP="0086245C">
            <w:pPr>
              <w:rPr>
                <w:rFonts w:ascii="Times New Roman" w:hAnsi="Times New Roman" w:cs="Times New Roman"/>
                <w:sz w:val="9"/>
                <w:szCs w:val="9"/>
                <w:lang w:val="en-IN"/>
              </w:rPr>
            </w:pPr>
          </w:p>
        </w:tc>
        <w:tc>
          <w:tcPr>
            <w:tcW w:w="376" w:type="dxa"/>
          </w:tcPr>
          <w:p w14:paraId="58D6F485" w14:textId="77777777" w:rsidR="003B5D21" w:rsidRPr="00EF6D91" w:rsidRDefault="003B5D21" w:rsidP="0086245C">
            <w:pPr>
              <w:rPr>
                <w:rFonts w:ascii="Times New Roman" w:hAnsi="Times New Roman" w:cs="Times New Roman"/>
                <w:sz w:val="9"/>
                <w:szCs w:val="9"/>
                <w:lang w:val="en-IN"/>
              </w:rPr>
            </w:pPr>
          </w:p>
        </w:tc>
        <w:tc>
          <w:tcPr>
            <w:tcW w:w="408" w:type="dxa"/>
          </w:tcPr>
          <w:p w14:paraId="496F7658" w14:textId="77777777" w:rsidR="003B5D21" w:rsidRPr="00EF6D91" w:rsidRDefault="003B5D21" w:rsidP="0086245C">
            <w:pPr>
              <w:rPr>
                <w:rFonts w:ascii="Times New Roman" w:hAnsi="Times New Roman" w:cs="Times New Roman"/>
                <w:sz w:val="9"/>
                <w:szCs w:val="9"/>
                <w:lang w:val="en-IN"/>
              </w:rPr>
            </w:pPr>
          </w:p>
        </w:tc>
        <w:tc>
          <w:tcPr>
            <w:tcW w:w="408" w:type="dxa"/>
          </w:tcPr>
          <w:p w14:paraId="541BFA9D" w14:textId="77777777" w:rsidR="003B5D21" w:rsidRPr="00EF6D91" w:rsidRDefault="003B5D21" w:rsidP="0086245C">
            <w:pPr>
              <w:rPr>
                <w:rFonts w:ascii="Times New Roman" w:hAnsi="Times New Roman" w:cs="Times New Roman"/>
                <w:sz w:val="9"/>
                <w:szCs w:val="9"/>
                <w:lang w:val="en-IN"/>
              </w:rPr>
            </w:pPr>
          </w:p>
        </w:tc>
        <w:tc>
          <w:tcPr>
            <w:tcW w:w="408" w:type="dxa"/>
          </w:tcPr>
          <w:p w14:paraId="506A416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175C33F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0.44 </w:t>
            </w:r>
          </w:p>
        </w:tc>
        <w:tc>
          <w:tcPr>
            <w:tcW w:w="408" w:type="dxa"/>
          </w:tcPr>
          <w:p w14:paraId="47421D8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4E74015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0.41 </w:t>
            </w:r>
          </w:p>
        </w:tc>
        <w:tc>
          <w:tcPr>
            <w:tcW w:w="408" w:type="dxa"/>
          </w:tcPr>
          <w:p w14:paraId="53632D2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0.39 </w:t>
            </w:r>
          </w:p>
        </w:tc>
        <w:tc>
          <w:tcPr>
            <w:tcW w:w="408" w:type="dxa"/>
          </w:tcPr>
          <w:p w14:paraId="1EC8423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c>
          <w:tcPr>
            <w:tcW w:w="408" w:type="dxa"/>
          </w:tcPr>
          <w:p w14:paraId="03A19E1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0.39 </w:t>
            </w:r>
          </w:p>
        </w:tc>
        <w:tc>
          <w:tcPr>
            <w:tcW w:w="408" w:type="dxa"/>
          </w:tcPr>
          <w:p w14:paraId="6A3A84D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0.27 </w:t>
            </w:r>
          </w:p>
        </w:tc>
        <w:tc>
          <w:tcPr>
            <w:tcW w:w="408" w:type="dxa"/>
          </w:tcPr>
          <w:p w14:paraId="6207E81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645F204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c>
          <w:tcPr>
            <w:tcW w:w="408" w:type="dxa"/>
          </w:tcPr>
          <w:p w14:paraId="30663BE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5D14ED4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r>
      <w:tr w:rsidR="003B5D21" w:rsidRPr="00EF6D91" w14:paraId="374D693F" w14:textId="77777777" w:rsidTr="003B5D21">
        <w:tc>
          <w:tcPr>
            <w:tcW w:w="406" w:type="dxa"/>
          </w:tcPr>
          <w:p w14:paraId="4846F1A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B111 </w:t>
            </w:r>
          </w:p>
        </w:tc>
        <w:tc>
          <w:tcPr>
            <w:tcW w:w="323" w:type="dxa"/>
          </w:tcPr>
          <w:p w14:paraId="64B28F07" w14:textId="77777777" w:rsidR="003B5D21" w:rsidRPr="00EF6D91" w:rsidRDefault="003B5D21" w:rsidP="0086245C">
            <w:pPr>
              <w:rPr>
                <w:rFonts w:ascii="Times New Roman" w:hAnsi="Times New Roman" w:cs="Times New Roman"/>
                <w:sz w:val="9"/>
                <w:szCs w:val="9"/>
                <w:lang w:val="en-IN"/>
              </w:rPr>
            </w:pPr>
          </w:p>
        </w:tc>
        <w:tc>
          <w:tcPr>
            <w:tcW w:w="378" w:type="dxa"/>
          </w:tcPr>
          <w:p w14:paraId="17C8CB78" w14:textId="77777777" w:rsidR="003B5D21" w:rsidRPr="00EF6D91" w:rsidRDefault="003B5D21" w:rsidP="0086245C">
            <w:pPr>
              <w:rPr>
                <w:rFonts w:ascii="Times New Roman" w:hAnsi="Times New Roman" w:cs="Times New Roman"/>
                <w:sz w:val="9"/>
                <w:szCs w:val="9"/>
                <w:lang w:val="en-IN"/>
              </w:rPr>
            </w:pPr>
          </w:p>
        </w:tc>
        <w:tc>
          <w:tcPr>
            <w:tcW w:w="378" w:type="dxa"/>
          </w:tcPr>
          <w:p w14:paraId="0D327EA2" w14:textId="77777777" w:rsidR="003B5D21" w:rsidRPr="00EF6D91" w:rsidRDefault="003B5D21" w:rsidP="0086245C">
            <w:pPr>
              <w:rPr>
                <w:rFonts w:ascii="Times New Roman" w:hAnsi="Times New Roman" w:cs="Times New Roman"/>
                <w:sz w:val="9"/>
                <w:szCs w:val="9"/>
                <w:lang w:val="en-IN"/>
              </w:rPr>
            </w:pPr>
          </w:p>
        </w:tc>
        <w:tc>
          <w:tcPr>
            <w:tcW w:w="377" w:type="dxa"/>
          </w:tcPr>
          <w:p w14:paraId="6530BDA1" w14:textId="77777777" w:rsidR="003B5D21" w:rsidRPr="00EF6D91" w:rsidRDefault="003B5D21" w:rsidP="0086245C">
            <w:pPr>
              <w:rPr>
                <w:rFonts w:ascii="Times New Roman" w:hAnsi="Times New Roman" w:cs="Times New Roman"/>
                <w:sz w:val="9"/>
                <w:szCs w:val="9"/>
                <w:lang w:val="en-IN"/>
              </w:rPr>
            </w:pPr>
          </w:p>
        </w:tc>
        <w:tc>
          <w:tcPr>
            <w:tcW w:w="376" w:type="dxa"/>
          </w:tcPr>
          <w:p w14:paraId="19E7ACD9" w14:textId="77777777" w:rsidR="003B5D21" w:rsidRPr="00EF6D91" w:rsidRDefault="003B5D21" w:rsidP="0086245C">
            <w:pPr>
              <w:rPr>
                <w:rFonts w:ascii="Times New Roman" w:hAnsi="Times New Roman" w:cs="Times New Roman"/>
                <w:sz w:val="9"/>
                <w:szCs w:val="9"/>
                <w:lang w:val="en-IN"/>
              </w:rPr>
            </w:pPr>
          </w:p>
        </w:tc>
        <w:tc>
          <w:tcPr>
            <w:tcW w:w="376" w:type="dxa"/>
          </w:tcPr>
          <w:p w14:paraId="67DEAEC3" w14:textId="77777777" w:rsidR="003B5D21" w:rsidRPr="00EF6D91" w:rsidRDefault="003B5D21" w:rsidP="0086245C">
            <w:pPr>
              <w:rPr>
                <w:rFonts w:ascii="Times New Roman" w:hAnsi="Times New Roman" w:cs="Times New Roman"/>
                <w:sz w:val="9"/>
                <w:szCs w:val="9"/>
                <w:lang w:val="en-IN"/>
              </w:rPr>
            </w:pPr>
          </w:p>
        </w:tc>
        <w:tc>
          <w:tcPr>
            <w:tcW w:w="376" w:type="dxa"/>
          </w:tcPr>
          <w:p w14:paraId="64E355F0" w14:textId="77777777" w:rsidR="003B5D21" w:rsidRPr="00EF6D91" w:rsidRDefault="003B5D21" w:rsidP="0086245C">
            <w:pPr>
              <w:rPr>
                <w:rFonts w:ascii="Times New Roman" w:hAnsi="Times New Roman" w:cs="Times New Roman"/>
                <w:sz w:val="9"/>
                <w:szCs w:val="9"/>
                <w:lang w:val="en-IN"/>
              </w:rPr>
            </w:pPr>
          </w:p>
        </w:tc>
        <w:tc>
          <w:tcPr>
            <w:tcW w:w="408" w:type="dxa"/>
          </w:tcPr>
          <w:p w14:paraId="0064D5FF" w14:textId="77777777" w:rsidR="003B5D21" w:rsidRPr="00EF6D91" w:rsidRDefault="003B5D21" w:rsidP="0086245C">
            <w:pPr>
              <w:rPr>
                <w:rFonts w:ascii="Times New Roman" w:hAnsi="Times New Roman" w:cs="Times New Roman"/>
                <w:sz w:val="9"/>
                <w:szCs w:val="9"/>
                <w:lang w:val="en-IN"/>
              </w:rPr>
            </w:pPr>
          </w:p>
        </w:tc>
        <w:tc>
          <w:tcPr>
            <w:tcW w:w="408" w:type="dxa"/>
          </w:tcPr>
          <w:p w14:paraId="37724A24" w14:textId="77777777" w:rsidR="003B5D21" w:rsidRPr="00EF6D91" w:rsidRDefault="003B5D21" w:rsidP="0086245C">
            <w:pPr>
              <w:rPr>
                <w:rFonts w:ascii="Times New Roman" w:hAnsi="Times New Roman" w:cs="Times New Roman"/>
                <w:sz w:val="9"/>
                <w:szCs w:val="9"/>
                <w:lang w:val="en-IN"/>
              </w:rPr>
            </w:pPr>
          </w:p>
        </w:tc>
        <w:tc>
          <w:tcPr>
            <w:tcW w:w="408" w:type="dxa"/>
          </w:tcPr>
          <w:p w14:paraId="36930AE4" w14:textId="77777777" w:rsidR="003B5D21" w:rsidRPr="00EF6D91" w:rsidRDefault="003B5D21" w:rsidP="0086245C">
            <w:pPr>
              <w:rPr>
                <w:rFonts w:ascii="Times New Roman" w:hAnsi="Times New Roman" w:cs="Times New Roman"/>
                <w:sz w:val="9"/>
                <w:szCs w:val="9"/>
                <w:lang w:val="en-IN"/>
              </w:rPr>
            </w:pPr>
          </w:p>
        </w:tc>
        <w:tc>
          <w:tcPr>
            <w:tcW w:w="408" w:type="dxa"/>
          </w:tcPr>
          <w:p w14:paraId="42159D7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52462FB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0.44 </w:t>
            </w:r>
          </w:p>
        </w:tc>
        <w:tc>
          <w:tcPr>
            <w:tcW w:w="408" w:type="dxa"/>
          </w:tcPr>
          <w:p w14:paraId="69A0C79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0.40 </w:t>
            </w:r>
          </w:p>
        </w:tc>
        <w:tc>
          <w:tcPr>
            <w:tcW w:w="408" w:type="dxa"/>
          </w:tcPr>
          <w:p w14:paraId="58158C0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0.47 </w:t>
            </w:r>
          </w:p>
        </w:tc>
        <w:tc>
          <w:tcPr>
            <w:tcW w:w="408" w:type="dxa"/>
          </w:tcPr>
          <w:p w14:paraId="4DA8B2E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0.40 </w:t>
            </w:r>
          </w:p>
        </w:tc>
        <w:tc>
          <w:tcPr>
            <w:tcW w:w="408" w:type="dxa"/>
          </w:tcPr>
          <w:p w14:paraId="5BE4AFD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0.34 </w:t>
            </w:r>
          </w:p>
        </w:tc>
        <w:tc>
          <w:tcPr>
            <w:tcW w:w="408" w:type="dxa"/>
          </w:tcPr>
          <w:p w14:paraId="6F39EBF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1C1D88E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c>
          <w:tcPr>
            <w:tcW w:w="408" w:type="dxa"/>
          </w:tcPr>
          <w:p w14:paraId="341974E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4FA6DF9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0.22 </w:t>
            </w:r>
          </w:p>
        </w:tc>
        <w:tc>
          <w:tcPr>
            <w:tcW w:w="408" w:type="dxa"/>
          </w:tcPr>
          <w:p w14:paraId="4FDB9E1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r>
      <w:tr w:rsidR="003B5D21" w:rsidRPr="00EF6D91" w14:paraId="4A8B26E7" w14:textId="77777777" w:rsidTr="003B5D21">
        <w:tc>
          <w:tcPr>
            <w:tcW w:w="406" w:type="dxa"/>
          </w:tcPr>
          <w:p w14:paraId="2FCB5DE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B12 </w:t>
            </w:r>
          </w:p>
        </w:tc>
        <w:tc>
          <w:tcPr>
            <w:tcW w:w="323" w:type="dxa"/>
          </w:tcPr>
          <w:p w14:paraId="27DDE306" w14:textId="77777777" w:rsidR="003B5D21" w:rsidRPr="00EF6D91" w:rsidRDefault="003B5D21" w:rsidP="0086245C">
            <w:pPr>
              <w:rPr>
                <w:rFonts w:ascii="Times New Roman" w:hAnsi="Times New Roman" w:cs="Times New Roman"/>
                <w:sz w:val="9"/>
                <w:szCs w:val="9"/>
                <w:lang w:val="en-IN"/>
              </w:rPr>
            </w:pPr>
          </w:p>
        </w:tc>
        <w:tc>
          <w:tcPr>
            <w:tcW w:w="378" w:type="dxa"/>
          </w:tcPr>
          <w:p w14:paraId="71CB29F9" w14:textId="77777777" w:rsidR="003B5D21" w:rsidRPr="00EF6D91" w:rsidRDefault="003B5D21" w:rsidP="0086245C">
            <w:pPr>
              <w:rPr>
                <w:rFonts w:ascii="Times New Roman" w:hAnsi="Times New Roman" w:cs="Times New Roman"/>
                <w:sz w:val="9"/>
                <w:szCs w:val="9"/>
                <w:lang w:val="en-IN"/>
              </w:rPr>
            </w:pPr>
          </w:p>
        </w:tc>
        <w:tc>
          <w:tcPr>
            <w:tcW w:w="378" w:type="dxa"/>
          </w:tcPr>
          <w:p w14:paraId="1A1621BB" w14:textId="77777777" w:rsidR="003B5D21" w:rsidRPr="00EF6D91" w:rsidRDefault="003B5D21" w:rsidP="0086245C">
            <w:pPr>
              <w:rPr>
                <w:rFonts w:ascii="Times New Roman" w:hAnsi="Times New Roman" w:cs="Times New Roman"/>
                <w:sz w:val="9"/>
                <w:szCs w:val="9"/>
                <w:lang w:val="en-IN"/>
              </w:rPr>
            </w:pPr>
          </w:p>
        </w:tc>
        <w:tc>
          <w:tcPr>
            <w:tcW w:w="377" w:type="dxa"/>
          </w:tcPr>
          <w:p w14:paraId="5E18C88A" w14:textId="77777777" w:rsidR="003B5D21" w:rsidRPr="00EF6D91" w:rsidRDefault="003B5D21" w:rsidP="0086245C">
            <w:pPr>
              <w:rPr>
                <w:rFonts w:ascii="Times New Roman" w:hAnsi="Times New Roman" w:cs="Times New Roman"/>
                <w:sz w:val="9"/>
                <w:szCs w:val="9"/>
                <w:lang w:val="en-IN"/>
              </w:rPr>
            </w:pPr>
          </w:p>
        </w:tc>
        <w:tc>
          <w:tcPr>
            <w:tcW w:w="376" w:type="dxa"/>
          </w:tcPr>
          <w:p w14:paraId="77D24C84" w14:textId="77777777" w:rsidR="003B5D21" w:rsidRPr="00EF6D91" w:rsidRDefault="003B5D21" w:rsidP="0086245C">
            <w:pPr>
              <w:rPr>
                <w:rFonts w:ascii="Times New Roman" w:hAnsi="Times New Roman" w:cs="Times New Roman"/>
                <w:sz w:val="9"/>
                <w:szCs w:val="9"/>
                <w:lang w:val="en-IN"/>
              </w:rPr>
            </w:pPr>
          </w:p>
        </w:tc>
        <w:tc>
          <w:tcPr>
            <w:tcW w:w="376" w:type="dxa"/>
          </w:tcPr>
          <w:p w14:paraId="59CE63DB" w14:textId="77777777" w:rsidR="003B5D21" w:rsidRPr="00EF6D91" w:rsidRDefault="003B5D21" w:rsidP="0086245C">
            <w:pPr>
              <w:rPr>
                <w:rFonts w:ascii="Times New Roman" w:hAnsi="Times New Roman" w:cs="Times New Roman"/>
                <w:sz w:val="9"/>
                <w:szCs w:val="9"/>
                <w:lang w:val="en-IN"/>
              </w:rPr>
            </w:pPr>
          </w:p>
        </w:tc>
        <w:tc>
          <w:tcPr>
            <w:tcW w:w="376" w:type="dxa"/>
          </w:tcPr>
          <w:p w14:paraId="5DD9A4CB" w14:textId="77777777" w:rsidR="003B5D21" w:rsidRPr="00EF6D91" w:rsidRDefault="003B5D21" w:rsidP="0086245C">
            <w:pPr>
              <w:rPr>
                <w:rFonts w:ascii="Times New Roman" w:hAnsi="Times New Roman" w:cs="Times New Roman"/>
                <w:sz w:val="9"/>
                <w:szCs w:val="9"/>
                <w:lang w:val="en-IN"/>
              </w:rPr>
            </w:pPr>
          </w:p>
        </w:tc>
        <w:tc>
          <w:tcPr>
            <w:tcW w:w="408" w:type="dxa"/>
          </w:tcPr>
          <w:p w14:paraId="0193F098" w14:textId="77777777" w:rsidR="003B5D21" w:rsidRPr="00EF6D91" w:rsidRDefault="003B5D21" w:rsidP="0086245C">
            <w:pPr>
              <w:rPr>
                <w:rFonts w:ascii="Times New Roman" w:hAnsi="Times New Roman" w:cs="Times New Roman"/>
                <w:sz w:val="9"/>
                <w:szCs w:val="9"/>
                <w:lang w:val="en-IN"/>
              </w:rPr>
            </w:pPr>
          </w:p>
        </w:tc>
        <w:tc>
          <w:tcPr>
            <w:tcW w:w="408" w:type="dxa"/>
          </w:tcPr>
          <w:p w14:paraId="23819977" w14:textId="77777777" w:rsidR="003B5D21" w:rsidRPr="00EF6D91" w:rsidRDefault="003B5D21" w:rsidP="0086245C">
            <w:pPr>
              <w:rPr>
                <w:rFonts w:ascii="Times New Roman" w:hAnsi="Times New Roman" w:cs="Times New Roman"/>
                <w:sz w:val="9"/>
                <w:szCs w:val="9"/>
                <w:lang w:val="en-IN"/>
              </w:rPr>
            </w:pPr>
          </w:p>
        </w:tc>
        <w:tc>
          <w:tcPr>
            <w:tcW w:w="408" w:type="dxa"/>
          </w:tcPr>
          <w:p w14:paraId="3DE91E15" w14:textId="77777777" w:rsidR="003B5D21" w:rsidRPr="00EF6D91" w:rsidRDefault="003B5D21" w:rsidP="0086245C">
            <w:pPr>
              <w:rPr>
                <w:rFonts w:ascii="Times New Roman" w:hAnsi="Times New Roman" w:cs="Times New Roman"/>
                <w:sz w:val="9"/>
                <w:szCs w:val="9"/>
                <w:lang w:val="en-IN"/>
              </w:rPr>
            </w:pPr>
          </w:p>
        </w:tc>
        <w:tc>
          <w:tcPr>
            <w:tcW w:w="408" w:type="dxa"/>
          </w:tcPr>
          <w:p w14:paraId="3333E548" w14:textId="77777777" w:rsidR="003B5D21" w:rsidRPr="00EF6D91" w:rsidRDefault="003B5D21" w:rsidP="0086245C">
            <w:pPr>
              <w:rPr>
                <w:rFonts w:ascii="Times New Roman" w:hAnsi="Times New Roman" w:cs="Times New Roman"/>
                <w:sz w:val="9"/>
                <w:szCs w:val="9"/>
                <w:lang w:val="en-IN"/>
              </w:rPr>
            </w:pPr>
          </w:p>
        </w:tc>
        <w:tc>
          <w:tcPr>
            <w:tcW w:w="408" w:type="dxa"/>
          </w:tcPr>
          <w:p w14:paraId="68EFCEA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52D6B74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0.54 </w:t>
            </w:r>
          </w:p>
        </w:tc>
        <w:tc>
          <w:tcPr>
            <w:tcW w:w="408" w:type="dxa"/>
          </w:tcPr>
          <w:p w14:paraId="1242E36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0.31 </w:t>
            </w:r>
          </w:p>
        </w:tc>
        <w:tc>
          <w:tcPr>
            <w:tcW w:w="408" w:type="dxa"/>
          </w:tcPr>
          <w:p w14:paraId="2B19FB5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c>
          <w:tcPr>
            <w:tcW w:w="408" w:type="dxa"/>
          </w:tcPr>
          <w:p w14:paraId="1ECC498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0.40 </w:t>
            </w:r>
          </w:p>
        </w:tc>
        <w:tc>
          <w:tcPr>
            <w:tcW w:w="408" w:type="dxa"/>
          </w:tcPr>
          <w:p w14:paraId="1E2D320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c>
          <w:tcPr>
            <w:tcW w:w="408" w:type="dxa"/>
          </w:tcPr>
          <w:p w14:paraId="46E5380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0.25 </w:t>
            </w:r>
          </w:p>
        </w:tc>
        <w:tc>
          <w:tcPr>
            <w:tcW w:w="408" w:type="dxa"/>
          </w:tcPr>
          <w:p w14:paraId="62A2ECD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0.33 </w:t>
            </w:r>
          </w:p>
        </w:tc>
        <w:tc>
          <w:tcPr>
            <w:tcW w:w="408" w:type="dxa"/>
          </w:tcPr>
          <w:p w14:paraId="1F6593F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16EAD8C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0.17 </w:t>
            </w:r>
          </w:p>
        </w:tc>
      </w:tr>
      <w:tr w:rsidR="003B5D21" w:rsidRPr="00EF6D91" w14:paraId="0B01B17E" w14:textId="77777777" w:rsidTr="003B5D21">
        <w:tc>
          <w:tcPr>
            <w:tcW w:w="406" w:type="dxa"/>
          </w:tcPr>
          <w:p w14:paraId="5760593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B13 </w:t>
            </w:r>
          </w:p>
        </w:tc>
        <w:tc>
          <w:tcPr>
            <w:tcW w:w="323" w:type="dxa"/>
          </w:tcPr>
          <w:p w14:paraId="264C5387" w14:textId="77777777" w:rsidR="003B5D21" w:rsidRPr="00EF6D91" w:rsidRDefault="003B5D21" w:rsidP="0086245C">
            <w:pPr>
              <w:rPr>
                <w:rFonts w:ascii="Times New Roman" w:hAnsi="Times New Roman" w:cs="Times New Roman"/>
                <w:sz w:val="9"/>
                <w:szCs w:val="9"/>
                <w:lang w:val="en-IN"/>
              </w:rPr>
            </w:pPr>
          </w:p>
        </w:tc>
        <w:tc>
          <w:tcPr>
            <w:tcW w:w="378" w:type="dxa"/>
          </w:tcPr>
          <w:p w14:paraId="31F59D1C" w14:textId="77777777" w:rsidR="003B5D21" w:rsidRPr="00EF6D91" w:rsidRDefault="003B5D21" w:rsidP="0086245C">
            <w:pPr>
              <w:rPr>
                <w:rFonts w:ascii="Times New Roman" w:hAnsi="Times New Roman" w:cs="Times New Roman"/>
                <w:sz w:val="9"/>
                <w:szCs w:val="9"/>
                <w:lang w:val="en-IN"/>
              </w:rPr>
            </w:pPr>
          </w:p>
        </w:tc>
        <w:tc>
          <w:tcPr>
            <w:tcW w:w="378" w:type="dxa"/>
          </w:tcPr>
          <w:p w14:paraId="36990C05" w14:textId="77777777" w:rsidR="003B5D21" w:rsidRPr="00EF6D91" w:rsidRDefault="003B5D21" w:rsidP="0086245C">
            <w:pPr>
              <w:rPr>
                <w:rFonts w:ascii="Times New Roman" w:hAnsi="Times New Roman" w:cs="Times New Roman"/>
                <w:sz w:val="9"/>
                <w:szCs w:val="9"/>
                <w:lang w:val="en-IN"/>
              </w:rPr>
            </w:pPr>
          </w:p>
        </w:tc>
        <w:tc>
          <w:tcPr>
            <w:tcW w:w="377" w:type="dxa"/>
          </w:tcPr>
          <w:p w14:paraId="286EF548" w14:textId="77777777" w:rsidR="003B5D21" w:rsidRPr="00EF6D91" w:rsidRDefault="003B5D21" w:rsidP="0086245C">
            <w:pPr>
              <w:rPr>
                <w:rFonts w:ascii="Times New Roman" w:hAnsi="Times New Roman" w:cs="Times New Roman"/>
                <w:sz w:val="9"/>
                <w:szCs w:val="9"/>
                <w:lang w:val="en-IN"/>
              </w:rPr>
            </w:pPr>
          </w:p>
        </w:tc>
        <w:tc>
          <w:tcPr>
            <w:tcW w:w="376" w:type="dxa"/>
          </w:tcPr>
          <w:p w14:paraId="43C4A05A" w14:textId="77777777" w:rsidR="003B5D21" w:rsidRPr="00EF6D91" w:rsidRDefault="003B5D21" w:rsidP="0086245C">
            <w:pPr>
              <w:rPr>
                <w:rFonts w:ascii="Times New Roman" w:hAnsi="Times New Roman" w:cs="Times New Roman"/>
                <w:sz w:val="9"/>
                <w:szCs w:val="9"/>
                <w:lang w:val="en-IN"/>
              </w:rPr>
            </w:pPr>
          </w:p>
        </w:tc>
        <w:tc>
          <w:tcPr>
            <w:tcW w:w="376" w:type="dxa"/>
          </w:tcPr>
          <w:p w14:paraId="69486453" w14:textId="77777777" w:rsidR="003B5D21" w:rsidRPr="00EF6D91" w:rsidRDefault="003B5D21" w:rsidP="0086245C">
            <w:pPr>
              <w:rPr>
                <w:rFonts w:ascii="Times New Roman" w:hAnsi="Times New Roman" w:cs="Times New Roman"/>
                <w:sz w:val="9"/>
                <w:szCs w:val="9"/>
                <w:lang w:val="en-IN"/>
              </w:rPr>
            </w:pPr>
          </w:p>
        </w:tc>
        <w:tc>
          <w:tcPr>
            <w:tcW w:w="376" w:type="dxa"/>
          </w:tcPr>
          <w:p w14:paraId="193DB6DF" w14:textId="77777777" w:rsidR="003B5D21" w:rsidRPr="00EF6D91" w:rsidRDefault="003B5D21" w:rsidP="0086245C">
            <w:pPr>
              <w:rPr>
                <w:rFonts w:ascii="Times New Roman" w:hAnsi="Times New Roman" w:cs="Times New Roman"/>
                <w:sz w:val="9"/>
                <w:szCs w:val="9"/>
                <w:lang w:val="en-IN"/>
              </w:rPr>
            </w:pPr>
          </w:p>
        </w:tc>
        <w:tc>
          <w:tcPr>
            <w:tcW w:w="408" w:type="dxa"/>
          </w:tcPr>
          <w:p w14:paraId="6F9D4002" w14:textId="77777777" w:rsidR="003B5D21" w:rsidRPr="00EF6D91" w:rsidRDefault="003B5D21" w:rsidP="0086245C">
            <w:pPr>
              <w:rPr>
                <w:rFonts w:ascii="Times New Roman" w:hAnsi="Times New Roman" w:cs="Times New Roman"/>
                <w:sz w:val="9"/>
                <w:szCs w:val="9"/>
                <w:lang w:val="en-IN"/>
              </w:rPr>
            </w:pPr>
          </w:p>
        </w:tc>
        <w:tc>
          <w:tcPr>
            <w:tcW w:w="408" w:type="dxa"/>
          </w:tcPr>
          <w:p w14:paraId="7EAD7300" w14:textId="77777777" w:rsidR="003B5D21" w:rsidRPr="00EF6D91" w:rsidRDefault="003B5D21" w:rsidP="0086245C">
            <w:pPr>
              <w:rPr>
                <w:rFonts w:ascii="Times New Roman" w:hAnsi="Times New Roman" w:cs="Times New Roman"/>
                <w:sz w:val="9"/>
                <w:szCs w:val="9"/>
                <w:lang w:val="en-IN"/>
              </w:rPr>
            </w:pPr>
          </w:p>
        </w:tc>
        <w:tc>
          <w:tcPr>
            <w:tcW w:w="408" w:type="dxa"/>
          </w:tcPr>
          <w:p w14:paraId="5F21C4F4" w14:textId="77777777" w:rsidR="003B5D21" w:rsidRPr="00EF6D91" w:rsidRDefault="003B5D21" w:rsidP="0086245C">
            <w:pPr>
              <w:rPr>
                <w:rFonts w:ascii="Times New Roman" w:hAnsi="Times New Roman" w:cs="Times New Roman"/>
                <w:sz w:val="9"/>
                <w:szCs w:val="9"/>
                <w:lang w:val="en-IN"/>
              </w:rPr>
            </w:pPr>
          </w:p>
        </w:tc>
        <w:tc>
          <w:tcPr>
            <w:tcW w:w="408" w:type="dxa"/>
          </w:tcPr>
          <w:p w14:paraId="2D8DAB85" w14:textId="77777777" w:rsidR="003B5D21" w:rsidRPr="00EF6D91" w:rsidRDefault="003B5D21" w:rsidP="0086245C">
            <w:pPr>
              <w:rPr>
                <w:rFonts w:ascii="Times New Roman" w:hAnsi="Times New Roman" w:cs="Times New Roman"/>
                <w:sz w:val="9"/>
                <w:szCs w:val="9"/>
                <w:lang w:val="en-IN"/>
              </w:rPr>
            </w:pPr>
          </w:p>
        </w:tc>
        <w:tc>
          <w:tcPr>
            <w:tcW w:w="408" w:type="dxa"/>
          </w:tcPr>
          <w:p w14:paraId="2EF9CFDB" w14:textId="77777777" w:rsidR="003B5D21" w:rsidRPr="00EF6D91" w:rsidRDefault="003B5D21" w:rsidP="0086245C">
            <w:pPr>
              <w:rPr>
                <w:rFonts w:ascii="Times New Roman" w:hAnsi="Times New Roman" w:cs="Times New Roman"/>
                <w:sz w:val="9"/>
                <w:szCs w:val="9"/>
                <w:lang w:val="en-IN"/>
              </w:rPr>
            </w:pPr>
          </w:p>
        </w:tc>
        <w:tc>
          <w:tcPr>
            <w:tcW w:w="408" w:type="dxa"/>
          </w:tcPr>
          <w:p w14:paraId="40A7C36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7F00EF4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0.35 </w:t>
            </w:r>
          </w:p>
        </w:tc>
        <w:tc>
          <w:tcPr>
            <w:tcW w:w="408" w:type="dxa"/>
          </w:tcPr>
          <w:p w14:paraId="61E8905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 </w:t>
            </w:r>
          </w:p>
        </w:tc>
        <w:tc>
          <w:tcPr>
            <w:tcW w:w="408" w:type="dxa"/>
          </w:tcPr>
          <w:p w14:paraId="31F57AA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0.45 </w:t>
            </w:r>
          </w:p>
        </w:tc>
        <w:tc>
          <w:tcPr>
            <w:tcW w:w="408" w:type="dxa"/>
          </w:tcPr>
          <w:p w14:paraId="316FED0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0.34 </w:t>
            </w:r>
          </w:p>
        </w:tc>
        <w:tc>
          <w:tcPr>
            <w:tcW w:w="408" w:type="dxa"/>
          </w:tcPr>
          <w:p w14:paraId="2DE4150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2206B8C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0.34 </w:t>
            </w:r>
          </w:p>
        </w:tc>
        <w:tc>
          <w:tcPr>
            <w:tcW w:w="408" w:type="dxa"/>
          </w:tcPr>
          <w:p w14:paraId="76EC90D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0.14 </w:t>
            </w:r>
          </w:p>
        </w:tc>
        <w:tc>
          <w:tcPr>
            <w:tcW w:w="408" w:type="dxa"/>
          </w:tcPr>
          <w:p w14:paraId="6C7CCE4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0.23 </w:t>
            </w:r>
          </w:p>
        </w:tc>
      </w:tr>
      <w:tr w:rsidR="003B5D21" w:rsidRPr="00EF6D91" w14:paraId="7A57CE8A" w14:textId="77777777" w:rsidTr="003B5D21">
        <w:tc>
          <w:tcPr>
            <w:tcW w:w="406" w:type="dxa"/>
          </w:tcPr>
          <w:p w14:paraId="5B02D775"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B14 </w:t>
            </w:r>
          </w:p>
        </w:tc>
        <w:tc>
          <w:tcPr>
            <w:tcW w:w="323" w:type="dxa"/>
          </w:tcPr>
          <w:p w14:paraId="1710958C" w14:textId="77777777" w:rsidR="003B5D21" w:rsidRPr="00EF6D91" w:rsidRDefault="003B5D21" w:rsidP="0086245C">
            <w:pPr>
              <w:rPr>
                <w:rFonts w:ascii="Times New Roman" w:hAnsi="Times New Roman" w:cs="Times New Roman"/>
                <w:sz w:val="9"/>
                <w:szCs w:val="9"/>
                <w:lang w:val="en-IN"/>
              </w:rPr>
            </w:pPr>
          </w:p>
        </w:tc>
        <w:tc>
          <w:tcPr>
            <w:tcW w:w="378" w:type="dxa"/>
          </w:tcPr>
          <w:p w14:paraId="7DD089A6" w14:textId="77777777" w:rsidR="003B5D21" w:rsidRPr="00EF6D91" w:rsidRDefault="003B5D21" w:rsidP="0086245C">
            <w:pPr>
              <w:rPr>
                <w:rFonts w:ascii="Times New Roman" w:hAnsi="Times New Roman" w:cs="Times New Roman"/>
                <w:sz w:val="9"/>
                <w:szCs w:val="9"/>
                <w:lang w:val="en-IN"/>
              </w:rPr>
            </w:pPr>
          </w:p>
        </w:tc>
        <w:tc>
          <w:tcPr>
            <w:tcW w:w="378" w:type="dxa"/>
          </w:tcPr>
          <w:p w14:paraId="443D9FD0" w14:textId="77777777" w:rsidR="003B5D21" w:rsidRPr="00EF6D91" w:rsidRDefault="003B5D21" w:rsidP="0086245C">
            <w:pPr>
              <w:rPr>
                <w:rFonts w:ascii="Times New Roman" w:hAnsi="Times New Roman" w:cs="Times New Roman"/>
                <w:sz w:val="9"/>
                <w:szCs w:val="9"/>
                <w:lang w:val="en-IN"/>
              </w:rPr>
            </w:pPr>
          </w:p>
        </w:tc>
        <w:tc>
          <w:tcPr>
            <w:tcW w:w="377" w:type="dxa"/>
          </w:tcPr>
          <w:p w14:paraId="0B28C7CE" w14:textId="77777777" w:rsidR="003B5D21" w:rsidRPr="00EF6D91" w:rsidRDefault="003B5D21" w:rsidP="0086245C">
            <w:pPr>
              <w:rPr>
                <w:rFonts w:ascii="Times New Roman" w:hAnsi="Times New Roman" w:cs="Times New Roman"/>
                <w:sz w:val="9"/>
                <w:szCs w:val="9"/>
                <w:lang w:val="en-IN"/>
              </w:rPr>
            </w:pPr>
          </w:p>
        </w:tc>
        <w:tc>
          <w:tcPr>
            <w:tcW w:w="376" w:type="dxa"/>
          </w:tcPr>
          <w:p w14:paraId="3685EA20" w14:textId="77777777" w:rsidR="003B5D21" w:rsidRPr="00EF6D91" w:rsidRDefault="003B5D21" w:rsidP="0086245C">
            <w:pPr>
              <w:rPr>
                <w:rFonts w:ascii="Times New Roman" w:hAnsi="Times New Roman" w:cs="Times New Roman"/>
                <w:sz w:val="9"/>
                <w:szCs w:val="9"/>
                <w:lang w:val="en-IN"/>
              </w:rPr>
            </w:pPr>
          </w:p>
        </w:tc>
        <w:tc>
          <w:tcPr>
            <w:tcW w:w="376" w:type="dxa"/>
          </w:tcPr>
          <w:p w14:paraId="4A73A19F" w14:textId="77777777" w:rsidR="003B5D21" w:rsidRPr="00EF6D91" w:rsidRDefault="003B5D21" w:rsidP="0086245C">
            <w:pPr>
              <w:rPr>
                <w:rFonts w:ascii="Times New Roman" w:hAnsi="Times New Roman" w:cs="Times New Roman"/>
                <w:sz w:val="9"/>
                <w:szCs w:val="9"/>
                <w:lang w:val="en-IN"/>
              </w:rPr>
            </w:pPr>
          </w:p>
        </w:tc>
        <w:tc>
          <w:tcPr>
            <w:tcW w:w="376" w:type="dxa"/>
          </w:tcPr>
          <w:p w14:paraId="510C1BFD" w14:textId="77777777" w:rsidR="003B5D21" w:rsidRPr="00EF6D91" w:rsidRDefault="003B5D21" w:rsidP="0086245C">
            <w:pPr>
              <w:rPr>
                <w:rFonts w:ascii="Times New Roman" w:hAnsi="Times New Roman" w:cs="Times New Roman"/>
                <w:sz w:val="9"/>
                <w:szCs w:val="9"/>
                <w:lang w:val="en-IN"/>
              </w:rPr>
            </w:pPr>
          </w:p>
        </w:tc>
        <w:tc>
          <w:tcPr>
            <w:tcW w:w="408" w:type="dxa"/>
          </w:tcPr>
          <w:p w14:paraId="589AA0D6" w14:textId="77777777" w:rsidR="003B5D21" w:rsidRPr="00EF6D91" w:rsidRDefault="003B5D21" w:rsidP="0086245C">
            <w:pPr>
              <w:rPr>
                <w:rFonts w:ascii="Times New Roman" w:hAnsi="Times New Roman" w:cs="Times New Roman"/>
                <w:sz w:val="9"/>
                <w:szCs w:val="9"/>
                <w:lang w:val="en-IN"/>
              </w:rPr>
            </w:pPr>
          </w:p>
        </w:tc>
        <w:tc>
          <w:tcPr>
            <w:tcW w:w="408" w:type="dxa"/>
          </w:tcPr>
          <w:p w14:paraId="3F19091C" w14:textId="77777777" w:rsidR="003B5D21" w:rsidRPr="00EF6D91" w:rsidRDefault="003B5D21" w:rsidP="0086245C">
            <w:pPr>
              <w:rPr>
                <w:rFonts w:ascii="Times New Roman" w:hAnsi="Times New Roman" w:cs="Times New Roman"/>
                <w:sz w:val="9"/>
                <w:szCs w:val="9"/>
                <w:lang w:val="en-IN"/>
              </w:rPr>
            </w:pPr>
          </w:p>
        </w:tc>
        <w:tc>
          <w:tcPr>
            <w:tcW w:w="408" w:type="dxa"/>
          </w:tcPr>
          <w:p w14:paraId="3E7F4912" w14:textId="77777777" w:rsidR="003B5D21" w:rsidRPr="00EF6D91" w:rsidRDefault="003B5D21" w:rsidP="0086245C">
            <w:pPr>
              <w:rPr>
                <w:rFonts w:ascii="Times New Roman" w:hAnsi="Times New Roman" w:cs="Times New Roman"/>
                <w:sz w:val="9"/>
                <w:szCs w:val="9"/>
                <w:lang w:val="en-IN"/>
              </w:rPr>
            </w:pPr>
          </w:p>
        </w:tc>
        <w:tc>
          <w:tcPr>
            <w:tcW w:w="408" w:type="dxa"/>
          </w:tcPr>
          <w:p w14:paraId="3422FF79" w14:textId="77777777" w:rsidR="003B5D21" w:rsidRPr="00EF6D91" w:rsidRDefault="003B5D21" w:rsidP="0086245C">
            <w:pPr>
              <w:rPr>
                <w:rFonts w:ascii="Times New Roman" w:hAnsi="Times New Roman" w:cs="Times New Roman"/>
                <w:sz w:val="9"/>
                <w:szCs w:val="9"/>
                <w:lang w:val="en-IN"/>
              </w:rPr>
            </w:pPr>
          </w:p>
        </w:tc>
        <w:tc>
          <w:tcPr>
            <w:tcW w:w="408" w:type="dxa"/>
          </w:tcPr>
          <w:p w14:paraId="3DAF86D2" w14:textId="77777777" w:rsidR="003B5D21" w:rsidRPr="00EF6D91" w:rsidRDefault="003B5D21" w:rsidP="0086245C">
            <w:pPr>
              <w:rPr>
                <w:rFonts w:ascii="Times New Roman" w:hAnsi="Times New Roman" w:cs="Times New Roman"/>
                <w:sz w:val="9"/>
                <w:szCs w:val="9"/>
                <w:lang w:val="en-IN"/>
              </w:rPr>
            </w:pPr>
          </w:p>
        </w:tc>
        <w:tc>
          <w:tcPr>
            <w:tcW w:w="408" w:type="dxa"/>
          </w:tcPr>
          <w:p w14:paraId="11D3F32B" w14:textId="77777777" w:rsidR="003B5D21" w:rsidRPr="00EF6D91" w:rsidRDefault="003B5D21" w:rsidP="0086245C">
            <w:pPr>
              <w:rPr>
                <w:rFonts w:ascii="Times New Roman" w:hAnsi="Times New Roman" w:cs="Times New Roman"/>
                <w:sz w:val="9"/>
                <w:szCs w:val="9"/>
                <w:lang w:val="en-IN"/>
              </w:rPr>
            </w:pPr>
          </w:p>
        </w:tc>
        <w:tc>
          <w:tcPr>
            <w:tcW w:w="408" w:type="dxa"/>
          </w:tcPr>
          <w:p w14:paraId="0B247A0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116A74B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0.28 </w:t>
            </w:r>
          </w:p>
        </w:tc>
        <w:tc>
          <w:tcPr>
            <w:tcW w:w="408" w:type="dxa"/>
          </w:tcPr>
          <w:p w14:paraId="3C0BD12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0.39 </w:t>
            </w:r>
          </w:p>
        </w:tc>
        <w:tc>
          <w:tcPr>
            <w:tcW w:w="408" w:type="dxa"/>
          </w:tcPr>
          <w:p w14:paraId="2C6425C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0.10 </w:t>
            </w:r>
          </w:p>
        </w:tc>
        <w:tc>
          <w:tcPr>
            <w:tcW w:w="408" w:type="dxa"/>
          </w:tcPr>
          <w:p w14:paraId="190B18B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0.06 </w:t>
            </w:r>
          </w:p>
        </w:tc>
        <w:tc>
          <w:tcPr>
            <w:tcW w:w="408" w:type="dxa"/>
          </w:tcPr>
          <w:p w14:paraId="59C100B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0.20 </w:t>
            </w:r>
          </w:p>
        </w:tc>
        <w:tc>
          <w:tcPr>
            <w:tcW w:w="408" w:type="dxa"/>
          </w:tcPr>
          <w:p w14:paraId="5C46836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0.11 </w:t>
            </w:r>
          </w:p>
        </w:tc>
        <w:tc>
          <w:tcPr>
            <w:tcW w:w="408" w:type="dxa"/>
          </w:tcPr>
          <w:p w14:paraId="182C662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0.00 </w:t>
            </w:r>
          </w:p>
        </w:tc>
      </w:tr>
      <w:tr w:rsidR="003B5D21" w:rsidRPr="00EF6D91" w14:paraId="15AF3A8B" w14:textId="77777777" w:rsidTr="003B5D21">
        <w:tc>
          <w:tcPr>
            <w:tcW w:w="406" w:type="dxa"/>
          </w:tcPr>
          <w:p w14:paraId="159B855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B15 </w:t>
            </w:r>
          </w:p>
        </w:tc>
        <w:tc>
          <w:tcPr>
            <w:tcW w:w="323" w:type="dxa"/>
          </w:tcPr>
          <w:p w14:paraId="0A56073D" w14:textId="77777777" w:rsidR="003B5D21" w:rsidRPr="00EF6D91" w:rsidRDefault="003B5D21" w:rsidP="0086245C">
            <w:pPr>
              <w:rPr>
                <w:rFonts w:ascii="Times New Roman" w:hAnsi="Times New Roman" w:cs="Times New Roman"/>
                <w:sz w:val="9"/>
                <w:szCs w:val="9"/>
                <w:lang w:val="en-IN"/>
              </w:rPr>
            </w:pPr>
          </w:p>
        </w:tc>
        <w:tc>
          <w:tcPr>
            <w:tcW w:w="378" w:type="dxa"/>
          </w:tcPr>
          <w:p w14:paraId="075C13EB" w14:textId="77777777" w:rsidR="003B5D21" w:rsidRPr="00EF6D91" w:rsidRDefault="003B5D21" w:rsidP="0086245C">
            <w:pPr>
              <w:rPr>
                <w:rFonts w:ascii="Times New Roman" w:hAnsi="Times New Roman" w:cs="Times New Roman"/>
                <w:sz w:val="9"/>
                <w:szCs w:val="9"/>
                <w:lang w:val="en-IN"/>
              </w:rPr>
            </w:pPr>
          </w:p>
        </w:tc>
        <w:tc>
          <w:tcPr>
            <w:tcW w:w="378" w:type="dxa"/>
          </w:tcPr>
          <w:p w14:paraId="7274E2B4" w14:textId="77777777" w:rsidR="003B5D21" w:rsidRPr="00EF6D91" w:rsidRDefault="003B5D21" w:rsidP="0086245C">
            <w:pPr>
              <w:rPr>
                <w:rFonts w:ascii="Times New Roman" w:hAnsi="Times New Roman" w:cs="Times New Roman"/>
                <w:sz w:val="9"/>
                <w:szCs w:val="9"/>
                <w:lang w:val="en-IN"/>
              </w:rPr>
            </w:pPr>
          </w:p>
        </w:tc>
        <w:tc>
          <w:tcPr>
            <w:tcW w:w="377" w:type="dxa"/>
          </w:tcPr>
          <w:p w14:paraId="092A0669" w14:textId="77777777" w:rsidR="003B5D21" w:rsidRPr="00EF6D91" w:rsidRDefault="003B5D21" w:rsidP="0086245C">
            <w:pPr>
              <w:rPr>
                <w:rFonts w:ascii="Times New Roman" w:hAnsi="Times New Roman" w:cs="Times New Roman"/>
                <w:sz w:val="9"/>
                <w:szCs w:val="9"/>
                <w:lang w:val="en-IN"/>
              </w:rPr>
            </w:pPr>
          </w:p>
        </w:tc>
        <w:tc>
          <w:tcPr>
            <w:tcW w:w="376" w:type="dxa"/>
          </w:tcPr>
          <w:p w14:paraId="2C4496BA" w14:textId="77777777" w:rsidR="003B5D21" w:rsidRPr="00EF6D91" w:rsidRDefault="003B5D21" w:rsidP="0086245C">
            <w:pPr>
              <w:rPr>
                <w:rFonts w:ascii="Times New Roman" w:hAnsi="Times New Roman" w:cs="Times New Roman"/>
                <w:sz w:val="9"/>
                <w:szCs w:val="9"/>
                <w:lang w:val="en-IN"/>
              </w:rPr>
            </w:pPr>
          </w:p>
        </w:tc>
        <w:tc>
          <w:tcPr>
            <w:tcW w:w="376" w:type="dxa"/>
          </w:tcPr>
          <w:p w14:paraId="5E573A54" w14:textId="77777777" w:rsidR="003B5D21" w:rsidRPr="00EF6D91" w:rsidRDefault="003B5D21" w:rsidP="0086245C">
            <w:pPr>
              <w:rPr>
                <w:rFonts w:ascii="Times New Roman" w:hAnsi="Times New Roman" w:cs="Times New Roman"/>
                <w:sz w:val="9"/>
                <w:szCs w:val="9"/>
                <w:lang w:val="en-IN"/>
              </w:rPr>
            </w:pPr>
          </w:p>
        </w:tc>
        <w:tc>
          <w:tcPr>
            <w:tcW w:w="376" w:type="dxa"/>
          </w:tcPr>
          <w:p w14:paraId="5365A3C6" w14:textId="77777777" w:rsidR="003B5D21" w:rsidRPr="00EF6D91" w:rsidRDefault="003B5D21" w:rsidP="0086245C">
            <w:pPr>
              <w:rPr>
                <w:rFonts w:ascii="Times New Roman" w:hAnsi="Times New Roman" w:cs="Times New Roman"/>
                <w:sz w:val="9"/>
                <w:szCs w:val="9"/>
                <w:lang w:val="en-IN"/>
              </w:rPr>
            </w:pPr>
          </w:p>
        </w:tc>
        <w:tc>
          <w:tcPr>
            <w:tcW w:w="408" w:type="dxa"/>
          </w:tcPr>
          <w:p w14:paraId="7D48B50C" w14:textId="77777777" w:rsidR="003B5D21" w:rsidRPr="00EF6D91" w:rsidRDefault="003B5D21" w:rsidP="0086245C">
            <w:pPr>
              <w:rPr>
                <w:rFonts w:ascii="Times New Roman" w:hAnsi="Times New Roman" w:cs="Times New Roman"/>
                <w:sz w:val="9"/>
                <w:szCs w:val="9"/>
                <w:lang w:val="en-IN"/>
              </w:rPr>
            </w:pPr>
          </w:p>
        </w:tc>
        <w:tc>
          <w:tcPr>
            <w:tcW w:w="408" w:type="dxa"/>
          </w:tcPr>
          <w:p w14:paraId="6956908E" w14:textId="77777777" w:rsidR="003B5D21" w:rsidRPr="00EF6D91" w:rsidRDefault="003B5D21" w:rsidP="0086245C">
            <w:pPr>
              <w:rPr>
                <w:rFonts w:ascii="Times New Roman" w:hAnsi="Times New Roman" w:cs="Times New Roman"/>
                <w:sz w:val="9"/>
                <w:szCs w:val="9"/>
                <w:lang w:val="en-IN"/>
              </w:rPr>
            </w:pPr>
          </w:p>
        </w:tc>
        <w:tc>
          <w:tcPr>
            <w:tcW w:w="408" w:type="dxa"/>
          </w:tcPr>
          <w:p w14:paraId="38F499E3" w14:textId="77777777" w:rsidR="003B5D21" w:rsidRPr="00EF6D91" w:rsidRDefault="003B5D21" w:rsidP="0086245C">
            <w:pPr>
              <w:rPr>
                <w:rFonts w:ascii="Times New Roman" w:hAnsi="Times New Roman" w:cs="Times New Roman"/>
                <w:sz w:val="9"/>
                <w:szCs w:val="9"/>
                <w:lang w:val="en-IN"/>
              </w:rPr>
            </w:pPr>
          </w:p>
        </w:tc>
        <w:tc>
          <w:tcPr>
            <w:tcW w:w="408" w:type="dxa"/>
          </w:tcPr>
          <w:p w14:paraId="1AC06E70" w14:textId="77777777" w:rsidR="003B5D21" w:rsidRPr="00EF6D91" w:rsidRDefault="003B5D21" w:rsidP="0086245C">
            <w:pPr>
              <w:rPr>
                <w:rFonts w:ascii="Times New Roman" w:hAnsi="Times New Roman" w:cs="Times New Roman"/>
                <w:sz w:val="9"/>
                <w:szCs w:val="9"/>
                <w:lang w:val="en-IN"/>
              </w:rPr>
            </w:pPr>
          </w:p>
        </w:tc>
        <w:tc>
          <w:tcPr>
            <w:tcW w:w="408" w:type="dxa"/>
          </w:tcPr>
          <w:p w14:paraId="6359716A" w14:textId="77777777" w:rsidR="003B5D21" w:rsidRPr="00EF6D91" w:rsidRDefault="003B5D21" w:rsidP="0086245C">
            <w:pPr>
              <w:rPr>
                <w:rFonts w:ascii="Times New Roman" w:hAnsi="Times New Roman" w:cs="Times New Roman"/>
                <w:sz w:val="9"/>
                <w:szCs w:val="9"/>
                <w:lang w:val="en-IN"/>
              </w:rPr>
            </w:pPr>
          </w:p>
        </w:tc>
        <w:tc>
          <w:tcPr>
            <w:tcW w:w="408" w:type="dxa"/>
          </w:tcPr>
          <w:p w14:paraId="7960C838" w14:textId="77777777" w:rsidR="003B5D21" w:rsidRPr="00EF6D91" w:rsidRDefault="003B5D21" w:rsidP="0086245C">
            <w:pPr>
              <w:rPr>
                <w:rFonts w:ascii="Times New Roman" w:hAnsi="Times New Roman" w:cs="Times New Roman"/>
                <w:sz w:val="9"/>
                <w:szCs w:val="9"/>
                <w:lang w:val="en-IN"/>
              </w:rPr>
            </w:pPr>
          </w:p>
        </w:tc>
        <w:tc>
          <w:tcPr>
            <w:tcW w:w="408" w:type="dxa"/>
          </w:tcPr>
          <w:p w14:paraId="10EE0EF2" w14:textId="77777777" w:rsidR="003B5D21" w:rsidRPr="00EF6D91" w:rsidRDefault="003B5D21" w:rsidP="0086245C">
            <w:pPr>
              <w:rPr>
                <w:rFonts w:ascii="Times New Roman" w:hAnsi="Times New Roman" w:cs="Times New Roman"/>
                <w:sz w:val="9"/>
                <w:szCs w:val="9"/>
                <w:lang w:val="en-IN"/>
              </w:rPr>
            </w:pPr>
          </w:p>
        </w:tc>
        <w:tc>
          <w:tcPr>
            <w:tcW w:w="408" w:type="dxa"/>
          </w:tcPr>
          <w:p w14:paraId="17C02478"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4143DF2B"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0.56 </w:t>
            </w:r>
          </w:p>
        </w:tc>
        <w:tc>
          <w:tcPr>
            <w:tcW w:w="408" w:type="dxa"/>
          </w:tcPr>
          <w:p w14:paraId="63D54AB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0.21 </w:t>
            </w:r>
          </w:p>
        </w:tc>
        <w:tc>
          <w:tcPr>
            <w:tcW w:w="408" w:type="dxa"/>
          </w:tcPr>
          <w:p w14:paraId="08A01D02"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0.16 </w:t>
            </w:r>
          </w:p>
        </w:tc>
        <w:tc>
          <w:tcPr>
            <w:tcW w:w="408" w:type="dxa"/>
          </w:tcPr>
          <w:p w14:paraId="018596FE"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0.30 </w:t>
            </w:r>
          </w:p>
        </w:tc>
        <w:tc>
          <w:tcPr>
            <w:tcW w:w="408" w:type="dxa"/>
          </w:tcPr>
          <w:p w14:paraId="7CFE49C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0.11 </w:t>
            </w:r>
          </w:p>
        </w:tc>
        <w:tc>
          <w:tcPr>
            <w:tcW w:w="408" w:type="dxa"/>
          </w:tcPr>
          <w:p w14:paraId="4260C696"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0.47 </w:t>
            </w:r>
          </w:p>
        </w:tc>
      </w:tr>
      <w:tr w:rsidR="003B5D21" w:rsidRPr="00EF6D91" w14:paraId="03B9570D" w14:textId="77777777" w:rsidTr="003B5D21">
        <w:tc>
          <w:tcPr>
            <w:tcW w:w="406" w:type="dxa"/>
          </w:tcPr>
          <w:p w14:paraId="7E6595F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B16 </w:t>
            </w:r>
          </w:p>
        </w:tc>
        <w:tc>
          <w:tcPr>
            <w:tcW w:w="323" w:type="dxa"/>
          </w:tcPr>
          <w:p w14:paraId="1A385DFC" w14:textId="77777777" w:rsidR="003B5D21" w:rsidRPr="00EF6D91" w:rsidRDefault="003B5D21" w:rsidP="0086245C">
            <w:pPr>
              <w:rPr>
                <w:rFonts w:ascii="Times New Roman" w:hAnsi="Times New Roman" w:cs="Times New Roman"/>
                <w:sz w:val="9"/>
                <w:szCs w:val="9"/>
                <w:lang w:val="en-IN"/>
              </w:rPr>
            </w:pPr>
          </w:p>
        </w:tc>
        <w:tc>
          <w:tcPr>
            <w:tcW w:w="378" w:type="dxa"/>
          </w:tcPr>
          <w:p w14:paraId="13E50A97" w14:textId="77777777" w:rsidR="003B5D21" w:rsidRPr="00EF6D91" w:rsidRDefault="003B5D21" w:rsidP="0086245C">
            <w:pPr>
              <w:rPr>
                <w:rFonts w:ascii="Times New Roman" w:hAnsi="Times New Roman" w:cs="Times New Roman"/>
                <w:sz w:val="9"/>
                <w:szCs w:val="9"/>
                <w:lang w:val="en-IN"/>
              </w:rPr>
            </w:pPr>
          </w:p>
        </w:tc>
        <w:tc>
          <w:tcPr>
            <w:tcW w:w="378" w:type="dxa"/>
          </w:tcPr>
          <w:p w14:paraId="54D40551" w14:textId="77777777" w:rsidR="003B5D21" w:rsidRPr="00EF6D91" w:rsidRDefault="003B5D21" w:rsidP="0086245C">
            <w:pPr>
              <w:rPr>
                <w:rFonts w:ascii="Times New Roman" w:hAnsi="Times New Roman" w:cs="Times New Roman"/>
                <w:sz w:val="9"/>
                <w:szCs w:val="9"/>
                <w:lang w:val="en-IN"/>
              </w:rPr>
            </w:pPr>
          </w:p>
        </w:tc>
        <w:tc>
          <w:tcPr>
            <w:tcW w:w="377" w:type="dxa"/>
          </w:tcPr>
          <w:p w14:paraId="64DCD2AF" w14:textId="77777777" w:rsidR="003B5D21" w:rsidRPr="00EF6D91" w:rsidRDefault="003B5D21" w:rsidP="0086245C">
            <w:pPr>
              <w:rPr>
                <w:rFonts w:ascii="Times New Roman" w:hAnsi="Times New Roman" w:cs="Times New Roman"/>
                <w:sz w:val="9"/>
                <w:szCs w:val="9"/>
                <w:lang w:val="en-IN"/>
              </w:rPr>
            </w:pPr>
          </w:p>
        </w:tc>
        <w:tc>
          <w:tcPr>
            <w:tcW w:w="376" w:type="dxa"/>
          </w:tcPr>
          <w:p w14:paraId="068B70C0" w14:textId="77777777" w:rsidR="003B5D21" w:rsidRPr="00EF6D91" w:rsidRDefault="003B5D21" w:rsidP="0086245C">
            <w:pPr>
              <w:rPr>
                <w:rFonts w:ascii="Times New Roman" w:hAnsi="Times New Roman" w:cs="Times New Roman"/>
                <w:sz w:val="9"/>
                <w:szCs w:val="9"/>
                <w:lang w:val="en-IN"/>
              </w:rPr>
            </w:pPr>
          </w:p>
        </w:tc>
        <w:tc>
          <w:tcPr>
            <w:tcW w:w="376" w:type="dxa"/>
          </w:tcPr>
          <w:p w14:paraId="2E711BD1" w14:textId="77777777" w:rsidR="003B5D21" w:rsidRPr="00EF6D91" w:rsidRDefault="003B5D21" w:rsidP="0086245C">
            <w:pPr>
              <w:rPr>
                <w:rFonts w:ascii="Times New Roman" w:hAnsi="Times New Roman" w:cs="Times New Roman"/>
                <w:sz w:val="9"/>
                <w:szCs w:val="9"/>
                <w:lang w:val="en-IN"/>
              </w:rPr>
            </w:pPr>
          </w:p>
        </w:tc>
        <w:tc>
          <w:tcPr>
            <w:tcW w:w="376" w:type="dxa"/>
          </w:tcPr>
          <w:p w14:paraId="4444DEE4" w14:textId="77777777" w:rsidR="003B5D21" w:rsidRPr="00EF6D91" w:rsidRDefault="003B5D21" w:rsidP="0086245C">
            <w:pPr>
              <w:rPr>
                <w:rFonts w:ascii="Times New Roman" w:hAnsi="Times New Roman" w:cs="Times New Roman"/>
                <w:sz w:val="9"/>
                <w:szCs w:val="9"/>
                <w:lang w:val="en-IN"/>
              </w:rPr>
            </w:pPr>
          </w:p>
        </w:tc>
        <w:tc>
          <w:tcPr>
            <w:tcW w:w="408" w:type="dxa"/>
          </w:tcPr>
          <w:p w14:paraId="2127B2FD" w14:textId="77777777" w:rsidR="003B5D21" w:rsidRPr="00EF6D91" w:rsidRDefault="003B5D21" w:rsidP="0086245C">
            <w:pPr>
              <w:rPr>
                <w:rFonts w:ascii="Times New Roman" w:hAnsi="Times New Roman" w:cs="Times New Roman"/>
                <w:sz w:val="9"/>
                <w:szCs w:val="9"/>
                <w:lang w:val="en-IN"/>
              </w:rPr>
            </w:pPr>
          </w:p>
        </w:tc>
        <w:tc>
          <w:tcPr>
            <w:tcW w:w="408" w:type="dxa"/>
          </w:tcPr>
          <w:p w14:paraId="0B0A4571" w14:textId="77777777" w:rsidR="003B5D21" w:rsidRPr="00EF6D91" w:rsidRDefault="003B5D21" w:rsidP="0086245C">
            <w:pPr>
              <w:rPr>
                <w:rFonts w:ascii="Times New Roman" w:hAnsi="Times New Roman" w:cs="Times New Roman"/>
                <w:sz w:val="9"/>
                <w:szCs w:val="9"/>
                <w:lang w:val="en-IN"/>
              </w:rPr>
            </w:pPr>
          </w:p>
        </w:tc>
        <w:tc>
          <w:tcPr>
            <w:tcW w:w="408" w:type="dxa"/>
          </w:tcPr>
          <w:p w14:paraId="2416B600" w14:textId="77777777" w:rsidR="003B5D21" w:rsidRPr="00EF6D91" w:rsidRDefault="003B5D21" w:rsidP="0086245C">
            <w:pPr>
              <w:rPr>
                <w:rFonts w:ascii="Times New Roman" w:hAnsi="Times New Roman" w:cs="Times New Roman"/>
                <w:sz w:val="9"/>
                <w:szCs w:val="9"/>
                <w:lang w:val="en-IN"/>
              </w:rPr>
            </w:pPr>
          </w:p>
        </w:tc>
        <w:tc>
          <w:tcPr>
            <w:tcW w:w="408" w:type="dxa"/>
          </w:tcPr>
          <w:p w14:paraId="1650EF73" w14:textId="77777777" w:rsidR="003B5D21" w:rsidRPr="00EF6D91" w:rsidRDefault="003B5D21" w:rsidP="0086245C">
            <w:pPr>
              <w:rPr>
                <w:rFonts w:ascii="Times New Roman" w:hAnsi="Times New Roman" w:cs="Times New Roman"/>
                <w:sz w:val="9"/>
                <w:szCs w:val="9"/>
                <w:lang w:val="en-IN"/>
              </w:rPr>
            </w:pPr>
          </w:p>
        </w:tc>
        <w:tc>
          <w:tcPr>
            <w:tcW w:w="408" w:type="dxa"/>
          </w:tcPr>
          <w:p w14:paraId="39FED343" w14:textId="77777777" w:rsidR="003B5D21" w:rsidRPr="00EF6D91" w:rsidRDefault="003B5D21" w:rsidP="0086245C">
            <w:pPr>
              <w:rPr>
                <w:rFonts w:ascii="Times New Roman" w:hAnsi="Times New Roman" w:cs="Times New Roman"/>
                <w:sz w:val="9"/>
                <w:szCs w:val="9"/>
                <w:lang w:val="en-IN"/>
              </w:rPr>
            </w:pPr>
          </w:p>
        </w:tc>
        <w:tc>
          <w:tcPr>
            <w:tcW w:w="408" w:type="dxa"/>
          </w:tcPr>
          <w:p w14:paraId="7FFB8BED" w14:textId="77777777" w:rsidR="003B5D21" w:rsidRPr="00EF6D91" w:rsidRDefault="003B5D21" w:rsidP="0086245C">
            <w:pPr>
              <w:rPr>
                <w:rFonts w:ascii="Times New Roman" w:hAnsi="Times New Roman" w:cs="Times New Roman"/>
                <w:sz w:val="9"/>
                <w:szCs w:val="9"/>
                <w:lang w:val="en-IN"/>
              </w:rPr>
            </w:pPr>
          </w:p>
        </w:tc>
        <w:tc>
          <w:tcPr>
            <w:tcW w:w="408" w:type="dxa"/>
          </w:tcPr>
          <w:p w14:paraId="7033F416" w14:textId="77777777" w:rsidR="003B5D21" w:rsidRPr="00EF6D91" w:rsidRDefault="003B5D21" w:rsidP="0086245C">
            <w:pPr>
              <w:rPr>
                <w:rFonts w:ascii="Times New Roman" w:hAnsi="Times New Roman" w:cs="Times New Roman"/>
                <w:sz w:val="9"/>
                <w:szCs w:val="9"/>
                <w:lang w:val="en-IN"/>
              </w:rPr>
            </w:pPr>
          </w:p>
        </w:tc>
        <w:tc>
          <w:tcPr>
            <w:tcW w:w="408" w:type="dxa"/>
          </w:tcPr>
          <w:p w14:paraId="1427ECE7" w14:textId="77777777" w:rsidR="003B5D21" w:rsidRPr="00EF6D91" w:rsidRDefault="003B5D21" w:rsidP="0086245C">
            <w:pPr>
              <w:rPr>
                <w:rFonts w:ascii="Times New Roman" w:hAnsi="Times New Roman" w:cs="Times New Roman"/>
                <w:sz w:val="9"/>
                <w:szCs w:val="9"/>
                <w:lang w:val="en-IN"/>
              </w:rPr>
            </w:pPr>
          </w:p>
        </w:tc>
        <w:tc>
          <w:tcPr>
            <w:tcW w:w="408" w:type="dxa"/>
          </w:tcPr>
          <w:p w14:paraId="5AB8059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60BBBAD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0.18 </w:t>
            </w:r>
          </w:p>
        </w:tc>
        <w:tc>
          <w:tcPr>
            <w:tcW w:w="408" w:type="dxa"/>
          </w:tcPr>
          <w:p w14:paraId="1CFA9D8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0.13 </w:t>
            </w:r>
          </w:p>
        </w:tc>
        <w:tc>
          <w:tcPr>
            <w:tcW w:w="408" w:type="dxa"/>
          </w:tcPr>
          <w:p w14:paraId="557AD17C"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0.40 </w:t>
            </w:r>
          </w:p>
        </w:tc>
        <w:tc>
          <w:tcPr>
            <w:tcW w:w="408" w:type="dxa"/>
          </w:tcPr>
          <w:p w14:paraId="63C362C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0.26 </w:t>
            </w:r>
          </w:p>
        </w:tc>
        <w:tc>
          <w:tcPr>
            <w:tcW w:w="408" w:type="dxa"/>
          </w:tcPr>
          <w:p w14:paraId="59B1593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0.29 </w:t>
            </w:r>
          </w:p>
        </w:tc>
      </w:tr>
      <w:tr w:rsidR="003B5D21" w:rsidRPr="00EF6D91" w14:paraId="7712B1CE" w14:textId="77777777" w:rsidTr="003B5D21">
        <w:tc>
          <w:tcPr>
            <w:tcW w:w="406" w:type="dxa"/>
          </w:tcPr>
          <w:p w14:paraId="784D31A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B17 </w:t>
            </w:r>
          </w:p>
        </w:tc>
        <w:tc>
          <w:tcPr>
            <w:tcW w:w="323" w:type="dxa"/>
          </w:tcPr>
          <w:p w14:paraId="44780DF8" w14:textId="77777777" w:rsidR="003B5D21" w:rsidRPr="00EF6D91" w:rsidRDefault="003B5D21" w:rsidP="0086245C">
            <w:pPr>
              <w:rPr>
                <w:rFonts w:ascii="Times New Roman" w:hAnsi="Times New Roman" w:cs="Times New Roman"/>
                <w:sz w:val="9"/>
                <w:szCs w:val="9"/>
                <w:lang w:val="en-IN"/>
              </w:rPr>
            </w:pPr>
          </w:p>
        </w:tc>
        <w:tc>
          <w:tcPr>
            <w:tcW w:w="378" w:type="dxa"/>
          </w:tcPr>
          <w:p w14:paraId="00F65F80" w14:textId="77777777" w:rsidR="003B5D21" w:rsidRPr="00EF6D91" w:rsidRDefault="003B5D21" w:rsidP="0086245C">
            <w:pPr>
              <w:rPr>
                <w:rFonts w:ascii="Times New Roman" w:hAnsi="Times New Roman" w:cs="Times New Roman"/>
                <w:sz w:val="9"/>
                <w:szCs w:val="9"/>
                <w:lang w:val="en-IN"/>
              </w:rPr>
            </w:pPr>
          </w:p>
        </w:tc>
        <w:tc>
          <w:tcPr>
            <w:tcW w:w="378" w:type="dxa"/>
          </w:tcPr>
          <w:p w14:paraId="06BA52D9" w14:textId="77777777" w:rsidR="003B5D21" w:rsidRPr="00EF6D91" w:rsidRDefault="003B5D21" w:rsidP="0086245C">
            <w:pPr>
              <w:rPr>
                <w:rFonts w:ascii="Times New Roman" w:hAnsi="Times New Roman" w:cs="Times New Roman"/>
                <w:sz w:val="9"/>
                <w:szCs w:val="9"/>
                <w:lang w:val="en-IN"/>
              </w:rPr>
            </w:pPr>
          </w:p>
        </w:tc>
        <w:tc>
          <w:tcPr>
            <w:tcW w:w="377" w:type="dxa"/>
          </w:tcPr>
          <w:p w14:paraId="3508FBCB" w14:textId="77777777" w:rsidR="003B5D21" w:rsidRPr="00EF6D91" w:rsidRDefault="003B5D21" w:rsidP="0086245C">
            <w:pPr>
              <w:rPr>
                <w:rFonts w:ascii="Times New Roman" w:hAnsi="Times New Roman" w:cs="Times New Roman"/>
                <w:sz w:val="9"/>
                <w:szCs w:val="9"/>
                <w:lang w:val="en-IN"/>
              </w:rPr>
            </w:pPr>
          </w:p>
        </w:tc>
        <w:tc>
          <w:tcPr>
            <w:tcW w:w="376" w:type="dxa"/>
          </w:tcPr>
          <w:p w14:paraId="34B05920" w14:textId="77777777" w:rsidR="003B5D21" w:rsidRPr="00EF6D91" w:rsidRDefault="003B5D21" w:rsidP="0086245C">
            <w:pPr>
              <w:rPr>
                <w:rFonts w:ascii="Times New Roman" w:hAnsi="Times New Roman" w:cs="Times New Roman"/>
                <w:sz w:val="9"/>
                <w:szCs w:val="9"/>
                <w:lang w:val="en-IN"/>
              </w:rPr>
            </w:pPr>
          </w:p>
        </w:tc>
        <w:tc>
          <w:tcPr>
            <w:tcW w:w="376" w:type="dxa"/>
          </w:tcPr>
          <w:p w14:paraId="6C57EF8F" w14:textId="77777777" w:rsidR="003B5D21" w:rsidRPr="00EF6D91" w:rsidRDefault="003B5D21" w:rsidP="0086245C">
            <w:pPr>
              <w:rPr>
                <w:rFonts w:ascii="Times New Roman" w:hAnsi="Times New Roman" w:cs="Times New Roman"/>
                <w:sz w:val="9"/>
                <w:szCs w:val="9"/>
                <w:lang w:val="en-IN"/>
              </w:rPr>
            </w:pPr>
          </w:p>
        </w:tc>
        <w:tc>
          <w:tcPr>
            <w:tcW w:w="376" w:type="dxa"/>
          </w:tcPr>
          <w:p w14:paraId="048E3BB9" w14:textId="77777777" w:rsidR="003B5D21" w:rsidRPr="00EF6D91" w:rsidRDefault="003B5D21" w:rsidP="0086245C">
            <w:pPr>
              <w:rPr>
                <w:rFonts w:ascii="Times New Roman" w:hAnsi="Times New Roman" w:cs="Times New Roman"/>
                <w:sz w:val="9"/>
                <w:szCs w:val="9"/>
                <w:lang w:val="en-IN"/>
              </w:rPr>
            </w:pPr>
          </w:p>
        </w:tc>
        <w:tc>
          <w:tcPr>
            <w:tcW w:w="408" w:type="dxa"/>
          </w:tcPr>
          <w:p w14:paraId="5F95E054" w14:textId="77777777" w:rsidR="003B5D21" w:rsidRPr="00EF6D91" w:rsidRDefault="003B5D21" w:rsidP="0086245C">
            <w:pPr>
              <w:rPr>
                <w:rFonts w:ascii="Times New Roman" w:hAnsi="Times New Roman" w:cs="Times New Roman"/>
                <w:sz w:val="9"/>
                <w:szCs w:val="9"/>
                <w:lang w:val="en-IN"/>
              </w:rPr>
            </w:pPr>
          </w:p>
        </w:tc>
        <w:tc>
          <w:tcPr>
            <w:tcW w:w="408" w:type="dxa"/>
          </w:tcPr>
          <w:p w14:paraId="13CBD23B" w14:textId="77777777" w:rsidR="003B5D21" w:rsidRPr="00EF6D91" w:rsidRDefault="003B5D21" w:rsidP="0086245C">
            <w:pPr>
              <w:rPr>
                <w:rFonts w:ascii="Times New Roman" w:hAnsi="Times New Roman" w:cs="Times New Roman"/>
                <w:sz w:val="9"/>
                <w:szCs w:val="9"/>
                <w:lang w:val="en-IN"/>
              </w:rPr>
            </w:pPr>
          </w:p>
        </w:tc>
        <w:tc>
          <w:tcPr>
            <w:tcW w:w="408" w:type="dxa"/>
          </w:tcPr>
          <w:p w14:paraId="0D4CE180" w14:textId="77777777" w:rsidR="003B5D21" w:rsidRPr="00EF6D91" w:rsidRDefault="003B5D21" w:rsidP="0086245C">
            <w:pPr>
              <w:rPr>
                <w:rFonts w:ascii="Times New Roman" w:hAnsi="Times New Roman" w:cs="Times New Roman"/>
                <w:sz w:val="9"/>
                <w:szCs w:val="9"/>
                <w:lang w:val="en-IN"/>
              </w:rPr>
            </w:pPr>
          </w:p>
        </w:tc>
        <w:tc>
          <w:tcPr>
            <w:tcW w:w="408" w:type="dxa"/>
          </w:tcPr>
          <w:p w14:paraId="5973AA97" w14:textId="77777777" w:rsidR="003B5D21" w:rsidRPr="00EF6D91" w:rsidRDefault="003B5D21" w:rsidP="0086245C">
            <w:pPr>
              <w:rPr>
                <w:rFonts w:ascii="Times New Roman" w:hAnsi="Times New Roman" w:cs="Times New Roman"/>
                <w:sz w:val="9"/>
                <w:szCs w:val="9"/>
                <w:lang w:val="en-IN"/>
              </w:rPr>
            </w:pPr>
          </w:p>
        </w:tc>
        <w:tc>
          <w:tcPr>
            <w:tcW w:w="408" w:type="dxa"/>
          </w:tcPr>
          <w:p w14:paraId="45643A72" w14:textId="77777777" w:rsidR="003B5D21" w:rsidRPr="00EF6D91" w:rsidRDefault="003B5D21" w:rsidP="0086245C">
            <w:pPr>
              <w:rPr>
                <w:rFonts w:ascii="Times New Roman" w:hAnsi="Times New Roman" w:cs="Times New Roman"/>
                <w:sz w:val="9"/>
                <w:szCs w:val="9"/>
                <w:lang w:val="en-IN"/>
              </w:rPr>
            </w:pPr>
          </w:p>
        </w:tc>
        <w:tc>
          <w:tcPr>
            <w:tcW w:w="408" w:type="dxa"/>
          </w:tcPr>
          <w:p w14:paraId="31230E38" w14:textId="77777777" w:rsidR="003B5D21" w:rsidRPr="00EF6D91" w:rsidRDefault="003B5D21" w:rsidP="0086245C">
            <w:pPr>
              <w:rPr>
                <w:rFonts w:ascii="Times New Roman" w:hAnsi="Times New Roman" w:cs="Times New Roman"/>
                <w:sz w:val="9"/>
                <w:szCs w:val="9"/>
                <w:lang w:val="en-IN"/>
              </w:rPr>
            </w:pPr>
          </w:p>
        </w:tc>
        <w:tc>
          <w:tcPr>
            <w:tcW w:w="408" w:type="dxa"/>
          </w:tcPr>
          <w:p w14:paraId="28E535EA" w14:textId="77777777" w:rsidR="003B5D21" w:rsidRPr="00EF6D91" w:rsidRDefault="003B5D21" w:rsidP="0086245C">
            <w:pPr>
              <w:rPr>
                <w:rFonts w:ascii="Times New Roman" w:hAnsi="Times New Roman" w:cs="Times New Roman"/>
                <w:sz w:val="9"/>
                <w:szCs w:val="9"/>
                <w:lang w:val="en-IN"/>
              </w:rPr>
            </w:pPr>
          </w:p>
        </w:tc>
        <w:tc>
          <w:tcPr>
            <w:tcW w:w="408" w:type="dxa"/>
          </w:tcPr>
          <w:p w14:paraId="7C5214FE" w14:textId="77777777" w:rsidR="003B5D21" w:rsidRPr="00EF6D91" w:rsidRDefault="003B5D21" w:rsidP="0086245C">
            <w:pPr>
              <w:rPr>
                <w:rFonts w:ascii="Times New Roman" w:hAnsi="Times New Roman" w:cs="Times New Roman"/>
                <w:sz w:val="9"/>
                <w:szCs w:val="9"/>
                <w:lang w:val="en-IN"/>
              </w:rPr>
            </w:pPr>
          </w:p>
        </w:tc>
        <w:tc>
          <w:tcPr>
            <w:tcW w:w="408" w:type="dxa"/>
          </w:tcPr>
          <w:p w14:paraId="73FC3CF2" w14:textId="77777777" w:rsidR="003B5D21" w:rsidRPr="00EF6D91" w:rsidRDefault="003B5D21" w:rsidP="0086245C">
            <w:pPr>
              <w:rPr>
                <w:rFonts w:ascii="Times New Roman" w:hAnsi="Times New Roman" w:cs="Times New Roman"/>
                <w:sz w:val="9"/>
                <w:szCs w:val="9"/>
                <w:lang w:val="en-IN"/>
              </w:rPr>
            </w:pPr>
          </w:p>
        </w:tc>
        <w:tc>
          <w:tcPr>
            <w:tcW w:w="408" w:type="dxa"/>
          </w:tcPr>
          <w:p w14:paraId="2EBB06A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57FBF0F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0.45 </w:t>
            </w:r>
          </w:p>
        </w:tc>
        <w:tc>
          <w:tcPr>
            <w:tcW w:w="408" w:type="dxa"/>
          </w:tcPr>
          <w:p w14:paraId="77571C1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c>
          <w:tcPr>
            <w:tcW w:w="408" w:type="dxa"/>
          </w:tcPr>
          <w:p w14:paraId="63DCEC8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2D6AD8FA"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0.34 </w:t>
            </w:r>
          </w:p>
        </w:tc>
      </w:tr>
      <w:tr w:rsidR="003B5D21" w:rsidRPr="00EF6D91" w14:paraId="59968BEC" w14:textId="77777777" w:rsidTr="003B5D21">
        <w:tc>
          <w:tcPr>
            <w:tcW w:w="406" w:type="dxa"/>
          </w:tcPr>
          <w:p w14:paraId="233C148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B18 </w:t>
            </w:r>
          </w:p>
        </w:tc>
        <w:tc>
          <w:tcPr>
            <w:tcW w:w="323" w:type="dxa"/>
          </w:tcPr>
          <w:p w14:paraId="52EBB5FD" w14:textId="77777777" w:rsidR="003B5D21" w:rsidRPr="00EF6D91" w:rsidRDefault="003B5D21" w:rsidP="0086245C">
            <w:pPr>
              <w:rPr>
                <w:rFonts w:ascii="Times New Roman" w:hAnsi="Times New Roman" w:cs="Times New Roman"/>
                <w:sz w:val="9"/>
                <w:szCs w:val="9"/>
                <w:lang w:val="en-IN"/>
              </w:rPr>
            </w:pPr>
          </w:p>
        </w:tc>
        <w:tc>
          <w:tcPr>
            <w:tcW w:w="378" w:type="dxa"/>
          </w:tcPr>
          <w:p w14:paraId="2FABF205" w14:textId="77777777" w:rsidR="003B5D21" w:rsidRPr="00EF6D91" w:rsidRDefault="003B5D21" w:rsidP="0086245C">
            <w:pPr>
              <w:rPr>
                <w:rFonts w:ascii="Times New Roman" w:hAnsi="Times New Roman" w:cs="Times New Roman"/>
                <w:sz w:val="9"/>
                <w:szCs w:val="9"/>
                <w:lang w:val="en-IN"/>
              </w:rPr>
            </w:pPr>
          </w:p>
        </w:tc>
        <w:tc>
          <w:tcPr>
            <w:tcW w:w="378" w:type="dxa"/>
          </w:tcPr>
          <w:p w14:paraId="72706F32" w14:textId="77777777" w:rsidR="003B5D21" w:rsidRPr="00EF6D91" w:rsidRDefault="003B5D21" w:rsidP="0086245C">
            <w:pPr>
              <w:rPr>
                <w:rFonts w:ascii="Times New Roman" w:hAnsi="Times New Roman" w:cs="Times New Roman"/>
                <w:sz w:val="9"/>
                <w:szCs w:val="9"/>
                <w:lang w:val="en-IN"/>
              </w:rPr>
            </w:pPr>
          </w:p>
        </w:tc>
        <w:tc>
          <w:tcPr>
            <w:tcW w:w="377" w:type="dxa"/>
          </w:tcPr>
          <w:p w14:paraId="5E66D902" w14:textId="77777777" w:rsidR="003B5D21" w:rsidRPr="00EF6D91" w:rsidRDefault="003B5D21" w:rsidP="0086245C">
            <w:pPr>
              <w:rPr>
                <w:rFonts w:ascii="Times New Roman" w:hAnsi="Times New Roman" w:cs="Times New Roman"/>
                <w:sz w:val="9"/>
                <w:szCs w:val="9"/>
                <w:lang w:val="en-IN"/>
              </w:rPr>
            </w:pPr>
          </w:p>
        </w:tc>
        <w:tc>
          <w:tcPr>
            <w:tcW w:w="376" w:type="dxa"/>
          </w:tcPr>
          <w:p w14:paraId="2AA007B5" w14:textId="77777777" w:rsidR="003B5D21" w:rsidRPr="00EF6D91" w:rsidRDefault="003B5D21" w:rsidP="0086245C">
            <w:pPr>
              <w:rPr>
                <w:rFonts w:ascii="Times New Roman" w:hAnsi="Times New Roman" w:cs="Times New Roman"/>
                <w:sz w:val="9"/>
                <w:szCs w:val="9"/>
                <w:lang w:val="en-IN"/>
              </w:rPr>
            </w:pPr>
          </w:p>
        </w:tc>
        <w:tc>
          <w:tcPr>
            <w:tcW w:w="376" w:type="dxa"/>
          </w:tcPr>
          <w:p w14:paraId="58546665" w14:textId="77777777" w:rsidR="003B5D21" w:rsidRPr="00EF6D91" w:rsidRDefault="003B5D21" w:rsidP="0086245C">
            <w:pPr>
              <w:rPr>
                <w:rFonts w:ascii="Times New Roman" w:hAnsi="Times New Roman" w:cs="Times New Roman"/>
                <w:sz w:val="9"/>
                <w:szCs w:val="9"/>
                <w:lang w:val="en-IN"/>
              </w:rPr>
            </w:pPr>
          </w:p>
        </w:tc>
        <w:tc>
          <w:tcPr>
            <w:tcW w:w="376" w:type="dxa"/>
          </w:tcPr>
          <w:p w14:paraId="38E92102" w14:textId="77777777" w:rsidR="003B5D21" w:rsidRPr="00EF6D91" w:rsidRDefault="003B5D21" w:rsidP="0086245C">
            <w:pPr>
              <w:rPr>
                <w:rFonts w:ascii="Times New Roman" w:hAnsi="Times New Roman" w:cs="Times New Roman"/>
                <w:sz w:val="9"/>
                <w:szCs w:val="9"/>
                <w:lang w:val="en-IN"/>
              </w:rPr>
            </w:pPr>
          </w:p>
        </w:tc>
        <w:tc>
          <w:tcPr>
            <w:tcW w:w="408" w:type="dxa"/>
          </w:tcPr>
          <w:p w14:paraId="62A42E47" w14:textId="77777777" w:rsidR="003B5D21" w:rsidRPr="00EF6D91" w:rsidRDefault="003B5D21" w:rsidP="0086245C">
            <w:pPr>
              <w:rPr>
                <w:rFonts w:ascii="Times New Roman" w:hAnsi="Times New Roman" w:cs="Times New Roman"/>
                <w:sz w:val="9"/>
                <w:szCs w:val="9"/>
                <w:lang w:val="en-IN"/>
              </w:rPr>
            </w:pPr>
          </w:p>
        </w:tc>
        <w:tc>
          <w:tcPr>
            <w:tcW w:w="408" w:type="dxa"/>
          </w:tcPr>
          <w:p w14:paraId="4F9050DA" w14:textId="77777777" w:rsidR="003B5D21" w:rsidRPr="00EF6D91" w:rsidRDefault="003B5D21" w:rsidP="0086245C">
            <w:pPr>
              <w:rPr>
                <w:rFonts w:ascii="Times New Roman" w:hAnsi="Times New Roman" w:cs="Times New Roman"/>
                <w:sz w:val="9"/>
                <w:szCs w:val="9"/>
                <w:lang w:val="en-IN"/>
              </w:rPr>
            </w:pPr>
          </w:p>
        </w:tc>
        <w:tc>
          <w:tcPr>
            <w:tcW w:w="408" w:type="dxa"/>
          </w:tcPr>
          <w:p w14:paraId="6E7AAD15" w14:textId="77777777" w:rsidR="003B5D21" w:rsidRPr="00EF6D91" w:rsidRDefault="003B5D21" w:rsidP="0086245C">
            <w:pPr>
              <w:rPr>
                <w:rFonts w:ascii="Times New Roman" w:hAnsi="Times New Roman" w:cs="Times New Roman"/>
                <w:sz w:val="9"/>
                <w:szCs w:val="9"/>
                <w:lang w:val="en-IN"/>
              </w:rPr>
            </w:pPr>
          </w:p>
        </w:tc>
        <w:tc>
          <w:tcPr>
            <w:tcW w:w="408" w:type="dxa"/>
          </w:tcPr>
          <w:p w14:paraId="734F026D" w14:textId="77777777" w:rsidR="003B5D21" w:rsidRPr="00EF6D91" w:rsidRDefault="003B5D21" w:rsidP="0086245C">
            <w:pPr>
              <w:rPr>
                <w:rFonts w:ascii="Times New Roman" w:hAnsi="Times New Roman" w:cs="Times New Roman"/>
                <w:sz w:val="9"/>
                <w:szCs w:val="9"/>
                <w:lang w:val="en-IN"/>
              </w:rPr>
            </w:pPr>
          </w:p>
        </w:tc>
        <w:tc>
          <w:tcPr>
            <w:tcW w:w="408" w:type="dxa"/>
          </w:tcPr>
          <w:p w14:paraId="391CFCEB" w14:textId="77777777" w:rsidR="003B5D21" w:rsidRPr="00EF6D91" w:rsidRDefault="003B5D21" w:rsidP="0086245C">
            <w:pPr>
              <w:rPr>
                <w:rFonts w:ascii="Times New Roman" w:hAnsi="Times New Roman" w:cs="Times New Roman"/>
                <w:sz w:val="9"/>
                <w:szCs w:val="9"/>
                <w:lang w:val="en-IN"/>
              </w:rPr>
            </w:pPr>
          </w:p>
        </w:tc>
        <w:tc>
          <w:tcPr>
            <w:tcW w:w="408" w:type="dxa"/>
          </w:tcPr>
          <w:p w14:paraId="281F9DD0" w14:textId="77777777" w:rsidR="003B5D21" w:rsidRPr="00EF6D91" w:rsidRDefault="003B5D21" w:rsidP="0086245C">
            <w:pPr>
              <w:rPr>
                <w:rFonts w:ascii="Times New Roman" w:hAnsi="Times New Roman" w:cs="Times New Roman"/>
                <w:sz w:val="9"/>
                <w:szCs w:val="9"/>
                <w:lang w:val="en-IN"/>
              </w:rPr>
            </w:pPr>
          </w:p>
        </w:tc>
        <w:tc>
          <w:tcPr>
            <w:tcW w:w="408" w:type="dxa"/>
          </w:tcPr>
          <w:p w14:paraId="5FF5F141" w14:textId="77777777" w:rsidR="003B5D21" w:rsidRPr="00EF6D91" w:rsidRDefault="003B5D21" w:rsidP="0086245C">
            <w:pPr>
              <w:rPr>
                <w:rFonts w:ascii="Times New Roman" w:hAnsi="Times New Roman" w:cs="Times New Roman"/>
                <w:sz w:val="9"/>
                <w:szCs w:val="9"/>
                <w:lang w:val="en-IN"/>
              </w:rPr>
            </w:pPr>
          </w:p>
        </w:tc>
        <w:tc>
          <w:tcPr>
            <w:tcW w:w="408" w:type="dxa"/>
          </w:tcPr>
          <w:p w14:paraId="79352965" w14:textId="77777777" w:rsidR="003B5D21" w:rsidRPr="00EF6D91" w:rsidRDefault="003B5D21" w:rsidP="0086245C">
            <w:pPr>
              <w:rPr>
                <w:rFonts w:ascii="Times New Roman" w:hAnsi="Times New Roman" w:cs="Times New Roman"/>
                <w:sz w:val="9"/>
                <w:szCs w:val="9"/>
                <w:lang w:val="en-IN"/>
              </w:rPr>
            </w:pPr>
          </w:p>
        </w:tc>
        <w:tc>
          <w:tcPr>
            <w:tcW w:w="408" w:type="dxa"/>
          </w:tcPr>
          <w:p w14:paraId="0781FF48" w14:textId="77777777" w:rsidR="003B5D21" w:rsidRPr="00EF6D91" w:rsidRDefault="003B5D21" w:rsidP="0086245C">
            <w:pPr>
              <w:rPr>
                <w:rFonts w:ascii="Times New Roman" w:hAnsi="Times New Roman" w:cs="Times New Roman"/>
                <w:sz w:val="9"/>
                <w:szCs w:val="9"/>
                <w:lang w:val="en-IN"/>
              </w:rPr>
            </w:pPr>
          </w:p>
        </w:tc>
        <w:tc>
          <w:tcPr>
            <w:tcW w:w="408" w:type="dxa"/>
          </w:tcPr>
          <w:p w14:paraId="212B1CBD" w14:textId="77777777" w:rsidR="003B5D21" w:rsidRPr="00EF6D91" w:rsidRDefault="003B5D21" w:rsidP="0086245C">
            <w:pPr>
              <w:rPr>
                <w:rFonts w:ascii="Times New Roman" w:hAnsi="Times New Roman" w:cs="Times New Roman"/>
                <w:sz w:val="9"/>
                <w:szCs w:val="9"/>
                <w:lang w:val="en-IN"/>
              </w:rPr>
            </w:pPr>
          </w:p>
        </w:tc>
        <w:tc>
          <w:tcPr>
            <w:tcW w:w="408" w:type="dxa"/>
          </w:tcPr>
          <w:p w14:paraId="0DFA3F4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545943C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0.51 </w:t>
            </w:r>
          </w:p>
        </w:tc>
        <w:tc>
          <w:tcPr>
            <w:tcW w:w="408" w:type="dxa"/>
          </w:tcPr>
          <w:p w14:paraId="7F89243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0.19 </w:t>
            </w:r>
          </w:p>
        </w:tc>
        <w:tc>
          <w:tcPr>
            <w:tcW w:w="408" w:type="dxa"/>
          </w:tcPr>
          <w:p w14:paraId="4B3F61C4"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0.30 </w:t>
            </w:r>
          </w:p>
        </w:tc>
      </w:tr>
      <w:tr w:rsidR="003B5D21" w:rsidRPr="00EF6D91" w14:paraId="0122C63D" w14:textId="77777777" w:rsidTr="003B5D21">
        <w:tc>
          <w:tcPr>
            <w:tcW w:w="406" w:type="dxa"/>
          </w:tcPr>
          <w:p w14:paraId="7F82AFE7"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B19 </w:t>
            </w:r>
          </w:p>
        </w:tc>
        <w:tc>
          <w:tcPr>
            <w:tcW w:w="323" w:type="dxa"/>
          </w:tcPr>
          <w:p w14:paraId="53A32295" w14:textId="77777777" w:rsidR="003B5D21" w:rsidRPr="00EF6D91" w:rsidRDefault="003B5D21" w:rsidP="0086245C">
            <w:pPr>
              <w:rPr>
                <w:rFonts w:ascii="Times New Roman" w:hAnsi="Times New Roman" w:cs="Times New Roman"/>
                <w:sz w:val="9"/>
                <w:szCs w:val="9"/>
                <w:lang w:val="en-IN"/>
              </w:rPr>
            </w:pPr>
          </w:p>
        </w:tc>
        <w:tc>
          <w:tcPr>
            <w:tcW w:w="378" w:type="dxa"/>
          </w:tcPr>
          <w:p w14:paraId="2C01A24C" w14:textId="77777777" w:rsidR="003B5D21" w:rsidRPr="00EF6D91" w:rsidRDefault="003B5D21" w:rsidP="0086245C">
            <w:pPr>
              <w:rPr>
                <w:rFonts w:ascii="Times New Roman" w:hAnsi="Times New Roman" w:cs="Times New Roman"/>
                <w:sz w:val="9"/>
                <w:szCs w:val="9"/>
                <w:lang w:val="en-IN"/>
              </w:rPr>
            </w:pPr>
          </w:p>
        </w:tc>
        <w:tc>
          <w:tcPr>
            <w:tcW w:w="378" w:type="dxa"/>
          </w:tcPr>
          <w:p w14:paraId="55BC0BC2" w14:textId="77777777" w:rsidR="003B5D21" w:rsidRPr="00EF6D91" w:rsidRDefault="003B5D21" w:rsidP="0086245C">
            <w:pPr>
              <w:rPr>
                <w:rFonts w:ascii="Times New Roman" w:hAnsi="Times New Roman" w:cs="Times New Roman"/>
                <w:sz w:val="9"/>
                <w:szCs w:val="9"/>
                <w:lang w:val="en-IN"/>
              </w:rPr>
            </w:pPr>
          </w:p>
        </w:tc>
        <w:tc>
          <w:tcPr>
            <w:tcW w:w="377" w:type="dxa"/>
          </w:tcPr>
          <w:p w14:paraId="2A1BFCA0" w14:textId="77777777" w:rsidR="003B5D21" w:rsidRPr="00EF6D91" w:rsidRDefault="003B5D21" w:rsidP="0086245C">
            <w:pPr>
              <w:rPr>
                <w:rFonts w:ascii="Times New Roman" w:hAnsi="Times New Roman" w:cs="Times New Roman"/>
                <w:sz w:val="9"/>
                <w:szCs w:val="9"/>
                <w:lang w:val="en-IN"/>
              </w:rPr>
            </w:pPr>
          </w:p>
        </w:tc>
        <w:tc>
          <w:tcPr>
            <w:tcW w:w="376" w:type="dxa"/>
          </w:tcPr>
          <w:p w14:paraId="0EB7563A" w14:textId="77777777" w:rsidR="003B5D21" w:rsidRPr="00EF6D91" w:rsidRDefault="003B5D21" w:rsidP="0086245C">
            <w:pPr>
              <w:rPr>
                <w:rFonts w:ascii="Times New Roman" w:hAnsi="Times New Roman" w:cs="Times New Roman"/>
                <w:sz w:val="9"/>
                <w:szCs w:val="9"/>
                <w:lang w:val="en-IN"/>
              </w:rPr>
            </w:pPr>
          </w:p>
        </w:tc>
        <w:tc>
          <w:tcPr>
            <w:tcW w:w="376" w:type="dxa"/>
          </w:tcPr>
          <w:p w14:paraId="2A73A937" w14:textId="77777777" w:rsidR="003B5D21" w:rsidRPr="00EF6D91" w:rsidRDefault="003B5D21" w:rsidP="0086245C">
            <w:pPr>
              <w:rPr>
                <w:rFonts w:ascii="Times New Roman" w:hAnsi="Times New Roman" w:cs="Times New Roman"/>
                <w:sz w:val="9"/>
                <w:szCs w:val="9"/>
                <w:lang w:val="en-IN"/>
              </w:rPr>
            </w:pPr>
          </w:p>
        </w:tc>
        <w:tc>
          <w:tcPr>
            <w:tcW w:w="376" w:type="dxa"/>
          </w:tcPr>
          <w:p w14:paraId="322F7B06" w14:textId="77777777" w:rsidR="003B5D21" w:rsidRPr="00EF6D91" w:rsidRDefault="003B5D21" w:rsidP="0086245C">
            <w:pPr>
              <w:rPr>
                <w:rFonts w:ascii="Times New Roman" w:hAnsi="Times New Roman" w:cs="Times New Roman"/>
                <w:sz w:val="9"/>
                <w:szCs w:val="9"/>
                <w:lang w:val="en-IN"/>
              </w:rPr>
            </w:pPr>
          </w:p>
        </w:tc>
        <w:tc>
          <w:tcPr>
            <w:tcW w:w="408" w:type="dxa"/>
          </w:tcPr>
          <w:p w14:paraId="628F5910" w14:textId="77777777" w:rsidR="003B5D21" w:rsidRPr="00EF6D91" w:rsidRDefault="003B5D21" w:rsidP="0086245C">
            <w:pPr>
              <w:rPr>
                <w:rFonts w:ascii="Times New Roman" w:hAnsi="Times New Roman" w:cs="Times New Roman"/>
                <w:sz w:val="9"/>
                <w:szCs w:val="9"/>
                <w:lang w:val="en-IN"/>
              </w:rPr>
            </w:pPr>
          </w:p>
        </w:tc>
        <w:tc>
          <w:tcPr>
            <w:tcW w:w="408" w:type="dxa"/>
          </w:tcPr>
          <w:p w14:paraId="3058AA62" w14:textId="77777777" w:rsidR="003B5D21" w:rsidRPr="00EF6D91" w:rsidRDefault="003B5D21" w:rsidP="0086245C">
            <w:pPr>
              <w:rPr>
                <w:rFonts w:ascii="Times New Roman" w:hAnsi="Times New Roman" w:cs="Times New Roman"/>
                <w:sz w:val="9"/>
                <w:szCs w:val="9"/>
                <w:lang w:val="en-IN"/>
              </w:rPr>
            </w:pPr>
          </w:p>
        </w:tc>
        <w:tc>
          <w:tcPr>
            <w:tcW w:w="408" w:type="dxa"/>
          </w:tcPr>
          <w:p w14:paraId="548D36D6" w14:textId="77777777" w:rsidR="003B5D21" w:rsidRPr="00EF6D91" w:rsidRDefault="003B5D21" w:rsidP="0086245C">
            <w:pPr>
              <w:rPr>
                <w:rFonts w:ascii="Times New Roman" w:hAnsi="Times New Roman" w:cs="Times New Roman"/>
                <w:sz w:val="9"/>
                <w:szCs w:val="9"/>
                <w:lang w:val="en-IN"/>
              </w:rPr>
            </w:pPr>
          </w:p>
        </w:tc>
        <w:tc>
          <w:tcPr>
            <w:tcW w:w="408" w:type="dxa"/>
          </w:tcPr>
          <w:p w14:paraId="487D8349" w14:textId="77777777" w:rsidR="003B5D21" w:rsidRPr="00EF6D91" w:rsidRDefault="003B5D21" w:rsidP="0086245C">
            <w:pPr>
              <w:rPr>
                <w:rFonts w:ascii="Times New Roman" w:hAnsi="Times New Roman" w:cs="Times New Roman"/>
                <w:sz w:val="9"/>
                <w:szCs w:val="9"/>
                <w:lang w:val="en-IN"/>
              </w:rPr>
            </w:pPr>
          </w:p>
        </w:tc>
        <w:tc>
          <w:tcPr>
            <w:tcW w:w="408" w:type="dxa"/>
          </w:tcPr>
          <w:p w14:paraId="122275AB" w14:textId="77777777" w:rsidR="003B5D21" w:rsidRPr="00EF6D91" w:rsidRDefault="003B5D21" w:rsidP="0086245C">
            <w:pPr>
              <w:rPr>
                <w:rFonts w:ascii="Times New Roman" w:hAnsi="Times New Roman" w:cs="Times New Roman"/>
                <w:sz w:val="9"/>
                <w:szCs w:val="9"/>
                <w:lang w:val="en-IN"/>
              </w:rPr>
            </w:pPr>
          </w:p>
        </w:tc>
        <w:tc>
          <w:tcPr>
            <w:tcW w:w="408" w:type="dxa"/>
          </w:tcPr>
          <w:p w14:paraId="4F08D50C" w14:textId="77777777" w:rsidR="003B5D21" w:rsidRPr="00EF6D91" w:rsidRDefault="003B5D21" w:rsidP="0086245C">
            <w:pPr>
              <w:rPr>
                <w:rFonts w:ascii="Times New Roman" w:hAnsi="Times New Roman" w:cs="Times New Roman"/>
                <w:sz w:val="9"/>
                <w:szCs w:val="9"/>
                <w:lang w:val="en-IN"/>
              </w:rPr>
            </w:pPr>
          </w:p>
        </w:tc>
        <w:tc>
          <w:tcPr>
            <w:tcW w:w="408" w:type="dxa"/>
          </w:tcPr>
          <w:p w14:paraId="20E2027B" w14:textId="77777777" w:rsidR="003B5D21" w:rsidRPr="00EF6D91" w:rsidRDefault="003B5D21" w:rsidP="0086245C">
            <w:pPr>
              <w:rPr>
                <w:rFonts w:ascii="Times New Roman" w:hAnsi="Times New Roman" w:cs="Times New Roman"/>
                <w:sz w:val="9"/>
                <w:szCs w:val="9"/>
                <w:lang w:val="en-IN"/>
              </w:rPr>
            </w:pPr>
          </w:p>
        </w:tc>
        <w:tc>
          <w:tcPr>
            <w:tcW w:w="408" w:type="dxa"/>
          </w:tcPr>
          <w:p w14:paraId="1985E959" w14:textId="77777777" w:rsidR="003B5D21" w:rsidRPr="00EF6D91" w:rsidRDefault="003B5D21" w:rsidP="0086245C">
            <w:pPr>
              <w:rPr>
                <w:rFonts w:ascii="Times New Roman" w:hAnsi="Times New Roman" w:cs="Times New Roman"/>
                <w:sz w:val="9"/>
                <w:szCs w:val="9"/>
                <w:lang w:val="en-IN"/>
              </w:rPr>
            </w:pPr>
          </w:p>
        </w:tc>
        <w:tc>
          <w:tcPr>
            <w:tcW w:w="408" w:type="dxa"/>
          </w:tcPr>
          <w:p w14:paraId="4155CBCE" w14:textId="77777777" w:rsidR="003B5D21" w:rsidRPr="00EF6D91" w:rsidRDefault="003B5D21" w:rsidP="0086245C">
            <w:pPr>
              <w:rPr>
                <w:rFonts w:ascii="Times New Roman" w:hAnsi="Times New Roman" w:cs="Times New Roman"/>
                <w:sz w:val="9"/>
                <w:szCs w:val="9"/>
                <w:lang w:val="en-IN"/>
              </w:rPr>
            </w:pPr>
          </w:p>
        </w:tc>
        <w:tc>
          <w:tcPr>
            <w:tcW w:w="408" w:type="dxa"/>
          </w:tcPr>
          <w:p w14:paraId="13787AD3" w14:textId="77777777" w:rsidR="003B5D21" w:rsidRPr="00EF6D91" w:rsidRDefault="003B5D21" w:rsidP="0086245C">
            <w:pPr>
              <w:rPr>
                <w:rFonts w:ascii="Times New Roman" w:hAnsi="Times New Roman" w:cs="Times New Roman"/>
                <w:sz w:val="9"/>
                <w:szCs w:val="9"/>
                <w:lang w:val="en-IN"/>
              </w:rPr>
            </w:pPr>
          </w:p>
        </w:tc>
        <w:tc>
          <w:tcPr>
            <w:tcW w:w="408" w:type="dxa"/>
          </w:tcPr>
          <w:p w14:paraId="100CB417" w14:textId="77777777" w:rsidR="003B5D21" w:rsidRPr="00EF6D91" w:rsidRDefault="003B5D21" w:rsidP="0086245C">
            <w:pPr>
              <w:rPr>
                <w:rFonts w:ascii="Times New Roman" w:hAnsi="Times New Roman" w:cs="Times New Roman"/>
                <w:sz w:val="9"/>
                <w:szCs w:val="9"/>
                <w:lang w:val="en-IN"/>
              </w:rPr>
            </w:pPr>
          </w:p>
        </w:tc>
        <w:tc>
          <w:tcPr>
            <w:tcW w:w="408" w:type="dxa"/>
          </w:tcPr>
          <w:p w14:paraId="52659C1D"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1F22E27F"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0.30 </w:t>
            </w:r>
          </w:p>
        </w:tc>
        <w:tc>
          <w:tcPr>
            <w:tcW w:w="408" w:type="dxa"/>
          </w:tcPr>
          <w:p w14:paraId="1857F370"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0.38 </w:t>
            </w:r>
          </w:p>
        </w:tc>
      </w:tr>
      <w:tr w:rsidR="003B5D21" w:rsidRPr="00EF6D91" w14:paraId="533B0675" w14:textId="77777777" w:rsidTr="003B5D21">
        <w:tc>
          <w:tcPr>
            <w:tcW w:w="406" w:type="dxa"/>
          </w:tcPr>
          <w:p w14:paraId="2E1BCEA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B20 </w:t>
            </w:r>
          </w:p>
        </w:tc>
        <w:tc>
          <w:tcPr>
            <w:tcW w:w="323" w:type="dxa"/>
          </w:tcPr>
          <w:p w14:paraId="7BD2C05E" w14:textId="77777777" w:rsidR="003B5D21" w:rsidRPr="00EF6D91" w:rsidRDefault="003B5D21" w:rsidP="0086245C">
            <w:pPr>
              <w:rPr>
                <w:rFonts w:ascii="Times New Roman" w:hAnsi="Times New Roman" w:cs="Times New Roman"/>
                <w:sz w:val="9"/>
                <w:szCs w:val="9"/>
                <w:lang w:val="en-IN"/>
              </w:rPr>
            </w:pPr>
          </w:p>
        </w:tc>
        <w:tc>
          <w:tcPr>
            <w:tcW w:w="378" w:type="dxa"/>
          </w:tcPr>
          <w:p w14:paraId="05F74461" w14:textId="77777777" w:rsidR="003B5D21" w:rsidRPr="00EF6D91" w:rsidRDefault="003B5D21" w:rsidP="0086245C">
            <w:pPr>
              <w:rPr>
                <w:rFonts w:ascii="Times New Roman" w:hAnsi="Times New Roman" w:cs="Times New Roman"/>
                <w:sz w:val="9"/>
                <w:szCs w:val="9"/>
                <w:lang w:val="en-IN"/>
              </w:rPr>
            </w:pPr>
          </w:p>
        </w:tc>
        <w:tc>
          <w:tcPr>
            <w:tcW w:w="378" w:type="dxa"/>
          </w:tcPr>
          <w:p w14:paraId="7A070012" w14:textId="77777777" w:rsidR="003B5D21" w:rsidRPr="00EF6D91" w:rsidRDefault="003B5D21" w:rsidP="0086245C">
            <w:pPr>
              <w:rPr>
                <w:rFonts w:ascii="Times New Roman" w:hAnsi="Times New Roman" w:cs="Times New Roman"/>
                <w:sz w:val="9"/>
                <w:szCs w:val="9"/>
                <w:lang w:val="en-IN"/>
              </w:rPr>
            </w:pPr>
          </w:p>
        </w:tc>
        <w:tc>
          <w:tcPr>
            <w:tcW w:w="377" w:type="dxa"/>
          </w:tcPr>
          <w:p w14:paraId="799AB3A3" w14:textId="77777777" w:rsidR="003B5D21" w:rsidRPr="00EF6D91" w:rsidRDefault="003B5D21" w:rsidP="0086245C">
            <w:pPr>
              <w:rPr>
                <w:rFonts w:ascii="Times New Roman" w:hAnsi="Times New Roman" w:cs="Times New Roman"/>
                <w:sz w:val="9"/>
                <w:szCs w:val="9"/>
                <w:lang w:val="en-IN"/>
              </w:rPr>
            </w:pPr>
          </w:p>
        </w:tc>
        <w:tc>
          <w:tcPr>
            <w:tcW w:w="376" w:type="dxa"/>
          </w:tcPr>
          <w:p w14:paraId="3EEA7338" w14:textId="77777777" w:rsidR="003B5D21" w:rsidRPr="00EF6D91" w:rsidRDefault="003B5D21" w:rsidP="0086245C">
            <w:pPr>
              <w:rPr>
                <w:rFonts w:ascii="Times New Roman" w:hAnsi="Times New Roman" w:cs="Times New Roman"/>
                <w:sz w:val="9"/>
                <w:szCs w:val="9"/>
                <w:lang w:val="en-IN"/>
              </w:rPr>
            </w:pPr>
          </w:p>
        </w:tc>
        <w:tc>
          <w:tcPr>
            <w:tcW w:w="376" w:type="dxa"/>
          </w:tcPr>
          <w:p w14:paraId="435300B0" w14:textId="77777777" w:rsidR="003B5D21" w:rsidRPr="00EF6D91" w:rsidRDefault="003B5D21" w:rsidP="0086245C">
            <w:pPr>
              <w:rPr>
                <w:rFonts w:ascii="Times New Roman" w:hAnsi="Times New Roman" w:cs="Times New Roman"/>
                <w:sz w:val="9"/>
                <w:szCs w:val="9"/>
                <w:lang w:val="en-IN"/>
              </w:rPr>
            </w:pPr>
          </w:p>
        </w:tc>
        <w:tc>
          <w:tcPr>
            <w:tcW w:w="376" w:type="dxa"/>
          </w:tcPr>
          <w:p w14:paraId="624E3581" w14:textId="77777777" w:rsidR="003B5D21" w:rsidRPr="00EF6D91" w:rsidRDefault="003B5D21" w:rsidP="0086245C">
            <w:pPr>
              <w:rPr>
                <w:rFonts w:ascii="Times New Roman" w:hAnsi="Times New Roman" w:cs="Times New Roman"/>
                <w:sz w:val="9"/>
                <w:szCs w:val="9"/>
                <w:lang w:val="en-IN"/>
              </w:rPr>
            </w:pPr>
          </w:p>
        </w:tc>
        <w:tc>
          <w:tcPr>
            <w:tcW w:w="408" w:type="dxa"/>
          </w:tcPr>
          <w:p w14:paraId="6D678055" w14:textId="77777777" w:rsidR="003B5D21" w:rsidRPr="00EF6D91" w:rsidRDefault="003B5D21" w:rsidP="0086245C">
            <w:pPr>
              <w:rPr>
                <w:rFonts w:ascii="Times New Roman" w:hAnsi="Times New Roman" w:cs="Times New Roman"/>
                <w:sz w:val="9"/>
                <w:szCs w:val="9"/>
                <w:lang w:val="en-IN"/>
              </w:rPr>
            </w:pPr>
          </w:p>
        </w:tc>
        <w:tc>
          <w:tcPr>
            <w:tcW w:w="408" w:type="dxa"/>
          </w:tcPr>
          <w:p w14:paraId="36B3415A" w14:textId="77777777" w:rsidR="003B5D21" w:rsidRPr="00EF6D91" w:rsidRDefault="003B5D21" w:rsidP="0086245C">
            <w:pPr>
              <w:rPr>
                <w:rFonts w:ascii="Times New Roman" w:hAnsi="Times New Roman" w:cs="Times New Roman"/>
                <w:sz w:val="9"/>
                <w:szCs w:val="9"/>
                <w:lang w:val="en-IN"/>
              </w:rPr>
            </w:pPr>
          </w:p>
        </w:tc>
        <w:tc>
          <w:tcPr>
            <w:tcW w:w="408" w:type="dxa"/>
          </w:tcPr>
          <w:p w14:paraId="15DEF8EF" w14:textId="77777777" w:rsidR="003B5D21" w:rsidRPr="00EF6D91" w:rsidRDefault="003B5D21" w:rsidP="0086245C">
            <w:pPr>
              <w:rPr>
                <w:rFonts w:ascii="Times New Roman" w:hAnsi="Times New Roman" w:cs="Times New Roman"/>
                <w:sz w:val="9"/>
                <w:szCs w:val="9"/>
                <w:lang w:val="en-IN"/>
              </w:rPr>
            </w:pPr>
          </w:p>
        </w:tc>
        <w:tc>
          <w:tcPr>
            <w:tcW w:w="408" w:type="dxa"/>
          </w:tcPr>
          <w:p w14:paraId="26009722" w14:textId="77777777" w:rsidR="003B5D21" w:rsidRPr="00EF6D91" w:rsidRDefault="003B5D21" w:rsidP="0086245C">
            <w:pPr>
              <w:rPr>
                <w:rFonts w:ascii="Times New Roman" w:hAnsi="Times New Roman" w:cs="Times New Roman"/>
                <w:sz w:val="9"/>
                <w:szCs w:val="9"/>
                <w:lang w:val="en-IN"/>
              </w:rPr>
            </w:pPr>
          </w:p>
        </w:tc>
        <w:tc>
          <w:tcPr>
            <w:tcW w:w="408" w:type="dxa"/>
          </w:tcPr>
          <w:p w14:paraId="7FB2B090" w14:textId="77777777" w:rsidR="003B5D21" w:rsidRPr="00EF6D91" w:rsidRDefault="003B5D21" w:rsidP="0086245C">
            <w:pPr>
              <w:rPr>
                <w:rFonts w:ascii="Times New Roman" w:hAnsi="Times New Roman" w:cs="Times New Roman"/>
                <w:sz w:val="9"/>
                <w:szCs w:val="9"/>
                <w:lang w:val="en-IN"/>
              </w:rPr>
            </w:pPr>
          </w:p>
        </w:tc>
        <w:tc>
          <w:tcPr>
            <w:tcW w:w="408" w:type="dxa"/>
          </w:tcPr>
          <w:p w14:paraId="052C93E1" w14:textId="77777777" w:rsidR="003B5D21" w:rsidRPr="00EF6D91" w:rsidRDefault="003B5D21" w:rsidP="0086245C">
            <w:pPr>
              <w:rPr>
                <w:rFonts w:ascii="Times New Roman" w:hAnsi="Times New Roman" w:cs="Times New Roman"/>
                <w:sz w:val="9"/>
                <w:szCs w:val="9"/>
                <w:lang w:val="en-IN"/>
              </w:rPr>
            </w:pPr>
          </w:p>
        </w:tc>
        <w:tc>
          <w:tcPr>
            <w:tcW w:w="408" w:type="dxa"/>
          </w:tcPr>
          <w:p w14:paraId="1A31D31E" w14:textId="77777777" w:rsidR="003B5D21" w:rsidRPr="00EF6D91" w:rsidRDefault="003B5D21" w:rsidP="0086245C">
            <w:pPr>
              <w:rPr>
                <w:rFonts w:ascii="Times New Roman" w:hAnsi="Times New Roman" w:cs="Times New Roman"/>
                <w:sz w:val="9"/>
                <w:szCs w:val="9"/>
                <w:lang w:val="en-IN"/>
              </w:rPr>
            </w:pPr>
          </w:p>
        </w:tc>
        <w:tc>
          <w:tcPr>
            <w:tcW w:w="408" w:type="dxa"/>
          </w:tcPr>
          <w:p w14:paraId="047CD81B" w14:textId="77777777" w:rsidR="003B5D21" w:rsidRPr="00EF6D91" w:rsidRDefault="003B5D21" w:rsidP="0086245C">
            <w:pPr>
              <w:rPr>
                <w:rFonts w:ascii="Times New Roman" w:hAnsi="Times New Roman" w:cs="Times New Roman"/>
                <w:sz w:val="9"/>
                <w:szCs w:val="9"/>
                <w:lang w:val="en-IN"/>
              </w:rPr>
            </w:pPr>
          </w:p>
        </w:tc>
        <w:tc>
          <w:tcPr>
            <w:tcW w:w="408" w:type="dxa"/>
          </w:tcPr>
          <w:p w14:paraId="447B2BBF" w14:textId="77777777" w:rsidR="003B5D21" w:rsidRPr="00EF6D91" w:rsidRDefault="003B5D21" w:rsidP="0086245C">
            <w:pPr>
              <w:rPr>
                <w:rFonts w:ascii="Times New Roman" w:hAnsi="Times New Roman" w:cs="Times New Roman"/>
                <w:sz w:val="9"/>
                <w:szCs w:val="9"/>
                <w:lang w:val="en-IN"/>
              </w:rPr>
            </w:pPr>
          </w:p>
        </w:tc>
        <w:tc>
          <w:tcPr>
            <w:tcW w:w="408" w:type="dxa"/>
          </w:tcPr>
          <w:p w14:paraId="444A111C" w14:textId="77777777" w:rsidR="003B5D21" w:rsidRPr="00EF6D91" w:rsidRDefault="003B5D21" w:rsidP="0086245C">
            <w:pPr>
              <w:rPr>
                <w:rFonts w:ascii="Times New Roman" w:hAnsi="Times New Roman" w:cs="Times New Roman"/>
                <w:sz w:val="9"/>
                <w:szCs w:val="9"/>
                <w:lang w:val="en-IN"/>
              </w:rPr>
            </w:pPr>
          </w:p>
        </w:tc>
        <w:tc>
          <w:tcPr>
            <w:tcW w:w="408" w:type="dxa"/>
          </w:tcPr>
          <w:p w14:paraId="687F2707" w14:textId="77777777" w:rsidR="003B5D21" w:rsidRPr="00EF6D91" w:rsidRDefault="003B5D21" w:rsidP="0086245C">
            <w:pPr>
              <w:rPr>
                <w:rFonts w:ascii="Times New Roman" w:hAnsi="Times New Roman" w:cs="Times New Roman"/>
                <w:sz w:val="9"/>
                <w:szCs w:val="9"/>
                <w:lang w:val="en-IN"/>
              </w:rPr>
            </w:pPr>
          </w:p>
        </w:tc>
        <w:tc>
          <w:tcPr>
            <w:tcW w:w="408" w:type="dxa"/>
          </w:tcPr>
          <w:p w14:paraId="710918CC" w14:textId="77777777" w:rsidR="003B5D21" w:rsidRPr="00EF6D91" w:rsidRDefault="003B5D21" w:rsidP="0086245C">
            <w:pPr>
              <w:rPr>
                <w:rFonts w:ascii="Times New Roman" w:hAnsi="Times New Roman" w:cs="Times New Roman"/>
                <w:sz w:val="9"/>
                <w:szCs w:val="9"/>
                <w:lang w:val="en-IN"/>
              </w:rPr>
            </w:pPr>
          </w:p>
        </w:tc>
        <w:tc>
          <w:tcPr>
            <w:tcW w:w="408" w:type="dxa"/>
          </w:tcPr>
          <w:p w14:paraId="05094179"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c>
          <w:tcPr>
            <w:tcW w:w="408" w:type="dxa"/>
          </w:tcPr>
          <w:p w14:paraId="4F218012" w14:textId="77777777" w:rsidR="003B5D21" w:rsidRPr="00EF6D91" w:rsidRDefault="003B5D21" w:rsidP="0086245C">
            <w:pPr>
              <w:pStyle w:val="Default"/>
              <w:rPr>
                <w:sz w:val="9"/>
                <w:szCs w:val="9"/>
                <w:lang w:val="en-IN"/>
              </w:rPr>
            </w:pPr>
            <w:r w:rsidRPr="00EF6D91">
              <w:rPr>
                <w:sz w:val="9"/>
                <w:szCs w:val="9"/>
              </w:rPr>
              <w:t xml:space="preserve">0.26 </w:t>
            </w:r>
          </w:p>
        </w:tc>
      </w:tr>
      <w:tr w:rsidR="003B5D21" w:rsidRPr="00EF6D91" w14:paraId="0EE7016C" w14:textId="77777777" w:rsidTr="003B5D21">
        <w:tc>
          <w:tcPr>
            <w:tcW w:w="406" w:type="dxa"/>
          </w:tcPr>
          <w:p w14:paraId="1A73A121"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rPr>
              <w:t xml:space="preserve">B21 </w:t>
            </w:r>
          </w:p>
        </w:tc>
        <w:tc>
          <w:tcPr>
            <w:tcW w:w="323" w:type="dxa"/>
          </w:tcPr>
          <w:p w14:paraId="60F934AB" w14:textId="77777777" w:rsidR="003B5D21" w:rsidRPr="00EF6D91" w:rsidRDefault="003B5D21" w:rsidP="0086245C">
            <w:pPr>
              <w:rPr>
                <w:rFonts w:ascii="Times New Roman" w:hAnsi="Times New Roman" w:cs="Times New Roman"/>
                <w:sz w:val="9"/>
                <w:szCs w:val="9"/>
                <w:lang w:val="en-IN"/>
              </w:rPr>
            </w:pPr>
          </w:p>
        </w:tc>
        <w:tc>
          <w:tcPr>
            <w:tcW w:w="378" w:type="dxa"/>
          </w:tcPr>
          <w:p w14:paraId="1E81FABE" w14:textId="77777777" w:rsidR="003B5D21" w:rsidRPr="00EF6D91" w:rsidRDefault="003B5D21" w:rsidP="0086245C">
            <w:pPr>
              <w:rPr>
                <w:rFonts w:ascii="Times New Roman" w:hAnsi="Times New Roman" w:cs="Times New Roman"/>
                <w:sz w:val="9"/>
                <w:szCs w:val="9"/>
                <w:lang w:val="en-IN"/>
              </w:rPr>
            </w:pPr>
          </w:p>
        </w:tc>
        <w:tc>
          <w:tcPr>
            <w:tcW w:w="378" w:type="dxa"/>
          </w:tcPr>
          <w:p w14:paraId="7B7D0131" w14:textId="77777777" w:rsidR="003B5D21" w:rsidRPr="00EF6D91" w:rsidRDefault="003B5D21" w:rsidP="0086245C">
            <w:pPr>
              <w:rPr>
                <w:rFonts w:ascii="Times New Roman" w:hAnsi="Times New Roman" w:cs="Times New Roman"/>
                <w:sz w:val="9"/>
                <w:szCs w:val="9"/>
                <w:lang w:val="en-IN"/>
              </w:rPr>
            </w:pPr>
          </w:p>
        </w:tc>
        <w:tc>
          <w:tcPr>
            <w:tcW w:w="377" w:type="dxa"/>
          </w:tcPr>
          <w:p w14:paraId="05A3C185" w14:textId="77777777" w:rsidR="003B5D21" w:rsidRPr="00EF6D91" w:rsidRDefault="003B5D21" w:rsidP="0086245C">
            <w:pPr>
              <w:rPr>
                <w:rFonts w:ascii="Times New Roman" w:hAnsi="Times New Roman" w:cs="Times New Roman"/>
                <w:sz w:val="9"/>
                <w:szCs w:val="9"/>
                <w:lang w:val="en-IN"/>
              </w:rPr>
            </w:pPr>
          </w:p>
        </w:tc>
        <w:tc>
          <w:tcPr>
            <w:tcW w:w="376" w:type="dxa"/>
          </w:tcPr>
          <w:p w14:paraId="7643C396" w14:textId="77777777" w:rsidR="003B5D21" w:rsidRPr="00EF6D91" w:rsidRDefault="003B5D21" w:rsidP="0086245C">
            <w:pPr>
              <w:rPr>
                <w:rFonts w:ascii="Times New Roman" w:hAnsi="Times New Roman" w:cs="Times New Roman"/>
                <w:sz w:val="9"/>
                <w:szCs w:val="9"/>
                <w:lang w:val="en-IN"/>
              </w:rPr>
            </w:pPr>
          </w:p>
        </w:tc>
        <w:tc>
          <w:tcPr>
            <w:tcW w:w="376" w:type="dxa"/>
          </w:tcPr>
          <w:p w14:paraId="20B33B25" w14:textId="77777777" w:rsidR="003B5D21" w:rsidRPr="00EF6D91" w:rsidRDefault="003B5D21" w:rsidP="0086245C">
            <w:pPr>
              <w:rPr>
                <w:rFonts w:ascii="Times New Roman" w:hAnsi="Times New Roman" w:cs="Times New Roman"/>
                <w:sz w:val="9"/>
                <w:szCs w:val="9"/>
                <w:lang w:val="en-IN"/>
              </w:rPr>
            </w:pPr>
          </w:p>
        </w:tc>
        <w:tc>
          <w:tcPr>
            <w:tcW w:w="376" w:type="dxa"/>
          </w:tcPr>
          <w:p w14:paraId="16F0B26A" w14:textId="77777777" w:rsidR="003B5D21" w:rsidRPr="00EF6D91" w:rsidRDefault="003B5D21" w:rsidP="0086245C">
            <w:pPr>
              <w:rPr>
                <w:rFonts w:ascii="Times New Roman" w:hAnsi="Times New Roman" w:cs="Times New Roman"/>
                <w:sz w:val="9"/>
                <w:szCs w:val="9"/>
                <w:lang w:val="en-IN"/>
              </w:rPr>
            </w:pPr>
          </w:p>
        </w:tc>
        <w:tc>
          <w:tcPr>
            <w:tcW w:w="408" w:type="dxa"/>
          </w:tcPr>
          <w:p w14:paraId="2AF95A49" w14:textId="77777777" w:rsidR="003B5D21" w:rsidRPr="00EF6D91" w:rsidRDefault="003B5D21" w:rsidP="0086245C">
            <w:pPr>
              <w:rPr>
                <w:rFonts w:ascii="Times New Roman" w:hAnsi="Times New Roman" w:cs="Times New Roman"/>
                <w:sz w:val="9"/>
                <w:szCs w:val="9"/>
                <w:lang w:val="en-IN"/>
              </w:rPr>
            </w:pPr>
          </w:p>
        </w:tc>
        <w:tc>
          <w:tcPr>
            <w:tcW w:w="408" w:type="dxa"/>
          </w:tcPr>
          <w:p w14:paraId="3B096AD3" w14:textId="77777777" w:rsidR="003B5D21" w:rsidRPr="00EF6D91" w:rsidRDefault="003B5D21" w:rsidP="0086245C">
            <w:pPr>
              <w:rPr>
                <w:rFonts w:ascii="Times New Roman" w:hAnsi="Times New Roman" w:cs="Times New Roman"/>
                <w:sz w:val="9"/>
                <w:szCs w:val="9"/>
                <w:lang w:val="en-IN"/>
              </w:rPr>
            </w:pPr>
          </w:p>
        </w:tc>
        <w:tc>
          <w:tcPr>
            <w:tcW w:w="408" w:type="dxa"/>
          </w:tcPr>
          <w:p w14:paraId="7354055A" w14:textId="77777777" w:rsidR="003B5D21" w:rsidRPr="00EF6D91" w:rsidRDefault="003B5D21" w:rsidP="0086245C">
            <w:pPr>
              <w:rPr>
                <w:rFonts w:ascii="Times New Roman" w:hAnsi="Times New Roman" w:cs="Times New Roman"/>
                <w:sz w:val="9"/>
                <w:szCs w:val="9"/>
                <w:lang w:val="en-IN"/>
              </w:rPr>
            </w:pPr>
          </w:p>
        </w:tc>
        <w:tc>
          <w:tcPr>
            <w:tcW w:w="408" w:type="dxa"/>
          </w:tcPr>
          <w:p w14:paraId="795E52B1" w14:textId="77777777" w:rsidR="003B5D21" w:rsidRPr="00EF6D91" w:rsidRDefault="003B5D21" w:rsidP="0086245C">
            <w:pPr>
              <w:rPr>
                <w:rFonts w:ascii="Times New Roman" w:hAnsi="Times New Roman" w:cs="Times New Roman"/>
                <w:sz w:val="9"/>
                <w:szCs w:val="9"/>
                <w:lang w:val="en-IN"/>
              </w:rPr>
            </w:pPr>
          </w:p>
        </w:tc>
        <w:tc>
          <w:tcPr>
            <w:tcW w:w="408" w:type="dxa"/>
          </w:tcPr>
          <w:p w14:paraId="32973A07" w14:textId="77777777" w:rsidR="003B5D21" w:rsidRPr="00EF6D91" w:rsidRDefault="003B5D21" w:rsidP="0086245C">
            <w:pPr>
              <w:rPr>
                <w:rFonts w:ascii="Times New Roman" w:hAnsi="Times New Roman" w:cs="Times New Roman"/>
                <w:sz w:val="9"/>
                <w:szCs w:val="9"/>
                <w:lang w:val="en-IN"/>
              </w:rPr>
            </w:pPr>
          </w:p>
        </w:tc>
        <w:tc>
          <w:tcPr>
            <w:tcW w:w="408" w:type="dxa"/>
          </w:tcPr>
          <w:p w14:paraId="6E99DD68" w14:textId="77777777" w:rsidR="003B5D21" w:rsidRPr="00EF6D91" w:rsidRDefault="003B5D21" w:rsidP="0086245C">
            <w:pPr>
              <w:rPr>
                <w:rFonts w:ascii="Times New Roman" w:hAnsi="Times New Roman" w:cs="Times New Roman"/>
                <w:sz w:val="9"/>
                <w:szCs w:val="9"/>
                <w:lang w:val="en-IN"/>
              </w:rPr>
            </w:pPr>
          </w:p>
        </w:tc>
        <w:tc>
          <w:tcPr>
            <w:tcW w:w="408" w:type="dxa"/>
          </w:tcPr>
          <w:p w14:paraId="1FCFC7D5" w14:textId="77777777" w:rsidR="003B5D21" w:rsidRPr="00EF6D91" w:rsidRDefault="003B5D21" w:rsidP="0086245C">
            <w:pPr>
              <w:rPr>
                <w:rFonts w:ascii="Times New Roman" w:hAnsi="Times New Roman" w:cs="Times New Roman"/>
                <w:sz w:val="9"/>
                <w:szCs w:val="9"/>
                <w:lang w:val="en-IN"/>
              </w:rPr>
            </w:pPr>
          </w:p>
        </w:tc>
        <w:tc>
          <w:tcPr>
            <w:tcW w:w="408" w:type="dxa"/>
          </w:tcPr>
          <w:p w14:paraId="01320356" w14:textId="77777777" w:rsidR="003B5D21" w:rsidRPr="00EF6D91" w:rsidRDefault="003B5D21" w:rsidP="0086245C">
            <w:pPr>
              <w:rPr>
                <w:rFonts w:ascii="Times New Roman" w:hAnsi="Times New Roman" w:cs="Times New Roman"/>
                <w:sz w:val="9"/>
                <w:szCs w:val="9"/>
                <w:lang w:val="en-IN"/>
              </w:rPr>
            </w:pPr>
          </w:p>
        </w:tc>
        <w:tc>
          <w:tcPr>
            <w:tcW w:w="408" w:type="dxa"/>
          </w:tcPr>
          <w:p w14:paraId="76B69C42" w14:textId="77777777" w:rsidR="003B5D21" w:rsidRPr="00EF6D91" w:rsidRDefault="003B5D21" w:rsidP="0086245C">
            <w:pPr>
              <w:rPr>
                <w:rFonts w:ascii="Times New Roman" w:hAnsi="Times New Roman" w:cs="Times New Roman"/>
                <w:sz w:val="9"/>
                <w:szCs w:val="9"/>
                <w:lang w:val="en-IN"/>
              </w:rPr>
            </w:pPr>
          </w:p>
        </w:tc>
        <w:tc>
          <w:tcPr>
            <w:tcW w:w="408" w:type="dxa"/>
          </w:tcPr>
          <w:p w14:paraId="56957BA6" w14:textId="77777777" w:rsidR="003B5D21" w:rsidRPr="00EF6D91" w:rsidRDefault="003B5D21" w:rsidP="0086245C">
            <w:pPr>
              <w:rPr>
                <w:rFonts w:ascii="Times New Roman" w:hAnsi="Times New Roman" w:cs="Times New Roman"/>
                <w:sz w:val="9"/>
                <w:szCs w:val="9"/>
                <w:lang w:val="en-IN"/>
              </w:rPr>
            </w:pPr>
          </w:p>
        </w:tc>
        <w:tc>
          <w:tcPr>
            <w:tcW w:w="408" w:type="dxa"/>
          </w:tcPr>
          <w:p w14:paraId="3FB5756F" w14:textId="77777777" w:rsidR="003B5D21" w:rsidRPr="00EF6D91" w:rsidRDefault="003B5D21" w:rsidP="0086245C">
            <w:pPr>
              <w:rPr>
                <w:rFonts w:ascii="Times New Roman" w:hAnsi="Times New Roman" w:cs="Times New Roman"/>
                <w:sz w:val="9"/>
                <w:szCs w:val="9"/>
                <w:lang w:val="en-IN"/>
              </w:rPr>
            </w:pPr>
          </w:p>
        </w:tc>
        <w:tc>
          <w:tcPr>
            <w:tcW w:w="408" w:type="dxa"/>
          </w:tcPr>
          <w:p w14:paraId="2F66ECE8" w14:textId="77777777" w:rsidR="003B5D21" w:rsidRPr="00EF6D91" w:rsidRDefault="003B5D21" w:rsidP="0086245C">
            <w:pPr>
              <w:rPr>
                <w:rFonts w:ascii="Times New Roman" w:hAnsi="Times New Roman" w:cs="Times New Roman"/>
                <w:sz w:val="9"/>
                <w:szCs w:val="9"/>
                <w:lang w:val="en-IN"/>
              </w:rPr>
            </w:pPr>
          </w:p>
        </w:tc>
        <w:tc>
          <w:tcPr>
            <w:tcW w:w="408" w:type="dxa"/>
          </w:tcPr>
          <w:p w14:paraId="1A9B41FF" w14:textId="77777777" w:rsidR="003B5D21" w:rsidRPr="00EF6D91" w:rsidRDefault="003B5D21" w:rsidP="0086245C">
            <w:pPr>
              <w:rPr>
                <w:rFonts w:ascii="Times New Roman" w:hAnsi="Times New Roman" w:cs="Times New Roman"/>
                <w:sz w:val="9"/>
                <w:szCs w:val="9"/>
                <w:lang w:val="en-IN"/>
              </w:rPr>
            </w:pPr>
          </w:p>
        </w:tc>
        <w:tc>
          <w:tcPr>
            <w:tcW w:w="408" w:type="dxa"/>
          </w:tcPr>
          <w:p w14:paraId="513F9293" w14:textId="77777777" w:rsidR="003B5D21" w:rsidRPr="00EF6D91" w:rsidRDefault="003B5D21" w:rsidP="0086245C">
            <w:pPr>
              <w:rPr>
                <w:rFonts w:ascii="Times New Roman" w:hAnsi="Times New Roman" w:cs="Times New Roman"/>
                <w:sz w:val="9"/>
                <w:szCs w:val="9"/>
                <w:lang w:val="en-IN"/>
              </w:rPr>
            </w:pPr>
            <w:r w:rsidRPr="00EF6D91">
              <w:rPr>
                <w:rFonts w:ascii="Times New Roman" w:hAnsi="Times New Roman" w:cs="Times New Roman"/>
                <w:sz w:val="9"/>
                <w:szCs w:val="9"/>
                <w:lang w:val="en-IN"/>
              </w:rPr>
              <w:t>1</w:t>
            </w:r>
          </w:p>
        </w:tc>
      </w:tr>
    </w:tbl>
    <w:p w14:paraId="3F7C7631" w14:textId="19948A7E" w:rsidR="00D10E02" w:rsidRPr="00EF6D91" w:rsidRDefault="00D10E02" w:rsidP="009E504A">
      <w:pPr>
        <w:pStyle w:val="Default"/>
        <w:rPr>
          <w:lang w:val="en-IN"/>
        </w:rPr>
      </w:pPr>
      <w:r w:rsidRPr="00EF6D91">
        <w:rPr>
          <w:sz w:val="16"/>
          <w:szCs w:val="16"/>
          <w:lang w:val="en-IN"/>
        </w:rPr>
        <w:t>*</w:t>
      </w:r>
      <w:r w:rsidRPr="00EF6D91">
        <w:rPr>
          <w:sz w:val="16"/>
          <w:szCs w:val="16"/>
        </w:rPr>
        <w:t>Note: The study did not incorporate significance levels for 2-tailed tests because there was no requirement for this data in the assessment.</w:t>
      </w:r>
    </w:p>
    <w:p w14:paraId="3AA996B7" w14:textId="77777777" w:rsidR="009F10FC" w:rsidRDefault="009F10FC" w:rsidP="00AD5C71">
      <w:pPr>
        <w:rPr>
          <w:rFonts w:ascii="Times New Roman" w:eastAsia="Calibri" w:hAnsi="Times New Roman" w:cs="Times New Roman"/>
          <w:i/>
          <w:iCs/>
          <w:color w:val="000000"/>
          <w:sz w:val="24"/>
          <w:szCs w:val="24"/>
        </w:rPr>
      </w:pPr>
    </w:p>
    <w:p w14:paraId="6A332F97" w14:textId="58406D2F" w:rsidR="00AD5C71" w:rsidRPr="00EF6D91" w:rsidRDefault="00AD5C71" w:rsidP="00AD5C71">
      <w:pPr>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4.4 Structural Analysis of EV Adoption Barriers</w:t>
      </w:r>
    </w:p>
    <w:p w14:paraId="48B5B2DC" w14:textId="2AC6D2A2" w:rsidR="00AD5C71" w:rsidRPr="00EF6D91" w:rsidRDefault="005E5B8D"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research team first confirmed the suitability of the dataset for Exploratory Factor Analysis (EFA) through the Kaiser-Meyer-Olkin (KMO) measure, which yielded a value of 0.781. </w:t>
      </w:r>
      <w:r w:rsidR="00AD5C71" w:rsidRPr="00EF6D91">
        <w:rPr>
          <w:rFonts w:ascii="Times New Roman" w:eastAsia="Calibri" w:hAnsi="Times New Roman" w:cs="Times New Roman"/>
          <w:color w:val="000000"/>
          <w:sz w:val="24"/>
          <w:szCs w:val="24"/>
        </w:rPr>
        <w:t xml:space="preserve">This value significantly exceeds the recommended threshold of 0.6, affirming the adequacy of the sample size for factor analysis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{"citationID":"muZAhPpa","properties":{"formattedCitation":"(Eisinga {\\i{}et al.}, 2013)","plainCitation":"(Eisinga et al., 2013)","noteIndex":0},"citationItems":[{"id":31711,"uris":["http://zotero.org/users/10594755/items/BYNAJPA3"],"itemData":{"id":31711,"type":"article-journal","container-title":"International Journal of Public Health","DOI":"10.1007/s00038-012-0416-3","ISSN":"1661-8556, 1661-8564","issue":"4","journalAbbreviation":"Int J Public Health","language":"en","page":"637-642","source":"DOI.org (Crossref)","title":"The reliability of a two-item scale: Pearson, Cronbach, or Spearman-Brown?","title-short":"The reliability of a two-item scale","volume":"58","author":[{"family":"Eisinga","given":"Rob"},{"family":"Grotenhuis","given":"Manfred Te"},{"family":"Pelzer","given":"Ben"}],"issued":{"date-parts":[["2013",8]]}}}],"schema":"https://github.com/citation-style-language/schema/raw/master/csl-citation.json"}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kern w:val="0"/>
          <w:sz w:val="24"/>
        </w:rPr>
        <w:t xml:space="preserve">(Eisinga </w:t>
      </w:r>
      <w:r w:rsidR="003502CD" w:rsidRPr="00EF6D91">
        <w:rPr>
          <w:rFonts w:ascii="Times New Roman" w:hAnsi="Times New Roman" w:cs="Times New Roman"/>
          <w:i/>
          <w:iCs/>
          <w:kern w:val="0"/>
          <w:sz w:val="24"/>
        </w:rPr>
        <w:t>et al.</w:t>
      </w:r>
      <w:r w:rsidR="003502CD" w:rsidRPr="00EF6D91">
        <w:rPr>
          <w:rFonts w:ascii="Times New Roman" w:hAnsi="Times New Roman" w:cs="Times New Roman"/>
          <w:kern w:val="0"/>
          <w:sz w:val="24"/>
        </w:rPr>
        <w:t>, 2013)</w:t>
      </w:r>
      <w:r w:rsidR="003502CD" w:rsidRPr="00EF6D91">
        <w:rPr>
          <w:rFonts w:ascii="Times New Roman" w:eastAsia="Calibri" w:hAnsi="Times New Roman" w:cs="Times New Roman"/>
          <w:color w:val="000000"/>
          <w:sz w:val="24"/>
          <w:szCs w:val="24"/>
        </w:rPr>
        <w:fldChar w:fldCharType="end"/>
      </w:r>
      <w:r w:rsidR="00AD5C71" w:rsidRPr="00EF6D91">
        <w:rPr>
          <w:rFonts w:ascii="Times New Roman" w:eastAsia="Calibri" w:hAnsi="Times New Roman" w:cs="Times New Roman"/>
          <w:color w:val="000000"/>
          <w:sz w:val="24"/>
          <w:szCs w:val="24"/>
        </w:rPr>
        <w:t xml:space="preserve">. Concurrently, Bartlett’s Test of Sphericity indicated a significance level of 0.001, well below the acceptable cut-off of 0.05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{"citationID":"LPvquE1B","properties":{"formattedCitation":"(Shrestha, 2021)","plainCitation":"(Shrestha, 2021)","noteIndex":0},"citationItems":[{"id":31714,"uris":["http://zotero.org/users/10594755/items/3JIPHWEA"],"itemData":{"id":31714,"type":"article-journal","container-title":"American Journal of Applied Mathematics and Statistics","DOI":"10.12691/ajams-9-1-2","ISSN":"2328-7306","issue":"1","journalAbbreviation":"AJAMS","page":"4-11","source":"DOI.org (Crossref)","title":"Factor analysis as a tool for survey analysis","volume":"9","author":[{"family":"Shrestha","given":"Noora"}],"issued":{"date-parts":[["2021",1,20]]}}}],"schema":"https://github.com/citation-style-language/schema/raw/master/csl-citation.json"}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sz w:val="24"/>
        </w:rPr>
        <w:t>(Shrestha, 2021)</w:t>
      </w:r>
      <w:r w:rsidR="003502CD" w:rsidRPr="00EF6D91">
        <w:rPr>
          <w:rFonts w:ascii="Times New Roman" w:eastAsia="Calibri" w:hAnsi="Times New Roman" w:cs="Times New Roman"/>
          <w:color w:val="000000"/>
          <w:sz w:val="24"/>
          <w:szCs w:val="24"/>
        </w:rPr>
        <w:fldChar w:fldCharType="end"/>
      </w:r>
      <w:r w:rsidR="00AD5C71" w:rsidRPr="00EF6D91">
        <w:rPr>
          <w:rFonts w:ascii="Times New Roman" w:eastAsia="Calibri" w:hAnsi="Times New Roman" w:cs="Times New Roman"/>
          <w:color w:val="000000"/>
          <w:sz w:val="24"/>
          <w:szCs w:val="24"/>
        </w:rPr>
        <w:t>, further substantiating the dataset's appropriateness for conducting EFA to explore barriers impacting the adoption of electric vehicles (EVs) in last-mile logistics.</w:t>
      </w:r>
    </w:p>
    <w:p w14:paraId="7F5C74A6" w14:textId="1A93E2FF" w:rsidR="005E5B8D" w:rsidRPr="00EF6D91" w:rsidRDefault="00AD5C71" w:rsidP="00AD5C71">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EFA initiated with Principal Component Analysis (PCA) of the 21 barrier variables, identifying six initial factors with eigenvalues exceeding 1 (Luthra and Mangla, 2018), collectively explaining 61.46% of the total variance. Although this is below the recommended 75% threshold for total variance explained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{"citationID":"8mzHDk2I","properties":{"formattedCitation":"(Yong and Pearce, 2013)","plainCitation":"(Yong and Pearce, 2013)","noteIndex":0},"citationItems":[{"id":31715,"uris":["http://zotero.org/users/10594755/items/W7NMDTRP"],"itemData":{"id":31715,"type":"article-journal","container-title":"Tutorials in Quantitative Methods for Psychology","DOI":"10.20982/tqmp.09.2.p079","ISSN":"1913-4126","issue":"2","journalAbbreviation":"TQMP","page":"79-94","source":"DOI.org (Crossref)","title":"A beginner’s guide to factor analysis: focusing on exploratory factor analysis","title-short":"A beginner’s guide to factor analysis","volume":"9","author":[{"family":"Yong","given":"An Gie"},{"family":"Pearce","given":"Sean"}],"issued":{"date-parts":[["2013",10,1]]}}}],"schema":"https://github.com/citation-style-language/schema/raw/master/csl-citation.json"}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sz w:val="24"/>
        </w:rPr>
        <w:t>(Yong and Pearce, 2013)</w:t>
      </w:r>
      <w:r w:rsidR="003502CD"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it exceeds the minimum acceptable variance of 50%</w:t>
      </w:r>
      <w:r w:rsidR="005E5B8D" w:rsidRPr="00EF6D91">
        <w:rPr>
          <w:rFonts w:ascii="Times New Roman" w:eastAsia="Calibri" w:hAnsi="Times New Roman" w:cs="Times New Roman"/>
          <w:color w:val="000000"/>
          <w:sz w:val="24"/>
          <w:szCs w:val="24"/>
        </w:rPr>
        <w:t>,</w:t>
      </w:r>
      <w:r w:rsidRPr="00EF6D91">
        <w:rPr>
          <w:rFonts w:ascii="Times New Roman" w:eastAsia="Calibri" w:hAnsi="Times New Roman" w:cs="Times New Roman"/>
          <w:color w:val="000000"/>
          <w:sz w:val="24"/>
          <w:szCs w:val="24"/>
        </w:rPr>
        <w:t xml:space="preserve"> as </w:t>
      </w:r>
      <w:r w:rsidR="005E5B8D" w:rsidRPr="00EF6D91">
        <w:rPr>
          <w:rFonts w:ascii="Times New Roman" w:eastAsia="Calibri" w:hAnsi="Times New Roman" w:cs="Times New Roman"/>
          <w:color w:val="000000"/>
          <w:sz w:val="24"/>
          <w:szCs w:val="24"/>
        </w:rPr>
        <w:t>Shrestha (2021) suggested, validating the factor solution's robustness</w:t>
      </w:r>
      <w:r w:rsidRPr="00EF6D91">
        <w:rPr>
          <w:rFonts w:ascii="Times New Roman" w:eastAsia="Calibri" w:hAnsi="Times New Roman" w:cs="Times New Roman"/>
          <w:color w:val="000000"/>
          <w:sz w:val="24"/>
          <w:szCs w:val="24"/>
        </w:rPr>
        <w:t xml:space="preserve">. </w:t>
      </w:r>
      <w:r w:rsidR="005E5B8D" w:rsidRPr="00EF6D91">
        <w:rPr>
          <w:rFonts w:ascii="Times New Roman" w:eastAsia="Calibri" w:hAnsi="Times New Roman" w:cs="Times New Roman"/>
          <w:color w:val="000000"/>
          <w:sz w:val="24"/>
          <w:szCs w:val="24"/>
        </w:rPr>
        <w:t>A Varimax orthogonal rotation method—was applied to enhance interpretability</w:t>
      </w:r>
      <w:r w:rsidRPr="00EF6D91">
        <w:rPr>
          <w:rFonts w:ascii="Times New Roman" w:eastAsia="Calibri" w:hAnsi="Times New Roman" w:cs="Times New Roman"/>
          <w:color w:val="000000"/>
          <w:sz w:val="24"/>
          <w:szCs w:val="24"/>
        </w:rPr>
        <w:t xml:space="preserve">, facilitating a </w:t>
      </w:r>
      <w:r w:rsidR="005E5B8D" w:rsidRPr="00EF6D91">
        <w:rPr>
          <w:rFonts w:ascii="Times New Roman" w:eastAsia="Calibri" w:hAnsi="Times New Roman" w:cs="Times New Roman"/>
          <w:color w:val="000000"/>
          <w:sz w:val="24"/>
          <w:szCs w:val="24"/>
        </w:rPr>
        <w:t>more precise</w:t>
      </w:r>
      <w:r w:rsidRPr="00EF6D91">
        <w:rPr>
          <w:rFonts w:ascii="Times New Roman" w:eastAsia="Calibri" w:hAnsi="Times New Roman" w:cs="Times New Roman"/>
          <w:color w:val="000000"/>
          <w:sz w:val="24"/>
          <w:szCs w:val="24"/>
        </w:rPr>
        <w:t xml:space="preserve"> understanding and simplif</w:t>
      </w:r>
      <w:r w:rsidR="005E5B8D" w:rsidRPr="00EF6D91">
        <w:rPr>
          <w:rFonts w:ascii="Times New Roman" w:eastAsia="Calibri" w:hAnsi="Times New Roman" w:cs="Times New Roman"/>
          <w:color w:val="000000"/>
          <w:sz w:val="24"/>
          <w:szCs w:val="24"/>
        </w:rPr>
        <w:t>ying</w:t>
      </w:r>
      <w:r w:rsidRPr="00EF6D91">
        <w:rPr>
          <w:rFonts w:ascii="Times New Roman" w:eastAsia="Calibri" w:hAnsi="Times New Roman" w:cs="Times New Roman"/>
          <w:color w:val="000000"/>
          <w:sz w:val="24"/>
          <w:szCs w:val="24"/>
        </w:rPr>
        <w:t xml:space="preserve"> factor loadings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{"citationID":"cmhyx8LW","properties":{"formattedCitation":"(Osborne, 2019)","plainCitation":"(Osborne, 2019)","noteIndex":0},"citationItems":[{"id":31740,"uris":["http://zotero.org/users/10594755/items/6NI3USTJ"],"itemData":{"id":31740,"type":"article-journal","container-title":"Practical Assessment, Research, and Evaluation","DOI":"https://doi.org/10.7275/hb2g-m060","ISSN":"1531-7714","issue":"1","title":"What is Rotating in Exploratory Factor Analysis?","URL":"https://scholarworks.umass.edu/pare/vol20/iss1/2","volume":"20","author":[{"family":"Osborne","given":"Jason"}],"issued":{"date-parts":[["2019",11,25]]}}}],"schema":"https://github.com/citation-style-language/schema/raw/master/csl-citation.json"}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sz w:val="24"/>
        </w:rPr>
        <w:t>(Osborne, 2019)</w:t>
      </w:r>
      <w:r w:rsidR="003502CD"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r w:rsidR="005E5B8D" w:rsidRPr="00EF6D91">
        <w:rPr>
          <w:rFonts w:ascii="Times New Roman" w:eastAsia="Calibri" w:hAnsi="Times New Roman" w:cs="Times New Roman"/>
          <w:color w:val="000000"/>
          <w:sz w:val="24"/>
          <w:szCs w:val="24"/>
        </w:rPr>
        <w:t xml:space="preserve"> During this phase, we disregarded any factor loadings below 0.40, aligning with standard practices for retaining significant loadings in EFA.</w:t>
      </w:r>
    </w:p>
    <w:p w14:paraId="2767EEF4" w14:textId="77777777" w:rsidR="009E504A" w:rsidRPr="00EF6D91" w:rsidRDefault="00AD5C71" w:rsidP="009E504A">
      <w:pPr>
        <w:spacing w:after="0"/>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Subsequent iterations focused on refining the factor structure. Initial analyses indicated that Barrier 9 (B9) loaded significantly onto the first factor, with a disparity in cross-loading above the threshold of 0.10 (Zhang et al., 2018). This analysis also revealed inadequacies in the fifth and sixth factors, which contained fewer than the recommended three items with substantial loadings, prompting a reduction in the number of factors from six to four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{"citationID":"BKKBitpe","properties":{"formattedCitation":"(Samuels, 2017)","plainCitation":"(Samuels, 2017)","noteIndex":0},"citationItems":[{"id":31754,"uris":["http://zotero.org/users/10594755/items/4HW9CZWB"],"itemData":{"id":31754,"type":"webpage","abstract":"Exploratory Factor Analysis (EFA) is a process which can be carried out in SPSS to validate scales of items in a questionnaire. The purpose of an EFA is to describe a multidimensional data set using fewer variables. Once a questionnaire has been validated, another process called Confirmatory Factor Analysis can be used. This is supported by AMOS, a ‘sister’ package to SPSS.","genre":"Monograph","language":"en","note":"number-of-pages: 7\npublisher-place: 9/06/2017\npublisher: ResearchGate","title":"Advice on Exploratory Factor Analysis","URL":"https://www.researchgate.net/publication/319165677_Advice_on_Exploratory_Factor_Analysis","author":[{"family":"Samuels","given":"P."}],"accessed":{"date-parts":[["2023",10,17]]},"issued":{"date-parts":[["2017",6,9]]}}}],"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sz w:val="24"/>
        </w:rPr>
        <w:t>(Samuels, 2017)</w:t>
      </w:r>
      <w:r w:rsidR="003502CD"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w:t>
      </w:r>
    </w:p>
    <w:p w14:paraId="1DFD74BA" w14:textId="68CD4F4B" w:rsidR="00AD5C71" w:rsidRPr="00EF6D91" w:rsidRDefault="005E5B8D" w:rsidP="009E504A">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br/>
        <w:t xml:space="preserve">We reanalysed the factor structure to resolve cross-loading issues and realign the factors according to their highest loadings, following guidelines by Zhang et al. (2018). </w:t>
      </w:r>
      <w:r w:rsidR="00AD5C71" w:rsidRPr="00EF6D91">
        <w:rPr>
          <w:rFonts w:ascii="Times New Roman" w:eastAsia="Calibri" w:hAnsi="Times New Roman" w:cs="Times New Roman"/>
          <w:color w:val="000000"/>
          <w:sz w:val="24"/>
          <w:szCs w:val="24"/>
        </w:rPr>
        <w:t xml:space="preserve">This process confirmed the absence of significant cross-loading </w:t>
      </w:r>
      <w:r w:rsidRPr="00EF6D91">
        <w:rPr>
          <w:rFonts w:ascii="Times New Roman" w:eastAsia="Calibri" w:hAnsi="Times New Roman" w:cs="Times New Roman"/>
          <w:color w:val="000000"/>
          <w:sz w:val="24"/>
          <w:szCs w:val="24"/>
        </w:rPr>
        <w:t>problem</w:t>
      </w:r>
      <w:r w:rsidR="00AD5C71" w:rsidRPr="00EF6D91">
        <w:rPr>
          <w:rFonts w:ascii="Times New Roman" w:eastAsia="Calibri" w:hAnsi="Times New Roman" w:cs="Times New Roman"/>
          <w:color w:val="000000"/>
          <w:sz w:val="24"/>
          <w:szCs w:val="24"/>
        </w:rPr>
        <w:t xml:space="preserve">s, and the adjusted factor solution presented a coherent and relevant categorization of the barriers. The final EFA model </w:t>
      </w:r>
      <w:r w:rsidR="00AD5C71" w:rsidRPr="00EF6D91">
        <w:rPr>
          <w:rFonts w:ascii="Times New Roman" w:eastAsia="Calibri" w:hAnsi="Times New Roman" w:cs="Times New Roman"/>
          <w:color w:val="000000"/>
          <w:sz w:val="24"/>
          <w:szCs w:val="24"/>
        </w:rPr>
        <w:lastRenderedPageBreak/>
        <w:t xml:space="preserve">comprised four factors, collectively accounting for 51.28% of the variance, consistent with the guideline that common variance should exceed 50% </w:t>
      </w:r>
      <w:r w:rsidR="003502CD" w:rsidRPr="00EF6D91">
        <w:rPr>
          <w:rFonts w:ascii="Times New Roman" w:eastAsia="Calibri" w:hAnsi="Times New Roman" w:cs="Times New Roman"/>
          <w:color w:val="000000"/>
          <w:sz w:val="24"/>
          <w:szCs w:val="24"/>
        </w:rPr>
        <w:fldChar w:fldCharType="begin"/>
      </w:r>
      <w:r w:rsidR="003502CD" w:rsidRPr="00EF6D91">
        <w:rPr>
          <w:rFonts w:ascii="Times New Roman" w:eastAsia="Calibri" w:hAnsi="Times New Roman" w:cs="Times New Roman"/>
          <w:color w:val="000000"/>
          <w:sz w:val="24"/>
          <w:szCs w:val="24"/>
        </w:rPr>
        <w:instrText xml:space="preserve"> ADDIN ZOTERO_ITEM CSL_CITATION {"citationID":"5J7bDt0b","properties":{"formattedCitation":"(Williams {\\i{}et al.}, 2010)","plainCitation":"(Williams et al., 2010)","noteIndex":0},"citationItems":[{"id":31717,"uris":["http://zotero.org/users/10594755/items/8AUHZFQM"],"itemData":{"id":31717,"type":"article-journal","abstract":"Factor analysis is a multivariate statistical approach commonly used in psychology, education, and more recently in the health-related professions. This paper will attempt to provide novice researchers with a simplified approach to undertaking exploratory factor analysis (EFA). As the paramedic body of knowledge continues to grow, indeed into scale and instrument psychometrics, it is timely that an uncomplicated article such as this be offered to the paramedic readership both nationally and internationally. Factor analysis is an important tool that can be used in the development, refinement, and evaluation of tests, scales, and measures that can be used in education and clinical contexts by paramedics. The objective of the paper is to provide an exploratory factor analysis protocol, offering potential researchers with an empirically-supported systematic approach that simplifies the many guidelines and options associated with completing EFA.","container-title":"Australasian Journal of Paramedicine","DOI":"10.33151/ajp.8.3.93","ISSN":"2202-7270, 2202-7270","journalAbbreviation":"Australasian Journal of Paramedicine","language":"en","page":"1-13","source":"DOI.org (Crossref)","title":"Exploratory factor analysis: a five-step guide for novices","title-short":"Exploratory factor analysis","volume":"8","author":[{"family":"Williams","given":"Brett"},{"family":"Onsman","given":"Andrys"},{"family":"Brown","given":"Ted"}],"issued":{"date-parts":[["2010",1]]}}}],"schema":"https://github.com/citation-style-language/schema/raw/master/csl-citation.json"} </w:instrText>
      </w:r>
      <w:r w:rsidR="003502CD" w:rsidRPr="00EF6D91">
        <w:rPr>
          <w:rFonts w:ascii="Times New Roman" w:eastAsia="Calibri" w:hAnsi="Times New Roman" w:cs="Times New Roman"/>
          <w:color w:val="000000"/>
          <w:sz w:val="24"/>
          <w:szCs w:val="24"/>
        </w:rPr>
        <w:fldChar w:fldCharType="separate"/>
      </w:r>
      <w:r w:rsidR="003502CD" w:rsidRPr="00EF6D91">
        <w:rPr>
          <w:rFonts w:ascii="Times New Roman" w:hAnsi="Times New Roman" w:cs="Times New Roman"/>
          <w:kern w:val="0"/>
          <w:sz w:val="24"/>
        </w:rPr>
        <w:t xml:space="preserve">(Williams </w:t>
      </w:r>
      <w:r w:rsidR="003502CD" w:rsidRPr="00EF6D91">
        <w:rPr>
          <w:rFonts w:ascii="Times New Roman" w:hAnsi="Times New Roman" w:cs="Times New Roman"/>
          <w:i/>
          <w:iCs/>
          <w:kern w:val="0"/>
          <w:sz w:val="24"/>
        </w:rPr>
        <w:t>et al.</w:t>
      </w:r>
      <w:r w:rsidR="003502CD" w:rsidRPr="00EF6D91">
        <w:rPr>
          <w:rFonts w:ascii="Times New Roman" w:hAnsi="Times New Roman" w:cs="Times New Roman"/>
          <w:kern w:val="0"/>
          <w:sz w:val="24"/>
        </w:rPr>
        <w:t>, 2010)</w:t>
      </w:r>
      <w:r w:rsidR="003502CD" w:rsidRPr="00EF6D91">
        <w:rPr>
          <w:rFonts w:ascii="Times New Roman" w:eastAsia="Calibri" w:hAnsi="Times New Roman" w:cs="Times New Roman"/>
          <w:color w:val="000000"/>
          <w:sz w:val="24"/>
          <w:szCs w:val="24"/>
        </w:rPr>
        <w:fldChar w:fldCharType="end"/>
      </w:r>
      <w:r w:rsidR="00AD5C71" w:rsidRPr="00EF6D91">
        <w:rPr>
          <w:rFonts w:ascii="Times New Roman" w:eastAsia="Calibri" w:hAnsi="Times New Roman" w:cs="Times New Roman"/>
          <w:color w:val="000000"/>
          <w:sz w:val="24"/>
          <w:szCs w:val="24"/>
        </w:rPr>
        <w:t>.</w:t>
      </w:r>
    </w:p>
    <w:p w14:paraId="63577B5B" w14:textId="1BA3ECF5" w:rsidR="00CA4A0E" w:rsidRPr="003B602D" w:rsidRDefault="00AD5C71" w:rsidP="003B602D">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results of this comprehensive factor analysis </w:t>
      </w:r>
      <w:r w:rsidR="00E826E7">
        <w:rPr>
          <w:rFonts w:ascii="Times New Roman" w:eastAsia="Calibri" w:hAnsi="Times New Roman" w:cs="Times New Roman"/>
          <w:color w:val="000000"/>
          <w:sz w:val="24"/>
          <w:szCs w:val="24"/>
        </w:rPr>
        <w:t>are</w:t>
      </w:r>
      <w:r w:rsidRPr="00EF6D91">
        <w:rPr>
          <w:rFonts w:ascii="Times New Roman" w:eastAsia="Calibri" w:hAnsi="Times New Roman" w:cs="Times New Roman"/>
          <w:color w:val="000000"/>
          <w:sz w:val="24"/>
          <w:szCs w:val="24"/>
        </w:rPr>
        <w:t xml:space="preserve"> summarized in Table 5. This structure was subsequently validated through consultation with industry experts, ensuring the practical relevance and applicability of the findings to last-mile EV adoption.</w:t>
      </w:r>
    </w:p>
    <w:p w14:paraId="61D8BFC7" w14:textId="4B494853" w:rsidR="00D10E02" w:rsidRPr="00EF6D91" w:rsidRDefault="00E826E7" w:rsidP="00D10E02">
      <w:pPr>
        <w:rPr>
          <w:rFonts w:ascii="Times New Roman" w:hAnsi="Times New Roman" w:cs="Times New Roman"/>
          <w:lang w:val="en-IN"/>
        </w:rPr>
      </w:pPr>
      <w:r>
        <w:rPr>
          <w:rFonts w:ascii="Times New Roman" w:hAnsi="Times New Roman" w:cs="Times New Roman"/>
          <w:lang w:val="en-IN"/>
        </w:rPr>
        <w:t xml:space="preserve">       </w:t>
      </w:r>
      <w:r w:rsidR="00D10E02" w:rsidRPr="00EF6D91">
        <w:rPr>
          <w:rFonts w:ascii="Times New Roman" w:hAnsi="Times New Roman" w:cs="Times New Roman"/>
          <w:lang w:val="en-IN"/>
        </w:rPr>
        <w:t xml:space="preserve">Table </w:t>
      </w:r>
      <w:r w:rsidR="00DC1A3F" w:rsidRPr="00EF6D91">
        <w:rPr>
          <w:rFonts w:ascii="Times New Roman" w:hAnsi="Times New Roman" w:cs="Times New Roman"/>
          <w:lang w:val="en-IN"/>
        </w:rPr>
        <w:t>5</w:t>
      </w:r>
      <w:r w:rsidR="00D10E02" w:rsidRPr="00EF6D91">
        <w:rPr>
          <w:rFonts w:ascii="Times New Roman" w:hAnsi="Times New Roman" w:cs="Times New Roman"/>
          <w:lang w:val="en-IN"/>
        </w:rPr>
        <w:t>.</w:t>
      </w:r>
      <w:r w:rsidR="00D10E02" w:rsidRPr="00EF6D91">
        <w:t xml:space="preserve"> </w:t>
      </w:r>
      <w:r w:rsidR="00D10E02" w:rsidRPr="00EF6D91">
        <w:rPr>
          <w:rFonts w:ascii="Times New Roman" w:hAnsi="Times New Roman" w:cs="Times New Roman"/>
          <w:lang w:val="en-IN"/>
        </w:rPr>
        <w:t>Categorization of Barriers to EV Adoption in the LMD</w:t>
      </w:r>
    </w:p>
    <w:tbl>
      <w:tblPr>
        <w:tblStyle w:val="TableGrid"/>
        <w:tblW w:w="0" w:type="auto"/>
        <w:tblInd w:w="432" w:type="dxa"/>
        <w:tblLook w:val="04A0" w:firstRow="1" w:lastRow="0" w:firstColumn="1" w:lastColumn="0" w:noHBand="0" w:noVBand="1"/>
      </w:tblPr>
      <w:tblGrid>
        <w:gridCol w:w="626"/>
        <w:gridCol w:w="1496"/>
        <w:gridCol w:w="3402"/>
        <w:gridCol w:w="812"/>
        <w:gridCol w:w="576"/>
        <w:gridCol w:w="576"/>
        <w:gridCol w:w="657"/>
      </w:tblGrid>
      <w:tr w:rsidR="00D10E02" w:rsidRPr="00EF6D91" w14:paraId="1901C920" w14:textId="77777777" w:rsidTr="00876247">
        <w:tc>
          <w:tcPr>
            <w:tcW w:w="626" w:type="dxa"/>
            <w:vMerge w:val="restart"/>
          </w:tcPr>
          <w:p w14:paraId="53420D0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 xml:space="preserve">Factor </w:t>
            </w:r>
          </w:p>
        </w:tc>
        <w:tc>
          <w:tcPr>
            <w:tcW w:w="1496" w:type="dxa"/>
            <w:vMerge w:val="restart"/>
          </w:tcPr>
          <w:p w14:paraId="27FAE0A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Category</w:t>
            </w:r>
          </w:p>
        </w:tc>
        <w:tc>
          <w:tcPr>
            <w:tcW w:w="3402" w:type="dxa"/>
            <w:vMerge w:val="restart"/>
          </w:tcPr>
          <w:p w14:paraId="5E88F3A1"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Barriers to EV adoptions in LMD</w:t>
            </w:r>
          </w:p>
        </w:tc>
        <w:tc>
          <w:tcPr>
            <w:tcW w:w="2621" w:type="dxa"/>
            <w:gridSpan w:val="4"/>
          </w:tcPr>
          <w:p w14:paraId="46F7519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 xml:space="preserve">             Factor Loadings</w:t>
            </w:r>
          </w:p>
        </w:tc>
      </w:tr>
      <w:tr w:rsidR="00D10E02" w:rsidRPr="00EF6D91" w14:paraId="59968821" w14:textId="77777777" w:rsidTr="00876247">
        <w:tc>
          <w:tcPr>
            <w:tcW w:w="626" w:type="dxa"/>
            <w:vMerge/>
          </w:tcPr>
          <w:p w14:paraId="748D9E19"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77F71E3D" w14:textId="77777777" w:rsidR="00D10E02" w:rsidRPr="00EF6D91" w:rsidRDefault="00D10E02" w:rsidP="0086245C">
            <w:pPr>
              <w:rPr>
                <w:rFonts w:ascii="Times New Roman" w:hAnsi="Times New Roman" w:cs="Times New Roman"/>
                <w:sz w:val="16"/>
                <w:szCs w:val="16"/>
                <w:lang w:val="en-IN"/>
              </w:rPr>
            </w:pPr>
          </w:p>
        </w:tc>
        <w:tc>
          <w:tcPr>
            <w:tcW w:w="3402" w:type="dxa"/>
            <w:vMerge/>
          </w:tcPr>
          <w:p w14:paraId="5E4FFF6C" w14:textId="77777777" w:rsidR="00D10E02" w:rsidRPr="00EF6D91" w:rsidRDefault="00D10E02" w:rsidP="0086245C">
            <w:pPr>
              <w:rPr>
                <w:rFonts w:ascii="Times New Roman" w:hAnsi="Times New Roman" w:cs="Times New Roman"/>
                <w:sz w:val="16"/>
                <w:szCs w:val="16"/>
                <w:lang w:val="en-IN"/>
              </w:rPr>
            </w:pPr>
          </w:p>
        </w:tc>
        <w:tc>
          <w:tcPr>
            <w:tcW w:w="812" w:type="dxa"/>
          </w:tcPr>
          <w:p w14:paraId="3E06B66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1</w:t>
            </w:r>
          </w:p>
        </w:tc>
        <w:tc>
          <w:tcPr>
            <w:tcW w:w="576" w:type="dxa"/>
          </w:tcPr>
          <w:p w14:paraId="2290D4B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2</w:t>
            </w:r>
          </w:p>
        </w:tc>
        <w:tc>
          <w:tcPr>
            <w:tcW w:w="576" w:type="dxa"/>
          </w:tcPr>
          <w:p w14:paraId="293DC3B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3</w:t>
            </w:r>
          </w:p>
        </w:tc>
        <w:tc>
          <w:tcPr>
            <w:tcW w:w="657" w:type="dxa"/>
          </w:tcPr>
          <w:p w14:paraId="4189ABF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4</w:t>
            </w:r>
          </w:p>
        </w:tc>
      </w:tr>
      <w:tr w:rsidR="00D10E02" w:rsidRPr="00EF6D91" w14:paraId="2B69DD55" w14:textId="77777777" w:rsidTr="00876247">
        <w:tc>
          <w:tcPr>
            <w:tcW w:w="626" w:type="dxa"/>
            <w:vMerge w:val="restart"/>
          </w:tcPr>
          <w:p w14:paraId="7EF147A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1</w:t>
            </w:r>
          </w:p>
        </w:tc>
        <w:tc>
          <w:tcPr>
            <w:tcW w:w="1496" w:type="dxa"/>
            <w:vMerge w:val="restart"/>
          </w:tcPr>
          <w:p w14:paraId="0957DB6B" w14:textId="77777777" w:rsidR="00D10E02" w:rsidRPr="00EF6D91" w:rsidRDefault="00D10E02" w:rsidP="0086245C">
            <w:pPr>
              <w:pStyle w:val="Default"/>
              <w:rPr>
                <w:sz w:val="16"/>
                <w:szCs w:val="16"/>
              </w:rPr>
            </w:pPr>
            <w:r w:rsidRPr="00EF6D91">
              <w:rPr>
                <w:sz w:val="16"/>
                <w:szCs w:val="16"/>
              </w:rPr>
              <w:t xml:space="preserve">Financial and Resource Barriers (FR) </w:t>
            </w:r>
          </w:p>
          <w:p w14:paraId="0A895F6E" w14:textId="77777777" w:rsidR="00D10E02" w:rsidRPr="00EF6D91" w:rsidRDefault="00D10E02" w:rsidP="0086245C">
            <w:pPr>
              <w:rPr>
                <w:rFonts w:ascii="Times New Roman" w:hAnsi="Times New Roman" w:cs="Times New Roman"/>
                <w:sz w:val="16"/>
                <w:szCs w:val="16"/>
                <w:lang w:val="en-IN"/>
              </w:rPr>
            </w:pPr>
          </w:p>
        </w:tc>
        <w:tc>
          <w:tcPr>
            <w:tcW w:w="3402" w:type="dxa"/>
          </w:tcPr>
          <w:p w14:paraId="531EC45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raw material availability (FR1) </w:t>
            </w:r>
          </w:p>
        </w:tc>
        <w:tc>
          <w:tcPr>
            <w:tcW w:w="812" w:type="dxa"/>
          </w:tcPr>
          <w:p w14:paraId="5E5F4573"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0.55 </w:t>
            </w:r>
          </w:p>
        </w:tc>
        <w:tc>
          <w:tcPr>
            <w:tcW w:w="576" w:type="dxa"/>
          </w:tcPr>
          <w:p w14:paraId="07F832AF" w14:textId="77777777" w:rsidR="00D10E02" w:rsidRPr="00EF6D91" w:rsidRDefault="00D10E02" w:rsidP="0086245C">
            <w:pPr>
              <w:rPr>
                <w:rFonts w:ascii="Times New Roman" w:hAnsi="Times New Roman" w:cs="Times New Roman"/>
                <w:sz w:val="16"/>
                <w:szCs w:val="16"/>
                <w:lang w:val="en-IN"/>
              </w:rPr>
            </w:pPr>
          </w:p>
        </w:tc>
        <w:tc>
          <w:tcPr>
            <w:tcW w:w="576" w:type="dxa"/>
          </w:tcPr>
          <w:p w14:paraId="57BD183F" w14:textId="77777777" w:rsidR="00D10E02" w:rsidRPr="00EF6D91" w:rsidRDefault="00D10E02" w:rsidP="0086245C">
            <w:pPr>
              <w:rPr>
                <w:rFonts w:ascii="Times New Roman" w:hAnsi="Times New Roman" w:cs="Times New Roman"/>
                <w:sz w:val="16"/>
                <w:szCs w:val="16"/>
                <w:lang w:val="en-IN"/>
              </w:rPr>
            </w:pPr>
          </w:p>
        </w:tc>
        <w:tc>
          <w:tcPr>
            <w:tcW w:w="657" w:type="dxa"/>
          </w:tcPr>
          <w:p w14:paraId="0C581D54" w14:textId="77777777" w:rsidR="00D10E02" w:rsidRPr="00EF6D91" w:rsidRDefault="00D10E02" w:rsidP="0086245C">
            <w:pPr>
              <w:rPr>
                <w:rFonts w:ascii="Times New Roman" w:hAnsi="Times New Roman" w:cs="Times New Roman"/>
                <w:sz w:val="16"/>
                <w:szCs w:val="16"/>
                <w:lang w:val="en-IN"/>
              </w:rPr>
            </w:pPr>
          </w:p>
        </w:tc>
      </w:tr>
      <w:tr w:rsidR="00D10E02" w:rsidRPr="00EF6D91" w14:paraId="474CF678" w14:textId="77777777" w:rsidTr="00876247">
        <w:tc>
          <w:tcPr>
            <w:tcW w:w="626" w:type="dxa"/>
            <w:vMerge/>
          </w:tcPr>
          <w:p w14:paraId="175CDA1A"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6027D137" w14:textId="77777777" w:rsidR="00D10E02" w:rsidRPr="00EF6D91" w:rsidRDefault="00D10E02" w:rsidP="0086245C">
            <w:pPr>
              <w:rPr>
                <w:rFonts w:ascii="Times New Roman" w:hAnsi="Times New Roman" w:cs="Times New Roman"/>
                <w:sz w:val="16"/>
                <w:szCs w:val="16"/>
                <w:lang w:val="en-IN"/>
              </w:rPr>
            </w:pPr>
          </w:p>
        </w:tc>
        <w:tc>
          <w:tcPr>
            <w:tcW w:w="3402" w:type="dxa"/>
          </w:tcPr>
          <w:p w14:paraId="7292068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Battery costs (FR2) </w:t>
            </w:r>
          </w:p>
        </w:tc>
        <w:tc>
          <w:tcPr>
            <w:tcW w:w="812" w:type="dxa"/>
          </w:tcPr>
          <w:p w14:paraId="6711DAF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0.71 </w:t>
            </w:r>
          </w:p>
        </w:tc>
        <w:tc>
          <w:tcPr>
            <w:tcW w:w="576" w:type="dxa"/>
          </w:tcPr>
          <w:p w14:paraId="330AE351" w14:textId="77777777" w:rsidR="00D10E02" w:rsidRPr="00EF6D91" w:rsidRDefault="00D10E02" w:rsidP="0086245C">
            <w:pPr>
              <w:rPr>
                <w:rFonts w:ascii="Times New Roman" w:hAnsi="Times New Roman" w:cs="Times New Roman"/>
                <w:sz w:val="16"/>
                <w:szCs w:val="16"/>
                <w:lang w:val="en-IN"/>
              </w:rPr>
            </w:pPr>
          </w:p>
        </w:tc>
        <w:tc>
          <w:tcPr>
            <w:tcW w:w="576" w:type="dxa"/>
          </w:tcPr>
          <w:p w14:paraId="43BF783C" w14:textId="77777777" w:rsidR="00D10E02" w:rsidRPr="00EF6D91" w:rsidRDefault="00D10E02" w:rsidP="0086245C">
            <w:pPr>
              <w:rPr>
                <w:rFonts w:ascii="Times New Roman" w:hAnsi="Times New Roman" w:cs="Times New Roman"/>
                <w:sz w:val="16"/>
                <w:szCs w:val="16"/>
                <w:lang w:val="en-IN"/>
              </w:rPr>
            </w:pPr>
          </w:p>
        </w:tc>
        <w:tc>
          <w:tcPr>
            <w:tcW w:w="657" w:type="dxa"/>
          </w:tcPr>
          <w:p w14:paraId="23747F86" w14:textId="77777777" w:rsidR="00D10E02" w:rsidRPr="00EF6D91" w:rsidRDefault="00D10E02" w:rsidP="0086245C">
            <w:pPr>
              <w:rPr>
                <w:rFonts w:ascii="Times New Roman" w:hAnsi="Times New Roman" w:cs="Times New Roman"/>
                <w:sz w:val="16"/>
                <w:szCs w:val="16"/>
                <w:lang w:val="en-IN"/>
              </w:rPr>
            </w:pPr>
          </w:p>
        </w:tc>
      </w:tr>
      <w:tr w:rsidR="00D10E02" w:rsidRPr="00EF6D91" w14:paraId="2A209476" w14:textId="77777777" w:rsidTr="00876247">
        <w:tc>
          <w:tcPr>
            <w:tcW w:w="626" w:type="dxa"/>
            <w:vMerge/>
          </w:tcPr>
          <w:p w14:paraId="6E983BAC"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61362CC5" w14:textId="77777777" w:rsidR="00D10E02" w:rsidRPr="00EF6D91" w:rsidRDefault="00D10E02" w:rsidP="0086245C">
            <w:pPr>
              <w:rPr>
                <w:rFonts w:ascii="Times New Roman" w:hAnsi="Times New Roman" w:cs="Times New Roman"/>
                <w:sz w:val="16"/>
                <w:szCs w:val="16"/>
                <w:lang w:val="en-IN"/>
              </w:rPr>
            </w:pPr>
          </w:p>
        </w:tc>
        <w:tc>
          <w:tcPr>
            <w:tcW w:w="3402" w:type="dxa"/>
          </w:tcPr>
          <w:p w14:paraId="766061FF"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Battery lifespan (FR3) </w:t>
            </w:r>
          </w:p>
        </w:tc>
        <w:tc>
          <w:tcPr>
            <w:tcW w:w="812" w:type="dxa"/>
          </w:tcPr>
          <w:p w14:paraId="6A9C6B1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0.70 </w:t>
            </w:r>
          </w:p>
        </w:tc>
        <w:tc>
          <w:tcPr>
            <w:tcW w:w="576" w:type="dxa"/>
          </w:tcPr>
          <w:p w14:paraId="0DC48010" w14:textId="77777777" w:rsidR="00D10E02" w:rsidRPr="00EF6D91" w:rsidRDefault="00D10E02" w:rsidP="0086245C">
            <w:pPr>
              <w:rPr>
                <w:rFonts w:ascii="Times New Roman" w:hAnsi="Times New Roman" w:cs="Times New Roman"/>
                <w:sz w:val="16"/>
                <w:szCs w:val="16"/>
                <w:lang w:val="en-IN"/>
              </w:rPr>
            </w:pPr>
          </w:p>
        </w:tc>
        <w:tc>
          <w:tcPr>
            <w:tcW w:w="576" w:type="dxa"/>
          </w:tcPr>
          <w:p w14:paraId="46719637" w14:textId="77777777" w:rsidR="00D10E02" w:rsidRPr="00EF6D91" w:rsidRDefault="00D10E02" w:rsidP="0086245C">
            <w:pPr>
              <w:rPr>
                <w:rFonts w:ascii="Times New Roman" w:hAnsi="Times New Roman" w:cs="Times New Roman"/>
                <w:sz w:val="16"/>
                <w:szCs w:val="16"/>
                <w:lang w:val="en-IN"/>
              </w:rPr>
            </w:pPr>
          </w:p>
        </w:tc>
        <w:tc>
          <w:tcPr>
            <w:tcW w:w="657" w:type="dxa"/>
          </w:tcPr>
          <w:p w14:paraId="0E9CA2DC" w14:textId="77777777" w:rsidR="00D10E02" w:rsidRPr="00EF6D91" w:rsidRDefault="00D10E02" w:rsidP="0086245C">
            <w:pPr>
              <w:rPr>
                <w:rFonts w:ascii="Times New Roman" w:hAnsi="Times New Roman" w:cs="Times New Roman"/>
                <w:sz w:val="16"/>
                <w:szCs w:val="16"/>
                <w:lang w:val="en-IN"/>
              </w:rPr>
            </w:pPr>
          </w:p>
        </w:tc>
      </w:tr>
      <w:tr w:rsidR="00D10E02" w:rsidRPr="00EF6D91" w14:paraId="38732703" w14:textId="77777777" w:rsidTr="00876247">
        <w:tc>
          <w:tcPr>
            <w:tcW w:w="626" w:type="dxa"/>
            <w:vMerge/>
          </w:tcPr>
          <w:p w14:paraId="3EEC31BB"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063CBBFD" w14:textId="77777777" w:rsidR="00D10E02" w:rsidRPr="00EF6D91" w:rsidRDefault="00D10E02" w:rsidP="0086245C">
            <w:pPr>
              <w:rPr>
                <w:rFonts w:ascii="Times New Roman" w:hAnsi="Times New Roman" w:cs="Times New Roman"/>
                <w:sz w:val="16"/>
                <w:szCs w:val="16"/>
                <w:lang w:val="en-IN"/>
              </w:rPr>
            </w:pPr>
          </w:p>
        </w:tc>
        <w:tc>
          <w:tcPr>
            <w:tcW w:w="3402" w:type="dxa"/>
          </w:tcPr>
          <w:p w14:paraId="63047F5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Infrastructure for battery swapping (FR4) </w:t>
            </w:r>
          </w:p>
        </w:tc>
        <w:tc>
          <w:tcPr>
            <w:tcW w:w="812" w:type="dxa"/>
          </w:tcPr>
          <w:p w14:paraId="3E965A2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0.56 </w:t>
            </w:r>
          </w:p>
        </w:tc>
        <w:tc>
          <w:tcPr>
            <w:tcW w:w="576" w:type="dxa"/>
          </w:tcPr>
          <w:p w14:paraId="290CE4A1" w14:textId="77777777" w:rsidR="00D10E02" w:rsidRPr="00EF6D91" w:rsidRDefault="00D10E02" w:rsidP="0086245C">
            <w:pPr>
              <w:rPr>
                <w:rFonts w:ascii="Times New Roman" w:hAnsi="Times New Roman" w:cs="Times New Roman"/>
                <w:sz w:val="16"/>
                <w:szCs w:val="16"/>
                <w:lang w:val="en-IN"/>
              </w:rPr>
            </w:pPr>
          </w:p>
        </w:tc>
        <w:tc>
          <w:tcPr>
            <w:tcW w:w="576" w:type="dxa"/>
          </w:tcPr>
          <w:p w14:paraId="6EABCE40" w14:textId="77777777" w:rsidR="00D10E02" w:rsidRPr="00EF6D91" w:rsidRDefault="00D10E02" w:rsidP="0086245C">
            <w:pPr>
              <w:rPr>
                <w:rFonts w:ascii="Times New Roman" w:hAnsi="Times New Roman" w:cs="Times New Roman"/>
                <w:sz w:val="16"/>
                <w:szCs w:val="16"/>
                <w:lang w:val="en-IN"/>
              </w:rPr>
            </w:pPr>
          </w:p>
        </w:tc>
        <w:tc>
          <w:tcPr>
            <w:tcW w:w="657" w:type="dxa"/>
          </w:tcPr>
          <w:p w14:paraId="50145E51" w14:textId="77777777" w:rsidR="00D10E02" w:rsidRPr="00EF6D91" w:rsidRDefault="00D10E02" w:rsidP="0086245C">
            <w:pPr>
              <w:rPr>
                <w:rFonts w:ascii="Times New Roman" w:hAnsi="Times New Roman" w:cs="Times New Roman"/>
                <w:sz w:val="16"/>
                <w:szCs w:val="16"/>
                <w:lang w:val="en-IN"/>
              </w:rPr>
            </w:pPr>
          </w:p>
        </w:tc>
      </w:tr>
      <w:tr w:rsidR="00D10E02" w:rsidRPr="00EF6D91" w14:paraId="54FE3415" w14:textId="77777777" w:rsidTr="00876247">
        <w:tc>
          <w:tcPr>
            <w:tcW w:w="626" w:type="dxa"/>
            <w:vMerge/>
          </w:tcPr>
          <w:p w14:paraId="34AC72E9"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56C11FCC" w14:textId="77777777" w:rsidR="00D10E02" w:rsidRPr="00EF6D91" w:rsidRDefault="00D10E02" w:rsidP="0086245C">
            <w:pPr>
              <w:rPr>
                <w:rFonts w:ascii="Times New Roman" w:hAnsi="Times New Roman" w:cs="Times New Roman"/>
                <w:sz w:val="16"/>
                <w:szCs w:val="16"/>
                <w:lang w:val="en-IN"/>
              </w:rPr>
            </w:pPr>
          </w:p>
        </w:tc>
        <w:tc>
          <w:tcPr>
            <w:tcW w:w="3402" w:type="dxa"/>
          </w:tcPr>
          <w:p w14:paraId="49EDB611"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Inventory cost for battery swapping (FR5) </w:t>
            </w:r>
          </w:p>
        </w:tc>
        <w:tc>
          <w:tcPr>
            <w:tcW w:w="812" w:type="dxa"/>
          </w:tcPr>
          <w:p w14:paraId="3F6E85A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0.64 </w:t>
            </w:r>
          </w:p>
        </w:tc>
        <w:tc>
          <w:tcPr>
            <w:tcW w:w="576" w:type="dxa"/>
          </w:tcPr>
          <w:p w14:paraId="0E0A9C48" w14:textId="77777777" w:rsidR="00D10E02" w:rsidRPr="00EF6D91" w:rsidRDefault="00D10E02" w:rsidP="0086245C">
            <w:pPr>
              <w:rPr>
                <w:rFonts w:ascii="Times New Roman" w:hAnsi="Times New Roman" w:cs="Times New Roman"/>
                <w:sz w:val="16"/>
                <w:szCs w:val="16"/>
                <w:lang w:val="en-IN"/>
              </w:rPr>
            </w:pPr>
          </w:p>
        </w:tc>
        <w:tc>
          <w:tcPr>
            <w:tcW w:w="576" w:type="dxa"/>
          </w:tcPr>
          <w:p w14:paraId="481A419C" w14:textId="77777777" w:rsidR="00D10E02" w:rsidRPr="00EF6D91" w:rsidRDefault="00D10E02" w:rsidP="0086245C">
            <w:pPr>
              <w:rPr>
                <w:rFonts w:ascii="Times New Roman" w:hAnsi="Times New Roman" w:cs="Times New Roman"/>
                <w:sz w:val="16"/>
                <w:szCs w:val="16"/>
                <w:lang w:val="en-IN"/>
              </w:rPr>
            </w:pPr>
          </w:p>
        </w:tc>
        <w:tc>
          <w:tcPr>
            <w:tcW w:w="657" w:type="dxa"/>
          </w:tcPr>
          <w:p w14:paraId="3253D424" w14:textId="77777777" w:rsidR="00D10E02" w:rsidRPr="00EF6D91" w:rsidRDefault="00D10E02" w:rsidP="0086245C">
            <w:pPr>
              <w:rPr>
                <w:rFonts w:ascii="Times New Roman" w:hAnsi="Times New Roman" w:cs="Times New Roman"/>
                <w:sz w:val="16"/>
                <w:szCs w:val="16"/>
                <w:lang w:val="en-IN"/>
              </w:rPr>
            </w:pPr>
          </w:p>
        </w:tc>
      </w:tr>
      <w:tr w:rsidR="00D10E02" w:rsidRPr="00EF6D91" w14:paraId="3FCC543D" w14:textId="77777777" w:rsidTr="00876247">
        <w:tc>
          <w:tcPr>
            <w:tcW w:w="626" w:type="dxa"/>
            <w:vMerge/>
          </w:tcPr>
          <w:p w14:paraId="3720DCA6"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02BDB00A" w14:textId="77777777" w:rsidR="00D10E02" w:rsidRPr="00EF6D91" w:rsidRDefault="00D10E02" w:rsidP="0086245C">
            <w:pPr>
              <w:rPr>
                <w:rFonts w:ascii="Times New Roman" w:hAnsi="Times New Roman" w:cs="Times New Roman"/>
                <w:sz w:val="16"/>
                <w:szCs w:val="16"/>
                <w:lang w:val="en-IN"/>
              </w:rPr>
            </w:pPr>
          </w:p>
        </w:tc>
        <w:tc>
          <w:tcPr>
            <w:tcW w:w="3402" w:type="dxa"/>
          </w:tcPr>
          <w:p w14:paraId="42171A0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High initial purchase cost (FR6) </w:t>
            </w:r>
          </w:p>
        </w:tc>
        <w:tc>
          <w:tcPr>
            <w:tcW w:w="812" w:type="dxa"/>
          </w:tcPr>
          <w:p w14:paraId="0B4EEA7F"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0.69 </w:t>
            </w:r>
          </w:p>
        </w:tc>
        <w:tc>
          <w:tcPr>
            <w:tcW w:w="576" w:type="dxa"/>
          </w:tcPr>
          <w:p w14:paraId="6D86D417" w14:textId="77777777" w:rsidR="00D10E02" w:rsidRPr="00EF6D91" w:rsidRDefault="00D10E02" w:rsidP="0086245C">
            <w:pPr>
              <w:rPr>
                <w:rFonts w:ascii="Times New Roman" w:hAnsi="Times New Roman" w:cs="Times New Roman"/>
                <w:sz w:val="16"/>
                <w:szCs w:val="16"/>
                <w:lang w:val="en-IN"/>
              </w:rPr>
            </w:pPr>
          </w:p>
        </w:tc>
        <w:tc>
          <w:tcPr>
            <w:tcW w:w="576" w:type="dxa"/>
          </w:tcPr>
          <w:p w14:paraId="68835AE8" w14:textId="77777777" w:rsidR="00D10E02" w:rsidRPr="00EF6D91" w:rsidRDefault="00D10E02" w:rsidP="0086245C">
            <w:pPr>
              <w:rPr>
                <w:rFonts w:ascii="Times New Roman" w:hAnsi="Times New Roman" w:cs="Times New Roman"/>
                <w:sz w:val="16"/>
                <w:szCs w:val="16"/>
                <w:lang w:val="en-IN"/>
              </w:rPr>
            </w:pPr>
          </w:p>
        </w:tc>
        <w:tc>
          <w:tcPr>
            <w:tcW w:w="657" w:type="dxa"/>
          </w:tcPr>
          <w:p w14:paraId="12436D7F" w14:textId="77777777" w:rsidR="00D10E02" w:rsidRPr="00EF6D91" w:rsidRDefault="00D10E02" w:rsidP="0086245C">
            <w:pPr>
              <w:rPr>
                <w:rFonts w:ascii="Times New Roman" w:hAnsi="Times New Roman" w:cs="Times New Roman"/>
                <w:sz w:val="16"/>
                <w:szCs w:val="16"/>
                <w:lang w:val="en-IN"/>
              </w:rPr>
            </w:pPr>
          </w:p>
        </w:tc>
      </w:tr>
      <w:tr w:rsidR="00D10E02" w:rsidRPr="00EF6D91" w14:paraId="68B4F62C" w14:textId="77777777" w:rsidTr="00876247">
        <w:tc>
          <w:tcPr>
            <w:tcW w:w="626" w:type="dxa"/>
            <w:vMerge/>
          </w:tcPr>
          <w:p w14:paraId="1CC87D5B"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527DD3B0" w14:textId="77777777" w:rsidR="00D10E02" w:rsidRPr="00EF6D91" w:rsidRDefault="00D10E02" w:rsidP="0086245C">
            <w:pPr>
              <w:rPr>
                <w:rFonts w:ascii="Times New Roman" w:hAnsi="Times New Roman" w:cs="Times New Roman"/>
                <w:sz w:val="16"/>
                <w:szCs w:val="16"/>
                <w:lang w:val="en-IN"/>
              </w:rPr>
            </w:pPr>
          </w:p>
        </w:tc>
        <w:tc>
          <w:tcPr>
            <w:tcW w:w="3402" w:type="dxa"/>
          </w:tcPr>
          <w:p w14:paraId="402EF9A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Maintenance cost (FR7) </w:t>
            </w:r>
          </w:p>
        </w:tc>
        <w:tc>
          <w:tcPr>
            <w:tcW w:w="812" w:type="dxa"/>
          </w:tcPr>
          <w:p w14:paraId="652C590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0.63 </w:t>
            </w:r>
          </w:p>
        </w:tc>
        <w:tc>
          <w:tcPr>
            <w:tcW w:w="576" w:type="dxa"/>
          </w:tcPr>
          <w:p w14:paraId="716047D1" w14:textId="77777777" w:rsidR="00D10E02" w:rsidRPr="00EF6D91" w:rsidRDefault="00D10E02" w:rsidP="0086245C">
            <w:pPr>
              <w:rPr>
                <w:rFonts w:ascii="Times New Roman" w:hAnsi="Times New Roman" w:cs="Times New Roman"/>
                <w:sz w:val="16"/>
                <w:szCs w:val="16"/>
                <w:lang w:val="en-IN"/>
              </w:rPr>
            </w:pPr>
          </w:p>
        </w:tc>
        <w:tc>
          <w:tcPr>
            <w:tcW w:w="576" w:type="dxa"/>
          </w:tcPr>
          <w:p w14:paraId="15B01ACF" w14:textId="77777777" w:rsidR="00D10E02" w:rsidRPr="00EF6D91" w:rsidRDefault="00D10E02" w:rsidP="0086245C">
            <w:pPr>
              <w:rPr>
                <w:rFonts w:ascii="Times New Roman" w:hAnsi="Times New Roman" w:cs="Times New Roman"/>
                <w:sz w:val="16"/>
                <w:szCs w:val="16"/>
                <w:lang w:val="en-IN"/>
              </w:rPr>
            </w:pPr>
          </w:p>
        </w:tc>
        <w:tc>
          <w:tcPr>
            <w:tcW w:w="657" w:type="dxa"/>
          </w:tcPr>
          <w:p w14:paraId="200130AC" w14:textId="77777777" w:rsidR="00D10E02" w:rsidRPr="00EF6D91" w:rsidRDefault="00D10E02" w:rsidP="0086245C">
            <w:pPr>
              <w:rPr>
                <w:rFonts w:ascii="Times New Roman" w:hAnsi="Times New Roman" w:cs="Times New Roman"/>
                <w:sz w:val="16"/>
                <w:szCs w:val="16"/>
                <w:lang w:val="en-IN"/>
              </w:rPr>
            </w:pPr>
          </w:p>
        </w:tc>
      </w:tr>
      <w:tr w:rsidR="00D10E02" w:rsidRPr="00EF6D91" w14:paraId="417A2158" w14:textId="77777777" w:rsidTr="00876247">
        <w:tc>
          <w:tcPr>
            <w:tcW w:w="626" w:type="dxa"/>
            <w:vMerge/>
          </w:tcPr>
          <w:p w14:paraId="0154DEF7"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2FFA4934" w14:textId="77777777" w:rsidR="00D10E02" w:rsidRPr="00EF6D91" w:rsidRDefault="00D10E02" w:rsidP="0086245C">
            <w:pPr>
              <w:rPr>
                <w:rFonts w:ascii="Times New Roman" w:hAnsi="Times New Roman" w:cs="Times New Roman"/>
                <w:sz w:val="16"/>
                <w:szCs w:val="16"/>
                <w:lang w:val="en-IN"/>
              </w:rPr>
            </w:pPr>
          </w:p>
        </w:tc>
        <w:tc>
          <w:tcPr>
            <w:tcW w:w="3402" w:type="dxa"/>
          </w:tcPr>
          <w:p w14:paraId="2FD70E75" w14:textId="77777777" w:rsidR="00D10E02" w:rsidRPr="00EF6D91" w:rsidRDefault="00D10E02" w:rsidP="0086245C">
            <w:pPr>
              <w:rPr>
                <w:rFonts w:ascii="Times New Roman" w:hAnsi="Times New Roman" w:cs="Times New Roman"/>
                <w:sz w:val="16"/>
                <w:szCs w:val="16"/>
              </w:rPr>
            </w:pPr>
            <w:r w:rsidRPr="00EF6D91">
              <w:rPr>
                <w:rFonts w:ascii="Times New Roman" w:hAnsi="Times New Roman" w:cs="Times New Roman"/>
                <w:sz w:val="16"/>
                <w:szCs w:val="16"/>
              </w:rPr>
              <w:t xml:space="preserve">Total Cost of Ownership (FR8) </w:t>
            </w:r>
          </w:p>
        </w:tc>
        <w:tc>
          <w:tcPr>
            <w:tcW w:w="812" w:type="dxa"/>
          </w:tcPr>
          <w:p w14:paraId="6852772E" w14:textId="77777777" w:rsidR="00D10E02" w:rsidRPr="00EF6D91" w:rsidRDefault="00D10E02" w:rsidP="0086245C">
            <w:pPr>
              <w:rPr>
                <w:rFonts w:ascii="Times New Roman" w:hAnsi="Times New Roman" w:cs="Times New Roman"/>
                <w:sz w:val="16"/>
                <w:szCs w:val="16"/>
              </w:rPr>
            </w:pPr>
            <w:r w:rsidRPr="00EF6D91">
              <w:rPr>
                <w:rFonts w:ascii="Times New Roman" w:hAnsi="Times New Roman" w:cs="Times New Roman"/>
                <w:sz w:val="16"/>
                <w:szCs w:val="16"/>
              </w:rPr>
              <w:t>0.66</w:t>
            </w:r>
          </w:p>
        </w:tc>
        <w:tc>
          <w:tcPr>
            <w:tcW w:w="576" w:type="dxa"/>
          </w:tcPr>
          <w:p w14:paraId="3EB30BA5" w14:textId="77777777" w:rsidR="00D10E02" w:rsidRPr="00EF6D91" w:rsidRDefault="00D10E02" w:rsidP="0086245C">
            <w:pPr>
              <w:rPr>
                <w:rFonts w:ascii="Times New Roman" w:hAnsi="Times New Roman" w:cs="Times New Roman"/>
                <w:sz w:val="16"/>
                <w:szCs w:val="16"/>
                <w:lang w:val="en-IN"/>
              </w:rPr>
            </w:pPr>
          </w:p>
        </w:tc>
        <w:tc>
          <w:tcPr>
            <w:tcW w:w="576" w:type="dxa"/>
          </w:tcPr>
          <w:p w14:paraId="75D298B2" w14:textId="77777777" w:rsidR="00D10E02" w:rsidRPr="00EF6D91" w:rsidRDefault="00D10E02" w:rsidP="0086245C">
            <w:pPr>
              <w:rPr>
                <w:rFonts w:ascii="Times New Roman" w:hAnsi="Times New Roman" w:cs="Times New Roman"/>
                <w:sz w:val="16"/>
                <w:szCs w:val="16"/>
                <w:lang w:val="en-IN"/>
              </w:rPr>
            </w:pPr>
          </w:p>
        </w:tc>
        <w:tc>
          <w:tcPr>
            <w:tcW w:w="657" w:type="dxa"/>
          </w:tcPr>
          <w:p w14:paraId="2B38EA1D" w14:textId="77777777" w:rsidR="00D10E02" w:rsidRPr="00EF6D91" w:rsidRDefault="00D10E02" w:rsidP="0086245C">
            <w:pPr>
              <w:rPr>
                <w:rFonts w:ascii="Times New Roman" w:hAnsi="Times New Roman" w:cs="Times New Roman"/>
                <w:sz w:val="16"/>
                <w:szCs w:val="16"/>
                <w:lang w:val="en-IN"/>
              </w:rPr>
            </w:pPr>
          </w:p>
        </w:tc>
      </w:tr>
      <w:tr w:rsidR="00D10E02" w:rsidRPr="00EF6D91" w14:paraId="607F43A7" w14:textId="77777777" w:rsidTr="00876247">
        <w:tc>
          <w:tcPr>
            <w:tcW w:w="626" w:type="dxa"/>
            <w:vMerge w:val="restart"/>
          </w:tcPr>
          <w:p w14:paraId="055DF96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2</w:t>
            </w:r>
          </w:p>
        </w:tc>
        <w:tc>
          <w:tcPr>
            <w:tcW w:w="1496" w:type="dxa"/>
            <w:vMerge w:val="restart"/>
          </w:tcPr>
          <w:p w14:paraId="01357C0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color w:val="000000"/>
                <w:kern w:val="0"/>
                <w:sz w:val="16"/>
                <w:szCs w:val="16"/>
              </w:rPr>
              <w:t>Energy and Charging Infrastructure Barriers (EI)</w:t>
            </w:r>
          </w:p>
        </w:tc>
        <w:tc>
          <w:tcPr>
            <w:tcW w:w="3402" w:type="dxa"/>
          </w:tcPr>
          <w:p w14:paraId="7BE3ADF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Insufficient Charging Infrastructure (EI1) </w:t>
            </w:r>
          </w:p>
        </w:tc>
        <w:tc>
          <w:tcPr>
            <w:tcW w:w="812" w:type="dxa"/>
          </w:tcPr>
          <w:p w14:paraId="68960159" w14:textId="77777777" w:rsidR="00D10E02" w:rsidRPr="00EF6D91" w:rsidRDefault="00D10E02" w:rsidP="0086245C">
            <w:pPr>
              <w:rPr>
                <w:rFonts w:ascii="Times New Roman" w:hAnsi="Times New Roman" w:cs="Times New Roman"/>
                <w:sz w:val="16"/>
                <w:szCs w:val="16"/>
                <w:lang w:val="en-IN"/>
              </w:rPr>
            </w:pPr>
          </w:p>
        </w:tc>
        <w:tc>
          <w:tcPr>
            <w:tcW w:w="576" w:type="dxa"/>
          </w:tcPr>
          <w:p w14:paraId="5DBE9B4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0.67 </w:t>
            </w:r>
          </w:p>
        </w:tc>
        <w:tc>
          <w:tcPr>
            <w:tcW w:w="576" w:type="dxa"/>
          </w:tcPr>
          <w:p w14:paraId="74570A57" w14:textId="77777777" w:rsidR="00D10E02" w:rsidRPr="00EF6D91" w:rsidRDefault="00D10E02" w:rsidP="0086245C">
            <w:pPr>
              <w:rPr>
                <w:rFonts w:ascii="Times New Roman" w:hAnsi="Times New Roman" w:cs="Times New Roman"/>
                <w:sz w:val="16"/>
                <w:szCs w:val="16"/>
                <w:lang w:val="en-IN"/>
              </w:rPr>
            </w:pPr>
          </w:p>
        </w:tc>
        <w:tc>
          <w:tcPr>
            <w:tcW w:w="657" w:type="dxa"/>
          </w:tcPr>
          <w:p w14:paraId="4A34A3DD" w14:textId="77777777" w:rsidR="00D10E02" w:rsidRPr="00EF6D91" w:rsidRDefault="00D10E02" w:rsidP="0086245C">
            <w:pPr>
              <w:rPr>
                <w:rFonts w:ascii="Times New Roman" w:hAnsi="Times New Roman" w:cs="Times New Roman"/>
                <w:sz w:val="16"/>
                <w:szCs w:val="16"/>
                <w:lang w:val="en-IN"/>
              </w:rPr>
            </w:pPr>
          </w:p>
        </w:tc>
      </w:tr>
      <w:tr w:rsidR="00D10E02" w:rsidRPr="00EF6D91" w14:paraId="46A4AC5B" w14:textId="77777777" w:rsidTr="00876247">
        <w:tc>
          <w:tcPr>
            <w:tcW w:w="626" w:type="dxa"/>
            <w:vMerge/>
          </w:tcPr>
          <w:p w14:paraId="0D534CDD"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4FB8830A" w14:textId="77777777" w:rsidR="00D10E02" w:rsidRPr="00EF6D91" w:rsidRDefault="00D10E02" w:rsidP="0086245C">
            <w:pPr>
              <w:rPr>
                <w:rFonts w:ascii="Times New Roman" w:hAnsi="Times New Roman" w:cs="Times New Roman"/>
                <w:sz w:val="16"/>
                <w:szCs w:val="16"/>
                <w:lang w:val="en-IN"/>
              </w:rPr>
            </w:pPr>
          </w:p>
        </w:tc>
        <w:tc>
          <w:tcPr>
            <w:tcW w:w="3402" w:type="dxa"/>
          </w:tcPr>
          <w:p w14:paraId="7487FEC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Deficiency of depot-based fast charging (EI2) </w:t>
            </w:r>
          </w:p>
        </w:tc>
        <w:tc>
          <w:tcPr>
            <w:tcW w:w="812" w:type="dxa"/>
          </w:tcPr>
          <w:p w14:paraId="20462AEE" w14:textId="77777777" w:rsidR="00D10E02" w:rsidRPr="00EF6D91" w:rsidRDefault="00D10E02" w:rsidP="0086245C">
            <w:pPr>
              <w:rPr>
                <w:rFonts w:ascii="Times New Roman" w:hAnsi="Times New Roman" w:cs="Times New Roman"/>
                <w:sz w:val="16"/>
                <w:szCs w:val="16"/>
                <w:lang w:val="en-IN"/>
              </w:rPr>
            </w:pPr>
          </w:p>
        </w:tc>
        <w:tc>
          <w:tcPr>
            <w:tcW w:w="576" w:type="dxa"/>
          </w:tcPr>
          <w:p w14:paraId="3EE9B21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0.70 </w:t>
            </w:r>
          </w:p>
        </w:tc>
        <w:tc>
          <w:tcPr>
            <w:tcW w:w="576" w:type="dxa"/>
          </w:tcPr>
          <w:p w14:paraId="26612C90" w14:textId="77777777" w:rsidR="00D10E02" w:rsidRPr="00EF6D91" w:rsidRDefault="00D10E02" w:rsidP="0086245C">
            <w:pPr>
              <w:rPr>
                <w:rFonts w:ascii="Times New Roman" w:hAnsi="Times New Roman" w:cs="Times New Roman"/>
                <w:sz w:val="16"/>
                <w:szCs w:val="16"/>
                <w:lang w:val="en-IN"/>
              </w:rPr>
            </w:pPr>
          </w:p>
        </w:tc>
        <w:tc>
          <w:tcPr>
            <w:tcW w:w="657" w:type="dxa"/>
          </w:tcPr>
          <w:p w14:paraId="78F769D9" w14:textId="77777777" w:rsidR="00D10E02" w:rsidRPr="00EF6D91" w:rsidRDefault="00D10E02" w:rsidP="0086245C">
            <w:pPr>
              <w:rPr>
                <w:rFonts w:ascii="Times New Roman" w:hAnsi="Times New Roman" w:cs="Times New Roman"/>
                <w:sz w:val="16"/>
                <w:szCs w:val="16"/>
                <w:lang w:val="en-IN"/>
              </w:rPr>
            </w:pPr>
          </w:p>
        </w:tc>
      </w:tr>
      <w:tr w:rsidR="00D10E02" w:rsidRPr="00EF6D91" w14:paraId="76D7E38D" w14:textId="77777777" w:rsidTr="00876247">
        <w:tc>
          <w:tcPr>
            <w:tcW w:w="626" w:type="dxa"/>
            <w:vMerge/>
          </w:tcPr>
          <w:p w14:paraId="36750915"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42EA454B" w14:textId="77777777" w:rsidR="00D10E02" w:rsidRPr="00EF6D91" w:rsidRDefault="00D10E02" w:rsidP="0086245C">
            <w:pPr>
              <w:rPr>
                <w:rFonts w:ascii="Times New Roman" w:hAnsi="Times New Roman" w:cs="Times New Roman"/>
                <w:sz w:val="16"/>
                <w:szCs w:val="16"/>
                <w:lang w:val="en-IN"/>
              </w:rPr>
            </w:pPr>
          </w:p>
        </w:tc>
        <w:tc>
          <w:tcPr>
            <w:tcW w:w="3402" w:type="dxa"/>
          </w:tcPr>
          <w:p w14:paraId="30711FD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Insufficient Electricity Provision (EI3) </w:t>
            </w:r>
          </w:p>
        </w:tc>
        <w:tc>
          <w:tcPr>
            <w:tcW w:w="812" w:type="dxa"/>
          </w:tcPr>
          <w:p w14:paraId="7EDF73E3" w14:textId="77777777" w:rsidR="00D10E02" w:rsidRPr="00EF6D91" w:rsidRDefault="00D10E02" w:rsidP="0086245C">
            <w:pPr>
              <w:rPr>
                <w:rFonts w:ascii="Times New Roman" w:hAnsi="Times New Roman" w:cs="Times New Roman"/>
                <w:sz w:val="16"/>
                <w:szCs w:val="16"/>
                <w:lang w:val="en-IN"/>
              </w:rPr>
            </w:pPr>
          </w:p>
        </w:tc>
        <w:tc>
          <w:tcPr>
            <w:tcW w:w="576" w:type="dxa"/>
          </w:tcPr>
          <w:p w14:paraId="5D6DC42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0.75 </w:t>
            </w:r>
          </w:p>
        </w:tc>
        <w:tc>
          <w:tcPr>
            <w:tcW w:w="576" w:type="dxa"/>
          </w:tcPr>
          <w:p w14:paraId="570BBDCD" w14:textId="77777777" w:rsidR="00D10E02" w:rsidRPr="00EF6D91" w:rsidRDefault="00D10E02" w:rsidP="0086245C">
            <w:pPr>
              <w:rPr>
                <w:rFonts w:ascii="Times New Roman" w:hAnsi="Times New Roman" w:cs="Times New Roman"/>
                <w:sz w:val="16"/>
                <w:szCs w:val="16"/>
                <w:lang w:val="en-IN"/>
              </w:rPr>
            </w:pPr>
          </w:p>
        </w:tc>
        <w:tc>
          <w:tcPr>
            <w:tcW w:w="657" w:type="dxa"/>
          </w:tcPr>
          <w:p w14:paraId="787D37F0" w14:textId="77777777" w:rsidR="00D10E02" w:rsidRPr="00EF6D91" w:rsidRDefault="00D10E02" w:rsidP="0086245C">
            <w:pPr>
              <w:rPr>
                <w:rFonts w:ascii="Times New Roman" w:hAnsi="Times New Roman" w:cs="Times New Roman"/>
                <w:sz w:val="16"/>
                <w:szCs w:val="16"/>
                <w:lang w:val="en-IN"/>
              </w:rPr>
            </w:pPr>
          </w:p>
        </w:tc>
      </w:tr>
      <w:tr w:rsidR="00D10E02" w:rsidRPr="00EF6D91" w14:paraId="2F6D466C" w14:textId="77777777" w:rsidTr="00876247">
        <w:tc>
          <w:tcPr>
            <w:tcW w:w="626" w:type="dxa"/>
            <w:vMerge/>
          </w:tcPr>
          <w:p w14:paraId="534191AE"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157EAAFD" w14:textId="77777777" w:rsidR="00D10E02" w:rsidRPr="00EF6D91" w:rsidRDefault="00D10E02" w:rsidP="0086245C">
            <w:pPr>
              <w:rPr>
                <w:rFonts w:ascii="Times New Roman" w:hAnsi="Times New Roman" w:cs="Times New Roman"/>
                <w:sz w:val="16"/>
                <w:szCs w:val="16"/>
                <w:lang w:val="en-IN"/>
              </w:rPr>
            </w:pPr>
          </w:p>
        </w:tc>
        <w:tc>
          <w:tcPr>
            <w:tcW w:w="3402" w:type="dxa"/>
          </w:tcPr>
          <w:p w14:paraId="3772592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Investment for Power Grid upgrade (EI4) </w:t>
            </w:r>
          </w:p>
        </w:tc>
        <w:tc>
          <w:tcPr>
            <w:tcW w:w="812" w:type="dxa"/>
          </w:tcPr>
          <w:p w14:paraId="38D3955F" w14:textId="77777777" w:rsidR="00D10E02" w:rsidRPr="00EF6D91" w:rsidRDefault="00D10E02" w:rsidP="0086245C">
            <w:pPr>
              <w:rPr>
                <w:rFonts w:ascii="Times New Roman" w:hAnsi="Times New Roman" w:cs="Times New Roman"/>
                <w:sz w:val="16"/>
                <w:szCs w:val="16"/>
                <w:lang w:val="en-IN"/>
              </w:rPr>
            </w:pPr>
          </w:p>
        </w:tc>
        <w:tc>
          <w:tcPr>
            <w:tcW w:w="576" w:type="dxa"/>
          </w:tcPr>
          <w:p w14:paraId="281633A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0.68 </w:t>
            </w:r>
          </w:p>
        </w:tc>
        <w:tc>
          <w:tcPr>
            <w:tcW w:w="576" w:type="dxa"/>
          </w:tcPr>
          <w:p w14:paraId="76C96FB3" w14:textId="77777777" w:rsidR="00D10E02" w:rsidRPr="00EF6D91" w:rsidRDefault="00D10E02" w:rsidP="0086245C">
            <w:pPr>
              <w:rPr>
                <w:rFonts w:ascii="Times New Roman" w:hAnsi="Times New Roman" w:cs="Times New Roman"/>
                <w:sz w:val="16"/>
                <w:szCs w:val="16"/>
                <w:lang w:val="en-IN"/>
              </w:rPr>
            </w:pPr>
          </w:p>
        </w:tc>
        <w:tc>
          <w:tcPr>
            <w:tcW w:w="657" w:type="dxa"/>
          </w:tcPr>
          <w:p w14:paraId="28CF2FE6" w14:textId="77777777" w:rsidR="00D10E02" w:rsidRPr="00EF6D91" w:rsidRDefault="00D10E02" w:rsidP="0086245C">
            <w:pPr>
              <w:rPr>
                <w:rFonts w:ascii="Times New Roman" w:hAnsi="Times New Roman" w:cs="Times New Roman"/>
                <w:sz w:val="16"/>
                <w:szCs w:val="16"/>
                <w:lang w:val="en-IN"/>
              </w:rPr>
            </w:pPr>
          </w:p>
        </w:tc>
      </w:tr>
      <w:tr w:rsidR="00D10E02" w:rsidRPr="00EF6D91" w14:paraId="5BCBEAD4" w14:textId="77777777" w:rsidTr="00876247">
        <w:tc>
          <w:tcPr>
            <w:tcW w:w="626" w:type="dxa"/>
            <w:vMerge w:val="restart"/>
          </w:tcPr>
          <w:p w14:paraId="0E337C1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3</w:t>
            </w:r>
          </w:p>
        </w:tc>
        <w:tc>
          <w:tcPr>
            <w:tcW w:w="1496" w:type="dxa"/>
            <w:vMerge w:val="restart"/>
          </w:tcPr>
          <w:p w14:paraId="682C7CE8" w14:textId="77777777" w:rsidR="00D10E02" w:rsidRPr="00EF6D91" w:rsidRDefault="00D10E02" w:rsidP="0086245C">
            <w:pPr>
              <w:pStyle w:val="Default"/>
              <w:rPr>
                <w:sz w:val="16"/>
                <w:szCs w:val="16"/>
              </w:rPr>
            </w:pPr>
            <w:r w:rsidRPr="00EF6D91">
              <w:rPr>
                <w:sz w:val="16"/>
                <w:szCs w:val="16"/>
              </w:rPr>
              <w:t xml:space="preserve">Policy, Perception, and Market Barriers </w:t>
            </w:r>
          </w:p>
          <w:p w14:paraId="0DC0C87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 </w:t>
            </w:r>
          </w:p>
        </w:tc>
        <w:tc>
          <w:tcPr>
            <w:tcW w:w="3402" w:type="dxa"/>
          </w:tcPr>
          <w:p w14:paraId="37D7648F" w14:textId="3CAD0E3F"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Socio-technical barriers (PPM1</w:t>
            </w:r>
            <w:r w:rsidR="00637232" w:rsidRPr="00EF6D91">
              <w:rPr>
                <w:rFonts w:ascii="Times New Roman" w:hAnsi="Times New Roman" w:cs="Times New Roman"/>
                <w:sz w:val="16"/>
                <w:szCs w:val="16"/>
              </w:rPr>
              <w:t>)</w:t>
            </w:r>
          </w:p>
        </w:tc>
        <w:tc>
          <w:tcPr>
            <w:tcW w:w="812" w:type="dxa"/>
          </w:tcPr>
          <w:p w14:paraId="5D3987EE" w14:textId="77777777" w:rsidR="00D10E02" w:rsidRPr="00EF6D91" w:rsidRDefault="00D10E02" w:rsidP="0086245C">
            <w:pPr>
              <w:rPr>
                <w:rFonts w:ascii="Times New Roman" w:hAnsi="Times New Roman" w:cs="Times New Roman"/>
                <w:sz w:val="16"/>
                <w:szCs w:val="16"/>
                <w:lang w:val="en-IN"/>
              </w:rPr>
            </w:pPr>
          </w:p>
        </w:tc>
        <w:tc>
          <w:tcPr>
            <w:tcW w:w="576" w:type="dxa"/>
          </w:tcPr>
          <w:p w14:paraId="0320A854" w14:textId="77777777" w:rsidR="00D10E02" w:rsidRPr="00EF6D91" w:rsidRDefault="00D10E02" w:rsidP="0086245C">
            <w:pPr>
              <w:rPr>
                <w:rFonts w:ascii="Times New Roman" w:hAnsi="Times New Roman" w:cs="Times New Roman"/>
                <w:sz w:val="16"/>
                <w:szCs w:val="16"/>
                <w:lang w:val="en-IN"/>
              </w:rPr>
            </w:pPr>
          </w:p>
        </w:tc>
        <w:tc>
          <w:tcPr>
            <w:tcW w:w="576" w:type="dxa"/>
          </w:tcPr>
          <w:p w14:paraId="16E6637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0.66 </w:t>
            </w:r>
          </w:p>
        </w:tc>
        <w:tc>
          <w:tcPr>
            <w:tcW w:w="657" w:type="dxa"/>
          </w:tcPr>
          <w:p w14:paraId="1F8210D1" w14:textId="77777777" w:rsidR="00D10E02" w:rsidRPr="00EF6D91" w:rsidRDefault="00D10E02" w:rsidP="0086245C">
            <w:pPr>
              <w:rPr>
                <w:rFonts w:ascii="Times New Roman" w:hAnsi="Times New Roman" w:cs="Times New Roman"/>
                <w:sz w:val="16"/>
                <w:szCs w:val="16"/>
                <w:lang w:val="en-IN"/>
              </w:rPr>
            </w:pPr>
          </w:p>
        </w:tc>
      </w:tr>
      <w:tr w:rsidR="00D10E02" w:rsidRPr="00EF6D91" w14:paraId="06E29C62" w14:textId="77777777" w:rsidTr="00876247">
        <w:tc>
          <w:tcPr>
            <w:tcW w:w="626" w:type="dxa"/>
            <w:vMerge/>
          </w:tcPr>
          <w:p w14:paraId="38FCBD1A"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52EF7279" w14:textId="77777777" w:rsidR="00D10E02" w:rsidRPr="00EF6D91" w:rsidRDefault="00D10E02" w:rsidP="0086245C">
            <w:pPr>
              <w:rPr>
                <w:rFonts w:ascii="Times New Roman" w:hAnsi="Times New Roman" w:cs="Times New Roman"/>
                <w:sz w:val="16"/>
                <w:szCs w:val="16"/>
                <w:lang w:val="en-IN"/>
              </w:rPr>
            </w:pPr>
          </w:p>
        </w:tc>
        <w:tc>
          <w:tcPr>
            <w:tcW w:w="3402" w:type="dxa"/>
          </w:tcPr>
          <w:p w14:paraId="4707789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Lack of trust for environmental benefits (PPM2) </w:t>
            </w:r>
          </w:p>
        </w:tc>
        <w:tc>
          <w:tcPr>
            <w:tcW w:w="812" w:type="dxa"/>
          </w:tcPr>
          <w:p w14:paraId="04AA9453" w14:textId="77777777" w:rsidR="00D10E02" w:rsidRPr="00EF6D91" w:rsidRDefault="00D10E02" w:rsidP="0086245C">
            <w:pPr>
              <w:rPr>
                <w:rFonts w:ascii="Times New Roman" w:hAnsi="Times New Roman" w:cs="Times New Roman"/>
                <w:sz w:val="16"/>
                <w:szCs w:val="16"/>
                <w:lang w:val="en-IN"/>
              </w:rPr>
            </w:pPr>
          </w:p>
        </w:tc>
        <w:tc>
          <w:tcPr>
            <w:tcW w:w="576" w:type="dxa"/>
          </w:tcPr>
          <w:p w14:paraId="1F08E89B" w14:textId="77777777" w:rsidR="00D10E02" w:rsidRPr="00EF6D91" w:rsidRDefault="00D10E02" w:rsidP="0086245C">
            <w:pPr>
              <w:rPr>
                <w:rFonts w:ascii="Times New Roman" w:hAnsi="Times New Roman" w:cs="Times New Roman"/>
                <w:sz w:val="16"/>
                <w:szCs w:val="16"/>
                <w:lang w:val="en-IN"/>
              </w:rPr>
            </w:pPr>
          </w:p>
        </w:tc>
        <w:tc>
          <w:tcPr>
            <w:tcW w:w="576" w:type="dxa"/>
          </w:tcPr>
          <w:p w14:paraId="33D03B7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0.76 </w:t>
            </w:r>
          </w:p>
        </w:tc>
        <w:tc>
          <w:tcPr>
            <w:tcW w:w="657" w:type="dxa"/>
          </w:tcPr>
          <w:p w14:paraId="5686A7DD" w14:textId="77777777" w:rsidR="00D10E02" w:rsidRPr="00EF6D91" w:rsidRDefault="00D10E02" w:rsidP="0086245C">
            <w:pPr>
              <w:rPr>
                <w:rFonts w:ascii="Times New Roman" w:hAnsi="Times New Roman" w:cs="Times New Roman"/>
                <w:sz w:val="16"/>
                <w:szCs w:val="16"/>
                <w:lang w:val="en-IN"/>
              </w:rPr>
            </w:pPr>
          </w:p>
        </w:tc>
      </w:tr>
      <w:tr w:rsidR="00D10E02" w:rsidRPr="00EF6D91" w14:paraId="01AD91E6" w14:textId="77777777" w:rsidTr="00876247">
        <w:tc>
          <w:tcPr>
            <w:tcW w:w="626" w:type="dxa"/>
            <w:vMerge/>
          </w:tcPr>
          <w:p w14:paraId="3E961FF0"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205406D7" w14:textId="77777777" w:rsidR="00D10E02" w:rsidRPr="00EF6D91" w:rsidRDefault="00D10E02" w:rsidP="0086245C">
            <w:pPr>
              <w:rPr>
                <w:rFonts w:ascii="Times New Roman" w:hAnsi="Times New Roman" w:cs="Times New Roman"/>
                <w:sz w:val="16"/>
                <w:szCs w:val="16"/>
                <w:lang w:val="en-IN"/>
              </w:rPr>
            </w:pPr>
          </w:p>
        </w:tc>
        <w:tc>
          <w:tcPr>
            <w:tcW w:w="3402" w:type="dxa"/>
          </w:tcPr>
          <w:p w14:paraId="529738FA"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Uncertainty Over Resale Value (PPM3) </w:t>
            </w:r>
          </w:p>
        </w:tc>
        <w:tc>
          <w:tcPr>
            <w:tcW w:w="812" w:type="dxa"/>
          </w:tcPr>
          <w:p w14:paraId="0E71A49E" w14:textId="77777777" w:rsidR="00D10E02" w:rsidRPr="00EF6D91" w:rsidRDefault="00D10E02" w:rsidP="0086245C">
            <w:pPr>
              <w:rPr>
                <w:rFonts w:ascii="Times New Roman" w:hAnsi="Times New Roman" w:cs="Times New Roman"/>
                <w:sz w:val="16"/>
                <w:szCs w:val="16"/>
                <w:lang w:val="en-IN"/>
              </w:rPr>
            </w:pPr>
          </w:p>
        </w:tc>
        <w:tc>
          <w:tcPr>
            <w:tcW w:w="576" w:type="dxa"/>
          </w:tcPr>
          <w:p w14:paraId="38C4F40D" w14:textId="77777777" w:rsidR="00D10E02" w:rsidRPr="00EF6D91" w:rsidRDefault="00D10E02" w:rsidP="0086245C">
            <w:pPr>
              <w:rPr>
                <w:rFonts w:ascii="Times New Roman" w:hAnsi="Times New Roman" w:cs="Times New Roman"/>
                <w:sz w:val="16"/>
                <w:szCs w:val="16"/>
                <w:lang w:val="en-IN"/>
              </w:rPr>
            </w:pPr>
          </w:p>
        </w:tc>
        <w:tc>
          <w:tcPr>
            <w:tcW w:w="576" w:type="dxa"/>
          </w:tcPr>
          <w:p w14:paraId="76D3687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0.70 </w:t>
            </w:r>
          </w:p>
        </w:tc>
        <w:tc>
          <w:tcPr>
            <w:tcW w:w="657" w:type="dxa"/>
          </w:tcPr>
          <w:p w14:paraId="275BA3F4" w14:textId="77777777" w:rsidR="00D10E02" w:rsidRPr="00EF6D91" w:rsidRDefault="00D10E02" w:rsidP="0086245C">
            <w:pPr>
              <w:rPr>
                <w:rFonts w:ascii="Times New Roman" w:hAnsi="Times New Roman" w:cs="Times New Roman"/>
                <w:sz w:val="16"/>
                <w:szCs w:val="16"/>
                <w:lang w:val="en-IN"/>
              </w:rPr>
            </w:pPr>
          </w:p>
        </w:tc>
      </w:tr>
      <w:tr w:rsidR="00D10E02" w:rsidRPr="00EF6D91" w14:paraId="7AAE0AFF" w14:textId="77777777" w:rsidTr="00876247">
        <w:tc>
          <w:tcPr>
            <w:tcW w:w="626" w:type="dxa"/>
            <w:vMerge/>
          </w:tcPr>
          <w:p w14:paraId="7AC2D840"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1FEF1C32" w14:textId="77777777" w:rsidR="00D10E02" w:rsidRPr="00EF6D91" w:rsidRDefault="00D10E02" w:rsidP="0086245C">
            <w:pPr>
              <w:rPr>
                <w:rFonts w:ascii="Times New Roman" w:hAnsi="Times New Roman" w:cs="Times New Roman"/>
                <w:sz w:val="16"/>
                <w:szCs w:val="16"/>
                <w:lang w:val="en-IN"/>
              </w:rPr>
            </w:pPr>
          </w:p>
        </w:tc>
        <w:tc>
          <w:tcPr>
            <w:tcW w:w="3402" w:type="dxa"/>
          </w:tcPr>
          <w:p w14:paraId="331967D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variety of models (PPM4) </w:t>
            </w:r>
          </w:p>
        </w:tc>
        <w:tc>
          <w:tcPr>
            <w:tcW w:w="812" w:type="dxa"/>
          </w:tcPr>
          <w:p w14:paraId="70B11CA9" w14:textId="77777777" w:rsidR="00D10E02" w:rsidRPr="00EF6D91" w:rsidRDefault="00D10E02" w:rsidP="0086245C">
            <w:pPr>
              <w:rPr>
                <w:rFonts w:ascii="Times New Roman" w:hAnsi="Times New Roman" w:cs="Times New Roman"/>
                <w:sz w:val="16"/>
                <w:szCs w:val="16"/>
                <w:lang w:val="en-IN"/>
              </w:rPr>
            </w:pPr>
          </w:p>
        </w:tc>
        <w:tc>
          <w:tcPr>
            <w:tcW w:w="576" w:type="dxa"/>
          </w:tcPr>
          <w:p w14:paraId="55A567C5" w14:textId="77777777" w:rsidR="00D10E02" w:rsidRPr="00EF6D91" w:rsidRDefault="00D10E02" w:rsidP="0086245C">
            <w:pPr>
              <w:rPr>
                <w:rFonts w:ascii="Times New Roman" w:hAnsi="Times New Roman" w:cs="Times New Roman"/>
                <w:sz w:val="16"/>
                <w:szCs w:val="16"/>
                <w:lang w:val="en-IN"/>
              </w:rPr>
            </w:pPr>
          </w:p>
        </w:tc>
        <w:tc>
          <w:tcPr>
            <w:tcW w:w="576" w:type="dxa"/>
          </w:tcPr>
          <w:p w14:paraId="458ACB7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0.50 </w:t>
            </w:r>
          </w:p>
        </w:tc>
        <w:tc>
          <w:tcPr>
            <w:tcW w:w="657" w:type="dxa"/>
          </w:tcPr>
          <w:p w14:paraId="78AC07A4" w14:textId="77777777" w:rsidR="00D10E02" w:rsidRPr="00EF6D91" w:rsidRDefault="00D10E02" w:rsidP="0086245C">
            <w:pPr>
              <w:rPr>
                <w:rFonts w:ascii="Times New Roman" w:hAnsi="Times New Roman" w:cs="Times New Roman"/>
                <w:sz w:val="16"/>
                <w:szCs w:val="16"/>
                <w:lang w:val="en-IN"/>
              </w:rPr>
            </w:pPr>
          </w:p>
        </w:tc>
      </w:tr>
      <w:tr w:rsidR="00D10E02" w:rsidRPr="00EF6D91" w14:paraId="728D02D3" w14:textId="77777777" w:rsidTr="00876247">
        <w:tc>
          <w:tcPr>
            <w:tcW w:w="626" w:type="dxa"/>
            <w:vMerge/>
          </w:tcPr>
          <w:p w14:paraId="01E8D28D"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5BE20CB7" w14:textId="77777777" w:rsidR="00D10E02" w:rsidRPr="00EF6D91" w:rsidRDefault="00D10E02" w:rsidP="0086245C">
            <w:pPr>
              <w:rPr>
                <w:rFonts w:ascii="Times New Roman" w:hAnsi="Times New Roman" w:cs="Times New Roman"/>
                <w:sz w:val="16"/>
                <w:szCs w:val="16"/>
                <w:lang w:val="en-IN"/>
              </w:rPr>
            </w:pPr>
          </w:p>
        </w:tc>
        <w:tc>
          <w:tcPr>
            <w:tcW w:w="3402" w:type="dxa"/>
          </w:tcPr>
          <w:p w14:paraId="0A0EA9BE" w14:textId="788DA022"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Policy and Regulatory </w:t>
            </w:r>
            <w:r w:rsidR="005E5B8D" w:rsidRPr="00EF6D91">
              <w:rPr>
                <w:rFonts w:ascii="Times New Roman" w:hAnsi="Times New Roman" w:cs="Times New Roman"/>
                <w:sz w:val="16"/>
                <w:szCs w:val="16"/>
              </w:rPr>
              <w:t>O</w:t>
            </w:r>
            <w:r w:rsidRPr="00EF6D91">
              <w:rPr>
                <w:rFonts w:ascii="Times New Roman" w:hAnsi="Times New Roman" w:cs="Times New Roman"/>
                <w:sz w:val="16"/>
                <w:szCs w:val="16"/>
              </w:rPr>
              <w:t xml:space="preserve">bstacles (PPM5) </w:t>
            </w:r>
          </w:p>
        </w:tc>
        <w:tc>
          <w:tcPr>
            <w:tcW w:w="812" w:type="dxa"/>
          </w:tcPr>
          <w:p w14:paraId="6F929FA8" w14:textId="77777777" w:rsidR="00D10E02" w:rsidRPr="00EF6D91" w:rsidRDefault="00D10E02" w:rsidP="0086245C">
            <w:pPr>
              <w:rPr>
                <w:rFonts w:ascii="Times New Roman" w:hAnsi="Times New Roman" w:cs="Times New Roman"/>
                <w:sz w:val="16"/>
                <w:szCs w:val="16"/>
                <w:lang w:val="en-IN"/>
              </w:rPr>
            </w:pPr>
          </w:p>
        </w:tc>
        <w:tc>
          <w:tcPr>
            <w:tcW w:w="576" w:type="dxa"/>
          </w:tcPr>
          <w:p w14:paraId="6703F4BA" w14:textId="77777777" w:rsidR="00D10E02" w:rsidRPr="00EF6D91" w:rsidRDefault="00D10E02" w:rsidP="0086245C">
            <w:pPr>
              <w:rPr>
                <w:rFonts w:ascii="Times New Roman" w:hAnsi="Times New Roman" w:cs="Times New Roman"/>
                <w:sz w:val="16"/>
                <w:szCs w:val="16"/>
                <w:lang w:val="en-IN"/>
              </w:rPr>
            </w:pPr>
          </w:p>
        </w:tc>
        <w:tc>
          <w:tcPr>
            <w:tcW w:w="576" w:type="dxa"/>
          </w:tcPr>
          <w:p w14:paraId="1DD077C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0.58 </w:t>
            </w:r>
          </w:p>
        </w:tc>
        <w:tc>
          <w:tcPr>
            <w:tcW w:w="657" w:type="dxa"/>
          </w:tcPr>
          <w:p w14:paraId="6190294B" w14:textId="77777777" w:rsidR="00D10E02" w:rsidRPr="00EF6D91" w:rsidRDefault="00D10E02" w:rsidP="0086245C">
            <w:pPr>
              <w:rPr>
                <w:rFonts w:ascii="Times New Roman" w:hAnsi="Times New Roman" w:cs="Times New Roman"/>
                <w:sz w:val="16"/>
                <w:szCs w:val="16"/>
                <w:lang w:val="en-IN"/>
              </w:rPr>
            </w:pPr>
          </w:p>
        </w:tc>
      </w:tr>
      <w:tr w:rsidR="00D10E02" w:rsidRPr="00EF6D91" w14:paraId="395A5E35" w14:textId="77777777" w:rsidTr="00876247">
        <w:tc>
          <w:tcPr>
            <w:tcW w:w="626" w:type="dxa"/>
            <w:vMerge w:val="restart"/>
          </w:tcPr>
          <w:p w14:paraId="26B25E0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lang w:val="en-IN"/>
              </w:rPr>
              <w:t>4</w:t>
            </w:r>
          </w:p>
        </w:tc>
        <w:tc>
          <w:tcPr>
            <w:tcW w:w="1496" w:type="dxa"/>
            <w:vMerge w:val="restart"/>
          </w:tcPr>
          <w:p w14:paraId="23CDF24F" w14:textId="77777777" w:rsidR="00D10E02" w:rsidRPr="00EF6D91" w:rsidRDefault="00D10E02" w:rsidP="0086245C">
            <w:pPr>
              <w:pStyle w:val="Default"/>
              <w:rPr>
                <w:sz w:val="16"/>
                <w:szCs w:val="16"/>
              </w:rPr>
            </w:pPr>
            <w:r w:rsidRPr="00EF6D91">
              <w:rPr>
                <w:sz w:val="16"/>
                <w:szCs w:val="16"/>
              </w:rPr>
              <w:t xml:space="preserve">Operational and Technical Barriers (OT) </w:t>
            </w:r>
          </w:p>
          <w:p w14:paraId="2ED58A48" w14:textId="77777777" w:rsidR="00D10E02" w:rsidRPr="00EF6D91" w:rsidRDefault="00D10E02" w:rsidP="0086245C">
            <w:pPr>
              <w:rPr>
                <w:rFonts w:ascii="Times New Roman" w:hAnsi="Times New Roman" w:cs="Times New Roman"/>
                <w:sz w:val="16"/>
                <w:szCs w:val="16"/>
                <w:lang w:val="en-IN"/>
              </w:rPr>
            </w:pPr>
          </w:p>
        </w:tc>
        <w:tc>
          <w:tcPr>
            <w:tcW w:w="3402" w:type="dxa"/>
          </w:tcPr>
          <w:p w14:paraId="5126ADD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Longer charging duration (OT1) </w:t>
            </w:r>
          </w:p>
        </w:tc>
        <w:tc>
          <w:tcPr>
            <w:tcW w:w="812" w:type="dxa"/>
          </w:tcPr>
          <w:p w14:paraId="53E902F3" w14:textId="77777777" w:rsidR="00D10E02" w:rsidRPr="00EF6D91" w:rsidRDefault="00D10E02" w:rsidP="0086245C">
            <w:pPr>
              <w:rPr>
                <w:rFonts w:ascii="Times New Roman" w:hAnsi="Times New Roman" w:cs="Times New Roman"/>
                <w:sz w:val="16"/>
                <w:szCs w:val="16"/>
                <w:lang w:val="en-IN"/>
              </w:rPr>
            </w:pPr>
          </w:p>
        </w:tc>
        <w:tc>
          <w:tcPr>
            <w:tcW w:w="576" w:type="dxa"/>
          </w:tcPr>
          <w:p w14:paraId="2D23144C" w14:textId="77777777" w:rsidR="00D10E02" w:rsidRPr="00EF6D91" w:rsidRDefault="00D10E02" w:rsidP="0086245C">
            <w:pPr>
              <w:rPr>
                <w:rFonts w:ascii="Times New Roman" w:hAnsi="Times New Roman" w:cs="Times New Roman"/>
                <w:sz w:val="16"/>
                <w:szCs w:val="16"/>
                <w:lang w:val="en-IN"/>
              </w:rPr>
            </w:pPr>
          </w:p>
        </w:tc>
        <w:tc>
          <w:tcPr>
            <w:tcW w:w="576" w:type="dxa"/>
          </w:tcPr>
          <w:p w14:paraId="35CE704A" w14:textId="77777777" w:rsidR="00D10E02" w:rsidRPr="00EF6D91" w:rsidRDefault="00D10E02" w:rsidP="0086245C">
            <w:pPr>
              <w:rPr>
                <w:rFonts w:ascii="Times New Roman" w:hAnsi="Times New Roman" w:cs="Times New Roman"/>
                <w:sz w:val="16"/>
                <w:szCs w:val="16"/>
                <w:lang w:val="en-IN"/>
              </w:rPr>
            </w:pPr>
          </w:p>
        </w:tc>
        <w:tc>
          <w:tcPr>
            <w:tcW w:w="657" w:type="dxa"/>
          </w:tcPr>
          <w:p w14:paraId="4BB6A81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0.47 </w:t>
            </w:r>
          </w:p>
        </w:tc>
      </w:tr>
      <w:tr w:rsidR="00D10E02" w:rsidRPr="00EF6D91" w14:paraId="754A99AE" w14:textId="77777777" w:rsidTr="00876247">
        <w:tc>
          <w:tcPr>
            <w:tcW w:w="626" w:type="dxa"/>
            <w:vMerge/>
          </w:tcPr>
          <w:p w14:paraId="5ADCDC69"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66009B15" w14:textId="77777777" w:rsidR="00D10E02" w:rsidRPr="00EF6D91" w:rsidRDefault="00D10E02" w:rsidP="0086245C">
            <w:pPr>
              <w:rPr>
                <w:rFonts w:ascii="Times New Roman" w:hAnsi="Times New Roman" w:cs="Times New Roman"/>
                <w:sz w:val="16"/>
                <w:szCs w:val="16"/>
                <w:lang w:val="en-IN"/>
              </w:rPr>
            </w:pPr>
          </w:p>
        </w:tc>
        <w:tc>
          <w:tcPr>
            <w:tcW w:w="3402" w:type="dxa"/>
          </w:tcPr>
          <w:p w14:paraId="404A66E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Range Availability (OT2) </w:t>
            </w:r>
          </w:p>
        </w:tc>
        <w:tc>
          <w:tcPr>
            <w:tcW w:w="812" w:type="dxa"/>
          </w:tcPr>
          <w:p w14:paraId="015A391C" w14:textId="77777777" w:rsidR="00D10E02" w:rsidRPr="00EF6D91" w:rsidRDefault="00D10E02" w:rsidP="0086245C">
            <w:pPr>
              <w:rPr>
                <w:rFonts w:ascii="Times New Roman" w:hAnsi="Times New Roman" w:cs="Times New Roman"/>
                <w:sz w:val="16"/>
                <w:szCs w:val="16"/>
                <w:lang w:val="en-IN"/>
              </w:rPr>
            </w:pPr>
          </w:p>
        </w:tc>
        <w:tc>
          <w:tcPr>
            <w:tcW w:w="576" w:type="dxa"/>
          </w:tcPr>
          <w:p w14:paraId="7D4D9972" w14:textId="77777777" w:rsidR="00D10E02" w:rsidRPr="00EF6D91" w:rsidRDefault="00D10E02" w:rsidP="0086245C">
            <w:pPr>
              <w:rPr>
                <w:rFonts w:ascii="Times New Roman" w:hAnsi="Times New Roman" w:cs="Times New Roman"/>
                <w:sz w:val="16"/>
                <w:szCs w:val="16"/>
                <w:lang w:val="en-IN"/>
              </w:rPr>
            </w:pPr>
          </w:p>
        </w:tc>
        <w:tc>
          <w:tcPr>
            <w:tcW w:w="576" w:type="dxa"/>
          </w:tcPr>
          <w:p w14:paraId="2504A60D" w14:textId="77777777" w:rsidR="00D10E02" w:rsidRPr="00EF6D91" w:rsidRDefault="00D10E02" w:rsidP="0086245C">
            <w:pPr>
              <w:rPr>
                <w:rFonts w:ascii="Times New Roman" w:hAnsi="Times New Roman" w:cs="Times New Roman"/>
                <w:sz w:val="16"/>
                <w:szCs w:val="16"/>
                <w:lang w:val="en-IN"/>
              </w:rPr>
            </w:pPr>
          </w:p>
        </w:tc>
        <w:tc>
          <w:tcPr>
            <w:tcW w:w="657" w:type="dxa"/>
          </w:tcPr>
          <w:p w14:paraId="3E62F48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0.79 </w:t>
            </w:r>
          </w:p>
        </w:tc>
      </w:tr>
      <w:tr w:rsidR="00D10E02" w:rsidRPr="00EF6D91" w14:paraId="6F62CBA2" w14:textId="77777777" w:rsidTr="00876247">
        <w:tc>
          <w:tcPr>
            <w:tcW w:w="626" w:type="dxa"/>
            <w:vMerge/>
          </w:tcPr>
          <w:p w14:paraId="49F6977B"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141E197C" w14:textId="77777777" w:rsidR="00D10E02" w:rsidRPr="00EF6D91" w:rsidRDefault="00D10E02" w:rsidP="0086245C">
            <w:pPr>
              <w:rPr>
                <w:rFonts w:ascii="Times New Roman" w:hAnsi="Times New Roman" w:cs="Times New Roman"/>
                <w:sz w:val="16"/>
                <w:szCs w:val="16"/>
                <w:lang w:val="en-IN"/>
              </w:rPr>
            </w:pPr>
          </w:p>
        </w:tc>
        <w:tc>
          <w:tcPr>
            <w:tcW w:w="3402" w:type="dxa"/>
          </w:tcPr>
          <w:p w14:paraId="61C46EA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Range Uncertainty (OT3) </w:t>
            </w:r>
          </w:p>
        </w:tc>
        <w:tc>
          <w:tcPr>
            <w:tcW w:w="812" w:type="dxa"/>
          </w:tcPr>
          <w:p w14:paraId="47D6F1BC" w14:textId="77777777" w:rsidR="00D10E02" w:rsidRPr="00EF6D91" w:rsidRDefault="00D10E02" w:rsidP="0086245C">
            <w:pPr>
              <w:rPr>
                <w:rFonts w:ascii="Times New Roman" w:hAnsi="Times New Roman" w:cs="Times New Roman"/>
                <w:sz w:val="16"/>
                <w:szCs w:val="16"/>
                <w:lang w:val="en-IN"/>
              </w:rPr>
            </w:pPr>
          </w:p>
        </w:tc>
        <w:tc>
          <w:tcPr>
            <w:tcW w:w="576" w:type="dxa"/>
          </w:tcPr>
          <w:p w14:paraId="1C04A20D" w14:textId="77777777" w:rsidR="00D10E02" w:rsidRPr="00EF6D91" w:rsidRDefault="00D10E02" w:rsidP="0086245C">
            <w:pPr>
              <w:rPr>
                <w:rFonts w:ascii="Times New Roman" w:hAnsi="Times New Roman" w:cs="Times New Roman"/>
                <w:sz w:val="16"/>
                <w:szCs w:val="16"/>
                <w:lang w:val="en-IN"/>
              </w:rPr>
            </w:pPr>
          </w:p>
        </w:tc>
        <w:tc>
          <w:tcPr>
            <w:tcW w:w="576" w:type="dxa"/>
          </w:tcPr>
          <w:p w14:paraId="78C97DA6" w14:textId="77777777" w:rsidR="00D10E02" w:rsidRPr="00EF6D91" w:rsidRDefault="00D10E02" w:rsidP="0086245C">
            <w:pPr>
              <w:rPr>
                <w:rFonts w:ascii="Times New Roman" w:hAnsi="Times New Roman" w:cs="Times New Roman"/>
                <w:sz w:val="16"/>
                <w:szCs w:val="16"/>
                <w:lang w:val="en-IN"/>
              </w:rPr>
            </w:pPr>
          </w:p>
        </w:tc>
        <w:tc>
          <w:tcPr>
            <w:tcW w:w="657" w:type="dxa"/>
          </w:tcPr>
          <w:p w14:paraId="64E63A9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0.62 </w:t>
            </w:r>
          </w:p>
        </w:tc>
      </w:tr>
      <w:tr w:rsidR="00D10E02" w:rsidRPr="00EF6D91" w14:paraId="0098F702" w14:textId="77777777" w:rsidTr="00876247">
        <w:tc>
          <w:tcPr>
            <w:tcW w:w="626" w:type="dxa"/>
            <w:vMerge/>
          </w:tcPr>
          <w:p w14:paraId="3C2AEDB4" w14:textId="77777777" w:rsidR="00D10E02" w:rsidRPr="00EF6D91" w:rsidRDefault="00D10E02" w:rsidP="0086245C">
            <w:pPr>
              <w:rPr>
                <w:rFonts w:ascii="Times New Roman" w:hAnsi="Times New Roman" w:cs="Times New Roman"/>
                <w:sz w:val="16"/>
                <w:szCs w:val="16"/>
                <w:lang w:val="en-IN"/>
              </w:rPr>
            </w:pPr>
          </w:p>
        </w:tc>
        <w:tc>
          <w:tcPr>
            <w:tcW w:w="1496" w:type="dxa"/>
            <w:vMerge/>
          </w:tcPr>
          <w:p w14:paraId="55EDE2F0" w14:textId="77777777" w:rsidR="00D10E02" w:rsidRPr="00EF6D91" w:rsidRDefault="00D10E02" w:rsidP="0086245C">
            <w:pPr>
              <w:rPr>
                <w:rFonts w:ascii="Times New Roman" w:hAnsi="Times New Roman" w:cs="Times New Roman"/>
                <w:sz w:val="16"/>
                <w:szCs w:val="16"/>
                <w:lang w:val="en-IN"/>
              </w:rPr>
            </w:pPr>
          </w:p>
        </w:tc>
        <w:tc>
          <w:tcPr>
            <w:tcW w:w="3402" w:type="dxa"/>
          </w:tcPr>
          <w:p w14:paraId="2227F52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Limited loading capacity (OT4) </w:t>
            </w:r>
          </w:p>
        </w:tc>
        <w:tc>
          <w:tcPr>
            <w:tcW w:w="812" w:type="dxa"/>
          </w:tcPr>
          <w:p w14:paraId="71F44BC1" w14:textId="77777777" w:rsidR="00D10E02" w:rsidRPr="00EF6D91" w:rsidRDefault="00D10E02" w:rsidP="0086245C">
            <w:pPr>
              <w:rPr>
                <w:rFonts w:ascii="Times New Roman" w:hAnsi="Times New Roman" w:cs="Times New Roman"/>
                <w:sz w:val="16"/>
                <w:szCs w:val="16"/>
                <w:lang w:val="en-IN"/>
              </w:rPr>
            </w:pPr>
          </w:p>
        </w:tc>
        <w:tc>
          <w:tcPr>
            <w:tcW w:w="576" w:type="dxa"/>
          </w:tcPr>
          <w:p w14:paraId="440B179C" w14:textId="77777777" w:rsidR="00D10E02" w:rsidRPr="00EF6D91" w:rsidRDefault="00D10E02" w:rsidP="0086245C">
            <w:pPr>
              <w:rPr>
                <w:rFonts w:ascii="Times New Roman" w:hAnsi="Times New Roman" w:cs="Times New Roman"/>
                <w:sz w:val="16"/>
                <w:szCs w:val="16"/>
                <w:lang w:val="en-IN"/>
              </w:rPr>
            </w:pPr>
          </w:p>
        </w:tc>
        <w:tc>
          <w:tcPr>
            <w:tcW w:w="576" w:type="dxa"/>
          </w:tcPr>
          <w:p w14:paraId="7895961B" w14:textId="77777777" w:rsidR="00D10E02" w:rsidRPr="00EF6D91" w:rsidRDefault="00D10E02" w:rsidP="0086245C">
            <w:pPr>
              <w:rPr>
                <w:rFonts w:ascii="Times New Roman" w:hAnsi="Times New Roman" w:cs="Times New Roman"/>
                <w:sz w:val="16"/>
                <w:szCs w:val="16"/>
                <w:lang w:val="en-IN"/>
              </w:rPr>
            </w:pPr>
          </w:p>
        </w:tc>
        <w:tc>
          <w:tcPr>
            <w:tcW w:w="657" w:type="dxa"/>
          </w:tcPr>
          <w:p w14:paraId="1DAC933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0.61 </w:t>
            </w:r>
          </w:p>
        </w:tc>
      </w:tr>
      <w:tr w:rsidR="00D10E02" w:rsidRPr="00EF6D91" w14:paraId="452219AA" w14:textId="77777777" w:rsidTr="00876247">
        <w:tc>
          <w:tcPr>
            <w:tcW w:w="5524" w:type="dxa"/>
            <w:gridSpan w:val="3"/>
          </w:tcPr>
          <w:p w14:paraId="0748C08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Eigenvalues </w:t>
            </w:r>
          </w:p>
        </w:tc>
        <w:tc>
          <w:tcPr>
            <w:tcW w:w="812" w:type="dxa"/>
          </w:tcPr>
          <w:p w14:paraId="0D0EA263"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5.493 </w:t>
            </w:r>
          </w:p>
        </w:tc>
        <w:tc>
          <w:tcPr>
            <w:tcW w:w="576" w:type="dxa"/>
          </w:tcPr>
          <w:p w14:paraId="0578567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2.280 </w:t>
            </w:r>
          </w:p>
        </w:tc>
        <w:tc>
          <w:tcPr>
            <w:tcW w:w="576" w:type="dxa"/>
          </w:tcPr>
          <w:p w14:paraId="7498FE2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1.679 </w:t>
            </w:r>
          </w:p>
        </w:tc>
        <w:tc>
          <w:tcPr>
            <w:tcW w:w="657" w:type="dxa"/>
          </w:tcPr>
          <w:p w14:paraId="2C5B4991"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1.318 </w:t>
            </w:r>
          </w:p>
        </w:tc>
      </w:tr>
      <w:tr w:rsidR="00D10E02" w:rsidRPr="00EF6D91" w14:paraId="08A04673" w14:textId="77777777" w:rsidTr="00876247">
        <w:tc>
          <w:tcPr>
            <w:tcW w:w="5524" w:type="dxa"/>
            <w:gridSpan w:val="3"/>
          </w:tcPr>
          <w:p w14:paraId="483F6E5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Total Variance explained (%) </w:t>
            </w:r>
          </w:p>
        </w:tc>
        <w:tc>
          <w:tcPr>
            <w:tcW w:w="812" w:type="dxa"/>
          </w:tcPr>
          <w:p w14:paraId="4479DD4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26.16 </w:t>
            </w:r>
          </w:p>
        </w:tc>
        <w:tc>
          <w:tcPr>
            <w:tcW w:w="576" w:type="dxa"/>
          </w:tcPr>
          <w:p w14:paraId="122B7B9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37.02 </w:t>
            </w:r>
          </w:p>
        </w:tc>
        <w:tc>
          <w:tcPr>
            <w:tcW w:w="576" w:type="dxa"/>
          </w:tcPr>
          <w:p w14:paraId="2930EE3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45.01 </w:t>
            </w:r>
          </w:p>
        </w:tc>
        <w:tc>
          <w:tcPr>
            <w:tcW w:w="657" w:type="dxa"/>
          </w:tcPr>
          <w:p w14:paraId="552F0A0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51.29 </w:t>
            </w:r>
          </w:p>
        </w:tc>
      </w:tr>
    </w:tbl>
    <w:p w14:paraId="6EE86F36" w14:textId="603E1C64" w:rsidR="008923C7" w:rsidRPr="009A43FB" w:rsidRDefault="00D10E02" w:rsidP="009A43FB">
      <w:pPr>
        <w:rPr>
          <w:rFonts w:ascii="Times New Roman" w:hAnsi="Times New Roman" w:cs="Times New Roman"/>
          <w:sz w:val="16"/>
          <w:szCs w:val="16"/>
          <w:lang w:val="en-IN"/>
        </w:rPr>
      </w:pPr>
      <w:r w:rsidRPr="00EF6D91">
        <w:rPr>
          <w:rFonts w:ascii="Times New Roman" w:hAnsi="Times New Roman" w:cs="Times New Roman"/>
          <w:sz w:val="16"/>
          <w:szCs w:val="16"/>
          <w:lang w:val="en-IN"/>
        </w:rPr>
        <w:t>Extraction Method: Principal Component Analysis. Rotation Method: Varimax with Kaiser Normalization. Rotation converged in 6 iterations.</w:t>
      </w:r>
    </w:p>
    <w:p w14:paraId="65FF6BA4" w14:textId="77777777" w:rsidR="008923C7" w:rsidRPr="00EF6D91" w:rsidRDefault="008923C7" w:rsidP="008923C7">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4.5 Hierarchical Prioritization of EV Adoption Barriers for LMD using AHP</w:t>
      </w:r>
    </w:p>
    <w:p w14:paraId="06F6C24D" w14:textId="77777777" w:rsidR="008923C7" w:rsidRPr="00EF6D91" w:rsidRDefault="008923C7" w:rsidP="008923C7">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4.5.1 Formulation of Research Objective</w:t>
      </w:r>
    </w:p>
    <w:p w14:paraId="4388A7B7" w14:textId="47912558" w:rsidR="008923C7" w:rsidRPr="00EF6D91" w:rsidRDefault="008923C7" w:rsidP="008923C7">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AHP begins with </w:t>
      </w:r>
      <w:r w:rsidR="005E5B8D" w:rsidRPr="00EF6D91">
        <w:rPr>
          <w:rFonts w:ascii="Times New Roman" w:eastAsia="Calibri" w:hAnsi="Times New Roman" w:cs="Times New Roman"/>
          <w:color w:val="000000"/>
          <w:sz w:val="24"/>
          <w:szCs w:val="24"/>
        </w:rPr>
        <w:t>defining</w:t>
      </w:r>
      <w:r w:rsidRPr="00EF6D91">
        <w:rPr>
          <w:rFonts w:ascii="Times New Roman" w:eastAsia="Calibri" w:hAnsi="Times New Roman" w:cs="Times New Roman"/>
          <w:color w:val="000000"/>
          <w:sz w:val="24"/>
          <w:szCs w:val="24"/>
        </w:rPr>
        <w:t xml:space="preserve"> the research objective, which is crucial for guiding the analysis </w:t>
      </w:r>
      <w:r w:rsidR="00E56AC9" w:rsidRPr="00EF6D91">
        <w:rPr>
          <w:rFonts w:ascii="Times New Roman" w:eastAsia="Calibri" w:hAnsi="Times New Roman" w:cs="Times New Roman"/>
          <w:color w:val="000000"/>
          <w:sz w:val="24"/>
          <w:szCs w:val="24"/>
        </w:rPr>
        <w:fldChar w:fldCharType="begin"/>
      </w:r>
      <w:r w:rsidR="00E56AC9" w:rsidRPr="00EF6D91">
        <w:rPr>
          <w:rFonts w:ascii="Times New Roman" w:eastAsia="Calibri" w:hAnsi="Times New Roman" w:cs="Times New Roman"/>
          <w:color w:val="000000"/>
          <w:sz w:val="24"/>
          <w:szCs w:val="24"/>
        </w:rPr>
        <w:instrText xml:space="preserve"> ADDIN ZOTERO_ITEM CSL_CITATION {"citationID":"6g0T9bf3","properties":{"formattedCitation":"(Saaty, 2008)","plainCitation":"(Saaty, 2008)","noteIndex":0},"citationItems":[{"id":48026,"uris":["http://zotero.org/users/10594755/items/SU8PBRSS"],"itemData":{"id":48026,"type":"article-journal","container-title":"International Journal of Services Sciences","DOI":"10.1504/IJSSCI.2008.017590","ISSN":"1753-1446, 1753-1454","issue":"1","journalAbbreviation":"IJSSCI","language":"en","page":"83","source":"DOI.org (Crossref)","title":"Decision making with the analytic hierarchy process","volume":"1","author":[{"family":"Saaty","given":"Thomas L."}],"issued":{"date-parts":[["2008"]]}}}],"schema":"https://github.com/citation-style-language/schema/raw/master/csl-citation.json"} </w:instrText>
      </w:r>
      <w:r w:rsidR="00E56AC9" w:rsidRPr="00EF6D91">
        <w:rPr>
          <w:rFonts w:ascii="Times New Roman" w:eastAsia="Calibri" w:hAnsi="Times New Roman" w:cs="Times New Roman"/>
          <w:color w:val="000000"/>
          <w:sz w:val="24"/>
          <w:szCs w:val="24"/>
        </w:rPr>
        <w:fldChar w:fldCharType="separate"/>
      </w:r>
      <w:r w:rsidR="00E56AC9" w:rsidRPr="00EF6D91">
        <w:rPr>
          <w:rFonts w:ascii="Times New Roman" w:hAnsi="Times New Roman" w:cs="Times New Roman"/>
          <w:sz w:val="24"/>
        </w:rPr>
        <w:t>(Saaty, 2008)</w:t>
      </w:r>
      <w:r w:rsidR="00E56AC9"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xml:space="preserve">. In this study, AHP </w:t>
      </w:r>
      <w:r w:rsidR="005E5B8D" w:rsidRPr="00EF6D91">
        <w:rPr>
          <w:rFonts w:ascii="Times New Roman" w:eastAsia="Calibri" w:hAnsi="Times New Roman" w:cs="Times New Roman"/>
          <w:color w:val="000000"/>
          <w:sz w:val="24"/>
          <w:szCs w:val="24"/>
        </w:rPr>
        <w:t>evaluated and prioritised</w:t>
      </w:r>
      <w:r w:rsidRPr="00EF6D91">
        <w:rPr>
          <w:rFonts w:ascii="Times New Roman" w:eastAsia="Calibri" w:hAnsi="Times New Roman" w:cs="Times New Roman"/>
          <w:color w:val="000000"/>
          <w:sz w:val="24"/>
          <w:szCs w:val="24"/>
        </w:rPr>
        <w:t xml:space="preserve"> the barriers to </w:t>
      </w:r>
      <w:r w:rsidR="005E5B8D" w:rsidRPr="00EF6D91">
        <w:rPr>
          <w:rFonts w:ascii="Times New Roman" w:eastAsia="Calibri" w:hAnsi="Times New Roman" w:cs="Times New Roman"/>
          <w:color w:val="000000"/>
          <w:sz w:val="24"/>
          <w:szCs w:val="24"/>
        </w:rPr>
        <w:t>adopting</w:t>
      </w:r>
      <w:r w:rsidRPr="00EF6D91">
        <w:rPr>
          <w:rFonts w:ascii="Times New Roman" w:eastAsia="Calibri" w:hAnsi="Times New Roman" w:cs="Times New Roman"/>
          <w:color w:val="000000"/>
          <w:sz w:val="24"/>
          <w:szCs w:val="24"/>
        </w:rPr>
        <w:t xml:space="preserve"> </w:t>
      </w:r>
      <w:r w:rsidR="005E5B8D" w:rsidRPr="00EF6D91">
        <w:rPr>
          <w:rFonts w:ascii="Times New Roman" w:eastAsia="Calibri" w:hAnsi="Times New Roman" w:cs="Times New Roman"/>
          <w:color w:val="000000"/>
          <w:sz w:val="24"/>
          <w:szCs w:val="24"/>
        </w:rPr>
        <w:t>EVs</w:t>
      </w:r>
      <w:r w:rsidRPr="00EF6D91">
        <w:rPr>
          <w:rFonts w:ascii="Times New Roman" w:eastAsia="Calibri" w:hAnsi="Times New Roman" w:cs="Times New Roman"/>
          <w:color w:val="000000"/>
          <w:sz w:val="24"/>
          <w:szCs w:val="24"/>
        </w:rPr>
        <w:t xml:space="preserve"> in </w:t>
      </w:r>
      <w:r w:rsidR="005E5B8D" w:rsidRPr="00EF6D91">
        <w:rPr>
          <w:rFonts w:ascii="Times New Roman" w:eastAsia="Calibri" w:hAnsi="Times New Roman" w:cs="Times New Roman"/>
          <w:color w:val="000000"/>
          <w:sz w:val="24"/>
          <w:szCs w:val="24"/>
        </w:rPr>
        <w:t xml:space="preserve">LMD. </w:t>
      </w:r>
      <w:r w:rsidRPr="00EF6D91">
        <w:rPr>
          <w:rFonts w:ascii="Times New Roman" w:eastAsia="Calibri" w:hAnsi="Times New Roman" w:cs="Times New Roman"/>
          <w:color w:val="000000"/>
          <w:sz w:val="24"/>
          <w:szCs w:val="24"/>
        </w:rPr>
        <w:t xml:space="preserve">Unlike other methodologies that require large samples, AHP focuses on the depth and quality of expert insights </w:t>
      </w:r>
      <w:r w:rsidR="00E56AC9" w:rsidRPr="00EF6D91">
        <w:rPr>
          <w:rFonts w:ascii="Times New Roman" w:eastAsia="Calibri" w:hAnsi="Times New Roman" w:cs="Times New Roman"/>
          <w:color w:val="000000"/>
          <w:sz w:val="24"/>
          <w:szCs w:val="24"/>
        </w:rPr>
        <w:fldChar w:fldCharType="begin"/>
      </w:r>
      <w:r w:rsidR="00E56AC9" w:rsidRPr="00EF6D91">
        <w:rPr>
          <w:rFonts w:ascii="Times New Roman" w:eastAsia="Calibri" w:hAnsi="Times New Roman" w:cs="Times New Roman"/>
          <w:color w:val="000000"/>
          <w:sz w:val="24"/>
          <w:szCs w:val="24"/>
        </w:rPr>
        <w:instrText xml:space="preserve"> ADDIN ZOTERO_ITEM CSL_CITATION {"citationID":"ugzRh8Ye","properties":{"formattedCitation":"(Luthra {\\i{}et al.}, 2017)","plainCitation":"(Luthra et al., 2017)","noteIndex":0},"citationItems":[{"id":31619,"uris":["http://zotero.org/users/10594755/items/MWN38257"],"itemData":{"id":31619,"type":"article-journal","container-title":"Journal of Cleaner Production","DOI":"10.1016/j.jclepro.2016.09.078","ISSN":"09596526","journalAbbreviation":"Journal of Cleaner Production","language":"en","page":"1686-1698","source":"DOI.org (Crossref)","title":"An integrated framework for sustainable supplier selection and evaluation in supply chains","volume":"140","author":[{"family":"Luthra","given":"Sunil"},{"family":"Govindan","given":"Kannan"},{"family":"Kannan","given":"Devika"},{"family":"Mangla","given":"Sachin Kumar"},{"family":"Garg","given":"Chandra Prakash"}],"issued":{"date-parts":[["2017",1]]}}}],"schema":"https://github.com/citation-style-language/schema/raw/master/csl-citation.json"} </w:instrText>
      </w:r>
      <w:r w:rsidR="00E56AC9" w:rsidRPr="00EF6D91">
        <w:rPr>
          <w:rFonts w:ascii="Times New Roman" w:eastAsia="Calibri" w:hAnsi="Times New Roman" w:cs="Times New Roman"/>
          <w:color w:val="000000"/>
          <w:sz w:val="24"/>
          <w:szCs w:val="24"/>
        </w:rPr>
        <w:fldChar w:fldCharType="separate"/>
      </w:r>
      <w:r w:rsidR="00E56AC9" w:rsidRPr="00EF6D91">
        <w:rPr>
          <w:rFonts w:ascii="Times New Roman" w:hAnsi="Times New Roman" w:cs="Times New Roman"/>
          <w:kern w:val="0"/>
          <w:sz w:val="24"/>
        </w:rPr>
        <w:t xml:space="preserve">(Luthra </w:t>
      </w:r>
      <w:r w:rsidR="00E56AC9" w:rsidRPr="00EF6D91">
        <w:rPr>
          <w:rFonts w:ascii="Times New Roman" w:hAnsi="Times New Roman" w:cs="Times New Roman"/>
          <w:i/>
          <w:iCs/>
          <w:kern w:val="0"/>
          <w:sz w:val="24"/>
        </w:rPr>
        <w:t>et al.</w:t>
      </w:r>
      <w:r w:rsidR="00E56AC9" w:rsidRPr="00EF6D91">
        <w:rPr>
          <w:rFonts w:ascii="Times New Roman" w:hAnsi="Times New Roman" w:cs="Times New Roman"/>
          <w:kern w:val="0"/>
          <w:sz w:val="24"/>
        </w:rPr>
        <w:t>, 2017)</w:t>
      </w:r>
      <w:r w:rsidR="00E56AC9" w:rsidRPr="00EF6D91">
        <w:rPr>
          <w:rFonts w:ascii="Times New Roman" w:eastAsia="Calibri" w:hAnsi="Times New Roman" w:cs="Times New Roman"/>
          <w:color w:val="000000"/>
          <w:sz w:val="24"/>
          <w:szCs w:val="24"/>
        </w:rPr>
        <w:fldChar w:fldCharType="end"/>
      </w:r>
      <w:r w:rsidRPr="00EF6D91">
        <w:rPr>
          <w:rFonts w:ascii="Times New Roman" w:eastAsia="Calibri" w:hAnsi="Times New Roman" w:cs="Times New Roman"/>
          <w:color w:val="000000"/>
          <w:sz w:val="24"/>
          <w:szCs w:val="24"/>
        </w:rPr>
        <w:t>. Accordingly, this study engaged a panel of five experts with extensive experience in supply chain management and LMD operations across different geographical contexts:</w:t>
      </w:r>
    </w:p>
    <w:p w14:paraId="6C96E39B" w14:textId="77777777" w:rsidR="008923C7" w:rsidRPr="00EF6D91" w:rsidRDefault="008923C7" w:rsidP="008923C7">
      <w:pPr>
        <w:numPr>
          <w:ilvl w:val="0"/>
          <w:numId w:val="4"/>
        </w:num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 Senior Director from EMEA with 34 years of experience,</w:t>
      </w:r>
    </w:p>
    <w:p w14:paraId="73A6A020" w14:textId="77777777" w:rsidR="008923C7" w:rsidRPr="00EF6D91" w:rsidRDefault="008923C7" w:rsidP="008923C7">
      <w:pPr>
        <w:numPr>
          <w:ilvl w:val="0"/>
          <w:numId w:val="4"/>
        </w:num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An Assistant General Manager from the United States with 27 years of experience,</w:t>
      </w:r>
    </w:p>
    <w:p w14:paraId="5A59DE57" w14:textId="77777777" w:rsidR="008923C7" w:rsidRPr="00EF6D91" w:rsidRDefault="008923C7" w:rsidP="008923C7">
      <w:pPr>
        <w:numPr>
          <w:ilvl w:val="0"/>
          <w:numId w:val="4"/>
        </w:num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 Strategic Programs Director from the Netherlands with 30 years of experience,</w:t>
      </w:r>
    </w:p>
    <w:p w14:paraId="44B38D0B" w14:textId="77777777" w:rsidR="008923C7" w:rsidRPr="00EF6D91" w:rsidRDefault="008923C7" w:rsidP="008923C7">
      <w:pPr>
        <w:numPr>
          <w:ilvl w:val="0"/>
          <w:numId w:val="4"/>
        </w:num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 Supply Chain Consultant from the United Kingdom with 31 years of experience,</w:t>
      </w:r>
    </w:p>
    <w:p w14:paraId="3736A5E1" w14:textId="77777777" w:rsidR="008923C7" w:rsidRPr="00EF6D91" w:rsidRDefault="008923C7" w:rsidP="008923C7">
      <w:pPr>
        <w:numPr>
          <w:ilvl w:val="0"/>
          <w:numId w:val="4"/>
        </w:num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A Director of Logistics from Brazil and Europe with 25 years of experience.</w:t>
      </w:r>
    </w:p>
    <w:p w14:paraId="4CE196C0" w14:textId="77777777" w:rsidR="005E5B8D" w:rsidRPr="00EF6D91" w:rsidRDefault="005E5B8D" w:rsidP="008923C7">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We selected these experts based on their diverse professional backgrounds and their comprehensive understanding of the challenges associated with EV adoption in logistics.</w:t>
      </w:r>
    </w:p>
    <w:p w14:paraId="56E22638" w14:textId="77777777" w:rsidR="008149AA" w:rsidRDefault="008149AA" w:rsidP="008923C7">
      <w:pPr>
        <w:jc w:val="both"/>
        <w:rPr>
          <w:rFonts w:ascii="Times New Roman" w:eastAsia="Calibri" w:hAnsi="Times New Roman" w:cs="Times New Roman"/>
          <w:i/>
          <w:iCs/>
          <w:color w:val="000000"/>
          <w:sz w:val="24"/>
          <w:szCs w:val="24"/>
        </w:rPr>
      </w:pPr>
    </w:p>
    <w:p w14:paraId="30550490" w14:textId="25F0C311" w:rsidR="008923C7" w:rsidRPr="00EF6D91" w:rsidRDefault="00BB0A7F" w:rsidP="008923C7">
      <w:pPr>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lastRenderedPageBreak/>
        <w:t xml:space="preserve">4.5.2 </w:t>
      </w:r>
      <w:r w:rsidR="008923C7" w:rsidRPr="00EF6D91">
        <w:rPr>
          <w:rFonts w:ascii="Times New Roman" w:eastAsia="Calibri" w:hAnsi="Times New Roman" w:cs="Times New Roman"/>
          <w:i/>
          <w:iCs/>
          <w:color w:val="000000"/>
          <w:sz w:val="24"/>
          <w:szCs w:val="24"/>
        </w:rPr>
        <w:t>AHP Application and Results</w:t>
      </w:r>
    </w:p>
    <w:p w14:paraId="0B228F9E" w14:textId="76959E78" w:rsidR="008923C7" w:rsidRPr="00EF6D91" w:rsidRDefault="008923C7" w:rsidP="007E614C">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experts performed pairwise comparisons of the barriers identified from the EFA using Saaty's nine-point scale, which assesses the relative importance of factors against each other (Saaty, </w:t>
      </w:r>
      <w:r w:rsidR="00AC52D5">
        <w:rPr>
          <w:rFonts w:ascii="Times New Roman" w:eastAsia="Calibri" w:hAnsi="Times New Roman" w:cs="Times New Roman"/>
          <w:color w:val="000000"/>
          <w:sz w:val="24"/>
          <w:szCs w:val="24"/>
        </w:rPr>
        <w:t>2008</w:t>
      </w:r>
      <w:r w:rsidRPr="00EF6D91">
        <w:rPr>
          <w:rFonts w:ascii="Times New Roman" w:eastAsia="Calibri" w:hAnsi="Times New Roman" w:cs="Times New Roman"/>
          <w:color w:val="000000"/>
          <w:sz w:val="24"/>
          <w:szCs w:val="24"/>
        </w:rPr>
        <w:t>).</w:t>
      </w:r>
      <w:r w:rsidR="007E614C">
        <w:rPr>
          <w:rFonts w:ascii="Times New Roman" w:eastAsia="Calibri" w:hAnsi="Times New Roman" w:cs="Times New Roman"/>
          <w:color w:val="000000"/>
          <w:sz w:val="24"/>
          <w:szCs w:val="24"/>
        </w:rPr>
        <w:t xml:space="preserve"> </w:t>
      </w:r>
      <w:r w:rsidRPr="00EF6D91">
        <w:rPr>
          <w:rFonts w:ascii="Times New Roman" w:eastAsia="Calibri" w:hAnsi="Times New Roman" w:cs="Times New Roman"/>
          <w:color w:val="000000"/>
          <w:sz w:val="24"/>
          <w:szCs w:val="24"/>
        </w:rPr>
        <w:t xml:space="preserve">The results of this hierarchical analysis, depicted in Figure 2, </w:t>
      </w:r>
      <w:r w:rsidR="005E5B8D" w:rsidRPr="00EF6D91">
        <w:rPr>
          <w:rFonts w:ascii="Times New Roman" w:eastAsia="Calibri" w:hAnsi="Times New Roman" w:cs="Times New Roman"/>
          <w:color w:val="000000"/>
          <w:sz w:val="24"/>
          <w:szCs w:val="24"/>
        </w:rPr>
        <w:t>highlight the relative importance of each barrier and</w:t>
      </w:r>
      <w:r w:rsidRPr="00EF6D91">
        <w:rPr>
          <w:rFonts w:ascii="Times New Roman" w:eastAsia="Calibri" w:hAnsi="Times New Roman" w:cs="Times New Roman"/>
          <w:color w:val="000000"/>
          <w:sz w:val="24"/>
          <w:szCs w:val="24"/>
        </w:rPr>
        <w:t xml:space="preserve"> provide a clear visual representation of how these barriers interrelate and impact the adoption of EVs in the context of LMD. </w:t>
      </w:r>
    </w:p>
    <w:p w14:paraId="5856F69F" w14:textId="41EBBF74" w:rsidR="00762B76" w:rsidRPr="00EF6D91" w:rsidRDefault="00192CF7" w:rsidP="00D10E02">
      <w:pPr>
        <w:rPr>
          <w:rFonts w:ascii="Times New Roman" w:hAnsi="Times New Roman" w:cs="Times New Roman"/>
          <w:sz w:val="24"/>
          <w:szCs w:val="24"/>
          <w:lang w:val="en-IN"/>
        </w:rPr>
      </w:pPr>
      <w:r w:rsidRPr="00EF6D91">
        <w:rPr>
          <w:rFonts w:ascii="Times New Roman" w:hAnsi="Times New Roman" w:cs="Times New Roman"/>
          <w:noProof/>
          <w:sz w:val="24"/>
          <w:szCs w:val="24"/>
          <w:lang w:val="en-IN"/>
        </w:rPr>
        <w:drawing>
          <wp:inline distT="0" distB="0" distL="0" distR="0" wp14:anchorId="1557C5F8" wp14:editId="652B1C5B">
            <wp:extent cx="5487035" cy="3255645"/>
            <wp:effectExtent l="0" t="0" r="0" b="1905"/>
            <wp:docPr id="122773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255645"/>
                    </a:xfrm>
                    <a:prstGeom prst="rect">
                      <a:avLst/>
                    </a:prstGeom>
                    <a:noFill/>
                  </pic:spPr>
                </pic:pic>
              </a:graphicData>
            </a:graphic>
          </wp:inline>
        </w:drawing>
      </w:r>
    </w:p>
    <w:p w14:paraId="62925CB0" w14:textId="4D17C83C" w:rsidR="00192CF7" w:rsidRDefault="00192CF7" w:rsidP="005F103E">
      <w:pPr>
        <w:rPr>
          <w:rFonts w:ascii="Times New Roman" w:hAnsi="Times New Roman" w:cs="Times New Roman"/>
          <w:sz w:val="24"/>
          <w:szCs w:val="24"/>
        </w:rPr>
      </w:pPr>
      <w:r w:rsidRPr="00EF6D91">
        <w:rPr>
          <w:rFonts w:ascii="Times New Roman" w:hAnsi="Times New Roman" w:cs="Times New Roman"/>
          <w:sz w:val="24"/>
          <w:szCs w:val="24"/>
        </w:rPr>
        <w:t xml:space="preserve">Fig </w:t>
      </w:r>
      <w:r w:rsidR="00AC2F53" w:rsidRPr="00EF6D91">
        <w:rPr>
          <w:rFonts w:ascii="Times New Roman" w:hAnsi="Times New Roman" w:cs="Times New Roman"/>
          <w:sz w:val="24"/>
          <w:szCs w:val="24"/>
        </w:rPr>
        <w:t>2</w:t>
      </w:r>
      <w:r w:rsidRPr="00EF6D91">
        <w:rPr>
          <w:rFonts w:ascii="Times New Roman" w:hAnsi="Times New Roman" w:cs="Times New Roman"/>
          <w:sz w:val="24"/>
          <w:szCs w:val="24"/>
        </w:rPr>
        <w:t xml:space="preserve">. EV adoption barriers </w:t>
      </w:r>
      <w:r w:rsidR="005E5B8D" w:rsidRPr="00EF6D91">
        <w:rPr>
          <w:rFonts w:ascii="Times New Roman" w:hAnsi="Times New Roman" w:cs="Times New Roman"/>
          <w:sz w:val="24"/>
          <w:szCs w:val="24"/>
        </w:rPr>
        <w:t xml:space="preserve">to </w:t>
      </w:r>
      <w:r w:rsidRPr="00EF6D91">
        <w:rPr>
          <w:rFonts w:ascii="Times New Roman" w:hAnsi="Times New Roman" w:cs="Times New Roman"/>
          <w:sz w:val="24"/>
          <w:szCs w:val="24"/>
        </w:rPr>
        <w:t>decision hierarchy</w:t>
      </w:r>
    </w:p>
    <w:p w14:paraId="6FB70E15" w14:textId="77777777" w:rsidR="00774854" w:rsidRDefault="00774854" w:rsidP="00D5018D">
      <w:pPr>
        <w:jc w:val="both"/>
        <w:rPr>
          <w:rFonts w:ascii="Times New Roman" w:hAnsi="Times New Roman" w:cs="Times New Roman"/>
          <w:i/>
          <w:iCs/>
          <w:color w:val="000000" w:themeColor="text1"/>
          <w:sz w:val="24"/>
          <w:szCs w:val="24"/>
        </w:rPr>
      </w:pPr>
    </w:p>
    <w:p w14:paraId="4B040ABA" w14:textId="41FBB0B6" w:rsidR="00D5018D" w:rsidRPr="00EF6D91" w:rsidRDefault="00D5018D" w:rsidP="00D5018D">
      <w:pPr>
        <w:jc w:val="both"/>
        <w:rPr>
          <w:rFonts w:ascii="Times New Roman" w:hAnsi="Times New Roman" w:cs="Times New Roman"/>
          <w:i/>
          <w:iCs/>
          <w:color w:val="000000" w:themeColor="text1"/>
          <w:sz w:val="24"/>
          <w:szCs w:val="24"/>
        </w:rPr>
      </w:pPr>
      <w:r w:rsidRPr="00EF6D91">
        <w:rPr>
          <w:rFonts w:ascii="Times New Roman" w:hAnsi="Times New Roman" w:cs="Times New Roman"/>
          <w:i/>
          <w:iCs/>
          <w:color w:val="000000" w:themeColor="text1"/>
          <w:sz w:val="24"/>
          <w:szCs w:val="24"/>
        </w:rPr>
        <w:t xml:space="preserve">4.5.3 Calculation of Relative Weights and Evaluating Consistency Ratio </w:t>
      </w:r>
    </w:p>
    <w:p w14:paraId="1DC91A8E" w14:textId="156B535B" w:rsidR="005E5B8D" w:rsidRPr="00EF6D91" w:rsidRDefault="008B0F07" w:rsidP="008923C7">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w:t>
      </w:r>
      <w:r w:rsidR="005E5B8D" w:rsidRPr="00EF6D91">
        <w:rPr>
          <w:rFonts w:ascii="Times New Roman" w:eastAsia="Calibri" w:hAnsi="Times New Roman" w:cs="Times New Roman"/>
          <w:color w:val="000000"/>
          <w:sz w:val="24"/>
          <w:szCs w:val="24"/>
        </w:rPr>
        <w:t xml:space="preserve">e aggregated the pairwise comparison data collected from experts to determine the relative priority weights of various barriers to the adoption of EVs in LMD. </w:t>
      </w:r>
      <w:r w:rsidR="008923C7" w:rsidRPr="00EF6D91">
        <w:rPr>
          <w:rFonts w:ascii="Times New Roman" w:eastAsia="Calibri" w:hAnsi="Times New Roman" w:cs="Times New Roman"/>
          <w:color w:val="000000"/>
          <w:sz w:val="24"/>
          <w:szCs w:val="24"/>
        </w:rPr>
        <w:t>The aggregation method chosen was the median, favo</w:t>
      </w:r>
      <w:r w:rsidR="005E5B8D" w:rsidRPr="00EF6D91">
        <w:rPr>
          <w:rFonts w:ascii="Times New Roman" w:eastAsia="Calibri" w:hAnsi="Times New Roman" w:cs="Times New Roman"/>
          <w:color w:val="000000"/>
          <w:sz w:val="24"/>
          <w:szCs w:val="24"/>
        </w:rPr>
        <w:t>u</w:t>
      </w:r>
      <w:r w:rsidR="008923C7" w:rsidRPr="00EF6D91">
        <w:rPr>
          <w:rFonts w:ascii="Times New Roman" w:eastAsia="Calibri" w:hAnsi="Times New Roman" w:cs="Times New Roman"/>
          <w:color w:val="000000"/>
          <w:sz w:val="24"/>
          <w:szCs w:val="24"/>
        </w:rPr>
        <w:t xml:space="preserve">red over the mean due to its </w:t>
      </w:r>
      <w:r w:rsidR="005E5B8D" w:rsidRPr="00EF6D91">
        <w:rPr>
          <w:rFonts w:ascii="Times New Roman" w:eastAsia="Calibri" w:hAnsi="Times New Roman" w:cs="Times New Roman"/>
          <w:color w:val="000000"/>
          <w:sz w:val="24"/>
          <w:szCs w:val="24"/>
        </w:rPr>
        <w:t>more excellent</w:t>
      </w:r>
      <w:r w:rsidR="008923C7" w:rsidRPr="00EF6D91">
        <w:rPr>
          <w:rFonts w:ascii="Times New Roman" w:eastAsia="Calibri" w:hAnsi="Times New Roman" w:cs="Times New Roman"/>
          <w:color w:val="000000"/>
          <w:sz w:val="24"/>
          <w:szCs w:val="24"/>
        </w:rPr>
        <w:t xml:space="preserve"> resistance to outliers, enhancing the statistical robustness of the results. </w:t>
      </w:r>
      <w:r w:rsidR="00303FA6">
        <w:rPr>
          <w:rFonts w:ascii="Times New Roman" w:eastAsia="Calibri" w:hAnsi="Times New Roman" w:cs="Times New Roman"/>
          <w:color w:val="000000"/>
          <w:sz w:val="24"/>
          <w:szCs w:val="24"/>
        </w:rPr>
        <w:t xml:space="preserve">The results are presented </w:t>
      </w:r>
      <w:r w:rsidR="005E5B8D" w:rsidRPr="00EF6D91">
        <w:rPr>
          <w:rFonts w:ascii="Times New Roman" w:eastAsia="Calibri" w:hAnsi="Times New Roman" w:cs="Times New Roman"/>
          <w:color w:val="000000"/>
          <w:sz w:val="24"/>
          <w:szCs w:val="24"/>
        </w:rPr>
        <w:t>in Table 6.</w:t>
      </w:r>
    </w:p>
    <w:p w14:paraId="13E57B5B" w14:textId="1CD12383" w:rsidR="00D10E02" w:rsidRPr="00EF6D91" w:rsidRDefault="00D10E02" w:rsidP="00D10E02">
      <w:pPr>
        <w:rPr>
          <w:rFonts w:ascii="Times New Roman" w:hAnsi="Times New Roman" w:cs="Times New Roman"/>
          <w:sz w:val="24"/>
          <w:szCs w:val="24"/>
          <w:lang w:val="en-IN"/>
        </w:rPr>
      </w:pPr>
      <w:r w:rsidRPr="00EF6D91">
        <w:rPr>
          <w:rFonts w:ascii="Times New Roman" w:hAnsi="Times New Roman" w:cs="Times New Roman"/>
          <w:sz w:val="24"/>
          <w:szCs w:val="24"/>
          <w:lang w:val="en-IN"/>
        </w:rPr>
        <w:t xml:space="preserve">Table </w:t>
      </w:r>
      <w:r w:rsidR="00C012E0" w:rsidRPr="00EF6D91">
        <w:rPr>
          <w:rFonts w:ascii="Times New Roman" w:hAnsi="Times New Roman" w:cs="Times New Roman"/>
          <w:sz w:val="24"/>
          <w:szCs w:val="24"/>
          <w:lang w:val="en-IN"/>
        </w:rPr>
        <w:t>6</w:t>
      </w:r>
      <w:r w:rsidRPr="00EF6D91">
        <w:rPr>
          <w:rFonts w:ascii="Times New Roman" w:hAnsi="Times New Roman" w:cs="Times New Roman"/>
          <w:sz w:val="24"/>
          <w:szCs w:val="24"/>
          <w:lang w:val="en-IN"/>
        </w:rPr>
        <w:t xml:space="preserve">. Pairwise comparison matrix of four main barriers and their relative weights </w:t>
      </w:r>
    </w:p>
    <w:tbl>
      <w:tblPr>
        <w:tblStyle w:val="TableGrid"/>
        <w:tblW w:w="0" w:type="auto"/>
        <w:tblLook w:val="04A0" w:firstRow="1" w:lastRow="0" w:firstColumn="1" w:lastColumn="0" w:noHBand="0" w:noVBand="1"/>
      </w:tblPr>
      <w:tblGrid>
        <w:gridCol w:w="3114"/>
        <w:gridCol w:w="850"/>
        <w:gridCol w:w="851"/>
        <w:gridCol w:w="850"/>
        <w:gridCol w:w="931"/>
        <w:gridCol w:w="1479"/>
        <w:gridCol w:w="941"/>
      </w:tblGrid>
      <w:tr w:rsidR="00D10E02" w:rsidRPr="00EF6D91" w14:paraId="61689944" w14:textId="77777777" w:rsidTr="0086245C">
        <w:tc>
          <w:tcPr>
            <w:tcW w:w="3114" w:type="dxa"/>
          </w:tcPr>
          <w:p w14:paraId="65BA1F3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Major Barrier Dimensions </w:t>
            </w:r>
          </w:p>
        </w:tc>
        <w:tc>
          <w:tcPr>
            <w:tcW w:w="850" w:type="dxa"/>
          </w:tcPr>
          <w:p w14:paraId="304D1E1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FR</w:t>
            </w:r>
          </w:p>
        </w:tc>
        <w:tc>
          <w:tcPr>
            <w:tcW w:w="851" w:type="dxa"/>
          </w:tcPr>
          <w:p w14:paraId="1987EAF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EI</w:t>
            </w:r>
          </w:p>
        </w:tc>
        <w:tc>
          <w:tcPr>
            <w:tcW w:w="850" w:type="dxa"/>
          </w:tcPr>
          <w:p w14:paraId="0E4CD4D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PPM</w:t>
            </w:r>
          </w:p>
        </w:tc>
        <w:tc>
          <w:tcPr>
            <w:tcW w:w="931" w:type="dxa"/>
          </w:tcPr>
          <w:p w14:paraId="348D821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OT</w:t>
            </w:r>
          </w:p>
        </w:tc>
        <w:tc>
          <w:tcPr>
            <w:tcW w:w="1479" w:type="dxa"/>
          </w:tcPr>
          <w:p w14:paraId="33C555B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Relative Weight</w:t>
            </w:r>
          </w:p>
        </w:tc>
        <w:tc>
          <w:tcPr>
            <w:tcW w:w="941" w:type="dxa"/>
          </w:tcPr>
          <w:p w14:paraId="3477579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b/>
                <w:bCs/>
                <w:sz w:val="16"/>
                <w:szCs w:val="16"/>
              </w:rPr>
              <w:t>Rank</w:t>
            </w:r>
          </w:p>
        </w:tc>
      </w:tr>
      <w:tr w:rsidR="00D10E02" w:rsidRPr="00EF6D91" w14:paraId="38E8DE5C" w14:textId="77777777" w:rsidTr="0086245C">
        <w:tc>
          <w:tcPr>
            <w:tcW w:w="3114" w:type="dxa"/>
          </w:tcPr>
          <w:p w14:paraId="04CCBC3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Financial and Resource Barriers (FR) </w:t>
            </w:r>
          </w:p>
        </w:tc>
        <w:tc>
          <w:tcPr>
            <w:tcW w:w="850" w:type="dxa"/>
          </w:tcPr>
          <w:p w14:paraId="3D5E57A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851" w:type="dxa"/>
          </w:tcPr>
          <w:p w14:paraId="6754DC2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0.33</w:t>
            </w:r>
          </w:p>
        </w:tc>
        <w:tc>
          <w:tcPr>
            <w:tcW w:w="850" w:type="dxa"/>
          </w:tcPr>
          <w:p w14:paraId="3D8DEEF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w:t>
            </w:r>
          </w:p>
        </w:tc>
        <w:tc>
          <w:tcPr>
            <w:tcW w:w="931" w:type="dxa"/>
          </w:tcPr>
          <w:p w14:paraId="0915B28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w:t>
            </w:r>
          </w:p>
        </w:tc>
        <w:tc>
          <w:tcPr>
            <w:tcW w:w="1479" w:type="dxa"/>
          </w:tcPr>
          <w:p w14:paraId="206DD5D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0.2924</w:t>
            </w:r>
          </w:p>
        </w:tc>
        <w:tc>
          <w:tcPr>
            <w:tcW w:w="941" w:type="dxa"/>
          </w:tcPr>
          <w:p w14:paraId="30B207F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r>
      <w:tr w:rsidR="00D10E02" w:rsidRPr="00EF6D91" w14:paraId="73A7B24D" w14:textId="77777777" w:rsidTr="0086245C">
        <w:tc>
          <w:tcPr>
            <w:tcW w:w="3114" w:type="dxa"/>
          </w:tcPr>
          <w:p w14:paraId="58A72F6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Energy and Infrastructure Barriers (EI) </w:t>
            </w:r>
          </w:p>
        </w:tc>
        <w:tc>
          <w:tcPr>
            <w:tcW w:w="850" w:type="dxa"/>
          </w:tcPr>
          <w:p w14:paraId="20D2ADA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w:t>
            </w:r>
          </w:p>
        </w:tc>
        <w:tc>
          <w:tcPr>
            <w:tcW w:w="851" w:type="dxa"/>
          </w:tcPr>
          <w:p w14:paraId="4D5BD53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850" w:type="dxa"/>
          </w:tcPr>
          <w:p w14:paraId="570EEBF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w:t>
            </w:r>
          </w:p>
        </w:tc>
        <w:tc>
          <w:tcPr>
            <w:tcW w:w="931" w:type="dxa"/>
          </w:tcPr>
          <w:p w14:paraId="727ED51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1479" w:type="dxa"/>
          </w:tcPr>
          <w:p w14:paraId="06C1D15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0.3866</w:t>
            </w:r>
          </w:p>
        </w:tc>
        <w:tc>
          <w:tcPr>
            <w:tcW w:w="941" w:type="dxa"/>
          </w:tcPr>
          <w:p w14:paraId="5487AA9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r>
      <w:tr w:rsidR="00D10E02" w:rsidRPr="00EF6D91" w14:paraId="64966E74" w14:textId="77777777" w:rsidTr="0086245C">
        <w:tc>
          <w:tcPr>
            <w:tcW w:w="3114" w:type="dxa"/>
          </w:tcPr>
          <w:p w14:paraId="0370193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Public Policy, Perception and Market Barriers (PPM) </w:t>
            </w:r>
          </w:p>
        </w:tc>
        <w:tc>
          <w:tcPr>
            <w:tcW w:w="850" w:type="dxa"/>
          </w:tcPr>
          <w:p w14:paraId="7E83A2A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0.20</w:t>
            </w:r>
          </w:p>
        </w:tc>
        <w:tc>
          <w:tcPr>
            <w:tcW w:w="851" w:type="dxa"/>
          </w:tcPr>
          <w:p w14:paraId="1B03B47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0.25</w:t>
            </w:r>
          </w:p>
        </w:tc>
        <w:tc>
          <w:tcPr>
            <w:tcW w:w="850" w:type="dxa"/>
          </w:tcPr>
          <w:p w14:paraId="782E098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931" w:type="dxa"/>
          </w:tcPr>
          <w:p w14:paraId="1930358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0.25</w:t>
            </w:r>
          </w:p>
        </w:tc>
        <w:tc>
          <w:tcPr>
            <w:tcW w:w="1479" w:type="dxa"/>
          </w:tcPr>
          <w:p w14:paraId="6982E3A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0.0674</w:t>
            </w:r>
          </w:p>
        </w:tc>
        <w:tc>
          <w:tcPr>
            <w:tcW w:w="941" w:type="dxa"/>
          </w:tcPr>
          <w:p w14:paraId="5D641C1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r>
      <w:tr w:rsidR="00D10E02" w:rsidRPr="00EF6D91" w14:paraId="66B21D0E" w14:textId="77777777" w:rsidTr="0086245C">
        <w:tc>
          <w:tcPr>
            <w:tcW w:w="3114" w:type="dxa"/>
          </w:tcPr>
          <w:p w14:paraId="7A1838A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Operational and Technical Barriers (OT) </w:t>
            </w:r>
          </w:p>
        </w:tc>
        <w:tc>
          <w:tcPr>
            <w:tcW w:w="850" w:type="dxa"/>
          </w:tcPr>
          <w:p w14:paraId="0E42105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0.50</w:t>
            </w:r>
          </w:p>
        </w:tc>
        <w:tc>
          <w:tcPr>
            <w:tcW w:w="851" w:type="dxa"/>
          </w:tcPr>
          <w:p w14:paraId="1779EA4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850" w:type="dxa"/>
          </w:tcPr>
          <w:p w14:paraId="3B1E0F6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w:t>
            </w:r>
          </w:p>
        </w:tc>
        <w:tc>
          <w:tcPr>
            <w:tcW w:w="931" w:type="dxa"/>
          </w:tcPr>
          <w:p w14:paraId="0B42635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w:t>
            </w:r>
          </w:p>
        </w:tc>
        <w:tc>
          <w:tcPr>
            <w:tcW w:w="1479" w:type="dxa"/>
          </w:tcPr>
          <w:p w14:paraId="0CEA214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0.2536</w:t>
            </w:r>
          </w:p>
        </w:tc>
        <w:tc>
          <w:tcPr>
            <w:tcW w:w="941" w:type="dxa"/>
          </w:tcPr>
          <w:p w14:paraId="0D0A7EE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r>
      <w:tr w:rsidR="00D10E02" w:rsidRPr="00EF6D91" w14:paraId="711E8777" w14:textId="77777777" w:rsidTr="0086245C">
        <w:tc>
          <w:tcPr>
            <w:tcW w:w="9016" w:type="dxa"/>
            <w:gridSpan w:val="7"/>
          </w:tcPr>
          <w:p w14:paraId="5A119F71" w14:textId="77777777" w:rsidR="00D10E02" w:rsidRPr="00EF6D91" w:rsidRDefault="00D10E02" w:rsidP="0086245C">
            <w:pPr>
              <w:rPr>
                <w:rFonts w:ascii="Times New Roman" w:hAnsi="Times New Roman" w:cs="Times New Roman"/>
                <w:sz w:val="16"/>
                <w:szCs w:val="16"/>
              </w:rPr>
            </w:pPr>
            <w:r w:rsidRPr="00EF6D91">
              <w:rPr>
                <w:rFonts w:ascii="Times New Roman" w:hAnsi="Times New Roman" w:cs="Times New Roman"/>
                <w:sz w:val="16"/>
                <w:szCs w:val="16"/>
              </w:rPr>
              <w:t>C.I.= 0.1130; CR= 0.1256</w:t>
            </w:r>
          </w:p>
        </w:tc>
      </w:tr>
    </w:tbl>
    <w:p w14:paraId="0D30F9B2" w14:textId="77777777" w:rsidR="008923C7" w:rsidRPr="00EF6D91" w:rsidRDefault="008923C7" w:rsidP="008923C7">
      <w:pPr>
        <w:jc w:val="both"/>
        <w:rPr>
          <w:rFonts w:ascii="Times New Roman" w:eastAsia="Calibri" w:hAnsi="Times New Roman" w:cs="Times New Roman"/>
          <w:color w:val="000000"/>
          <w:sz w:val="24"/>
          <w:szCs w:val="24"/>
          <w:lang w:val="en-US"/>
        </w:rPr>
      </w:pPr>
    </w:p>
    <w:p w14:paraId="5D19CECF" w14:textId="463F24A0" w:rsidR="008923C7" w:rsidRPr="00B95BCE" w:rsidRDefault="005E5B8D" w:rsidP="00B95BCE">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To ensure the reliability of the rankings derived from AHP, we calculated the consistency ratio (CR) for each pairwise comparison matrix. </w:t>
      </w:r>
      <w:r w:rsidR="008923C7" w:rsidRPr="00EF6D91">
        <w:rPr>
          <w:rFonts w:ascii="Times New Roman" w:eastAsia="Calibri" w:hAnsi="Times New Roman" w:cs="Times New Roman"/>
          <w:color w:val="000000"/>
          <w:sz w:val="24"/>
          <w:szCs w:val="24"/>
          <w:lang w:val="en-US"/>
        </w:rPr>
        <w:t xml:space="preserve">Maintaining a CR </w:t>
      </w:r>
      <w:r w:rsidR="008923C7" w:rsidRPr="00EF6D91">
        <w:rPr>
          <w:rFonts w:ascii="Times New Roman" w:eastAsia="Calibri" w:hAnsi="Times New Roman" w:cs="Times New Roman"/>
          <w:color w:val="000000"/>
          <w:sz w:val="24"/>
          <w:szCs w:val="24"/>
        </w:rPr>
        <w:t>(≤ 0.2)</w:t>
      </w:r>
      <w:r w:rsidR="008923C7" w:rsidRPr="00EF6D91">
        <w:rPr>
          <w:rFonts w:ascii="Times New Roman" w:eastAsia="Calibri" w:hAnsi="Times New Roman" w:cs="Times New Roman"/>
          <w:color w:val="000000"/>
          <w:sz w:val="24"/>
          <w:szCs w:val="24"/>
          <w:lang w:val="en-US"/>
        </w:rPr>
        <w:t xml:space="preserve"> is essential as it indicates a reasonable level of consistency in the judgments made by the experts</w:t>
      </w:r>
      <w:r w:rsidR="0004521A">
        <w:rPr>
          <w:rFonts w:ascii="Times New Roman" w:eastAsia="Calibri" w:hAnsi="Times New Roman" w:cs="Times New Roman"/>
          <w:color w:val="000000"/>
          <w:sz w:val="24"/>
          <w:szCs w:val="24"/>
          <w:lang w:val="en-US"/>
        </w:rPr>
        <w:t xml:space="preserve"> (</w:t>
      </w:r>
      <w:r w:rsidR="00E56AC9" w:rsidRPr="00EF6D91">
        <w:rPr>
          <w:rFonts w:ascii="Times New Roman" w:eastAsia="Calibri" w:hAnsi="Times New Roman" w:cs="Times New Roman"/>
          <w:color w:val="000000"/>
          <w:sz w:val="24"/>
          <w:szCs w:val="24"/>
          <w:lang w:val="en-US"/>
        </w:rPr>
        <w:fldChar w:fldCharType="begin"/>
      </w:r>
      <w:r w:rsidR="00E56AC9" w:rsidRPr="00EF6D91">
        <w:rPr>
          <w:rFonts w:ascii="Times New Roman" w:eastAsia="Calibri" w:hAnsi="Times New Roman" w:cs="Times New Roman"/>
          <w:color w:val="000000"/>
          <w:sz w:val="24"/>
          <w:szCs w:val="24"/>
          <w:lang w:val="en-US"/>
        </w:rPr>
        <w:instrText xml:space="preserve"> ADDIN ZOTERO_ITEM CSL_CITATION {"citationID":"ntK4s2jA","properties":{"formattedCitation":"(Pauer {\\i{}et al.}, 2016)","plainCitation":"(Pauer et al., 2016)","noteIndex":0},"citationItems":[{"id":31615,"uris":["http://zotero.org/users/10594755/items/88Z4DB2Z"],"itemData":{"id":31615,"type":"article-journal","abstract":"The Analytic Hierarchy Process (AHP) is increasingly used to measure patient priorities. Studies have shown that there are several different approaches to data acquisition and data aggregation. The aim of this study was to measure the information needs of patients having a rare disease and to analyze the effects of these different AHP approaches. The ranking of information needs is then used to display information categories on a web-based information portal about rare diseases according to the patient’s priorities.","container-title":"BMC Medical Informatics and Decision Making","DOI":"10.1186/s12911-016-0346-8","ISSN":"1472-6947","issue":"1","journalAbbreviation":"BMC Medical Informatics and Decision Making","page":"117","source":"BioMed Central","title":"Comparison of different approaches applied in Analytic Hierarchy Process – an example of information needs of patients with rare diseases","volume":"16","author":[{"family":"Pauer","given":"Frédéric"},{"family":"Schmidt","given":"Katharina"},{"family":"Babac","given":"Ana"},{"family":"Damm","given":"Kathrin"},{"family":"Frank","given":"Martin"},{"family":"Schulenburg","given":"J.-Matthias Graf","non-dropping-particle":"von der"}],"issued":{"date-parts":[["2016",9,9]]}}}],"schema":"https://github.com/citation-style-language/schema/raw/master/csl-citation.json"} </w:instrText>
      </w:r>
      <w:r w:rsidR="00E56AC9" w:rsidRPr="00EF6D91">
        <w:rPr>
          <w:rFonts w:ascii="Times New Roman" w:eastAsia="Calibri" w:hAnsi="Times New Roman" w:cs="Times New Roman"/>
          <w:color w:val="000000"/>
          <w:sz w:val="24"/>
          <w:szCs w:val="24"/>
          <w:lang w:val="en-US"/>
        </w:rPr>
        <w:fldChar w:fldCharType="separate"/>
      </w:r>
      <w:r w:rsidR="00E56AC9" w:rsidRPr="00EF6D91">
        <w:rPr>
          <w:rFonts w:ascii="Times New Roman" w:hAnsi="Times New Roman" w:cs="Times New Roman"/>
          <w:kern w:val="0"/>
          <w:sz w:val="24"/>
        </w:rPr>
        <w:t xml:space="preserve">Pauer </w:t>
      </w:r>
      <w:r w:rsidR="00E56AC9" w:rsidRPr="00EF6D91">
        <w:rPr>
          <w:rFonts w:ascii="Times New Roman" w:hAnsi="Times New Roman" w:cs="Times New Roman"/>
          <w:i/>
          <w:iCs/>
          <w:kern w:val="0"/>
          <w:sz w:val="24"/>
        </w:rPr>
        <w:t>et al.</w:t>
      </w:r>
      <w:r w:rsidR="0004521A">
        <w:rPr>
          <w:rFonts w:ascii="Times New Roman" w:hAnsi="Times New Roman" w:cs="Times New Roman"/>
          <w:kern w:val="0"/>
          <w:sz w:val="24"/>
        </w:rPr>
        <w:t xml:space="preserve">, </w:t>
      </w:r>
      <w:r w:rsidR="00E56AC9" w:rsidRPr="00EF6D91">
        <w:rPr>
          <w:rFonts w:ascii="Times New Roman" w:hAnsi="Times New Roman" w:cs="Times New Roman"/>
          <w:kern w:val="0"/>
          <w:sz w:val="24"/>
        </w:rPr>
        <w:t>2016)</w:t>
      </w:r>
      <w:r w:rsidR="00E56AC9" w:rsidRPr="00EF6D91">
        <w:rPr>
          <w:rFonts w:ascii="Times New Roman" w:eastAsia="Calibri" w:hAnsi="Times New Roman" w:cs="Times New Roman"/>
          <w:color w:val="000000"/>
          <w:sz w:val="24"/>
          <w:szCs w:val="24"/>
          <w:lang w:val="en-US"/>
        </w:rPr>
        <w:fldChar w:fldCharType="end"/>
      </w:r>
      <w:r w:rsidR="008923C7" w:rsidRPr="00EF6D91">
        <w:rPr>
          <w:rFonts w:ascii="Times New Roman" w:eastAsia="Calibri" w:hAnsi="Times New Roman" w:cs="Times New Roman"/>
          <w:color w:val="000000"/>
          <w:sz w:val="24"/>
          <w:szCs w:val="24"/>
          <w:lang w:val="en-US"/>
        </w:rPr>
        <w:t>. This meticulous approach to verifying consistency</w:t>
      </w:r>
      <w:r w:rsidR="00B95BCE">
        <w:rPr>
          <w:rFonts w:ascii="Times New Roman" w:eastAsia="Calibri" w:hAnsi="Times New Roman" w:cs="Times New Roman"/>
          <w:color w:val="000000"/>
          <w:sz w:val="24"/>
          <w:szCs w:val="24"/>
          <w:lang w:val="en-US"/>
        </w:rPr>
        <w:t xml:space="preserve"> </w:t>
      </w:r>
      <w:r w:rsidR="008923C7" w:rsidRPr="00EF6D91">
        <w:rPr>
          <w:rFonts w:ascii="Times New Roman" w:eastAsia="Calibri" w:hAnsi="Times New Roman" w:cs="Times New Roman"/>
          <w:color w:val="000000"/>
          <w:sz w:val="24"/>
          <w:szCs w:val="24"/>
          <w:lang w:val="en-US"/>
        </w:rPr>
        <w:t>solidif</w:t>
      </w:r>
      <w:r w:rsidR="00B95BCE">
        <w:rPr>
          <w:rFonts w:ascii="Times New Roman" w:eastAsia="Calibri" w:hAnsi="Times New Roman" w:cs="Times New Roman"/>
          <w:color w:val="000000"/>
          <w:sz w:val="24"/>
          <w:szCs w:val="24"/>
          <w:lang w:val="en-US"/>
        </w:rPr>
        <w:t>ied</w:t>
      </w:r>
      <w:r w:rsidR="008923C7" w:rsidRPr="00EF6D91">
        <w:rPr>
          <w:rFonts w:ascii="Times New Roman" w:eastAsia="Calibri" w:hAnsi="Times New Roman" w:cs="Times New Roman"/>
          <w:color w:val="000000"/>
          <w:sz w:val="24"/>
          <w:szCs w:val="24"/>
          <w:lang w:val="en-US"/>
        </w:rPr>
        <w:t xml:space="preserve"> the reliability of the findings. </w:t>
      </w:r>
      <w:r w:rsidR="008923C7" w:rsidRPr="00B95BCE">
        <w:rPr>
          <w:rFonts w:ascii="Times New Roman" w:eastAsia="Calibri" w:hAnsi="Times New Roman" w:cs="Times New Roman"/>
          <w:color w:val="000000"/>
          <w:sz w:val="24"/>
          <w:szCs w:val="24"/>
          <w:lang w:val="en-US"/>
        </w:rPr>
        <w:lastRenderedPageBreak/>
        <w:t>Table 7</w:t>
      </w:r>
      <w:r w:rsidR="008923C7" w:rsidRPr="00EF6D91">
        <w:rPr>
          <w:rFonts w:ascii="Times New Roman" w:eastAsia="Calibri" w:hAnsi="Times New Roman" w:cs="Times New Roman"/>
          <w:color w:val="000000"/>
          <w:sz w:val="24"/>
          <w:szCs w:val="24"/>
          <w:lang w:val="en-US"/>
        </w:rPr>
        <w:t xml:space="preserve"> elaborates on the specific </w:t>
      </w:r>
      <w:r w:rsidRPr="00EF6D91">
        <w:rPr>
          <w:rFonts w:ascii="Times New Roman" w:eastAsia="Calibri" w:hAnsi="Times New Roman" w:cs="Times New Roman"/>
          <w:color w:val="000000"/>
          <w:sz w:val="24"/>
          <w:szCs w:val="24"/>
          <w:lang w:val="en-US"/>
        </w:rPr>
        <w:t>obstacle</w:t>
      </w:r>
      <w:r w:rsidR="008923C7" w:rsidRPr="00EF6D91">
        <w:rPr>
          <w:rFonts w:ascii="Times New Roman" w:eastAsia="Calibri" w:hAnsi="Times New Roman" w:cs="Times New Roman"/>
          <w:color w:val="000000"/>
          <w:sz w:val="24"/>
          <w:szCs w:val="24"/>
          <w:lang w:val="en-US"/>
        </w:rPr>
        <w:t>s under each dimension, providing a hierarchical breakdown based on their relative weights and global ranks:</w:t>
      </w:r>
    </w:p>
    <w:p w14:paraId="4960101C" w14:textId="38ED2B91" w:rsidR="00D10E02" w:rsidRPr="00EF6D91" w:rsidRDefault="00D10E02" w:rsidP="00D10E02">
      <w:pPr>
        <w:rPr>
          <w:rFonts w:ascii="Times New Roman" w:hAnsi="Times New Roman" w:cs="Times New Roman"/>
          <w:sz w:val="24"/>
          <w:szCs w:val="24"/>
          <w:lang w:val="en-IN"/>
        </w:rPr>
      </w:pPr>
      <w:r w:rsidRPr="00EF6D91">
        <w:rPr>
          <w:rFonts w:ascii="Times New Roman" w:hAnsi="Times New Roman" w:cs="Times New Roman"/>
          <w:sz w:val="24"/>
          <w:szCs w:val="24"/>
          <w:lang w:val="en-IN"/>
        </w:rPr>
        <w:t xml:space="preserve">Table </w:t>
      </w:r>
      <w:r w:rsidR="00C012E0" w:rsidRPr="00EF6D91">
        <w:rPr>
          <w:rFonts w:ascii="Times New Roman" w:hAnsi="Times New Roman" w:cs="Times New Roman"/>
          <w:sz w:val="24"/>
          <w:szCs w:val="24"/>
          <w:lang w:val="en-IN"/>
        </w:rPr>
        <w:t>7</w:t>
      </w:r>
      <w:r w:rsidRPr="00EF6D91">
        <w:rPr>
          <w:rFonts w:ascii="Times New Roman" w:hAnsi="Times New Roman" w:cs="Times New Roman"/>
          <w:sz w:val="24"/>
          <w:szCs w:val="24"/>
          <w:lang w:val="en-IN"/>
        </w:rPr>
        <w:t>. Ranking of EMV implementation barriers in LMD</w:t>
      </w:r>
    </w:p>
    <w:tbl>
      <w:tblPr>
        <w:tblStyle w:val="TableGrid"/>
        <w:tblW w:w="0" w:type="auto"/>
        <w:tblLayout w:type="fixed"/>
        <w:tblLook w:val="04A0" w:firstRow="1" w:lastRow="0" w:firstColumn="1" w:lastColumn="0" w:noHBand="0" w:noVBand="1"/>
      </w:tblPr>
      <w:tblGrid>
        <w:gridCol w:w="1367"/>
        <w:gridCol w:w="776"/>
        <w:gridCol w:w="3664"/>
        <w:gridCol w:w="851"/>
        <w:gridCol w:w="850"/>
        <w:gridCol w:w="709"/>
        <w:gridCol w:w="799"/>
      </w:tblGrid>
      <w:tr w:rsidR="00D10E02" w:rsidRPr="00EF6D91" w14:paraId="5716307C" w14:textId="77777777" w:rsidTr="0086245C">
        <w:tc>
          <w:tcPr>
            <w:tcW w:w="1367" w:type="dxa"/>
          </w:tcPr>
          <w:p w14:paraId="0556E35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Dimension of Barriers </w:t>
            </w:r>
          </w:p>
        </w:tc>
        <w:tc>
          <w:tcPr>
            <w:tcW w:w="776" w:type="dxa"/>
          </w:tcPr>
          <w:p w14:paraId="715CE41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Relative Weights </w:t>
            </w:r>
          </w:p>
        </w:tc>
        <w:tc>
          <w:tcPr>
            <w:tcW w:w="3664" w:type="dxa"/>
          </w:tcPr>
          <w:p w14:paraId="13A70B84"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Barriers </w:t>
            </w:r>
          </w:p>
        </w:tc>
        <w:tc>
          <w:tcPr>
            <w:tcW w:w="851" w:type="dxa"/>
          </w:tcPr>
          <w:p w14:paraId="0A71939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Relative Weights </w:t>
            </w:r>
          </w:p>
        </w:tc>
        <w:tc>
          <w:tcPr>
            <w:tcW w:w="850" w:type="dxa"/>
          </w:tcPr>
          <w:p w14:paraId="4238742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Relative Rank </w:t>
            </w:r>
          </w:p>
        </w:tc>
        <w:tc>
          <w:tcPr>
            <w:tcW w:w="709" w:type="dxa"/>
          </w:tcPr>
          <w:p w14:paraId="0ACDDE82" w14:textId="77777777" w:rsidR="00D10E02" w:rsidRPr="00EF6D91" w:rsidRDefault="00D10E02" w:rsidP="0086245C">
            <w:pPr>
              <w:rPr>
                <w:rFonts w:ascii="Times New Roman" w:hAnsi="Times New Roman" w:cs="Times New Roman"/>
                <w:sz w:val="14"/>
                <w:szCs w:val="14"/>
                <w:lang w:val="en-IN"/>
              </w:rPr>
            </w:pPr>
            <w:r w:rsidRPr="00EF6D91">
              <w:rPr>
                <w:rFonts w:ascii="Times New Roman" w:hAnsi="Times New Roman" w:cs="Times New Roman"/>
                <w:b/>
                <w:bCs/>
                <w:sz w:val="14"/>
                <w:szCs w:val="14"/>
              </w:rPr>
              <w:t xml:space="preserve">Global Weights </w:t>
            </w:r>
          </w:p>
        </w:tc>
        <w:tc>
          <w:tcPr>
            <w:tcW w:w="799" w:type="dxa"/>
          </w:tcPr>
          <w:p w14:paraId="16DDD3E2"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b/>
                <w:bCs/>
                <w:sz w:val="16"/>
                <w:szCs w:val="16"/>
              </w:rPr>
              <w:t xml:space="preserve">Global Rank </w:t>
            </w:r>
          </w:p>
        </w:tc>
      </w:tr>
      <w:tr w:rsidR="00D10E02" w:rsidRPr="00EF6D91" w14:paraId="06AB6EE1" w14:textId="77777777" w:rsidTr="0086245C">
        <w:tc>
          <w:tcPr>
            <w:tcW w:w="1367" w:type="dxa"/>
            <w:vMerge w:val="restart"/>
          </w:tcPr>
          <w:p w14:paraId="094EE569" w14:textId="77777777" w:rsidR="00D10E02" w:rsidRPr="00EF6D91" w:rsidRDefault="00D10E02" w:rsidP="0086245C">
            <w:pPr>
              <w:pStyle w:val="Default"/>
              <w:rPr>
                <w:sz w:val="16"/>
                <w:szCs w:val="16"/>
              </w:rPr>
            </w:pPr>
            <w:r w:rsidRPr="00EF6D91">
              <w:rPr>
                <w:sz w:val="16"/>
                <w:szCs w:val="16"/>
              </w:rPr>
              <w:t xml:space="preserve">Financial and Resource Barriers (FR) </w:t>
            </w:r>
          </w:p>
          <w:p w14:paraId="32C390E3" w14:textId="77777777" w:rsidR="00D10E02" w:rsidRPr="00EF6D91" w:rsidRDefault="00D10E02" w:rsidP="0086245C">
            <w:pPr>
              <w:rPr>
                <w:rFonts w:ascii="Times New Roman" w:hAnsi="Times New Roman" w:cs="Times New Roman"/>
                <w:sz w:val="16"/>
                <w:szCs w:val="16"/>
                <w:lang w:val="en-IN"/>
              </w:rPr>
            </w:pPr>
          </w:p>
        </w:tc>
        <w:tc>
          <w:tcPr>
            <w:tcW w:w="776" w:type="dxa"/>
            <w:vMerge w:val="restart"/>
          </w:tcPr>
          <w:p w14:paraId="139A2098" w14:textId="77777777" w:rsidR="00D10E02" w:rsidRPr="00EF6D91" w:rsidRDefault="00D10E02" w:rsidP="0086245C">
            <w:pPr>
              <w:pStyle w:val="Default"/>
              <w:rPr>
                <w:sz w:val="16"/>
                <w:szCs w:val="16"/>
              </w:rPr>
            </w:pPr>
            <w:r w:rsidRPr="00EF6D91">
              <w:rPr>
                <w:sz w:val="16"/>
                <w:szCs w:val="16"/>
              </w:rPr>
              <w:t xml:space="preserve">0.2924 </w:t>
            </w:r>
          </w:p>
          <w:p w14:paraId="1AE12FAD" w14:textId="77777777" w:rsidR="00D10E02" w:rsidRPr="00EF6D91" w:rsidRDefault="00D10E02" w:rsidP="0086245C">
            <w:pPr>
              <w:rPr>
                <w:rFonts w:ascii="Times New Roman" w:hAnsi="Times New Roman" w:cs="Times New Roman"/>
                <w:sz w:val="16"/>
                <w:szCs w:val="16"/>
                <w:lang w:val="en-IN"/>
              </w:rPr>
            </w:pPr>
          </w:p>
        </w:tc>
        <w:tc>
          <w:tcPr>
            <w:tcW w:w="3664" w:type="dxa"/>
          </w:tcPr>
          <w:p w14:paraId="4BEECC2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FR1 - Limited raw material availability </w:t>
            </w:r>
          </w:p>
        </w:tc>
        <w:tc>
          <w:tcPr>
            <w:tcW w:w="851" w:type="dxa"/>
          </w:tcPr>
          <w:p w14:paraId="2319BE0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0.0766</w:t>
            </w:r>
          </w:p>
        </w:tc>
        <w:tc>
          <w:tcPr>
            <w:tcW w:w="850" w:type="dxa"/>
          </w:tcPr>
          <w:p w14:paraId="2D9B89D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6th</w:t>
            </w:r>
          </w:p>
        </w:tc>
        <w:tc>
          <w:tcPr>
            <w:tcW w:w="709" w:type="dxa"/>
          </w:tcPr>
          <w:p w14:paraId="4304475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0.0224</w:t>
            </w:r>
          </w:p>
        </w:tc>
        <w:tc>
          <w:tcPr>
            <w:tcW w:w="799" w:type="dxa"/>
          </w:tcPr>
          <w:p w14:paraId="1631919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14th</w:t>
            </w:r>
          </w:p>
        </w:tc>
      </w:tr>
      <w:tr w:rsidR="00D10E02" w:rsidRPr="00EF6D91" w14:paraId="1BCAA9A0" w14:textId="77777777" w:rsidTr="0086245C">
        <w:tc>
          <w:tcPr>
            <w:tcW w:w="1367" w:type="dxa"/>
            <w:vMerge/>
          </w:tcPr>
          <w:p w14:paraId="79C96E79"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3FA015C3" w14:textId="77777777" w:rsidR="00D10E02" w:rsidRPr="00EF6D91" w:rsidRDefault="00D10E02" w:rsidP="0086245C">
            <w:pPr>
              <w:rPr>
                <w:rFonts w:ascii="Times New Roman" w:hAnsi="Times New Roman" w:cs="Times New Roman"/>
                <w:sz w:val="16"/>
                <w:szCs w:val="16"/>
                <w:lang w:val="en-IN"/>
              </w:rPr>
            </w:pPr>
          </w:p>
        </w:tc>
        <w:tc>
          <w:tcPr>
            <w:tcW w:w="3664" w:type="dxa"/>
          </w:tcPr>
          <w:p w14:paraId="7B6FB2C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FR2 - Battery costs </w:t>
            </w:r>
          </w:p>
        </w:tc>
        <w:tc>
          <w:tcPr>
            <w:tcW w:w="851" w:type="dxa"/>
          </w:tcPr>
          <w:p w14:paraId="072A6D7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0.1337</w:t>
            </w:r>
          </w:p>
        </w:tc>
        <w:tc>
          <w:tcPr>
            <w:tcW w:w="850" w:type="dxa"/>
          </w:tcPr>
          <w:p w14:paraId="01B51FF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c>
          <w:tcPr>
            <w:tcW w:w="709" w:type="dxa"/>
          </w:tcPr>
          <w:p w14:paraId="1C97AB4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0.0391</w:t>
            </w:r>
          </w:p>
        </w:tc>
        <w:tc>
          <w:tcPr>
            <w:tcW w:w="799" w:type="dxa"/>
          </w:tcPr>
          <w:p w14:paraId="0193BD1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12th</w:t>
            </w:r>
          </w:p>
        </w:tc>
      </w:tr>
      <w:tr w:rsidR="00D10E02" w:rsidRPr="00EF6D91" w14:paraId="12D4DEFD" w14:textId="77777777" w:rsidTr="0086245C">
        <w:tc>
          <w:tcPr>
            <w:tcW w:w="1367" w:type="dxa"/>
            <w:vMerge/>
          </w:tcPr>
          <w:p w14:paraId="48DA196C"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720E0F59" w14:textId="77777777" w:rsidR="00D10E02" w:rsidRPr="00EF6D91" w:rsidRDefault="00D10E02" w:rsidP="0086245C">
            <w:pPr>
              <w:rPr>
                <w:rFonts w:ascii="Times New Roman" w:hAnsi="Times New Roman" w:cs="Times New Roman"/>
                <w:sz w:val="16"/>
                <w:szCs w:val="16"/>
                <w:lang w:val="en-IN"/>
              </w:rPr>
            </w:pPr>
          </w:p>
        </w:tc>
        <w:tc>
          <w:tcPr>
            <w:tcW w:w="3664" w:type="dxa"/>
          </w:tcPr>
          <w:p w14:paraId="206FBA0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FR3 - Battery lifespan </w:t>
            </w:r>
          </w:p>
        </w:tc>
        <w:tc>
          <w:tcPr>
            <w:tcW w:w="851" w:type="dxa"/>
          </w:tcPr>
          <w:p w14:paraId="7940593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0.0780</w:t>
            </w:r>
          </w:p>
        </w:tc>
        <w:tc>
          <w:tcPr>
            <w:tcW w:w="850" w:type="dxa"/>
          </w:tcPr>
          <w:p w14:paraId="34AB4F1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5th</w:t>
            </w:r>
          </w:p>
        </w:tc>
        <w:tc>
          <w:tcPr>
            <w:tcW w:w="709" w:type="dxa"/>
          </w:tcPr>
          <w:p w14:paraId="2B05597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0.0228</w:t>
            </w:r>
          </w:p>
        </w:tc>
        <w:tc>
          <w:tcPr>
            <w:tcW w:w="799" w:type="dxa"/>
          </w:tcPr>
          <w:p w14:paraId="074590E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13th</w:t>
            </w:r>
          </w:p>
        </w:tc>
      </w:tr>
      <w:tr w:rsidR="00D10E02" w:rsidRPr="00EF6D91" w14:paraId="3F585AC2" w14:textId="77777777" w:rsidTr="0086245C">
        <w:tc>
          <w:tcPr>
            <w:tcW w:w="1367" w:type="dxa"/>
            <w:vMerge/>
          </w:tcPr>
          <w:p w14:paraId="0B7B4710"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1361D84E" w14:textId="77777777" w:rsidR="00D10E02" w:rsidRPr="00EF6D91" w:rsidRDefault="00D10E02" w:rsidP="0086245C">
            <w:pPr>
              <w:rPr>
                <w:rFonts w:ascii="Times New Roman" w:hAnsi="Times New Roman" w:cs="Times New Roman"/>
                <w:sz w:val="16"/>
                <w:szCs w:val="16"/>
                <w:lang w:val="en-IN"/>
              </w:rPr>
            </w:pPr>
          </w:p>
        </w:tc>
        <w:tc>
          <w:tcPr>
            <w:tcW w:w="3664" w:type="dxa"/>
          </w:tcPr>
          <w:p w14:paraId="2BB3D14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FR4 - Inadequate infrastructure for battery swapping </w:t>
            </w:r>
          </w:p>
        </w:tc>
        <w:tc>
          <w:tcPr>
            <w:tcW w:w="851" w:type="dxa"/>
          </w:tcPr>
          <w:p w14:paraId="2C6F3E7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0.0451</w:t>
            </w:r>
          </w:p>
        </w:tc>
        <w:tc>
          <w:tcPr>
            <w:tcW w:w="850" w:type="dxa"/>
          </w:tcPr>
          <w:p w14:paraId="42BC609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7th</w:t>
            </w:r>
          </w:p>
        </w:tc>
        <w:tc>
          <w:tcPr>
            <w:tcW w:w="709" w:type="dxa"/>
          </w:tcPr>
          <w:p w14:paraId="4FD2DA1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0.0132</w:t>
            </w:r>
          </w:p>
        </w:tc>
        <w:tc>
          <w:tcPr>
            <w:tcW w:w="799" w:type="dxa"/>
          </w:tcPr>
          <w:p w14:paraId="6704D47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18th</w:t>
            </w:r>
          </w:p>
        </w:tc>
      </w:tr>
      <w:tr w:rsidR="00D10E02" w:rsidRPr="00EF6D91" w14:paraId="2EAC8270" w14:textId="77777777" w:rsidTr="0086245C">
        <w:tc>
          <w:tcPr>
            <w:tcW w:w="1367" w:type="dxa"/>
            <w:vMerge/>
          </w:tcPr>
          <w:p w14:paraId="3B9EA9C8"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50E4274F" w14:textId="77777777" w:rsidR="00D10E02" w:rsidRPr="00EF6D91" w:rsidRDefault="00D10E02" w:rsidP="0086245C">
            <w:pPr>
              <w:rPr>
                <w:rFonts w:ascii="Times New Roman" w:hAnsi="Times New Roman" w:cs="Times New Roman"/>
                <w:sz w:val="16"/>
                <w:szCs w:val="16"/>
                <w:lang w:val="en-IN"/>
              </w:rPr>
            </w:pPr>
          </w:p>
        </w:tc>
        <w:tc>
          <w:tcPr>
            <w:tcW w:w="3664" w:type="dxa"/>
          </w:tcPr>
          <w:p w14:paraId="5BC4F0B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FR5 - Inventory cost for battery swapping </w:t>
            </w:r>
          </w:p>
        </w:tc>
        <w:tc>
          <w:tcPr>
            <w:tcW w:w="851" w:type="dxa"/>
          </w:tcPr>
          <w:p w14:paraId="2D548A3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0.0430</w:t>
            </w:r>
          </w:p>
        </w:tc>
        <w:tc>
          <w:tcPr>
            <w:tcW w:w="850" w:type="dxa"/>
          </w:tcPr>
          <w:p w14:paraId="1F46DD4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8th</w:t>
            </w:r>
          </w:p>
        </w:tc>
        <w:tc>
          <w:tcPr>
            <w:tcW w:w="709" w:type="dxa"/>
          </w:tcPr>
          <w:p w14:paraId="7CA3FEA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0.0126</w:t>
            </w:r>
          </w:p>
        </w:tc>
        <w:tc>
          <w:tcPr>
            <w:tcW w:w="799" w:type="dxa"/>
          </w:tcPr>
          <w:p w14:paraId="3A6E25C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19th</w:t>
            </w:r>
          </w:p>
        </w:tc>
      </w:tr>
      <w:tr w:rsidR="00D10E02" w:rsidRPr="00EF6D91" w14:paraId="6A4D6578" w14:textId="77777777" w:rsidTr="0086245C">
        <w:tc>
          <w:tcPr>
            <w:tcW w:w="1367" w:type="dxa"/>
            <w:vMerge/>
          </w:tcPr>
          <w:p w14:paraId="2B14C42D"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56B6C2BF" w14:textId="77777777" w:rsidR="00D10E02" w:rsidRPr="00EF6D91" w:rsidRDefault="00D10E02" w:rsidP="0086245C">
            <w:pPr>
              <w:rPr>
                <w:rFonts w:ascii="Times New Roman" w:hAnsi="Times New Roman" w:cs="Times New Roman"/>
                <w:sz w:val="16"/>
                <w:szCs w:val="16"/>
                <w:lang w:val="en-IN"/>
              </w:rPr>
            </w:pPr>
          </w:p>
        </w:tc>
        <w:tc>
          <w:tcPr>
            <w:tcW w:w="3664" w:type="dxa"/>
          </w:tcPr>
          <w:p w14:paraId="3C59EF6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FR6 - High initial purchase cost </w:t>
            </w:r>
          </w:p>
        </w:tc>
        <w:tc>
          <w:tcPr>
            <w:tcW w:w="851" w:type="dxa"/>
          </w:tcPr>
          <w:p w14:paraId="6142305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0.1922</w:t>
            </w:r>
          </w:p>
        </w:tc>
        <w:tc>
          <w:tcPr>
            <w:tcW w:w="850" w:type="dxa"/>
          </w:tcPr>
          <w:p w14:paraId="43453EF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c>
          <w:tcPr>
            <w:tcW w:w="709" w:type="dxa"/>
          </w:tcPr>
          <w:p w14:paraId="528E516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0.0562</w:t>
            </w:r>
          </w:p>
        </w:tc>
        <w:tc>
          <w:tcPr>
            <w:tcW w:w="799" w:type="dxa"/>
          </w:tcPr>
          <w:p w14:paraId="38D54F3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9th</w:t>
            </w:r>
          </w:p>
        </w:tc>
      </w:tr>
      <w:tr w:rsidR="00D10E02" w:rsidRPr="00EF6D91" w14:paraId="69187698" w14:textId="77777777" w:rsidTr="0086245C">
        <w:tc>
          <w:tcPr>
            <w:tcW w:w="1367" w:type="dxa"/>
            <w:vMerge/>
          </w:tcPr>
          <w:p w14:paraId="363AA109"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02409417" w14:textId="77777777" w:rsidR="00D10E02" w:rsidRPr="00EF6D91" w:rsidRDefault="00D10E02" w:rsidP="0086245C">
            <w:pPr>
              <w:rPr>
                <w:rFonts w:ascii="Times New Roman" w:hAnsi="Times New Roman" w:cs="Times New Roman"/>
                <w:sz w:val="16"/>
                <w:szCs w:val="16"/>
                <w:lang w:val="en-IN"/>
              </w:rPr>
            </w:pPr>
          </w:p>
        </w:tc>
        <w:tc>
          <w:tcPr>
            <w:tcW w:w="3664" w:type="dxa"/>
          </w:tcPr>
          <w:p w14:paraId="027DE437"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FR7 - Maintenance cost </w:t>
            </w:r>
          </w:p>
        </w:tc>
        <w:tc>
          <w:tcPr>
            <w:tcW w:w="851" w:type="dxa"/>
          </w:tcPr>
          <w:p w14:paraId="32A8CBC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0.2092</w:t>
            </w:r>
          </w:p>
        </w:tc>
        <w:tc>
          <w:tcPr>
            <w:tcW w:w="850" w:type="dxa"/>
          </w:tcPr>
          <w:p w14:paraId="109D775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c>
          <w:tcPr>
            <w:tcW w:w="709" w:type="dxa"/>
          </w:tcPr>
          <w:p w14:paraId="03F6FFD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0.0612</w:t>
            </w:r>
          </w:p>
        </w:tc>
        <w:tc>
          <w:tcPr>
            <w:tcW w:w="799" w:type="dxa"/>
          </w:tcPr>
          <w:p w14:paraId="35C1DBC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8th</w:t>
            </w:r>
          </w:p>
        </w:tc>
      </w:tr>
      <w:tr w:rsidR="00D10E02" w:rsidRPr="00EF6D91" w14:paraId="5DC91D1A" w14:textId="77777777" w:rsidTr="0086245C">
        <w:tc>
          <w:tcPr>
            <w:tcW w:w="1367" w:type="dxa"/>
            <w:vMerge/>
          </w:tcPr>
          <w:p w14:paraId="6A8A8C3E"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60331D5C" w14:textId="77777777" w:rsidR="00D10E02" w:rsidRPr="00EF6D91" w:rsidRDefault="00D10E02" w:rsidP="0086245C">
            <w:pPr>
              <w:rPr>
                <w:rFonts w:ascii="Times New Roman" w:hAnsi="Times New Roman" w:cs="Times New Roman"/>
                <w:sz w:val="16"/>
                <w:szCs w:val="16"/>
                <w:lang w:val="en-IN"/>
              </w:rPr>
            </w:pPr>
          </w:p>
        </w:tc>
        <w:tc>
          <w:tcPr>
            <w:tcW w:w="3664" w:type="dxa"/>
          </w:tcPr>
          <w:p w14:paraId="23FA2F6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FR8 - Total Cost of Ownership </w:t>
            </w:r>
          </w:p>
        </w:tc>
        <w:tc>
          <w:tcPr>
            <w:tcW w:w="851" w:type="dxa"/>
          </w:tcPr>
          <w:p w14:paraId="4FF9929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0.2222</w:t>
            </w:r>
          </w:p>
        </w:tc>
        <w:tc>
          <w:tcPr>
            <w:tcW w:w="850" w:type="dxa"/>
          </w:tcPr>
          <w:p w14:paraId="347923E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c>
          <w:tcPr>
            <w:tcW w:w="709" w:type="dxa"/>
          </w:tcPr>
          <w:p w14:paraId="2662996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0.0650</w:t>
            </w:r>
          </w:p>
        </w:tc>
        <w:tc>
          <w:tcPr>
            <w:tcW w:w="799" w:type="dxa"/>
          </w:tcPr>
          <w:p w14:paraId="2FA4BBE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5th</w:t>
            </w:r>
          </w:p>
        </w:tc>
      </w:tr>
      <w:tr w:rsidR="00D10E02" w:rsidRPr="00EF6D91" w14:paraId="2BCDD160" w14:textId="77777777" w:rsidTr="0086245C">
        <w:tc>
          <w:tcPr>
            <w:tcW w:w="1367" w:type="dxa"/>
            <w:vMerge w:val="restart"/>
          </w:tcPr>
          <w:p w14:paraId="076E5148" w14:textId="77777777" w:rsidR="00D10E02" w:rsidRPr="00EF6D91" w:rsidRDefault="00D10E02" w:rsidP="0086245C">
            <w:pPr>
              <w:pStyle w:val="Default"/>
              <w:rPr>
                <w:sz w:val="16"/>
                <w:szCs w:val="16"/>
              </w:rPr>
            </w:pPr>
            <w:r w:rsidRPr="00EF6D91">
              <w:rPr>
                <w:sz w:val="16"/>
                <w:szCs w:val="16"/>
              </w:rPr>
              <w:t xml:space="preserve">Energy and Infrastructure Barriers (EI) </w:t>
            </w:r>
          </w:p>
          <w:p w14:paraId="2E30DAAC" w14:textId="77777777" w:rsidR="00D10E02" w:rsidRPr="00EF6D91" w:rsidRDefault="00D10E02" w:rsidP="0086245C">
            <w:pPr>
              <w:rPr>
                <w:rFonts w:ascii="Times New Roman" w:hAnsi="Times New Roman" w:cs="Times New Roman"/>
                <w:sz w:val="16"/>
                <w:szCs w:val="16"/>
                <w:lang w:val="en-IN"/>
              </w:rPr>
            </w:pPr>
          </w:p>
        </w:tc>
        <w:tc>
          <w:tcPr>
            <w:tcW w:w="776" w:type="dxa"/>
            <w:vMerge w:val="restart"/>
          </w:tcPr>
          <w:p w14:paraId="2341D612" w14:textId="77777777" w:rsidR="00D10E02" w:rsidRPr="00EF6D91" w:rsidRDefault="00D10E02" w:rsidP="0086245C">
            <w:pPr>
              <w:pStyle w:val="Default"/>
              <w:rPr>
                <w:sz w:val="16"/>
                <w:szCs w:val="16"/>
              </w:rPr>
            </w:pPr>
            <w:r w:rsidRPr="00EF6D91">
              <w:rPr>
                <w:sz w:val="16"/>
                <w:szCs w:val="16"/>
              </w:rPr>
              <w:t xml:space="preserve">0.3866 </w:t>
            </w:r>
          </w:p>
          <w:p w14:paraId="2FBE455C" w14:textId="77777777" w:rsidR="00D10E02" w:rsidRPr="00EF6D91" w:rsidRDefault="00D10E02" w:rsidP="0086245C">
            <w:pPr>
              <w:rPr>
                <w:rFonts w:ascii="Times New Roman" w:hAnsi="Times New Roman" w:cs="Times New Roman"/>
                <w:sz w:val="16"/>
                <w:szCs w:val="16"/>
                <w:lang w:val="en-IN"/>
              </w:rPr>
            </w:pPr>
          </w:p>
        </w:tc>
        <w:tc>
          <w:tcPr>
            <w:tcW w:w="3664" w:type="dxa"/>
          </w:tcPr>
          <w:p w14:paraId="3177A593"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EI1 - Insufficient Charging Infrastructure </w:t>
            </w:r>
          </w:p>
        </w:tc>
        <w:tc>
          <w:tcPr>
            <w:tcW w:w="851" w:type="dxa"/>
          </w:tcPr>
          <w:p w14:paraId="5617D95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0.1267</w:t>
            </w:r>
          </w:p>
        </w:tc>
        <w:tc>
          <w:tcPr>
            <w:tcW w:w="850" w:type="dxa"/>
          </w:tcPr>
          <w:p w14:paraId="6BFA79E8"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c>
          <w:tcPr>
            <w:tcW w:w="709" w:type="dxa"/>
          </w:tcPr>
          <w:p w14:paraId="0323B12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0.0490</w:t>
            </w:r>
          </w:p>
        </w:tc>
        <w:tc>
          <w:tcPr>
            <w:tcW w:w="799" w:type="dxa"/>
          </w:tcPr>
          <w:p w14:paraId="0B508A14"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10th</w:t>
            </w:r>
          </w:p>
        </w:tc>
      </w:tr>
      <w:tr w:rsidR="00D10E02" w:rsidRPr="00EF6D91" w14:paraId="364760CB" w14:textId="77777777" w:rsidTr="0086245C">
        <w:tc>
          <w:tcPr>
            <w:tcW w:w="1367" w:type="dxa"/>
            <w:vMerge/>
          </w:tcPr>
          <w:p w14:paraId="11E60B83"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41545B4C" w14:textId="77777777" w:rsidR="00D10E02" w:rsidRPr="00EF6D91" w:rsidRDefault="00D10E02" w:rsidP="0086245C">
            <w:pPr>
              <w:rPr>
                <w:rFonts w:ascii="Times New Roman" w:hAnsi="Times New Roman" w:cs="Times New Roman"/>
                <w:sz w:val="16"/>
                <w:szCs w:val="16"/>
                <w:lang w:val="en-IN"/>
              </w:rPr>
            </w:pPr>
          </w:p>
        </w:tc>
        <w:tc>
          <w:tcPr>
            <w:tcW w:w="3664" w:type="dxa"/>
          </w:tcPr>
          <w:p w14:paraId="5C3F455E"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EI2 - Deficiency of depot-based fast charging </w:t>
            </w:r>
          </w:p>
        </w:tc>
        <w:tc>
          <w:tcPr>
            <w:tcW w:w="851" w:type="dxa"/>
          </w:tcPr>
          <w:p w14:paraId="025505B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0.4271</w:t>
            </w:r>
          </w:p>
        </w:tc>
        <w:tc>
          <w:tcPr>
            <w:tcW w:w="850" w:type="dxa"/>
          </w:tcPr>
          <w:p w14:paraId="12C8D37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c>
          <w:tcPr>
            <w:tcW w:w="709" w:type="dxa"/>
          </w:tcPr>
          <w:p w14:paraId="3D642BA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0.1651</w:t>
            </w:r>
          </w:p>
        </w:tc>
        <w:tc>
          <w:tcPr>
            <w:tcW w:w="799" w:type="dxa"/>
          </w:tcPr>
          <w:p w14:paraId="46EABC5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r>
      <w:tr w:rsidR="00D10E02" w:rsidRPr="00EF6D91" w14:paraId="03F3C182" w14:textId="77777777" w:rsidTr="0086245C">
        <w:tc>
          <w:tcPr>
            <w:tcW w:w="1367" w:type="dxa"/>
            <w:vMerge/>
          </w:tcPr>
          <w:p w14:paraId="6B591EC4"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54FE28EF" w14:textId="77777777" w:rsidR="00D10E02" w:rsidRPr="00EF6D91" w:rsidRDefault="00D10E02" w:rsidP="0086245C">
            <w:pPr>
              <w:rPr>
                <w:rFonts w:ascii="Times New Roman" w:hAnsi="Times New Roman" w:cs="Times New Roman"/>
                <w:sz w:val="16"/>
                <w:szCs w:val="16"/>
                <w:lang w:val="en-IN"/>
              </w:rPr>
            </w:pPr>
          </w:p>
        </w:tc>
        <w:tc>
          <w:tcPr>
            <w:tcW w:w="3664" w:type="dxa"/>
          </w:tcPr>
          <w:p w14:paraId="357529AC"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EI3 - Insufficient Electricity Provision </w:t>
            </w:r>
          </w:p>
        </w:tc>
        <w:tc>
          <w:tcPr>
            <w:tcW w:w="851" w:type="dxa"/>
          </w:tcPr>
          <w:p w14:paraId="6ACC84F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0.2326</w:t>
            </w:r>
          </w:p>
        </w:tc>
        <w:tc>
          <w:tcPr>
            <w:tcW w:w="850" w:type="dxa"/>
          </w:tcPr>
          <w:p w14:paraId="4315337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c>
          <w:tcPr>
            <w:tcW w:w="709" w:type="dxa"/>
          </w:tcPr>
          <w:p w14:paraId="1F6470A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0.0899</w:t>
            </w:r>
          </w:p>
        </w:tc>
        <w:tc>
          <w:tcPr>
            <w:tcW w:w="799" w:type="dxa"/>
          </w:tcPr>
          <w:p w14:paraId="6B42FD1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r>
      <w:tr w:rsidR="00D10E02" w:rsidRPr="00EF6D91" w14:paraId="5EAA1DF2" w14:textId="77777777" w:rsidTr="0086245C">
        <w:tc>
          <w:tcPr>
            <w:tcW w:w="1367" w:type="dxa"/>
            <w:vMerge/>
          </w:tcPr>
          <w:p w14:paraId="39535897"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4D7A73D1" w14:textId="77777777" w:rsidR="00D10E02" w:rsidRPr="00EF6D91" w:rsidRDefault="00D10E02" w:rsidP="0086245C">
            <w:pPr>
              <w:rPr>
                <w:rFonts w:ascii="Times New Roman" w:hAnsi="Times New Roman" w:cs="Times New Roman"/>
                <w:sz w:val="16"/>
                <w:szCs w:val="16"/>
                <w:lang w:val="en-IN"/>
              </w:rPr>
            </w:pPr>
          </w:p>
        </w:tc>
        <w:tc>
          <w:tcPr>
            <w:tcW w:w="3664" w:type="dxa"/>
          </w:tcPr>
          <w:p w14:paraId="6DBA0665"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EI4 - Increased investment for Power Grid upgrade </w:t>
            </w:r>
          </w:p>
        </w:tc>
        <w:tc>
          <w:tcPr>
            <w:tcW w:w="851" w:type="dxa"/>
          </w:tcPr>
          <w:p w14:paraId="149438F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0.2135</w:t>
            </w:r>
          </w:p>
        </w:tc>
        <w:tc>
          <w:tcPr>
            <w:tcW w:w="850" w:type="dxa"/>
          </w:tcPr>
          <w:p w14:paraId="155B3C1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c>
          <w:tcPr>
            <w:tcW w:w="709" w:type="dxa"/>
          </w:tcPr>
          <w:p w14:paraId="681E2E8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0.0826</w:t>
            </w:r>
          </w:p>
        </w:tc>
        <w:tc>
          <w:tcPr>
            <w:tcW w:w="799" w:type="dxa"/>
          </w:tcPr>
          <w:p w14:paraId="68ECC76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r>
      <w:tr w:rsidR="00D10E02" w:rsidRPr="00EF6D91" w14:paraId="7B55D153" w14:textId="77777777" w:rsidTr="0086245C">
        <w:tc>
          <w:tcPr>
            <w:tcW w:w="1367" w:type="dxa"/>
            <w:vMerge w:val="restart"/>
          </w:tcPr>
          <w:p w14:paraId="3F4BA5DB" w14:textId="77777777" w:rsidR="00D10E02" w:rsidRPr="00EF6D91" w:rsidRDefault="00D10E02" w:rsidP="0086245C">
            <w:pPr>
              <w:pStyle w:val="Default"/>
              <w:rPr>
                <w:sz w:val="16"/>
                <w:szCs w:val="16"/>
              </w:rPr>
            </w:pPr>
            <w:r w:rsidRPr="00EF6D91">
              <w:rPr>
                <w:sz w:val="16"/>
                <w:szCs w:val="16"/>
              </w:rPr>
              <w:t xml:space="preserve">Public Policy, Perception and Market Barriers (PPM) </w:t>
            </w:r>
          </w:p>
          <w:p w14:paraId="54268D56" w14:textId="77777777" w:rsidR="00D10E02" w:rsidRPr="00EF6D91" w:rsidRDefault="00D10E02" w:rsidP="0086245C">
            <w:pPr>
              <w:rPr>
                <w:rFonts w:ascii="Times New Roman" w:hAnsi="Times New Roman" w:cs="Times New Roman"/>
                <w:sz w:val="16"/>
                <w:szCs w:val="16"/>
                <w:lang w:val="en-IN"/>
              </w:rPr>
            </w:pPr>
          </w:p>
        </w:tc>
        <w:tc>
          <w:tcPr>
            <w:tcW w:w="776" w:type="dxa"/>
            <w:vMerge w:val="restart"/>
          </w:tcPr>
          <w:p w14:paraId="660900B8" w14:textId="77777777" w:rsidR="00D10E02" w:rsidRPr="00EF6D91" w:rsidRDefault="00D10E02" w:rsidP="0086245C">
            <w:pPr>
              <w:pStyle w:val="Default"/>
              <w:rPr>
                <w:sz w:val="16"/>
                <w:szCs w:val="16"/>
              </w:rPr>
            </w:pPr>
            <w:r w:rsidRPr="00EF6D91">
              <w:rPr>
                <w:sz w:val="16"/>
                <w:szCs w:val="16"/>
              </w:rPr>
              <w:t xml:space="preserve">0.0674 </w:t>
            </w:r>
          </w:p>
          <w:p w14:paraId="026D82F1" w14:textId="77777777" w:rsidR="00D10E02" w:rsidRPr="00EF6D91" w:rsidRDefault="00D10E02" w:rsidP="0086245C">
            <w:pPr>
              <w:rPr>
                <w:rFonts w:ascii="Times New Roman" w:hAnsi="Times New Roman" w:cs="Times New Roman"/>
                <w:sz w:val="16"/>
                <w:szCs w:val="16"/>
                <w:lang w:val="en-IN"/>
              </w:rPr>
            </w:pPr>
          </w:p>
        </w:tc>
        <w:tc>
          <w:tcPr>
            <w:tcW w:w="3664" w:type="dxa"/>
          </w:tcPr>
          <w:p w14:paraId="3E4500D6"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PPM1 - Socio-technical barriers </w:t>
            </w:r>
          </w:p>
        </w:tc>
        <w:tc>
          <w:tcPr>
            <w:tcW w:w="851" w:type="dxa"/>
          </w:tcPr>
          <w:p w14:paraId="783DEEC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0.2425</w:t>
            </w:r>
          </w:p>
        </w:tc>
        <w:tc>
          <w:tcPr>
            <w:tcW w:w="850" w:type="dxa"/>
          </w:tcPr>
          <w:p w14:paraId="7AFF363D"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c>
          <w:tcPr>
            <w:tcW w:w="709" w:type="dxa"/>
          </w:tcPr>
          <w:p w14:paraId="2BD0C776"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0.0163</w:t>
            </w:r>
          </w:p>
        </w:tc>
        <w:tc>
          <w:tcPr>
            <w:tcW w:w="799" w:type="dxa"/>
          </w:tcPr>
          <w:p w14:paraId="0380B2B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16th</w:t>
            </w:r>
          </w:p>
        </w:tc>
      </w:tr>
      <w:tr w:rsidR="00D10E02" w:rsidRPr="00EF6D91" w14:paraId="688D7B07" w14:textId="77777777" w:rsidTr="0086245C">
        <w:tc>
          <w:tcPr>
            <w:tcW w:w="1367" w:type="dxa"/>
            <w:vMerge/>
          </w:tcPr>
          <w:p w14:paraId="264C6719"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5C1BECFE" w14:textId="77777777" w:rsidR="00D10E02" w:rsidRPr="00EF6D91" w:rsidRDefault="00D10E02" w:rsidP="0086245C">
            <w:pPr>
              <w:rPr>
                <w:rFonts w:ascii="Times New Roman" w:hAnsi="Times New Roman" w:cs="Times New Roman"/>
                <w:sz w:val="16"/>
                <w:szCs w:val="16"/>
                <w:lang w:val="en-IN"/>
              </w:rPr>
            </w:pPr>
          </w:p>
        </w:tc>
        <w:tc>
          <w:tcPr>
            <w:tcW w:w="3664" w:type="dxa"/>
          </w:tcPr>
          <w:p w14:paraId="365FADF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PPM2 - Lack of trust for environmental benefits </w:t>
            </w:r>
          </w:p>
        </w:tc>
        <w:tc>
          <w:tcPr>
            <w:tcW w:w="851" w:type="dxa"/>
          </w:tcPr>
          <w:p w14:paraId="0FA24AA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0.1011</w:t>
            </w:r>
          </w:p>
        </w:tc>
        <w:tc>
          <w:tcPr>
            <w:tcW w:w="850" w:type="dxa"/>
          </w:tcPr>
          <w:p w14:paraId="6015D12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5th</w:t>
            </w:r>
          </w:p>
        </w:tc>
        <w:tc>
          <w:tcPr>
            <w:tcW w:w="709" w:type="dxa"/>
          </w:tcPr>
          <w:p w14:paraId="4006077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0.0068</w:t>
            </w:r>
          </w:p>
        </w:tc>
        <w:tc>
          <w:tcPr>
            <w:tcW w:w="799" w:type="dxa"/>
          </w:tcPr>
          <w:p w14:paraId="4258ED1E"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21st</w:t>
            </w:r>
          </w:p>
        </w:tc>
      </w:tr>
      <w:tr w:rsidR="00D10E02" w:rsidRPr="00EF6D91" w14:paraId="41AB1338" w14:textId="77777777" w:rsidTr="0086245C">
        <w:tc>
          <w:tcPr>
            <w:tcW w:w="1367" w:type="dxa"/>
            <w:vMerge/>
          </w:tcPr>
          <w:p w14:paraId="16B5A14C"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50F9ADB6" w14:textId="77777777" w:rsidR="00D10E02" w:rsidRPr="00EF6D91" w:rsidRDefault="00D10E02" w:rsidP="0086245C">
            <w:pPr>
              <w:rPr>
                <w:rFonts w:ascii="Times New Roman" w:hAnsi="Times New Roman" w:cs="Times New Roman"/>
                <w:sz w:val="16"/>
                <w:szCs w:val="16"/>
                <w:lang w:val="en-IN"/>
              </w:rPr>
            </w:pPr>
          </w:p>
        </w:tc>
        <w:tc>
          <w:tcPr>
            <w:tcW w:w="3664" w:type="dxa"/>
          </w:tcPr>
          <w:p w14:paraId="1589F570"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PPM3 - Uncertainty Over Resale Value </w:t>
            </w:r>
          </w:p>
        </w:tc>
        <w:tc>
          <w:tcPr>
            <w:tcW w:w="851" w:type="dxa"/>
          </w:tcPr>
          <w:p w14:paraId="689986C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0.2084</w:t>
            </w:r>
          </w:p>
        </w:tc>
        <w:tc>
          <w:tcPr>
            <w:tcW w:w="850" w:type="dxa"/>
          </w:tcPr>
          <w:p w14:paraId="64D3756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c>
          <w:tcPr>
            <w:tcW w:w="709" w:type="dxa"/>
          </w:tcPr>
          <w:p w14:paraId="1F4AC6DC"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0.0140</w:t>
            </w:r>
          </w:p>
        </w:tc>
        <w:tc>
          <w:tcPr>
            <w:tcW w:w="799" w:type="dxa"/>
          </w:tcPr>
          <w:p w14:paraId="12BB976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17th</w:t>
            </w:r>
          </w:p>
        </w:tc>
      </w:tr>
      <w:tr w:rsidR="00D10E02" w:rsidRPr="00EF6D91" w14:paraId="4AAB01AF" w14:textId="77777777" w:rsidTr="0086245C">
        <w:tc>
          <w:tcPr>
            <w:tcW w:w="1367" w:type="dxa"/>
            <w:vMerge/>
          </w:tcPr>
          <w:p w14:paraId="5B0D20E9"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21B4751F" w14:textId="77777777" w:rsidR="00D10E02" w:rsidRPr="00EF6D91" w:rsidRDefault="00D10E02" w:rsidP="0086245C">
            <w:pPr>
              <w:rPr>
                <w:rFonts w:ascii="Times New Roman" w:hAnsi="Times New Roman" w:cs="Times New Roman"/>
                <w:sz w:val="16"/>
                <w:szCs w:val="16"/>
                <w:lang w:val="en-IN"/>
              </w:rPr>
            </w:pPr>
          </w:p>
        </w:tc>
        <w:tc>
          <w:tcPr>
            <w:tcW w:w="3664" w:type="dxa"/>
          </w:tcPr>
          <w:p w14:paraId="22FDDE03"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PPM4 - Limited variety of models </w:t>
            </w:r>
          </w:p>
        </w:tc>
        <w:tc>
          <w:tcPr>
            <w:tcW w:w="851" w:type="dxa"/>
          </w:tcPr>
          <w:p w14:paraId="003AD1F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0.1442</w:t>
            </w:r>
          </w:p>
        </w:tc>
        <w:tc>
          <w:tcPr>
            <w:tcW w:w="850" w:type="dxa"/>
          </w:tcPr>
          <w:p w14:paraId="6B959F0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c>
          <w:tcPr>
            <w:tcW w:w="709" w:type="dxa"/>
          </w:tcPr>
          <w:p w14:paraId="6602FFD9"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0.0097</w:t>
            </w:r>
          </w:p>
        </w:tc>
        <w:tc>
          <w:tcPr>
            <w:tcW w:w="799" w:type="dxa"/>
          </w:tcPr>
          <w:p w14:paraId="1C1E1F7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20th</w:t>
            </w:r>
          </w:p>
        </w:tc>
      </w:tr>
      <w:tr w:rsidR="00D10E02" w:rsidRPr="00EF6D91" w14:paraId="18DF2AF4" w14:textId="77777777" w:rsidTr="0086245C">
        <w:tc>
          <w:tcPr>
            <w:tcW w:w="1367" w:type="dxa"/>
            <w:vMerge/>
          </w:tcPr>
          <w:p w14:paraId="1D6C7968"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657A54A9" w14:textId="77777777" w:rsidR="00D10E02" w:rsidRPr="00EF6D91" w:rsidRDefault="00D10E02" w:rsidP="0086245C">
            <w:pPr>
              <w:rPr>
                <w:rFonts w:ascii="Times New Roman" w:hAnsi="Times New Roman" w:cs="Times New Roman"/>
                <w:sz w:val="16"/>
                <w:szCs w:val="16"/>
                <w:lang w:val="en-IN"/>
              </w:rPr>
            </w:pPr>
          </w:p>
        </w:tc>
        <w:tc>
          <w:tcPr>
            <w:tcW w:w="3664" w:type="dxa"/>
          </w:tcPr>
          <w:p w14:paraId="210EB4FB"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PPM5 - Policy and Regulatory obstacles </w:t>
            </w:r>
          </w:p>
        </w:tc>
        <w:tc>
          <w:tcPr>
            <w:tcW w:w="851" w:type="dxa"/>
          </w:tcPr>
          <w:p w14:paraId="4C41D60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0.3039</w:t>
            </w:r>
          </w:p>
        </w:tc>
        <w:tc>
          <w:tcPr>
            <w:tcW w:w="850" w:type="dxa"/>
          </w:tcPr>
          <w:p w14:paraId="14BBAF8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c>
          <w:tcPr>
            <w:tcW w:w="709" w:type="dxa"/>
          </w:tcPr>
          <w:p w14:paraId="7F493BE8"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0.0205</w:t>
            </w:r>
          </w:p>
        </w:tc>
        <w:tc>
          <w:tcPr>
            <w:tcW w:w="799" w:type="dxa"/>
          </w:tcPr>
          <w:p w14:paraId="378C352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15th</w:t>
            </w:r>
          </w:p>
        </w:tc>
      </w:tr>
      <w:tr w:rsidR="00D10E02" w:rsidRPr="00EF6D91" w14:paraId="05209E35" w14:textId="77777777" w:rsidTr="0086245C">
        <w:tc>
          <w:tcPr>
            <w:tcW w:w="1367" w:type="dxa"/>
            <w:vMerge w:val="restart"/>
          </w:tcPr>
          <w:p w14:paraId="447F7EB3" w14:textId="77777777" w:rsidR="00D10E02" w:rsidRPr="00EF6D91" w:rsidRDefault="00D10E02" w:rsidP="0086245C">
            <w:pPr>
              <w:pStyle w:val="Default"/>
              <w:rPr>
                <w:sz w:val="16"/>
                <w:szCs w:val="16"/>
              </w:rPr>
            </w:pPr>
            <w:r w:rsidRPr="00EF6D91">
              <w:rPr>
                <w:sz w:val="16"/>
                <w:szCs w:val="16"/>
              </w:rPr>
              <w:t xml:space="preserve">Operational and Technical Barriers (OT) </w:t>
            </w:r>
          </w:p>
          <w:p w14:paraId="6A2C6B5F" w14:textId="77777777" w:rsidR="00D10E02" w:rsidRPr="00EF6D91" w:rsidRDefault="00D10E02" w:rsidP="0086245C">
            <w:pPr>
              <w:rPr>
                <w:rFonts w:ascii="Times New Roman" w:hAnsi="Times New Roman" w:cs="Times New Roman"/>
                <w:sz w:val="16"/>
                <w:szCs w:val="16"/>
                <w:lang w:val="en-IN"/>
              </w:rPr>
            </w:pPr>
          </w:p>
        </w:tc>
        <w:tc>
          <w:tcPr>
            <w:tcW w:w="776" w:type="dxa"/>
            <w:vMerge w:val="restart"/>
          </w:tcPr>
          <w:p w14:paraId="45200D41" w14:textId="77777777" w:rsidR="00D10E02" w:rsidRPr="00EF6D91" w:rsidRDefault="00D10E02" w:rsidP="0086245C">
            <w:pPr>
              <w:pStyle w:val="Default"/>
              <w:rPr>
                <w:sz w:val="16"/>
                <w:szCs w:val="16"/>
              </w:rPr>
            </w:pPr>
            <w:r w:rsidRPr="00EF6D91">
              <w:rPr>
                <w:sz w:val="16"/>
                <w:szCs w:val="16"/>
              </w:rPr>
              <w:t xml:space="preserve">0.2536 </w:t>
            </w:r>
          </w:p>
          <w:p w14:paraId="79A9461C" w14:textId="77777777" w:rsidR="00D10E02" w:rsidRPr="00EF6D91" w:rsidRDefault="00D10E02" w:rsidP="0086245C">
            <w:pPr>
              <w:rPr>
                <w:rFonts w:ascii="Times New Roman" w:hAnsi="Times New Roman" w:cs="Times New Roman"/>
                <w:sz w:val="16"/>
                <w:szCs w:val="16"/>
                <w:lang w:val="en-IN"/>
              </w:rPr>
            </w:pPr>
          </w:p>
        </w:tc>
        <w:tc>
          <w:tcPr>
            <w:tcW w:w="3664" w:type="dxa"/>
          </w:tcPr>
          <w:p w14:paraId="6DF395A8"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OT1 - Longer charging duration </w:t>
            </w:r>
          </w:p>
        </w:tc>
        <w:tc>
          <w:tcPr>
            <w:tcW w:w="851" w:type="dxa"/>
          </w:tcPr>
          <w:p w14:paraId="34C1470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0.2417</w:t>
            </w:r>
          </w:p>
        </w:tc>
        <w:tc>
          <w:tcPr>
            <w:tcW w:w="850" w:type="dxa"/>
          </w:tcPr>
          <w:p w14:paraId="75CF31F5"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2nd</w:t>
            </w:r>
          </w:p>
        </w:tc>
        <w:tc>
          <w:tcPr>
            <w:tcW w:w="709" w:type="dxa"/>
          </w:tcPr>
          <w:p w14:paraId="28BC705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0.0613</w:t>
            </w:r>
          </w:p>
        </w:tc>
        <w:tc>
          <w:tcPr>
            <w:tcW w:w="799" w:type="dxa"/>
          </w:tcPr>
          <w:p w14:paraId="602EF958"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6th</w:t>
            </w:r>
          </w:p>
        </w:tc>
      </w:tr>
      <w:tr w:rsidR="00D10E02" w:rsidRPr="00EF6D91" w14:paraId="23697179" w14:textId="77777777" w:rsidTr="0086245C">
        <w:tc>
          <w:tcPr>
            <w:tcW w:w="1367" w:type="dxa"/>
            <w:vMerge/>
          </w:tcPr>
          <w:p w14:paraId="4F6206AF"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7EA74096" w14:textId="77777777" w:rsidR="00D10E02" w:rsidRPr="00EF6D91" w:rsidRDefault="00D10E02" w:rsidP="0086245C">
            <w:pPr>
              <w:rPr>
                <w:rFonts w:ascii="Times New Roman" w:hAnsi="Times New Roman" w:cs="Times New Roman"/>
                <w:sz w:val="16"/>
                <w:szCs w:val="16"/>
                <w:lang w:val="en-IN"/>
              </w:rPr>
            </w:pPr>
          </w:p>
        </w:tc>
        <w:tc>
          <w:tcPr>
            <w:tcW w:w="3664" w:type="dxa"/>
          </w:tcPr>
          <w:p w14:paraId="7165B29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OT2 - Limited Range Availability </w:t>
            </w:r>
          </w:p>
        </w:tc>
        <w:tc>
          <w:tcPr>
            <w:tcW w:w="851" w:type="dxa"/>
          </w:tcPr>
          <w:p w14:paraId="65819E6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0.3250</w:t>
            </w:r>
          </w:p>
        </w:tc>
        <w:tc>
          <w:tcPr>
            <w:tcW w:w="850" w:type="dxa"/>
          </w:tcPr>
          <w:p w14:paraId="38A5C06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1st</w:t>
            </w:r>
          </w:p>
        </w:tc>
        <w:tc>
          <w:tcPr>
            <w:tcW w:w="709" w:type="dxa"/>
          </w:tcPr>
          <w:p w14:paraId="49D264F0"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0.0824</w:t>
            </w:r>
          </w:p>
        </w:tc>
        <w:tc>
          <w:tcPr>
            <w:tcW w:w="799" w:type="dxa"/>
          </w:tcPr>
          <w:p w14:paraId="2777364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r>
      <w:tr w:rsidR="00D10E02" w:rsidRPr="00EF6D91" w14:paraId="5AEF1DCE" w14:textId="77777777" w:rsidTr="0086245C">
        <w:tc>
          <w:tcPr>
            <w:tcW w:w="1367" w:type="dxa"/>
            <w:vMerge/>
          </w:tcPr>
          <w:p w14:paraId="1F32ED3A"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7FC37B5F" w14:textId="77777777" w:rsidR="00D10E02" w:rsidRPr="00EF6D91" w:rsidRDefault="00D10E02" w:rsidP="0086245C">
            <w:pPr>
              <w:rPr>
                <w:rFonts w:ascii="Times New Roman" w:hAnsi="Times New Roman" w:cs="Times New Roman"/>
                <w:sz w:val="16"/>
                <w:szCs w:val="16"/>
                <w:lang w:val="en-IN"/>
              </w:rPr>
            </w:pPr>
          </w:p>
        </w:tc>
        <w:tc>
          <w:tcPr>
            <w:tcW w:w="3664" w:type="dxa"/>
          </w:tcPr>
          <w:p w14:paraId="0960D949"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OT3 - Range Uncertainty </w:t>
            </w:r>
          </w:p>
        </w:tc>
        <w:tc>
          <w:tcPr>
            <w:tcW w:w="851" w:type="dxa"/>
          </w:tcPr>
          <w:p w14:paraId="637C7D0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0.2417</w:t>
            </w:r>
          </w:p>
        </w:tc>
        <w:tc>
          <w:tcPr>
            <w:tcW w:w="850" w:type="dxa"/>
          </w:tcPr>
          <w:p w14:paraId="39D5D953"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3rd</w:t>
            </w:r>
          </w:p>
        </w:tc>
        <w:tc>
          <w:tcPr>
            <w:tcW w:w="709" w:type="dxa"/>
          </w:tcPr>
          <w:p w14:paraId="5BFF262F"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0.0613</w:t>
            </w:r>
          </w:p>
        </w:tc>
        <w:tc>
          <w:tcPr>
            <w:tcW w:w="799" w:type="dxa"/>
          </w:tcPr>
          <w:p w14:paraId="6668BB87"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7th</w:t>
            </w:r>
          </w:p>
        </w:tc>
      </w:tr>
      <w:tr w:rsidR="00D10E02" w:rsidRPr="00EF6D91" w14:paraId="6EC65B79" w14:textId="77777777" w:rsidTr="0086245C">
        <w:tc>
          <w:tcPr>
            <w:tcW w:w="1367" w:type="dxa"/>
            <w:vMerge/>
          </w:tcPr>
          <w:p w14:paraId="22575A07" w14:textId="77777777" w:rsidR="00D10E02" w:rsidRPr="00EF6D91" w:rsidRDefault="00D10E02" w:rsidP="0086245C">
            <w:pPr>
              <w:rPr>
                <w:rFonts w:ascii="Times New Roman" w:hAnsi="Times New Roman" w:cs="Times New Roman"/>
                <w:sz w:val="16"/>
                <w:szCs w:val="16"/>
                <w:lang w:val="en-IN"/>
              </w:rPr>
            </w:pPr>
          </w:p>
        </w:tc>
        <w:tc>
          <w:tcPr>
            <w:tcW w:w="776" w:type="dxa"/>
            <w:vMerge/>
          </w:tcPr>
          <w:p w14:paraId="0C25917E" w14:textId="77777777" w:rsidR="00D10E02" w:rsidRPr="00EF6D91" w:rsidRDefault="00D10E02" w:rsidP="0086245C">
            <w:pPr>
              <w:rPr>
                <w:rFonts w:ascii="Times New Roman" w:hAnsi="Times New Roman" w:cs="Times New Roman"/>
                <w:sz w:val="16"/>
                <w:szCs w:val="16"/>
                <w:lang w:val="en-IN"/>
              </w:rPr>
            </w:pPr>
          </w:p>
        </w:tc>
        <w:tc>
          <w:tcPr>
            <w:tcW w:w="3664" w:type="dxa"/>
          </w:tcPr>
          <w:p w14:paraId="184B452D" w14:textId="77777777" w:rsidR="00D10E02" w:rsidRPr="00EF6D91" w:rsidRDefault="00D10E02" w:rsidP="0086245C">
            <w:pPr>
              <w:rPr>
                <w:rFonts w:ascii="Times New Roman" w:hAnsi="Times New Roman" w:cs="Times New Roman"/>
                <w:sz w:val="16"/>
                <w:szCs w:val="16"/>
                <w:lang w:val="en-IN"/>
              </w:rPr>
            </w:pPr>
            <w:r w:rsidRPr="00EF6D91">
              <w:rPr>
                <w:rFonts w:ascii="Times New Roman" w:hAnsi="Times New Roman" w:cs="Times New Roman"/>
                <w:sz w:val="16"/>
                <w:szCs w:val="16"/>
              </w:rPr>
              <w:t xml:space="preserve">OT4 - Limited loading capacity </w:t>
            </w:r>
          </w:p>
        </w:tc>
        <w:tc>
          <w:tcPr>
            <w:tcW w:w="851" w:type="dxa"/>
          </w:tcPr>
          <w:p w14:paraId="1AA97DE1"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0.1917</w:t>
            </w:r>
          </w:p>
        </w:tc>
        <w:tc>
          <w:tcPr>
            <w:tcW w:w="850" w:type="dxa"/>
          </w:tcPr>
          <w:p w14:paraId="734EF2DB"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4th</w:t>
            </w:r>
          </w:p>
        </w:tc>
        <w:tc>
          <w:tcPr>
            <w:tcW w:w="709" w:type="dxa"/>
          </w:tcPr>
          <w:p w14:paraId="36C7BEC2"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0.0486</w:t>
            </w:r>
          </w:p>
        </w:tc>
        <w:tc>
          <w:tcPr>
            <w:tcW w:w="799" w:type="dxa"/>
          </w:tcPr>
          <w:p w14:paraId="27EDF46A" w14:textId="77777777" w:rsidR="00D10E02" w:rsidRPr="00EF6D91" w:rsidRDefault="00D10E02" w:rsidP="0086245C">
            <w:pPr>
              <w:jc w:val="center"/>
              <w:rPr>
                <w:rFonts w:ascii="Times New Roman" w:hAnsi="Times New Roman" w:cs="Times New Roman"/>
                <w:sz w:val="16"/>
                <w:szCs w:val="16"/>
                <w:lang w:val="en-IN"/>
              </w:rPr>
            </w:pPr>
            <w:r w:rsidRPr="00EF6D91">
              <w:rPr>
                <w:rFonts w:ascii="Times New Roman" w:hAnsi="Times New Roman" w:cs="Times New Roman"/>
                <w:sz w:val="16"/>
                <w:szCs w:val="16"/>
              </w:rPr>
              <w:t>11th</w:t>
            </w:r>
          </w:p>
        </w:tc>
      </w:tr>
    </w:tbl>
    <w:p w14:paraId="6F1F29CA" w14:textId="77777777" w:rsidR="00DB7853" w:rsidRDefault="00DB7853" w:rsidP="008923C7">
      <w:pPr>
        <w:jc w:val="both"/>
        <w:rPr>
          <w:lang w:val="en-IN"/>
        </w:rPr>
      </w:pPr>
    </w:p>
    <w:bookmarkEnd w:id="7"/>
    <w:p w14:paraId="2EBC9B7F" w14:textId="77777777" w:rsidR="00335BFC" w:rsidRPr="00EF6D91" w:rsidRDefault="00335BFC" w:rsidP="00335BFC">
      <w:pPr>
        <w:jc w:val="both"/>
        <w:rPr>
          <w:rFonts w:ascii="Times New Roman" w:eastAsia="Calibri" w:hAnsi="Times New Roman" w:cs="Times New Roman"/>
          <w:b/>
          <w:bCs/>
          <w:color w:val="000000"/>
          <w:sz w:val="24"/>
          <w:szCs w:val="24"/>
        </w:rPr>
      </w:pPr>
      <w:r w:rsidRPr="00EF6D91">
        <w:rPr>
          <w:rFonts w:ascii="Times New Roman" w:eastAsia="Calibri" w:hAnsi="Times New Roman" w:cs="Times New Roman"/>
          <w:b/>
          <w:bCs/>
          <w:color w:val="000000"/>
          <w:sz w:val="24"/>
          <w:szCs w:val="24"/>
        </w:rPr>
        <w:t>5. Discussion</w:t>
      </w:r>
    </w:p>
    <w:p w14:paraId="669E5007" w14:textId="77777777" w:rsidR="00201A64" w:rsidRPr="00EF6D91" w:rsidRDefault="00201A64" w:rsidP="00201A64">
      <w:pPr>
        <w:jc w:val="both"/>
        <w:rPr>
          <w:rFonts w:ascii="Times New Roman" w:eastAsia="Calibri" w:hAnsi="Times New Roman" w:cs="Times New Roman"/>
          <w:color w:val="000000"/>
          <w:sz w:val="24"/>
          <w:szCs w:val="24"/>
        </w:rPr>
      </w:pPr>
      <w:bookmarkStart w:id="10" w:name="_Hlk164781923"/>
      <w:r w:rsidRPr="00EF6D91">
        <w:rPr>
          <w:rFonts w:ascii="Times New Roman" w:eastAsia="Calibri" w:hAnsi="Times New Roman" w:cs="Times New Roman"/>
          <w:color w:val="000000"/>
          <w:sz w:val="24"/>
          <w:szCs w:val="24"/>
        </w:rPr>
        <w:t>This research systematically evaluates barriers to EV adoption in Last-Mile Delivery (LMD), leveraging a comprehensive literature review and insights from 157 industry experts to validate 21 identified obstacles empirically. Through EFA and expert feedback, these barriers were categorised into four critical dimensions—EI, FR, OT, and PPM. Finally, AHP was used to prioritise the barriers, ranked by their impact on adoption rates. This structured prioritisation clarifies the distinct challenges impeding EV integration into LMD and guides strategic resource allocation and policy development to enhance the sustainability of freight transport.</w:t>
      </w:r>
    </w:p>
    <w:p w14:paraId="05EC0330" w14:textId="3DEC38E4" w:rsidR="00A67257" w:rsidRPr="00EF6D91" w:rsidRDefault="00201A64" w:rsidP="006D0475">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This study incorporates a Diffusion of Innovations (DOI) framework to analyse how relative advantage, compatibility, complexity, trialability, and observability impact EV adoption rates in Last-Mile Delivery (LMD). Each barrier identified correlates with specific DOI aspects, profoundly influencing the diffusion process in this sector. Integrating the theoretical framework into our analysis helps develop DOI-aligned interventions significantly enhancing EV integration into logistics systems. This approach boosts the effectiveness of adoption strategies and roots these efforts in a solid theoretical base, ensuring a holistic and sustainable transition to electric last-mile deliveries by comprehensively addressing technological, economic, operational, and policy challenges.</w:t>
      </w:r>
    </w:p>
    <w:p w14:paraId="3A231C49" w14:textId="77777777" w:rsidR="00201A64" w:rsidRPr="00EF6D91" w:rsidRDefault="00201A64" w:rsidP="00201A64">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5.1 Dimension 1: Energy and Infrastructure Barriers (EI)</w:t>
      </w:r>
    </w:p>
    <w:p w14:paraId="7000E1D3" w14:textId="1BFDAA7B"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Our investigation reveals that energy and infrastructure (EI) barriers constitute the most formidable obstacles to the adoption of EVs in LMD. According to DOI, the compatibility and complexity of new technologies with existing systems are crucial for their adoption. Challenges such as inadequate charging infrastructure and the lack of energy provision influence these DOI elements by presenting systemic incompatibilities that hinder the seamless integration of EVs into existing logistics networks. These barriers, which include inadequate charging facilities </w:t>
      </w:r>
      <w:r w:rsidRPr="00EF6D91">
        <w:rPr>
          <w:rFonts w:ascii="Times New Roman" w:eastAsia="Calibri" w:hAnsi="Times New Roman" w:cs="Times New Roman"/>
          <w:color w:val="000000"/>
          <w:sz w:val="24"/>
          <w:szCs w:val="24"/>
        </w:rPr>
        <w:lastRenderedPageBreak/>
        <w:t xml:space="preserve">and insufficient energy provision, pose systemic incompatibilities that disrupt the integration of EVs into existing logistics frameworks. This challenge is emphasised by </w:t>
      </w:r>
      <w:proofErr w:type="spellStart"/>
      <w:r w:rsidRPr="00EF6D91">
        <w:rPr>
          <w:rFonts w:ascii="Times New Roman" w:eastAsia="Calibri" w:hAnsi="Times New Roman" w:cs="Times New Roman"/>
          <w:color w:val="000000"/>
          <w:sz w:val="24"/>
          <w:szCs w:val="24"/>
        </w:rPr>
        <w:t>Aungkulanon</w:t>
      </w:r>
      <w:proofErr w:type="spellEnd"/>
      <w:r w:rsidRPr="00EF6D91">
        <w:rPr>
          <w:rFonts w:ascii="Times New Roman" w:eastAsia="Calibri" w:hAnsi="Times New Roman" w:cs="Times New Roman"/>
          <w:color w:val="000000"/>
          <w:sz w:val="24"/>
          <w:szCs w:val="24"/>
        </w:rPr>
        <w:t xml:space="preserve">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(2023) and Tarei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(2021), who highlight the essential alignment of new infrastructural developments with existing transportation systems to facilitate EV adoption. Hardman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(2018) further stress the necessity of robust charging solutions, underscoring our call for strategic infrastructure enhancements to advance sustainable transport within the logistics sector.</w:t>
      </w:r>
    </w:p>
    <w:p w14:paraId="6CE45C87" w14:textId="77777777"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In our study, the most pivotal barrier identified is the ‘Deficiency of depot-based fast charging (EI2),’ which is essential due to the dependency of logistics operations on effective depot-based charging strategies (Morganti and Browne, 2018). This challenge is exacerbated by the need for meticulous scheduling to manage continuous charging demands efficiently, mainly when off-peak charging is not feasible (Pelletier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2018; Anosike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2023). Furthermore, ‘Insufficient Electricity Provision (EI3)’ emerges as a significant constraint, as the growing adoption of EVs increases the load on power grids, necessitating an urgent expansion of energy production from renewable sources to support these demands (“</w:t>
      </w:r>
      <w:r w:rsidRPr="00EF6D91">
        <w:rPr>
          <w:rFonts w:ascii="Times New Roman" w:eastAsia="Calibri" w:hAnsi="Times New Roman" w:cs="Times New Roman"/>
          <w:i/>
          <w:iCs/>
          <w:color w:val="000000"/>
          <w:sz w:val="24"/>
          <w:szCs w:val="24"/>
        </w:rPr>
        <w:t>Electric vehicle charging stations in Europe | McKinsey</w:t>
      </w:r>
      <w:r w:rsidRPr="00EF6D91">
        <w:rPr>
          <w:rFonts w:ascii="Times New Roman" w:eastAsia="Calibri" w:hAnsi="Times New Roman" w:cs="Times New Roman"/>
          <w:color w:val="000000"/>
          <w:sz w:val="24"/>
          <w:szCs w:val="24"/>
        </w:rPr>
        <w:t>”). These barriers underscore the technological and infrastructural challenges faced and highlight critical compatibility issues within the Diffusion of Innovations (DOI) framework, impacting the rate of EV integration into existing systems.</w:t>
      </w:r>
    </w:p>
    <w:p w14:paraId="0FBE9112" w14:textId="143B583A" w:rsidR="00201A64" w:rsidRPr="00EF6D91" w:rsidRDefault="00201A64" w:rsidP="00D77C2D">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In our analysis, two additional critical barriers emerge within the Energy and Infrastructure (EI) dimension. Firstly, ‘Increased investment for Power Grid upgrade (EI4)’ highlights the insufficiency of current power grids to support the needs of an entire EV fleet, demanding significant upgrades to prevent overloads and power outages </w:t>
      </w:r>
      <w:r w:rsidR="00392912">
        <w:rPr>
          <w:rFonts w:ascii="Times New Roman" w:eastAsia="Calibri" w:hAnsi="Times New Roman" w:cs="Times New Roman"/>
          <w:color w:val="000000"/>
          <w:sz w:val="24"/>
          <w:szCs w:val="24"/>
        </w:rPr>
        <w:t>(</w:t>
      </w:r>
      <w:r w:rsidRPr="00EF6D91">
        <w:rPr>
          <w:rFonts w:ascii="Times New Roman" w:eastAsia="Calibri" w:hAnsi="Times New Roman" w:cs="Times New Roman"/>
          <w:color w:val="000000"/>
          <w:sz w:val="24"/>
          <w:szCs w:val="24"/>
        </w:rPr>
        <w:t xml:space="preserve">Anosike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2023). This necessity underscores the need for infrastructural evolution to accommodate new technologies, reflecting the complexities of adoption within the Diffusion of Innovations (DOI) framework. Secondly, ‘Insufficient Charging Infrastructure (EI1)’ illustrates the reluctance of both public and private sectors to invest in adequate charging stations, exacerbated by the slow adoption rates and limited number of EVs on the roads (</w:t>
      </w:r>
      <w:proofErr w:type="spellStart"/>
      <w:r w:rsidR="00D77C2D" w:rsidRPr="00D77C2D">
        <w:rPr>
          <w:rFonts w:ascii="Times New Roman" w:eastAsia="Calibri" w:hAnsi="Times New Roman" w:cs="Times New Roman"/>
          <w:color w:val="000000"/>
          <w:sz w:val="24"/>
          <w:szCs w:val="24"/>
        </w:rPr>
        <w:t>Aungkulanon</w:t>
      </w:r>
      <w:proofErr w:type="spellEnd"/>
      <w:r w:rsidR="00D77C2D" w:rsidRPr="00D77C2D">
        <w:rPr>
          <w:rFonts w:ascii="Times New Roman" w:eastAsia="Calibri" w:hAnsi="Times New Roman" w:cs="Times New Roman"/>
          <w:color w:val="000000"/>
          <w:sz w:val="24"/>
          <w:szCs w:val="24"/>
        </w:rPr>
        <w:t xml:space="preserve"> </w:t>
      </w:r>
      <w:r w:rsidR="00D77C2D" w:rsidRPr="00D77C2D">
        <w:rPr>
          <w:rFonts w:ascii="Times New Roman" w:eastAsia="Calibri" w:hAnsi="Times New Roman" w:cs="Times New Roman"/>
          <w:i/>
          <w:iCs/>
          <w:color w:val="000000"/>
          <w:sz w:val="24"/>
          <w:szCs w:val="24"/>
        </w:rPr>
        <w:t>et al.</w:t>
      </w:r>
      <w:r w:rsidR="00D77C2D" w:rsidRPr="00D77C2D">
        <w:rPr>
          <w:rFonts w:ascii="Times New Roman" w:eastAsia="Calibri" w:hAnsi="Times New Roman" w:cs="Times New Roman"/>
          <w:color w:val="000000"/>
          <w:sz w:val="24"/>
          <w:szCs w:val="24"/>
        </w:rPr>
        <w:t>, 2023</w:t>
      </w:r>
      <w:r w:rsidRPr="00EF6D91">
        <w:rPr>
          <w:rFonts w:ascii="Times New Roman" w:eastAsia="Calibri" w:hAnsi="Times New Roman" w:cs="Times New Roman"/>
          <w:color w:val="000000"/>
          <w:sz w:val="24"/>
          <w:szCs w:val="24"/>
        </w:rPr>
        <w:t>). This barrier complicates EVs’ trialability and impedes their broader acceptance and integration into existing systems.</w:t>
      </w:r>
    </w:p>
    <w:p w14:paraId="1CD013EB" w14:textId="77777777"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The paucity of charging stations in urban areas poses a formidable barrier to the adoption of electric vehicles (EVs) in last-mile deliveries, significantly hampering operational efficiency (“</w:t>
      </w:r>
      <w:r w:rsidRPr="00EF6D91">
        <w:rPr>
          <w:rFonts w:ascii="Times New Roman" w:eastAsia="Calibri" w:hAnsi="Times New Roman" w:cs="Times New Roman"/>
          <w:i/>
          <w:iCs/>
          <w:color w:val="000000"/>
          <w:sz w:val="24"/>
          <w:szCs w:val="24"/>
        </w:rPr>
        <w:t>World energy transitions outlook 2022</w:t>
      </w:r>
      <w:r w:rsidRPr="00EF6D91">
        <w:rPr>
          <w:rFonts w:ascii="Times New Roman" w:eastAsia="Calibri" w:hAnsi="Times New Roman" w:cs="Times New Roman"/>
          <w:color w:val="000000"/>
          <w:sz w:val="24"/>
          <w:szCs w:val="24"/>
        </w:rPr>
        <w:t xml:space="preserve">”). This observation aligns with our findings and is further supported by Mersky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(2016) and </w:t>
      </w:r>
      <w:proofErr w:type="spellStart"/>
      <w:r w:rsidRPr="00EF6D91">
        <w:rPr>
          <w:rFonts w:ascii="Times New Roman" w:eastAsia="Calibri" w:hAnsi="Times New Roman" w:cs="Times New Roman"/>
          <w:color w:val="000000"/>
          <w:sz w:val="24"/>
          <w:szCs w:val="24"/>
        </w:rPr>
        <w:t>Lebeau</w:t>
      </w:r>
      <w:proofErr w:type="spellEnd"/>
      <w:r w:rsidRPr="00EF6D91">
        <w:rPr>
          <w:rFonts w:ascii="Times New Roman" w:eastAsia="Calibri" w:hAnsi="Times New Roman" w:cs="Times New Roman"/>
          <w:color w:val="000000"/>
          <w:sz w:val="24"/>
          <w:szCs w:val="24"/>
        </w:rPr>
        <w:t xml:space="preserve">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(2016), who highlight the consumer demand for accessible charging options and the critical need for expansive infrastructure. While Noel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(2020) confirm ongoing infrastructural challenges, Giordano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(2018) suggest that swift infrastructural advancements could ameliorate these obstacles, offering a hopeful outlook for future integration efforts.</w:t>
      </w:r>
    </w:p>
    <w:p w14:paraId="7598D092" w14:textId="77777777" w:rsidR="00201A64" w:rsidRPr="00EF6D91" w:rsidRDefault="00201A64" w:rsidP="00201A64">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5.2 Dimension 2: Financial and Resource Barriers (FR)</w:t>
      </w:r>
    </w:p>
    <w:p w14:paraId="028665B5" w14:textId="37F807CE" w:rsidR="00201A64" w:rsidRPr="00EF6D91" w:rsidRDefault="003A3549" w:rsidP="00201A64">
      <w:pPr>
        <w:jc w:val="both"/>
        <w:rPr>
          <w:rFonts w:ascii="Times New Roman" w:hAnsi="Times New Roman" w:cs="Times New Roman"/>
          <w:sz w:val="24"/>
          <w:szCs w:val="24"/>
        </w:rPr>
      </w:pPr>
      <w:r>
        <w:rPr>
          <w:rFonts w:ascii="Times New Roman" w:hAnsi="Times New Roman" w:cs="Times New Roman"/>
          <w:sz w:val="24"/>
          <w:szCs w:val="24"/>
        </w:rPr>
        <w:t>T</w:t>
      </w:r>
      <w:r w:rsidR="00201A64" w:rsidRPr="00EF6D91">
        <w:rPr>
          <w:rFonts w:ascii="Times New Roman" w:hAnsi="Times New Roman" w:cs="Times New Roman"/>
          <w:sz w:val="24"/>
          <w:szCs w:val="24"/>
        </w:rPr>
        <w:t xml:space="preserve">he Financial and Resource (FR) barriers ranked as the second most influential, underscore the economic challenges in adopting electric vehicles (EVs) in Last-Mile Delivery (LMD). This prioritisation points to the need to understand better the economic incentives that can accelerate adoption, such as subsidies, tax incentives, and cost-sharing models. These barriers align with the Diffusion of Innovations (DOI) theory, particularly the constructs of ‘relative advantage’ and ‘economic compatibility’. High ownership costs impact perceived economic benefits and </w:t>
      </w:r>
      <w:r w:rsidR="00201A64" w:rsidRPr="00EF6D91">
        <w:rPr>
          <w:rFonts w:ascii="Times New Roman" w:hAnsi="Times New Roman" w:cs="Times New Roman"/>
          <w:sz w:val="24"/>
          <w:szCs w:val="24"/>
        </w:rPr>
        <w:lastRenderedPageBreak/>
        <w:t xml:space="preserve">trialability, as noted by Tarei et al. (2021) and further elaborated by D’Adamo, Gastaldi, Piccioni, </w:t>
      </w:r>
      <w:r w:rsidR="00201A64" w:rsidRPr="00EF6D91">
        <w:rPr>
          <w:rFonts w:ascii="Times New Roman" w:hAnsi="Times New Roman" w:cs="Times New Roman"/>
          <w:i/>
          <w:iCs/>
          <w:sz w:val="24"/>
          <w:szCs w:val="24"/>
        </w:rPr>
        <w:t>et al</w:t>
      </w:r>
      <w:r w:rsidR="00201A64" w:rsidRPr="00EF6D91">
        <w:rPr>
          <w:rFonts w:ascii="Times New Roman" w:hAnsi="Times New Roman" w:cs="Times New Roman"/>
          <w:sz w:val="24"/>
          <w:szCs w:val="24"/>
        </w:rPr>
        <w:t>. (2023) and D’Adamo, Gastaldi, and Ozturk (2023). Addressing these challenges necessitates financial incentives, reduced ownership costs, and showcased long-term economic benefits to enhance EV adoption. By lowering these costs and demonstrating the long-term economic benefits, stakeholders can improve the relative advantage of EVs, thereby increasing their attractiveness and potential trialability among prospective users. Policymakers and stakeholders are pivotal in mitigating these economic barriers to facilitate broader EV integration.</w:t>
      </w:r>
    </w:p>
    <w:p w14:paraId="78F87D2F"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In our analysis, the economic challenges of adopting electric vehicles (EVs) in Last-Mile Deliveries, such as high initial costs and maintenance expenses, emerge as significant barriers compared to Internal Combustion Engine Vehicles (ICEVs). These factors, emphasised by Siragusa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(2022), critically influence adoption decisions by affecting the perceived benefits, a core component of the Diffusion of Innovations (DOI) theory. Moreover, the need for substantial infrastructure investment and the risks linked to uncertain residual values, highlighted by Lal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(2023), necessitate strategic financial adaptations and policy revisions to improve the economic viability of EVs.</w:t>
      </w:r>
    </w:p>
    <w:p w14:paraId="6FE76943" w14:textId="0EB3D2CE" w:rsidR="00201A64" w:rsidRPr="00EF6D91" w:rsidRDefault="00C347E7" w:rsidP="00201A64">
      <w:pPr>
        <w:jc w:val="both"/>
        <w:rPr>
          <w:rFonts w:ascii="Times New Roman" w:hAnsi="Times New Roman" w:cs="Times New Roman"/>
          <w:sz w:val="24"/>
          <w:szCs w:val="24"/>
        </w:rPr>
      </w:pPr>
      <w:r>
        <w:rPr>
          <w:rFonts w:ascii="Times New Roman" w:hAnsi="Times New Roman" w:cs="Times New Roman"/>
          <w:sz w:val="24"/>
          <w:szCs w:val="24"/>
        </w:rPr>
        <w:t>T</w:t>
      </w:r>
      <w:r w:rsidR="00201A64" w:rsidRPr="00EF6D91">
        <w:rPr>
          <w:rFonts w:ascii="Times New Roman" w:hAnsi="Times New Roman" w:cs="Times New Roman"/>
          <w:sz w:val="24"/>
          <w:szCs w:val="24"/>
        </w:rPr>
        <w:t xml:space="preserve">he ‘Total Cost of Ownership’ emerges as the foremost challenge in the Financial and Resource barriers, significantly influenced by the high costs of batteries and limitations in manufacturing processes, as identified by </w:t>
      </w:r>
      <w:r w:rsidR="00392912" w:rsidRPr="00EF6D91">
        <w:rPr>
          <w:rFonts w:ascii="Times New Roman" w:hAnsi="Times New Roman" w:cs="Times New Roman"/>
          <w:sz w:val="24"/>
          <w:szCs w:val="24"/>
        </w:rPr>
        <w:t xml:space="preserve">Siragusa </w:t>
      </w:r>
      <w:r w:rsidR="00392912" w:rsidRPr="00EF6D91">
        <w:rPr>
          <w:rFonts w:ascii="Times New Roman" w:hAnsi="Times New Roman" w:cs="Times New Roman"/>
          <w:i/>
          <w:iCs/>
          <w:sz w:val="24"/>
          <w:szCs w:val="24"/>
        </w:rPr>
        <w:t>et al.</w:t>
      </w:r>
      <w:r w:rsidR="00392912" w:rsidRPr="00EF6D91">
        <w:rPr>
          <w:rFonts w:ascii="Times New Roman" w:hAnsi="Times New Roman" w:cs="Times New Roman"/>
          <w:sz w:val="24"/>
          <w:szCs w:val="24"/>
        </w:rPr>
        <w:t xml:space="preserve"> (2022)</w:t>
      </w:r>
      <w:r w:rsidR="00201A64" w:rsidRPr="00EF6D91">
        <w:rPr>
          <w:rFonts w:ascii="Times New Roman" w:hAnsi="Times New Roman" w:cs="Times New Roman"/>
          <w:sz w:val="24"/>
          <w:szCs w:val="24"/>
        </w:rPr>
        <w:t>. Policymakers could implement financial incentives like tax breaks to mitigate these costs, while logistics companies might consider cost-sharing arrangements to reduce financial burdens. Concurrently, EV manufacturers are urged to streamline production and enhance research efforts to lower costs. Following closely, the ‘Maintenance Cost’ barrier highlights the scarcity of specialised EV maintenance skills, potentially increasing operational costs. Mitigation strategies include establishing dedicated maintenance facilities to manage these risks effectively, as Anosike et al. (2023) suggested.</w:t>
      </w:r>
    </w:p>
    <w:p w14:paraId="1BBE238E"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In our study, the ‘High initial purchase cost’ (FR6) is identified as a significant barrier, with </w:t>
      </w:r>
      <w:proofErr w:type="spellStart"/>
      <w:r w:rsidRPr="00EF6D91">
        <w:rPr>
          <w:rFonts w:ascii="Times New Roman" w:hAnsi="Times New Roman" w:cs="Times New Roman"/>
          <w:sz w:val="24"/>
          <w:szCs w:val="24"/>
        </w:rPr>
        <w:t>Aljohani</w:t>
      </w:r>
      <w:proofErr w:type="spellEnd"/>
      <w:r w:rsidRPr="00EF6D91">
        <w:rPr>
          <w:rFonts w:ascii="Times New Roman" w:hAnsi="Times New Roman" w:cs="Times New Roman"/>
          <w:sz w:val="24"/>
          <w:szCs w:val="24"/>
        </w:rPr>
        <w:t xml:space="preserve"> and Thompson (2020) noting the diminished appeal of EVs due to their substantial upfront costs compared to conventional vehicles. Policymakers could mitigate this issue through grants or low-interest loans and logistics companies negotiating bulk deals with manufacturers to lower costs. Further, investment in battery technology is critical as ‘Battery Costs’ (FR2) represent a significant portion of initial expenses, necessitating enhanced research and sustainable solutions (</w:t>
      </w:r>
      <w:proofErr w:type="spellStart"/>
      <w:r w:rsidRPr="00EF6D91">
        <w:rPr>
          <w:rFonts w:ascii="Times New Roman" w:hAnsi="Times New Roman" w:cs="Times New Roman"/>
          <w:sz w:val="24"/>
          <w:szCs w:val="24"/>
        </w:rPr>
        <w:t>Lebrouhi</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2021). Additionally, improper charging practices adversely affect ‘Battery Lifespan’ (FR3), indicating the need for robust battery management systems to extend battery life and optimise charging processes (Gao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2019; </w:t>
      </w:r>
      <w:proofErr w:type="spellStart"/>
      <w:r w:rsidRPr="00EF6D91">
        <w:rPr>
          <w:rFonts w:ascii="Times New Roman" w:hAnsi="Times New Roman" w:cs="Times New Roman"/>
          <w:sz w:val="24"/>
          <w:szCs w:val="24"/>
        </w:rPr>
        <w:t>Schücking</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2017). These strategies emphasise the importance of reducing economic barriers and enhancing technological efficacy to facilitate broader adoption of EVs in last-mile deliveries.</w:t>
      </w:r>
    </w:p>
    <w:p w14:paraId="6866CDEF"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The widespread adoption of EVs hinges on the accessibility and cost-effectiveness of vital components such as cobalt and lithium, as highlighted by the next barrier, ‘Limited Raw Material Availability (FR1).’ Policymakers should prioritise initiatives to secure a stable supply of raw materials through diplomatic efforts and strategic partnerships </w:t>
      </w:r>
      <w:r w:rsidRPr="00EF6D91">
        <w:rPr>
          <w:rFonts w:ascii="Times New Roman" w:hAnsi="Times New Roman" w:cs="Times New Roman"/>
          <w:sz w:val="24"/>
          <w:szCs w:val="24"/>
        </w:rPr>
        <w:fldChar w:fldCharType="begin"/>
      </w:r>
      <w:r w:rsidRPr="00EF6D91">
        <w:rPr>
          <w:rFonts w:ascii="Times New Roman" w:hAnsi="Times New Roman" w:cs="Times New Roman"/>
          <w:sz w:val="24"/>
          <w:szCs w:val="24"/>
        </w:rPr>
        <w:instrText xml:space="preserve"> ADDIN ZOTERO_ITEM CSL_CITATION {"citationID":"86vWGuqy","properties":{"formattedCitation":"(Berkeley {\\i{}et al.}, 2017)","plainCitation":"(Berkeley et al., 2017)","noteIndex":0},"citationItems":[{"id":31591,"uris":["http://zotero.org/users/10594755/items/68MQ82UJ"],"itemData":{"id":31591,"type":"article-journal","container-title":"Transportation Research Part A: Policy and Practice","DOI":"10.1016/j.tra.2017.10.004","ISSN":"09658564","journalAbbreviation":"Transportation Research Part A: Policy and Practice","language":"en","page":"320-332","source":"DOI.org (Crossref)","title":"Assessing the transition towards battery electric vehicles: a multi-level perspective on drivers of, and barriers to, take up","title-short":"Assessing the transition towards battery electric vehicles","volume":"106","author":[{"family":"Berkeley","given":"Nigel"},{"family":"Bailey","given":"David"},{"family":"Jones","given":"Andrew"},{"family":"Jarvis","given":"David"}],"issued":{"date-parts":[["2017",12]]}}}],"schema":"https://github.com/citation-style-language/schema/raw/master/csl-citation.json"} </w:instrText>
      </w:r>
      <w:r w:rsidRPr="00EF6D91">
        <w:rPr>
          <w:rFonts w:ascii="Times New Roman" w:hAnsi="Times New Roman" w:cs="Times New Roman"/>
          <w:sz w:val="24"/>
          <w:szCs w:val="24"/>
        </w:rPr>
        <w:fldChar w:fldCharType="separate"/>
      </w:r>
      <w:r w:rsidRPr="00EF6D91">
        <w:rPr>
          <w:rFonts w:ascii="Times New Roman" w:hAnsi="Times New Roman" w:cs="Times New Roman"/>
          <w:sz w:val="24"/>
          <w:szCs w:val="24"/>
        </w:rPr>
        <w:t xml:space="preserve">(Berkeley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2017)</w:t>
      </w:r>
      <w:r w:rsidRPr="00EF6D91">
        <w:rPr>
          <w:rFonts w:ascii="Times New Roman" w:hAnsi="Times New Roman" w:cs="Times New Roman"/>
          <w:sz w:val="24"/>
          <w:szCs w:val="24"/>
        </w:rPr>
        <w:fldChar w:fldCharType="end"/>
      </w:r>
      <w:r w:rsidRPr="00EF6D91">
        <w:rPr>
          <w:rFonts w:ascii="Times New Roman" w:hAnsi="Times New Roman" w:cs="Times New Roman"/>
          <w:sz w:val="24"/>
          <w:szCs w:val="24"/>
        </w:rPr>
        <w:t>. Additionally, EV manufacturers should explore alternative battery chemistries that reduce reliance on scarce materials and invest in recycling technologies to recover and reuse valuable materials.</w:t>
      </w:r>
    </w:p>
    <w:p w14:paraId="4AF73160"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lastRenderedPageBreak/>
        <w:t xml:space="preserve">Another substantial barrier is the ‘Inadequate Infrastructure for Battery Swapping (FR4)’ (Keskin and </w:t>
      </w:r>
      <w:proofErr w:type="spellStart"/>
      <w:r w:rsidRPr="00EF6D91">
        <w:rPr>
          <w:rFonts w:ascii="Times New Roman" w:hAnsi="Times New Roman" w:cs="Times New Roman"/>
          <w:sz w:val="24"/>
          <w:szCs w:val="24"/>
        </w:rPr>
        <w:t>Çatay</w:t>
      </w:r>
      <w:proofErr w:type="spellEnd"/>
      <w:r w:rsidRPr="00EF6D91">
        <w:rPr>
          <w:rFonts w:ascii="Times New Roman" w:hAnsi="Times New Roman" w:cs="Times New Roman"/>
          <w:sz w:val="24"/>
          <w:szCs w:val="24"/>
        </w:rPr>
        <w:t>, 2016), necessitating governmental incentives for developing such facilities and strategic partnerships between logistics companies and infrastructure providers to implement battery-swapping stations efficiently.</w:t>
      </w:r>
    </w:p>
    <w:p w14:paraId="082E0AC4"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Finally, ‘Inventory Cost for Battery Swapping (FR5)’ underscores the financial implications of maintaining ample battery stock for swapping, thereby increasing overall costs </w:t>
      </w:r>
      <w:r w:rsidRPr="00EF6D91">
        <w:rPr>
          <w:rFonts w:ascii="Times New Roman" w:hAnsi="Times New Roman" w:cs="Times New Roman"/>
          <w:sz w:val="24"/>
          <w:szCs w:val="24"/>
        </w:rPr>
        <w:fldChar w:fldCharType="begin"/>
      </w:r>
      <w:r w:rsidRPr="00EF6D91">
        <w:rPr>
          <w:rFonts w:ascii="Times New Roman" w:hAnsi="Times New Roman" w:cs="Times New Roman"/>
          <w:sz w:val="24"/>
          <w:szCs w:val="24"/>
        </w:rPr>
        <w:instrText xml:space="preserve"> ADDIN ZOTERO_ITEM CSL_CITATION {"citationID":"M5pjAvqN","properties":{"formattedCitation":"(Kuppusamy {\\i{}et al.}, 2017)","plainCitation":"(Kuppusamy et al., 2017)","noteIndex":0},"citationItems":[{"id":31592,"uris":["http://zotero.org/users/10594755/items/2W8HUZ4D"],"itemData":{"id":31592,"type":"article-journal","container-title":"European Journal of Operational Research","DOI":"10.1016/j.ejor.2017.03.039","ISSN":"03772217","issue":"1","journalAbbreviation":"European Journal of Operational Research","language":"en","page":"123-135","source":"DOI.org (Crossref)","title":"Electric vehicle adoption decisions in a fleet environment","volume":"262","author":[{"family":"Kuppusamy","given":"Saravanan"},{"family":"Magazine","given":"Michael J."},{"family":"Rao","given":"Uday"}],"issued":{"date-parts":[["2017",10]]}}}],"schema":"https://github.com/citation-style-language/schema/raw/master/csl-citation.json"} </w:instrText>
      </w:r>
      <w:r w:rsidRPr="00EF6D91">
        <w:rPr>
          <w:rFonts w:ascii="Times New Roman" w:hAnsi="Times New Roman" w:cs="Times New Roman"/>
          <w:sz w:val="24"/>
          <w:szCs w:val="24"/>
        </w:rPr>
        <w:fldChar w:fldCharType="separate"/>
      </w:r>
      <w:r w:rsidRPr="00EF6D91">
        <w:rPr>
          <w:rFonts w:ascii="Times New Roman" w:hAnsi="Times New Roman" w:cs="Times New Roman"/>
          <w:sz w:val="24"/>
          <w:szCs w:val="24"/>
        </w:rPr>
        <w:t xml:space="preserve">(Kuppusamy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2017)</w:t>
      </w:r>
      <w:r w:rsidRPr="00EF6D91">
        <w:rPr>
          <w:rFonts w:ascii="Times New Roman" w:hAnsi="Times New Roman" w:cs="Times New Roman"/>
          <w:sz w:val="24"/>
          <w:szCs w:val="24"/>
        </w:rPr>
        <w:fldChar w:fldCharType="end"/>
      </w:r>
      <w:r w:rsidRPr="00EF6D91">
        <w:rPr>
          <w:rFonts w:ascii="Times New Roman" w:hAnsi="Times New Roman" w:cs="Times New Roman"/>
          <w:sz w:val="24"/>
          <w:szCs w:val="24"/>
        </w:rPr>
        <w:t>. Logistic companies should explore partnerships with battery manufacturers to streamline inventory management and negotiate favourable terms for battery procurement. In contrast, EV manufacturers should consider innovative financing options such as battery leasing to alleviate upfront costs for logistic companies.</w:t>
      </w:r>
    </w:p>
    <w:p w14:paraId="695FC157"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Addressing these FR barriers through comprehensive financial strategies and policy support is essential. Such measures will improve the economic viability of EVs, enhancing their adoption in last-mile delivery operations by aligning practical solutions with the theoretical frameworks proposed by the DOI theory.</w:t>
      </w:r>
    </w:p>
    <w:p w14:paraId="19891308" w14:textId="77777777" w:rsidR="00201A64" w:rsidRPr="00EF6D91" w:rsidRDefault="00201A64" w:rsidP="00201A64">
      <w:pPr>
        <w:jc w:val="both"/>
        <w:rPr>
          <w:rFonts w:ascii="Times New Roman" w:hAnsi="Times New Roman" w:cs="Times New Roman"/>
          <w:i/>
          <w:iCs/>
          <w:sz w:val="24"/>
          <w:szCs w:val="24"/>
        </w:rPr>
      </w:pPr>
      <w:r w:rsidRPr="00EF6D91">
        <w:rPr>
          <w:rFonts w:ascii="Times New Roman" w:hAnsi="Times New Roman" w:cs="Times New Roman"/>
          <w:i/>
          <w:iCs/>
          <w:sz w:val="24"/>
          <w:szCs w:val="24"/>
        </w:rPr>
        <w:t>5.3 Dimension 3: Operational and Technical Barriers (OT)</w:t>
      </w:r>
    </w:p>
    <w:p w14:paraId="3AABC704" w14:textId="1E17E754"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OT barriers emerged as the third most significant dimension influencing the adoption of EVs in LMD. These barriers, which include limited vehicle range, prolonged charging times, and technical limitations of current EV models, echo the complexity and trialability components of the Diffusion of Innovations (DOI) theory. While Tarei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(2021) emphasised performance and consumer awareness issues in India, globally, these factors present a moderate challenge, corroborated by Morganti &amp; Browne (2018) and Noel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(2020), who observed ongoing concerns about queuing, payload capacities, and grid anxieties that persist despite technological progress.</w:t>
      </w:r>
    </w:p>
    <w:p w14:paraId="6AFEA544"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Our findings suggest that operational and technical issues not only reflect technological challenges but are also pivotal in shaping the integration of new technologies into LMD operations. Enhancing the trialability of EVs through pilot programs and demonstrations could significantly mitigate these barriers, offering firsthand benefits to potential users. Furthermore, OT barriers encompassing concerns about vehicle range, payload capacity, and compatibility with existing delivery operations are further validated by case analysis of a leading delivery service provider, which encountered significant logistical challenges in deploying EVs across its urban delivery routes </w:t>
      </w:r>
      <w:r w:rsidRPr="00EF6D91">
        <w:rPr>
          <w:rFonts w:ascii="Times New Roman" w:hAnsi="Times New Roman" w:cs="Times New Roman"/>
          <w:sz w:val="24"/>
          <w:szCs w:val="24"/>
          <w:lang w:val="en-US"/>
        </w:rPr>
        <w:fldChar w:fldCharType="begin"/>
      </w:r>
      <w:r w:rsidRPr="00EF6D91">
        <w:rPr>
          <w:rFonts w:ascii="Times New Roman" w:hAnsi="Times New Roman" w:cs="Times New Roman"/>
          <w:sz w:val="24"/>
          <w:szCs w:val="24"/>
        </w:rPr>
        <w:instrText xml:space="preserve"> ADDIN ZOTERO_ITEM CSL_CITATION {"citationID":"dWIm1IY2","properties":{"formattedCitation":"(\\uc0\\u8220{}Policies to promote electric vehicle deployment \\uc0\\u8211{} Global EV Outlook 2021 \\uc0\\u8211{} Analysis\\uc0\\u8221{}, n.d.)","plainCitation":"(“Policies to promote electric vehicle deployment – Global EV Outlook 2021 – Analysis”, n.d.)","noteIndex":0},"citationItems":[{"id":47987,"uris":["http://zotero.org/users/10594755/items/LNSWWIEL"],"itemData":{"id":47987,"type":"webpage","abstract":"Global EV Outlook 2021 - Analysis and key findings. A report by the International Energy Agency.","container-title":"IEA","language":"en-GB","title":"Policies to promote electric vehicle deployment – Global EV Outlook 2021 – Analysis","URL":"https://www.iea.org/reports/global-ev-outlook-2021/policies-to-promote-electric-vehicle-deployment","accessed":{"date-parts":[["2024",3,26]]}}}],"schema":"https://github.com/citation-style-language/schema/raw/master/csl-citation.json"} </w:instrText>
      </w:r>
      <w:r w:rsidRPr="00EF6D91">
        <w:rPr>
          <w:rFonts w:ascii="Times New Roman" w:hAnsi="Times New Roman" w:cs="Times New Roman"/>
          <w:sz w:val="24"/>
          <w:szCs w:val="24"/>
          <w:lang w:val="en-US"/>
        </w:rPr>
        <w:fldChar w:fldCharType="separate"/>
      </w:r>
      <w:r w:rsidRPr="00EF6D91">
        <w:rPr>
          <w:rFonts w:ascii="Times New Roman" w:hAnsi="Times New Roman" w:cs="Times New Roman"/>
          <w:sz w:val="24"/>
          <w:szCs w:val="24"/>
        </w:rPr>
        <w:t>(“</w:t>
      </w:r>
      <w:r w:rsidRPr="00EF6D91">
        <w:rPr>
          <w:rFonts w:ascii="Times New Roman" w:hAnsi="Times New Roman" w:cs="Times New Roman"/>
          <w:i/>
          <w:iCs/>
          <w:sz w:val="24"/>
          <w:szCs w:val="24"/>
        </w:rPr>
        <w:t>Policies to promote electric vehicle deployment – Global EV Outlook 2021 – Analysis</w:t>
      </w:r>
      <w:r w:rsidRPr="00EF6D91">
        <w:rPr>
          <w:rFonts w:ascii="Times New Roman" w:hAnsi="Times New Roman" w:cs="Times New Roman"/>
          <w:sz w:val="24"/>
          <w:szCs w:val="24"/>
        </w:rPr>
        <w:t>”, n.d.)</w:t>
      </w:r>
      <w:r w:rsidRPr="00EF6D91">
        <w:rPr>
          <w:rFonts w:ascii="Times New Roman" w:hAnsi="Times New Roman" w:cs="Times New Roman"/>
          <w:sz w:val="24"/>
          <w:szCs w:val="24"/>
        </w:rPr>
        <w:fldChar w:fldCharType="end"/>
      </w:r>
      <w:r w:rsidRPr="00EF6D91">
        <w:rPr>
          <w:rFonts w:ascii="Times New Roman" w:hAnsi="Times New Roman" w:cs="Times New Roman"/>
          <w:sz w:val="24"/>
          <w:szCs w:val="24"/>
        </w:rPr>
        <w:t>. These operational challenges highlight the intricate balance between technological advancements and the practicalities of delivery service operations.</w:t>
      </w:r>
    </w:p>
    <w:p w14:paraId="4617001D" w14:textId="080618E1"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In our study, the second notable barrier within the OT dimension is ‘Limited Range Availability (OT2),’ accentuated by Anosike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(2023) and Christensen et al. (2017). This challenge stems from the constraints of current battery technology, exacerbated by driving habits and environmental conditions that variably affect battery efficiency and vehicle range. Addressing this issue related to battery technology requires logistics companies to optimise delivery routes to accommodate the capabilities of the EV range. This strategy aligns with simplifying user experiences, as </w:t>
      </w:r>
      <w:r w:rsidR="00392912" w:rsidRPr="00EF6D91">
        <w:rPr>
          <w:rFonts w:ascii="Times New Roman" w:hAnsi="Times New Roman" w:cs="Times New Roman"/>
          <w:sz w:val="24"/>
          <w:szCs w:val="24"/>
        </w:rPr>
        <w:t xml:space="preserve">Siragusa </w:t>
      </w:r>
      <w:r w:rsidR="00392912" w:rsidRPr="00EF6D91">
        <w:rPr>
          <w:rFonts w:ascii="Times New Roman" w:hAnsi="Times New Roman" w:cs="Times New Roman"/>
          <w:i/>
          <w:iCs/>
          <w:sz w:val="24"/>
          <w:szCs w:val="24"/>
        </w:rPr>
        <w:t>et al.</w:t>
      </w:r>
      <w:r w:rsidR="00392912" w:rsidRPr="00EF6D91">
        <w:rPr>
          <w:rFonts w:ascii="Times New Roman" w:hAnsi="Times New Roman" w:cs="Times New Roman"/>
          <w:sz w:val="24"/>
          <w:szCs w:val="24"/>
        </w:rPr>
        <w:t xml:space="preserve"> (2022)</w:t>
      </w:r>
      <w:r w:rsidRPr="00EF6D91">
        <w:rPr>
          <w:rFonts w:ascii="Times New Roman" w:hAnsi="Times New Roman" w:cs="Times New Roman"/>
          <w:sz w:val="24"/>
          <w:szCs w:val="24"/>
        </w:rPr>
        <w:t xml:space="preserve"> suggested.</w:t>
      </w:r>
    </w:p>
    <w:p w14:paraId="7B6C2D47"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The ‘Longer Charging Duration (OT1)’ barrier closely follows, highlighting the operational risks associated with extended charging periods, including freight safety and inefficient use of driver time. Pelletier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(2018) emphasise that prolonged charging times could significantly </w:t>
      </w:r>
      <w:r w:rsidRPr="00EF6D91">
        <w:rPr>
          <w:rFonts w:ascii="Times New Roman" w:hAnsi="Times New Roman" w:cs="Times New Roman"/>
          <w:sz w:val="24"/>
          <w:szCs w:val="24"/>
        </w:rPr>
        <w:lastRenderedPageBreak/>
        <w:t>increase operational downtime, affecting the trialability of EVs in commercial settings. Adopting strategies such as fast charging and battery swapping could mitigate these effects and are recommended for policy support to enhance the practicality and attractiveness of EV adoption, effectively reducing the complexity perceived by end-users.</w:t>
      </w:r>
    </w:p>
    <w:p w14:paraId="0011E758"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In our study, the ‘Range Uncertainty (OT3) barrier critically affects user experience by fostering a preference for conventional vehicles on extended trips. As Berkeley et al. (2017) highlighted, this uncertainty undermines confidence and hampers widespread EV adoption. The development of mobile applications to locate charging stations and manage reservations could significantly enhance the trialability of EVs, mitigating concerns over EV performance variability.</w:t>
      </w:r>
    </w:p>
    <w:p w14:paraId="49E4D9D5"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Another significant barrier is ‘Limited Loading Capacity (OT4)’, where the bulk and weight of EV batteries reduce cargo space, increasing operational costs (Christensen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2017; Morganti and Browne, 2018). Logistic companies are encouraged to invest in advanced battery technologies that offer high capacity without the bulk, while manufacturers should focus on improving battery energy density. Policymakers are also advised to incentivise using lightweight materials in battery production to ease the load on logistics operations.</w:t>
      </w:r>
    </w:p>
    <w:p w14:paraId="6B85A96D"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Addressing these OT barriers through the DOI framework—emphasising reduced complexity and enhanced trialability—can significantly improve the integration of EVs into LMD operations, effectively marrying theoretical constructs with the practical demands of the industry.</w:t>
      </w:r>
    </w:p>
    <w:p w14:paraId="01C1BB67" w14:textId="77777777" w:rsidR="00201A64" w:rsidRPr="00EF6D91" w:rsidRDefault="00201A64" w:rsidP="00201A64">
      <w:pPr>
        <w:jc w:val="both"/>
        <w:rPr>
          <w:rFonts w:ascii="Times New Roman" w:eastAsia="Calibri" w:hAnsi="Times New Roman" w:cs="Times New Roman"/>
          <w:i/>
          <w:iCs/>
          <w:color w:val="000000"/>
          <w:sz w:val="24"/>
          <w:szCs w:val="24"/>
        </w:rPr>
      </w:pPr>
      <w:r w:rsidRPr="00EF6D91">
        <w:rPr>
          <w:rFonts w:ascii="Times New Roman" w:eastAsia="Calibri" w:hAnsi="Times New Roman" w:cs="Times New Roman"/>
          <w:i/>
          <w:iCs/>
          <w:color w:val="000000"/>
          <w:sz w:val="24"/>
          <w:szCs w:val="24"/>
        </w:rPr>
        <w:t>5.4 Dimension 4: Public Policy, Perception and Market Barriers (PPM)</w:t>
      </w:r>
    </w:p>
    <w:p w14:paraId="003F1B30"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In our research, </w:t>
      </w:r>
      <w:r w:rsidRPr="00EF6D91">
        <w:rPr>
          <w:rFonts w:ascii="Times New Roman" w:eastAsia="Calibri" w:hAnsi="Times New Roman" w:cs="Times New Roman"/>
          <w:i/>
          <w:iCs/>
          <w:color w:val="000000"/>
          <w:sz w:val="24"/>
          <w:szCs w:val="24"/>
        </w:rPr>
        <w:t xml:space="preserve">public policy, perception, and market barriers (PPM) </w:t>
      </w:r>
      <w:r w:rsidRPr="00EF6D91">
        <w:rPr>
          <w:rFonts w:ascii="Times New Roman" w:eastAsia="Calibri" w:hAnsi="Times New Roman" w:cs="Times New Roman"/>
          <w:color w:val="000000"/>
          <w:sz w:val="24"/>
          <w:szCs w:val="24"/>
        </w:rPr>
        <w:t xml:space="preserve">were ranked as the fourth most influential dimension, suggesting a modest but notable impact on decision-making within the adoption process of </w:t>
      </w:r>
      <w:r w:rsidRPr="00EF6D91">
        <w:rPr>
          <w:rFonts w:ascii="Times New Roman" w:eastAsia="Calibri" w:hAnsi="Times New Roman" w:cs="Times New Roman"/>
          <w:i/>
          <w:iCs/>
          <w:color w:val="000000"/>
          <w:sz w:val="24"/>
          <w:szCs w:val="24"/>
        </w:rPr>
        <w:t>EVs</w:t>
      </w:r>
      <w:r w:rsidRPr="00EF6D91">
        <w:rPr>
          <w:rFonts w:ascii="Times New Roman" w:hAnsi="Times New Roman" w:cs="Times New Roman"/>
          <w:sz w:val="24"/>
          <w:szCs w:val="24"/>
        </w:rPr>
        <w:t xml:space="preserve">. These barriers, deeply intertwined with the observability and social system components of the Diffusion of Innovations (DOI) theory, reflect the significant influence of social factors and public policies, as noted by D’Adamo, Gastaldi, and Ozturk (2023) and Asadi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(2022). While effective communication strategies can enhance EVs’ observability, supportive public policies are essential for creating an adoption-friendly environment.</w:t>
      </w:r>
    </w:p>
    <w:p w14:paraId="1002BFD5"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Contrary to assertions by Morganti and Browne (2018) that emphasise the critical role of operator perceptions, our findings suggest these are just one aspect of a broader spectrum of influences, including technological and infrastructural advancements. This insight aligns with </w:t>
      </w:r>
      <w:proofErr w:type="spellStart"/>
      <w:r w:rsidRPr="00EF6D91">
        <w:rPr>
          <w:rFonts w:ascii="Times New Roman" w:hAnsi="Times New Roman" w:cs="Times New Roman"/>
          <w:sz w:val="24"/>
          <w:szCs w:val="24"/>
        </w:rPr>
        <w:t>Aungkulanon</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(2023), contrasting with </w:t>
      </w:r>
      <w:proofErr w:type="spellStart"/>
      <w:r w:rsidRPr="00EF6D91">
        <w:rPr>
          <w:rFonts w:ascii="Times New Roman" w:hAnsi="Times New Roman" w:cs="Times New Roman"/>
          <w:sz w:val="24"/>
          <w:szCs w:val="24"/>
        </w:rPr>
        <w:t>Merky</w:t>
      </w:r>
      <w:proofErr w:type="spellEnd"/>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(2016) and Quack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(2016), who focus on economic and policy challenges as significant barriers. Our research underscores the importance of a sophisticated approach to understanding barriers, highlighting the necessity for strategies that tackle social perceptions and concrete infrastructural challenges to enable the broad adoption of electric vehicles in last-mile deliveries. Consequently, it is vital to critically navigate the evolving landscape of policy decisions when assessing electric vehicles’ sustainability in these operations. Effective policy frameworks must be adaptive and forward-looking, integrating technological advancements, market dynamics, and environmental priorities to ensure successful implementation and widespread acceptance.</w:t>
      </w:r>
    </w:p>
    <w:p w14:paraId="54860C1D"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Our study </w:t>
      </w:r>
      <w:r w:rsidRPr="00EF6D91">
        <w:rPr>
          <w:rFonts w:ascii="Times New Roman" w:eastAsia="Calibri" w:hAnsi="Times New Roman" w:cs="Times New Roman"/>
          <w:color w:val="000000"/>
          <w:sz w:val="24"/>
          <w:szCs w:val="24"/>
        </w:rPr>
        <w:t xml:space="preserve">findings challenge those presented </w:t>
      </w:r>
      <w:r w:rsidRPr="00EF6D91">
        <w:rPr>
          <w:rFonts w:ascii="Times New Roman" w:hAnsi="Times New Roman" w:cs="Times New Roman"/>
          <w:sz w:val="24"/>
          <w:szCs w:val="24"/>
        </w:rPr>
        <w:t xml:space="preserve">by Goel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(2021) about the critical influence of familial and policy factors on EV adoption, suggesting that the impact of these barriers varies </w:t>
      </w:r>
      <w:r w:rsidRPr="00EF6D91">
        <w:rPr>
          <w:rFonts w:ascii="Times New Roman" w:hAnsi="Times New Roman" w:cs="Times New Roman"/>
          <w:sz w:val="24"/>
          <w:szCs w:val="24"/>
        </w:rPr>
        <w:lastRenderedPageBreak/>
        <w:t xml:space="preserve">significantly across different contexts. This finding aligns with DOI’s focus on social systems and external change agents, indicating a need for more nuanced policy approaches. Contrasting with Asadi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(2022), our research emphasises the diverse influences of environmental concerns, trust in technology, and cultural norms across various regions, underscoring the need for tailored strategies that reflect local market conditions to enhance EV adoption effectively. The findings highlight compatibility and observability’s critical role in the diffusion of innovations theory within varying geographical and cultural landscapes. The findings all illustrate the need to consider a more comprehensive array of elements within the DOI framework, such as the evolving nature of ‘compatibility’ with existing technologies and infrastructures, the ‘complexity’ of adopting new technologies, and the varying ‘observability’ of benefits across different markets. This nuanced understanding can help stakeholders formulate more effective strategies tailored to specific market needs and conditions, enhancing the effectiveness of interventions promoting EV adoption.</w:t>
      </w:r>
    </w:p>
    <w:p w14:paraId="358B97E4" w14:textId="77777777" w:rsidR="00201A64" w:rsidRPr="00EF6D91" w:rsidRDefault="00201A64" w:rsidP="00201A64">
      <w:pPr>
        <w:jc w:val="both"/>
        <w:rPr>
          <w:rFonts w:ascii="Times New Roman" w:hAnsi="Times New Roman" w:cs="Times New Roman"/>
          <w:sz w:val="24"/>
          <w:szCs w:val="24"/>
        </w:rPr>
      </w:pPr>
      <w:r w:rsidRPr="00EF6D91">
        <w:rPr>
          <w:rFonts w:ascii="Times New Roman" w:hAnsi="Times New Roman" w:cs="Times New Roman"/>
          <w:sz w:val="24"/>
          <w:szCs w:val="24"/>
        </w:rPr>
        <w:t xml:space="preserve">Moreover, policy perception and market barriers have been substantiated through interviews with industry stakeholders, revealing a perceived lack of supportive governmental policies and incentives as a critical barrier to EV adoption in last-mile deliveries </w:t>
      </w:r>
      <w:r w:rsidRPr="00EF6D91">
        <w:rPr>
          <w:rFonts w:ascii="Times New Roman" w:hAnsi="Times New Roman" w:cs="Times New Roman"/>
          <w:sz w:val="24"/>
          <w:szCs w:val="24"/>
        </w:rPr>
        <w:fldChar w:fldCharType="begin"/>
      </w:r>
      <w:r w:rsidRPr="00EF6D91">
        <w:rPr>
          <w:rFonts w:ascii="Times New Roman" w:hAnsi="Times New Roman" w:cs="Times New Roman"/>
          <w:sz w:val="24"/>
          <w:szCs w:val="24"/>
        </w:rPr>
        <w:instrText xml:space="preserve"> ADDIN ZOTERO_ITEM CSL_CITATION {"citationID":"zZUEku2j","properties":{"formattedCitation":"(\\uc0\\u8220{}Barriers to electric vehicle adoption\\uc0\\u8221{}, n.d.)","plainCitation":"(“Barriers to electric vehicle adoption”, n.d.)","noteIndex":0},"citationItems":[{"id":47983,"uris":["http://zotero.org/users/10594755/items/7NS67I4X"],"itemData":{"id":47983,"type":"webpage","abstract":"Four major barriers currently stand in the way of widespread EV adoption. These challenges include high upfront costs, battery technology, ev range &amp; performance, and charging infrastructure.","language":"en","title":"Barriers to electric vehicle adoption","URL":"https://www.exro.com/industry-insights/barriers-to-battery-electric-vehicle-adoption","accessed":{"date-parts":[["2024",3,26]]}}}],"schema":"https://github.com/citation-style-language/schema/raw/master/csl-citation.json"} </w:instrText>
      </w:r>
      <w:r w:rsidRPr="00EF6D91">
        <w:rPr>
          <w:rFonts w:ascii="Times New Roman" w:hAnsi="Times New Roman" w:cs="Times New Roman"/>
          <w:sz w:val="24"/>
          <w:szCs w:val="24"/>
        </w:rPr>
        <w:fldChar w:fldCharType="separate"/>
      </w:r>
      <w:r w:rsidRPr="00EF6D91">
        <w:rPr>
          <w:rFonts w:ascii="Times New Roman" w:hAnsi="Times New Roman" w:cs="Times New Roman"/>
          <w:i/>
          <w:iCs/>
          <w:sz w:val="24"/>
          <w:szCs w:val="24"/>
        </w:rPr>
        <w:t>(“Barriers to electric vehicle adoption</w:t>
      </w:r>
      <w:r w:rsidRPr="00EF6D91">
        <w:rPr>
          <w:rFonts w:ascii="Times New Roman" w:hAnsi="Times New Roman" w:cs="Times New Roman"/>
          <w:sz w:val="24"/>
          <w:szCs w:val="24"/>
        </w:rPr>
        <w:t>”, n.d.)</w:t>
      </w:r>
      <w:r w:rsidRPr="00EF6D91">
        <w:rPr>
          <w:rFonts w:ascii="Times New Roman" w:hAnsi="Times New Roman" w:cs="Times New Roman"/>
          <w:sz w:val="24"/>
          <w:szCs w:val="24"/>
        </w:rPr>
        <w:fldChar w:fldCharType="end"/>
      </w:r>
      <w:r w:rsidRPr="00EF6D91">
        <w:rPr>
          <w:rFonts w:ascii="Times New Roman" w:hAnsi="Times New Roman" w:cs="Times New Roman"/>
          <w:sz w:val="24"/>
          <w:szCs w:val="24"/>
        </w:rPr>
        <w:t xml:space="preserve">. These findings reflect the crucial role of regulatory frameworks in facilitating or hindering the transition to electric mobility in logistics operations. </w:t>
      </w:r>
    </w:p>
    <w:p w14:paraId="474EDA1F" w14:textId="77777777" w:rsidR="00201A64" w:rsidRPr="00EF6D91" w:rsidRDefault="00201A64" w:rsidP="00201A64">
      <w:pPr>
        <w:jc w:val="both"/>
        <w:rPr>
          <w:rFonts w:ascii="Times New Roman" w:hAnsi="Times New Roman" w:cs="Times New Roman"/>
          <w:sz w:val="24"/>
          <w:szCs w:val="24"/>
        </w:rPr>
      </w:pPr>
      <w:bookmarkStart w:id="11" w:name="_Hlk171805762"/>
      <w:r w:rsidRPr="00EF6D91">
        <w:rPr>
          <w:rFonts w:ascii="Times New Roman" w:hAnsi="Times New Roman" w:cs="Times New Roman"/>
          <w:sz w:val="24"/>
          <w:szCs w:val="24"/>
        </w:rPr>
        <w:t>Our research emphasises the environmental sustainability of electric vehicles (EVs), mainly focusing on the lifecycle challenges associated with their batteries. While EVs represent a crucial strategy for decarbonising transport, producing and disposing of batteries raise significant environmental concerns. Citing D’Adamo, Gastaldi, and Ozturk (2023), our study highlights the necessity for integrating renewable energy sources, fostering local industrial advancements, and establishing robust battery recycling methods to ensure EVs genuinely benefit the green transition. It also underscores the importance of addressing the current technological, economic, and regulatory uncertainties in battery recycling, essential for reducing environmental impact and advancing sustainable practices in the industry.</w:t>
      </w:r>
    </w:p>
    <w:bookmarkEnd w:id="11"/>
    <w:p w14:paraId="3712BE5D" w14:textId="77777777"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The PPM dimension comprises five specific barriers, with ‘Policy and Regulatory obstacles (PPM5)’ identified as the most significant. This barrier underscores the need for robust regulatory frameworks and external support, especially in developing countries, despite substantial government advocacy in nations like Canada, China, Norway, the UK, and the US (Hosseinpour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2015; Jones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2020). Effective intervention necessitates developing and implementing comprehensive policies that foster EV adoption through enhanced financial incentives and stringent emission standards, thus aligning EV compatibility with existing transportation and environmental policies and increasing their attractiveness to potential users.</w:t>
      </w:r>
    </w:p>
    <w:p w14:paraId="651DCD39" w14:textId="77777777"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‘Socio-technical barriers (PPM1)’ emerge as the next significant barrier, prominently highlighting consumer apprehensions about EV technology, exacerbated by battery failures and environmental impacts (Berkeley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2017). Overcoming these concerns necessitates robust educational initiatives that underscore the safety and reliability of EVs, complemented by stringent safety standards to bolster public trust and observability.</w:t>
      </w:r>
    </w:p>
    <w:p w14:paraId="435702EF" w14:textId="77777777"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 xml:space="preserve">‘Uncertainty Over Resale Value (PPM3)’ is the third relative barrier attributed to the underdeveloped secondary market for EVs (Berkeley </w:t>
      </w:r>
      <w:r w:rsidRPr="00EF6D91">
        <w:rPr>
          <w:rFonts w:ascii="Times New Roman" w:eastAsia="Calibri" w:hAnsi="Times New Roman" w:cs="Times New Roman"/>
          <w:i/>
          <w:iCs/>
          <w:color w:val="000000"/>
          <w:sz w:val="24"/>
          <w:szCs w:val="24"/>
        </w:rPr>
        <w:t>et al</w:t>
      </w:r>
      <w:r w:rsidRPr="00EF6D91">
        <w:rPr>
          <w:rFonts w:ascii="Times New Roman" w:eastAsia="Calibri" w:hAnsi="Times New Roman" w:cs="Times New Roman"/>
          <w:color w:val="000000"/>
          <w:sz w:val="24"/>
          <w:szCs w:val="24"/>
        </w:rPr>
        <w:t xml:space="preserve">., 2017). Enhancing consumer confidence requires collaborative efforts to stabilise resale values through strategies such as buyback programs and incentives for trading in older models. Policy enhancements are </w:t>
      </w:r>
      <w:r w:rsidRPr="00EF6D91">
        <w:rPr>
          <w:rFonts w:ascii="Times New Roman" w:eastAsia="Calibri" w:hAnsi="Times New Roman" w:cs="Times New Roman"/>
          <w:color w:val="000000"/>
          <w:sz w:val="24"/>
          <w:szCs w:val="24"/>
        </w:rPr>
        <w:lastRenderedPageBreak/>
        <w:t xml:space="preserve">essential, with initiatives like tax benefits for used EV purchases to foster a vibrant second-hand market. </w:t>
      </w:r>
    </w:p>
    <w:p w14:paraId="7C1874FF" w14:textId="0BCE8980" w:rsidR="00201A64" w:rsidRPr="00EF6D91" w:rsidRDefault="00201A64" w:rsidP="00201A64">
      <w:pPr>
        <w:jc w:val="both"/>
        <w:rPr>
          <w:rFonts w:ascii="Times New Roman" w:eastAsia="Calibri" w:hAnsi="Times New Roman" w:cs="Times New Roman"/>
          <w:color w:val="000000"/>
          <w:sz w:val="24"/>
          <w:szCs w:val="24"/>
        </w:rPr>
      </w:pPr>
      <w:r w:rsidRPr="00EF6D91">
        <w:rPr>
          <w:rFonts w:ascii="Times New Roman" w:eastAsia="Calibri" w:hAnsi="Times New Roman" w:cs="Times New Roman"/>
          <w:color w:val="000000"/>
          <w:sz w:val="24"/>
          <w:szCs w:val="24"/>
        </w:rPr>
        <w:t>The ‘Limited variety of models (PPM4)’ is the fourth-ranked barrier of this dimension,</w:t>
      </w:r>
      <w:r w:rsidRPr="00EF6D91">
        <w:t xml:space="preserve"> </w:t>
      </w:r>
      <w:r w:rsidRPr="00EF6D91">
        <w:rPr>
          <w:rFonts w:ascii="Times New Roman" w:eastAsia="Calibri" w:hAnsi="Times New Roman" w:cs="Times New Roman"/>
          <w:color w:val="000000"/>
          <w:sz w:val="24"/>
          <w:szCs w:val="24"/>
        </w:rPr>
        <w:t>reflecting the market’s current shortfall in meeting diverse consumer needs across price, functionality, and style (</w:t>
      </w:r>
      <w:proofErr w:type="spellStart"/>
      <w:r w:rsidR="005E6D3D" w:rsidRPr="00EF6D91">
        <w:rPr>
          <w:rFonts w:ascii="Times New Roman" w:hAnsi="Times New Roman" w:cs="Times New Roman"/>
          <w:kern w:val="0"/>
          <w:sz w:val="24"/>
        </w:rPr>
        <w:t>Aungkulanon</w:t>
      </w:r>
      <w:proofErr w:type="spellEnd"/>
      <w:r w:rsidR="005E6D3D" w:rsidRPr="00EF6D91">
        <w:rPr>
          <w:rFonts w:ascii="Times New Roman" w:hAnsi="Times New Roman" w:cs="Times New Roman"/>
          <w:kern w:val="0"/>
          <w:sz w:val="24"/>
        </w:rPr>
        <w:t xml:space="preserve"> </w:t>
      </w:r>
      <w:r w:rsidR="005E6D3D" w:rsidRPr="00EF6D91">
        <w:rPr>
          <w:rFonts w:ascii="Times New Roman" w:hAnsi="Times New Roman" w:cs="Times New Roman"/>
          <w:i/>
          <w:iCs/>
          <w:kern w:val="0"/>
          <w:sz w:val="24"/>
        </w:rPr>
        <w:t>et al.</w:t>
      </w:r>
      <w:r w:rsidR="005E6D3D" w:rsidRPr="00EF6D91">
        <w:rPr>
          <w:rFonts w:ascii="Times New Roman" w:hAnsi="Times New Roman" w:cs="Times New Roman"/>
          <w:kern w:val="0"/>
          <w:sz w:val="24"/>
        </w:rPr>
        <w:t>, 2023</w:t>
      </w:r>
      <w:r w:rsidRPr="00EF6D91">
        <w:rPr>
          <w:rFonts w:ascii="Times New Roman" w:eastAsia="Calibri" w:hAnsi="Times New Roman" w:cs="Times New Roman"/>
          <w:color w:val="000000"/>
          <w:sz w:val="24"/>
          <w:szCs w:val="24"/>
        </w:rPr>
        <w:t>).</w:t>
      </w:r>
      <w:r w:rsidRPr="00EF6D91">
        <w:t xml:space="preserve"> </w:t>
      </w:r>
      <w:r w:rsidRPr="00EF6D91">
        <w:rPr>
          <w:rFonts w:ascii="Times New Roman" w:eastAsia="Calibri" w:hAnsi="Times New Roman" w:cs="Times New Roman"/>
          <w:color w:val="000000"/>
          <w:sz w:val="24"/>
          <w:szCs w:val="24"/>
        </w:rPr>
        <w:t>To overcome this barrier, EV manufacturers should prioritise significantly developing and expanding their range, supported by policy measures incentivising diversification through R&amp;D grants and tax benefits.</w:t>
      </w:r>
    </w:p>
    <w:p w14:paraId="514D433C" w14:textId="7EE1D144" w:rsidR="00201A64" w:rsidRPr="00EF6D91" w:rsidRDefault="00201A64" w:rsidP="00201A64">
      <w:pPr>
        <w:jc w:val="both"/>
        <w:rPr>
          <w:rFonts w:ascii="Times New Roman" w:hAnsi="Times New Roman" w:cs="Times New Roman"/>
          <w:sz w:val="24"/>
          <w:szCs w:val="24"/>
        </w:rPr>
      </w:pPr>
      <w:r w:rsidRPr="00EF6D91">
        <w:rPr>
          <w:rFonts w:ascii="Times New Roman" w:eastAsia="Calibri" w:hAnsi="Times New Roman" w:cs="Times New Roman"/>
          <w:color w:val="000000"/>
          <w:sz w:val="24"/>
          <w:szCs w:val="24"/>
        </w:rPr>
        <w:t>Lastly, ‘Lack of Trust for Environmental Benefits’ highlights the necessity to understand the intricacies of EV sustainability. To address this,</w:t>
      </w:r>
      <w:r w:rsidRPr="00EF6D91">
        <w:t xml:space="preserve"> </w:t>
      </w:r>
      <w:r w:rsidRPr="00EF6D91">
        <w:rPr>
          <w:rFonts w:ascii="Times New Roman" w:eastAsia="Calibri" w:hAnsi="Times New Roman" w:cs="Times New Roman"/>
          <w:color w:val="000000"/>
          <w:sz w:val="24"/>
          <w:szCs w:val="24"/>
        </w:rPr>
        <w:t>providing clear and accurate information about the environmental advantages of EVs is crucial. Policymakers should support initiatives that increase public understanding of how EVs contribute to reducing emissions, enhancing their observability and perceived ecological compatibility.</w:t>
      </w:r>
    </w:p>
    <w:bookmarkEnd w:id="10"/>
    <w:p w14:paraId="56910751" w14:textId="77777777" w:rsidR="00EF6D91" w:rsidRPr="00EF6D91" w:rsidRDefault="00EF6D91" w:rsidP="00EF6D91">
      <w:pPr>
        <w:spacing w:before="100" w:beforeAutospacing="1"/>
        <w:jc w:val="both"/>
        <w:rPr>
          <w:rFonts w:ascii="Times New Roman" w:eastAsia="Aptos" w:hAnsi="Times New Roman" w:cs="Times New Roman"/>
          <w:i/>
          <w:iCs/>
          <w:sz w:val="24"/>
          <w:szCs w:val="24"/>
          <w:highlight w:val="yellow"/>
        </w:rPr>
      </w:pPr>
      <w:r w:rsidRPr="00EF6D91">
        <w:rPr>
          <w:rFonts w:ascii="Times New Roman" w:eastAsia="Aptos" w:hAnsi="Times New Roman" w:cs="Times New Roman"/>
          <w:i/>
          <w:iCs/>
          <w:sz w:val="24"/>
          <w:szCs w:val="24"/>
          <w:highlight w:val="yellow"/>
        </w:rPr>
        <w:t>5.5 Implications for Theory and Practice</w:t>
      </w:r>
    </w:p>
    <w:p w14:paraId="14D2978E" w14:textId="68F6E35C" w:rsidR="00EF6D91" w:rsidRPr="00EF6D91" w:rsidRDefault="00EF6D91" w:rsidP="00EF6D91">
      <w:pPr>
        <w:spacing w:before="100" w:beforeAutospacing="1"/>
        <w:jc w:val="both"/>
        <w:rPr>
          <w:rFonts w:ascii="Times New Roman" w:eastAsia="Aptos" w:hAnsi="Times New Roman" w:cs="Times New Roman"/>
          <w:i/>
          <w:iCs/>
          <w:sz w:val="24"/>
          <w:szCs w:val="24"/>
          <w:highlight w:val="yellow"/>
        </w:rPr>
      </w:pPr>
      <w:r w:rsidRPr="00EF6D91">
        <w:rPr>
          <w:rFonts w:ascii="Times New Roman" w:eastAsia="Aptos" w:hAnsi="Times New Roman" w:cs="Times New Roman"/>
          <w:i/>
          <w:iCs/>
          <w:sz w:val="24"/>
          <w:szCs w:val="24"/>
          <w:highlight w:val="yellow"/>
        </w:rPr>
        <w:t xml:space="preserve">Managerial </w:t>
      </w:r>
      <w:r w:rsidR="00755769">
        <w:rPr>
          <w:rFonts w:ascii="Times New Roman" w:eastAsia="Aptos" w:hAnsi="Times New Roman" w:cs="Times New Roman"/>
          <w:i/>
          <w:iCs/>
          <w:sz w:val="24"/>
          <w:szCs w:val="24"/>
          <w:highlight w:val="yellow"/>
        </w:rPr>
        <w:t xml:space="preserve">and Social </w:t>
      </w:r>
      <w:r w:rsidRPr="00EF6D91">
        <w:rPr>
          <w:rFonts w:ascii="Times New Roman" w:eastAsia="Aptos" w:hAnsi="Times New Roman" w:cs="Times New Roman"/>
          <w:i/>
          <w:iCs/>
          <w:sz w:val="24"/>
          <w:szCs w:val="24"/>
          <w:highlight w:val="yellow"/>
        </w:rPr>
        <w:t>Implications</w:t>
      </w:r>
    </w:p>
    <w:p w14:paraId="6E0CCFFD"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This study identifies critical strategies for overcoming barriers to EV adoption in last-mile deliveries (LMD), focusing on four main dimensions: Energy and Infrastructure (EI), Financial and Resource (FR), Operational and Technical (OT), and Public Policy and Market (PPM).</w:t>
      </w:r>
    </w:p>
    <w:p w14:paraId="7C941FF5" w14:textId="18BEAD29"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i/>
          <w:iCs/>
          <w:kern w:val="0"/>
          <w:sz w:val="24"/>
          <w:szCs w:val="24"/>
          <w:highlight w:val="yellow"/>
          <w:lang w:eastAsia="en-GB"/>
          <w14:ligatures w14:val="none"/>
        </w:rPr>
        <w:t>Energy and Infrastructure Barriers (EI):</w:t>
      </w:r>
      <w:r w:rsidRPr="00EF6D91">
        <w:rPr>
          <w:rFonts w:ascii="Times New Roman" w:eastAsia="Times New Roman" w:hAnsi="Times New Roman" w:cs="Times New Roman"/>
          <w:kern w:val="0"/>
          <w:sz w:val="24"/>
          <w:szCs w:val="24"/>
          <w:highlight w:val="yellow"/>
          <w:lang w:eastAsia="en-GB"/>
          <w14:ligatures w14:val="none"/>
        </w:rPr>
        <w:t xml:space="preserve"> Addressing EI barriers requires logistics managers to prioritise strategic planning and investment. Developing a robust charging infrastructure is essential, and implementing this involves partnerships with municipal authorities and private entities to establish charging stations along crucial delivery routes and depots. Fast-charging options are vital to minimise downtime, wh</w:t>
      </w:r>
      <w:r w:rsidR="009F7147">
        <w:rPr>
          <w:rFonts w:ascii="Times New Roman" w:eastAsia="Times New Roman" w:hAnsi="Times New Roman" w:cs="Times New Roman"/>
          <w:kern w:val="0"/>
          <w:sz w:val="24"/>
          <w:szCs w:val="24"/>
          <w:highlight w:val="yellow"/>
          <w:lang w:eastAsia="en-GB"/>
          <w14:ligatures w14:val="none"/>
        </w:rPr>
        <w:t>ereas</w:t>
      </w:r>
      <w:r w:rsidRPr="00EF6D91">
        <w:rPr>
          <w:rFonts w:ascii="Times New Roman" w:eastAsia="Times New Roman" w:hAnsi="Times New Roman" w:cs="Times New Roman"/>
          <w:kern w:val="0"/>
          <w:sz w:val="24"/>
          <w:szCs w:val="24"/>
          <w:highlight w:val="yellow"/>
          <w:lang w:eastAsia="en-GB"/>
          <w14:ligatures w14:val="none"/>
        </w:rPr>
        <w:t xml:space="preserve"> collaboration with utility companies to upgrade grids and integrate smart-grid technologies will ensure sufficient power for increased EV use. Investment in renewable energy is also necessary to enhance sustainability and reduce reliance on traditional power sources.</w:t>
      </w:r>
    </w:p>
    <w:p w14:paraId="599AEE5E"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Companies must work closely with EV manufacturers to develop vehicles suited for LMD needs, including the appropriate range, payload capacities, and infrastructure compatibility. Policy advocacy is crucial to securing supportive regulations, incentives, and infrastructure development for EV adoption. Conduct risk assessments to mitigate disruptions from power or infrastructure failures and use demonstration projects to showcase EVs’ operational and environmental benefits.</w:t>
      </w:r>
    </w:p>
    <w:p w14:paraId="4254A6A2"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i/>
          <w:iCs/>
          <w:kern w:val="0"/>
          <w:sz w:val="24"/>
          <w:szCs w:val="24"/>
          <w:highlight w:val="yellow"/>
          <w:lang w:eastAsia="en-GB"/>
          <w14:ligatures w14:val="none"/>
        </w:rPr>
        <w:t>Financial and Resource Barriers (FR):</w:t>
      </w:r>
      <w:r w:rsidRPr="00EF6D91">
        <w:rPr>
          <w:rFonts w:ascii="Times New Roman" w:eastAsia="Times New Roman" w:hAnsi="Times New Roman" w:cs="Times New Roman"/>
          <w:kern w:val="0"/>
          <w:sz w:val="24"/>
          <w:szCs w:val="24"/>
          <w:highlight w:val="yellow"/>
          <w:lang w:eastAsia="en-GB"/>
          <w14:ligatures w14:val="none"/>
        </w:rPr>
        <w:t xml:space="preserve"> Managing the high initial costs of EV adoption requires innovative financing solutions. Tax incentives, grants, and cost-sharing programs can reduce ownership costs and make EVs more competitive. Managers should explore options such as battery leasing and Vehicle-as-a-Service (</w:t>
      </w:r>
      <w:proofErr w:type="spellStart"/>
      <w:r w:rsidRPr="00EF6D91">
        <w:rPr>
          <w:rFonts w:ascii="Times New Roman" w:eastAsia="Times New Roman" w:hAnsi="Times New Roman" w:cs="Times New Roman"/>
          <w:kern w:val="0"/>
          <w:sz w:val="24"/>
          <w:szCs w:val="24"/>
          <w:highlight w:val="yellow"/>
          <w:lang w:eastAsia="en-GB"/>
          <w14:ligatures w14:val="none"/>
        </w:rPr>
        <w:t>VaaS</w:t>
      </w:r>
      <w:proofErr w:type="spellEnd"/>
      <w:r w:rsidRPr="00EF6D91">
        <w:rPr>
          <w:rFonts w:ascii="Times New Roman" w:eastAsia="Times New Roman" w:hAnsi="Times New Roman" w:cs="Times New Roman"/>
          <w:kern w:val="0"/>
          <w:sz w:val="24"/>
          <w:szCs w:val="24"/>
          <w:highlight w:val="yellow"/>
          <w:lang w:eastAsia="en-GB"/>
          <w14:ligatures w14:val="none"/>
        </w:rPr>
        <w:t>) to spread the financial burden over time. These models help distribute costs and accelerate large-scale EV adoption.</w:t>
      </w:r>
    </w:p>
    <w:p w14:paraId="4489707D"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 xml:space="preserve">Collaboration with battery manufacturers is essential for managing the costs of maintaining a battery stock for swapping. These partnerships can help secure favourable procurement terms and reduce inventory costs. Advancements in battery technology, remarkably increasing </w:t>
      </w:r>
      <w:r w:rsidRPr="00EF6D91">
        <w:rPr>
          <w:rFonts w:ascii="Times New Roman" w:eastAsia="Times New Roman" w:hAnsi="Times New Roman" w:cs="Times New Roman"/>
          <w:kern w:val="0"/>
          <w:sz w:val="24"/>
          <w:szCs w:val="24"/>
          <w:highlight w:val="yellow"/>
          <w:lang w:eastAsia="en-GB"/>
          <w14:ligatures w14:val="none"/>
        </w:rPr>
        <w:lastRenderedPageBreak/>
        <w:t>battery life, can further reduce replacement costs and improve overall cost efficiency. Fleet operators should implement battery management systems to optimise charging, prevent overcharging, and maximise battery longevity. Additionally, comprehensive driver training on optimal EV usage and charging practices will minimise wear and tear, ultimately reducing maintenance costs.</w:t>
      </w:r>
    </w:p>
    <w:p w14:paraId="67AD4ADE"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i/>
          <w:iCs/>
          <w:kern w:val="0"/>
          <w:sz w:val="24"/>
          <w:szCs w:val="24"/>
          <w:highlight w:val="yellow"/>
          <w:lang w:eastAsia="en-GB"/>
          <w14:ligatures w14:val="none"/>
        </w:rPr>
        <w:t>Operational and Technical Barriers (OT):</w:t>
      </w:r>
      <w:r w:rsidRPr="00EF6D91">
        <w:rPr>
          <w:rFonts w:ascii="Times New Roman" w:eastAsia="Times New Roman" w:hAnsi="Times New Roman" w:cs="Times New Roman"/>
          <w:kern w:val="0"/>
          <w:sz w:val="24"/>
          <w:szCs w:val="24"/>
          <w:highlight w:val="yellow"/>
          <w:lang w:eastAsia="en-GB"/>
          <w14:ligatures w14:val="none"/>
        </w:rPr>
        <w:t xml:space="preserve"> Overcoming OT barriers requires targeted operational adjustments. Advanced route optimisation software is critical to improving operational efficiency, while selecting EV models with appropriate range capabilities can help address range limitations. Upgrading the charging infrastructure and integrating telematics systems to track EV performance will improve fleet management. Predictive maintenance technologies can minimise downtime by addressing issues before they escalate.</w:t>
      </w:r>
    </w:p>
    <w:p w14:paraId="7E1E1038"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Companies should invest in redundant charging solutions such as mobile units or backup generators to ensure uninterrupted operations. Pilot trials are a practical way to test EV strategies, gather data, and refine operational processes under real-world conditions. Developing specialised training programs for technical staff and creating emergency response strategies, including EV-specific roadside assistance, are vital for maintaining robust EV operations.</w:t>
      </w:r>
    </w:p>
    <w:p w14:paraId="626131EC"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i/>
          <w:iCs/>
          <w:kern w:val="0"/>
          <w:sz w:val="24"/>
          <w:szCs w:val="24"/>
          <w:highlight w:val="yellow"/>
          <w:lang w:eastAsia="en-GB"/>
          <w14:ligatures w14:val="none"/>
        </w:rPr>
        <w:t>Public Policy and Market Barriers (PPM):</w:t>
      </w:r>
      <w:r w:rsidRPr="00EF6D91">
        <w:rPr>
          <w:rFonts w:ascii="Times New Roman" w:eastAsia="Times New Roman" w:hAnsi="Times New Roman" w:cs="Times New Roman"/>
          <w:kern w:val="0"/>
          <w:sz w:val="24"/>
          <w:szCs w:val="24"/>
          <w:highlight w:val="yellow"/>
          <w:lang w:eastAsia="en-GB"/>
          <w14:ligatures w14:val="none"/>
        </w:rPr>
        <w:t xml:space="preserve"> Regulatory frameworks and market dynamics play a critical role in the adoption of EVs. Companies should engage with policymakers to secure favourable policies, subsidies, and tax incentives that promote EV integration. Public-private partnerships are vital to accelerating the development of the necessary infrastructure.</w:t>
      </w:r>
    </w:p>
    <w:p w14:paraId="45C5150F" w14:textId="77777777" w:rsidR="00EF6D91" w:rsidRPr="00EF6D91" w:rsidRDefault="00EF6D91" w:rsidP="00EF6D91">
      <w:pPr>
        <w:spacing w:before="100" w:beforeAutospacing="1"/>
        <w:jc w:val="both"/>
        <w:rPr>
          <w:rFonts w:ascii="Times New Roman" w:eastAsia="Times New Roman" w:hAnsi="Times New Roman" w:cs="Times New Roman"/>
          <w:kern w:val="0"/>
          <w:sz w:val="24"/>
          <w:szCs w:val="24"/>
          <w:highlight w:val="yellow"/>
          <w:lang w:eastAsia="en-GB"/>
          <w14:ligatures w14:val="none"/>
        </w:rPr>
      </w:pPr>
      <w:r w:rsidRPr="00EF6D91">
        <w:rPr>
          <w:rFonts w:ascii="Times New Roman" w:eastAsia="Times New Roman" w:hAnsi="Times New Roman" w:cs="Times New Roman"/>
          <w:kern w:val="0"/>
          <w:sz w:val="24"/>
          <w:szCs w:val="24"/>
          <w:highlight w:val="yellow"/>
          <w:lang w:eastAsia="en-GB"/>
          <w14:ligatures w14:val="none"/>
        </w:rPr>
        <w:t>Building a solid secondary EV market is also crucial. Logistics companies should work with policymakers to create initiatives like buyback programs and trading incentives to enhance the attractiveness of EV investments. Additionally, investing in educational campaigns that raise public awareness of EVs’ environmental and economic benefits is essential to dispelling misconceptions and boosting acceptance.</w:t>
      </w:r>
    </w:p>
    <w:p w14:paraId="34C5B0A0" w14:textId="168A9DD3" w:rsidR="00EF6D91" w:rsidRPr="00EF6D91" w:rsidRDefault="00EF6D91" w:rsidP="00EF6D91">
      <w:pPr>
        <w:spacing w:before="100" w:beforeAutospacing="1"/>
        <w:jc w:val="both"/>
        <w:rPr>
          <w:rFonts w:ascii="Times New Roman" w:eastAsia="Aptos" w:hAnsi="Times New Roman" w:cs="Times New Roman"/>
          <w:i/>
          <w:iCs/>
          <w:sz w:val="24"/>
          <w:szCs w:val="24"/>
          <w:highlight w:val="yellow"/>
        </w:rPr>
      </w:pPr>
      <w:r w:rsidRPr="00EF6D91">
        <w:rPr>
          <w:rFonts w:ascii="Times New Roman" w:eastAsia="Aptos" w:hAnsi="Times New Roman" w:cs="Times New Roman"/>
          <w:i/>
          <w:iCs/>
          <w:sz w:val="24"/>
          <w:szCs w:val="24"/>
          <w:highlight w:val="yellow"/>
        </w:rPr>
        <w:t>Theoretical Implications</w:t>
      </w:r>
    </w:p>
    <w:p w14:paraId="1F15AB3D" w14:textId="77777777" w:rsidR="00EF6D91" w:rsidRPr="00EF6D91" w:rsidRDefault="00EF6D91" w:rsidP="00EF6D91">
      <w:pPr>
        <w:spacing w:before="100" w:beforeAutospacing="1"/>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t xml:space="preserve">This study contributes significantly to extending the </w:t>
      </w:r>
      <w:r w:rsidRPr="00EF6D91">
        <w:rPr>
          <w:rFonts w:ascii="Times New Roman" w:eastAsia="Aptos" w:hAnsi="Times New Roman" w:cs="Times New Roman"/>
          <w:i/>
          <w:iCs/>
          <w:sz w:val="24"/>
          <w:szCs w:val="24"/>
          <w:highlight w:val="yellow"/>
        </w:rPr>
        <w:t>Diffusion of Innovations (DOI)</w:t>
      </w:r>
      <w:r w:rsidRPr="00EF6D91">
        <w:rPr>
          <w:rFonts w:ascii="Times New Roman" w:eastAsia="Aptos" w:hAnsi="Times New Roman" w:cs="Times New Roman"/>
          <w:sz w:val="24"/>
          <w:szCs w:val="24"/>
          <w:highlight w:val="yellow"/>
        </w:rPr>
        <w:t xml:space="preserve"> theory by addressing how systemic barriers influence the adoption of EVs in LMD. This research systematically categorises barriers aligned with DOI, highlighting its potential to evolve into a more predictive model for assessing the likelihood of successful technological adoption. Enhancing DOI to incorporate predictive capabilities across various industrial environments would significantly advance its utility for understanding technology adoption processes.</w:t>
      </w:r>
    </w:p>
    <w:p w14:paraId="1D571715" w14:textId="77777777" w:rsidR="00EF6D91" w:rsidRPr="00EF6D91" w:rsidRDefault="00EF6D91" w:rsidP="00EF6D91">
      <w:pPr>
        <w:spacing w:before="100" w:beforeAutospacing="1"/>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t>The interaction of diverse barriers calls for expanding DOI’s theoretical scope. Incorporating insights from ecological modernisation and resource-based theories can provide a more robust framework for examining the interplay between environmental benefits, economic viability, and organisational capabilities. This integration would enrich DOI, offering a more comprehensive view of how innovations proliferate within complex socio-economic ecosystems, especially for sustainable technologies like EVs.</w:t>
      </w:r>
    </w:p>
    <w:p w14:paraId="4AE8A483" w14:textId="375D579A" w:rsidR="00EF6D91" w:rsidRPr="00EF6D91" w:rsidRDefault="00EF6D91" w:rsidP="00687BDF">
      <w:pPr>
        <w:spacing w:before="100" w:beforeAutospacing="1"/>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lastRenderedPageBreak/>
        <w:t xml:space="preserve">A key finding is the significant influence of </w:t>
      </w:r>
      <w:r w:rsidRPr="00EF6D91">
        <w:rPr>
          <w:rFonts w:ascii="Times New Roman" w:eastAsia="Aptos" w:hAnsi="Times New Roman" w:cs="Times New Roman"/>
          <w:i/>
          <w:iCs/>
          <w:sz w:val="24"/>
          <w:szCs w:val="24"/>
          <w:highlight w:val="yellow"/>
        </w:rPr>
        <w:t>Energy and Infrastructure (EI)</w:t>
      </w:r>
      <w:r w:rsidRPr="00EF6D91">
        <w:rPr>
          <w:rFonts w:ascii="Times New Roman" w:eastAsia="Aptos" w:hAnsi="Times New Roman" w:cs="Times New Roman"/>
          <w:sz w:val="24"/>
          <w:szCs w:val="24"/>
          <w:highlight w:val="yellow"/>
        </w:rPr>
        <w:t xml:space="preserve"> barriers on EV adoption in logistics. These findings suggest that the DOI model must evolve to better account for systemic compatibility and the readiness of existing infrastructure. To make DOI more applicable to modern technological innovations, future research should develop methodologies that address complexities and trialability challenges, primarily focusing on how infrastructure modifications influence EV adoption.</w:t>
      </w:r>
      <w:r w:rsidR="00687BDF">
        <w:rPr>
          <w:rFonts w:ascii="Times New Roman" w:eastAsia="Aptos" w:hAnsi="Times New Roman" w:cs="Times New Roman"/>
          <w:sz w:val="24"/>
          <w:szCs w:val="24"/>
          <w:highlight w:val="yellow"/>
        </w:rPr>
        <w:t xml:space="preserve"> On the other hand, t</w:t>
      </w:r>
      <w:r w:rsidRPr="00EF6D91">
        <w:rPr>
          <w:rFonts w:ascii="Times New Roman" w:eastAsia="Aptos" w:hAnsi="Times New Roman" w:cs="Times New Roman"/>
          <w:sz w:val="24"/>
          <w:szCs w:val="24"/>
          <w:highlight w:val="yellow"/>
        </w:rPr>
        <w:t xml:space="preserve">he study also identifies </w:t>
      </w:r>
      <w:r w:rsidRPr="00EF6D91">
        <w:rPr>
          <w:rFonts w:ascii="Times New Roman" w:eastAsia="Aptos" w:hAnsi="Times New Roman" w:cs="Times New Roman"/>
          <w:i/>
          <w:iCs/>
          <w:sz w:val="24"/>
          <w:szCs w:val="24"/>
          <w:highlight w:val="yellow"/>
        </w:rPr>
        <w:t>Financial and Resource (FR)</w:t>
      </w:r>
      <w:r w:rsidRPr="00EF6D91">
        <w:rPr>
          <w:rFonts w:ascii="Times New Roman" w:eastAsia="Aptos" w:hAnsi="Times New Roman" w:cs="Times New Roman"/>
          <w:sz w:val="24"/>
          <w:szCs w:val="24"/>
          <w:highlight w:val="yellow"/>
        </w:rPr>
        <w:t xml:space="preserve"> barriers as the second most critical dimension affecting EV adoption. To better reflect these barriers, DOI should refine its constructs of “relative advantage” and “economic compatibility.” By incorporating factors such as fluctuating material costs, evolving financial incentives, and the high initial expenses related to EV adoption, DOI can better understand how economic considerations impact the uptake of innovations. Future research should explore how these dynamic economic factors influence the perceived advantage of EVs over traditional vehicles.</w:t>
      </w:r>
    </w:p>
    <w:p w14:paraId="59FC0C95" w14:textId="77777777" w:rsidR="00EF6D91" w:rsidRPr="00EF6D91" w:rsidRDefault="00EF6D91" w:rsidP="00EF6D91">
      <w:pPr>
        <w:spacing w:before="100" w:beforeAutospacing="1"/>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t xml:space="preserve">The </w:t>
      </w:r>
      <w:r w:rsidRPr="00EF6D91">
        <w:rPr>
          <w:rFonts w:ascii="Times New Roman" w:eastAsia="Aptos" w:hAnsi="Times New Roman" w:cs="Times New Roman"/>
          <w:i/>
          <w:iCs/>
          <w:sz w:val="24"/>
          <w:szCs w:val="24"/>
          <w:highlight w:val="yellow"/>
        </w:rPr>
        <w:t>Operational and Technical (OT)</w:t>
      </w:r>
      <w:r w:rsidRPr="00EF6D91">
        <w:rPr>
          <w:rFonts w:ascii="Times New Roman" w:eastAsia="Aptos" w:hAnsi="Times New Roman" w:cs="Times New Roman"/>
          <w:sz w:val="24"/>
          <w:szCs w:val="24"/>
          <w:highlight w:val="yellow"/>
        </w:rPr>
        <w:t xml:space="preserve"> barriers highlight the need for DOI to account for complexity and trialability more nuancedly. Adoption models should incorporate operational realities, such as vehicle range limitations and charging infrastructure inefficiencies, to better explain how technological innovations are integrated into complex logistical systems.</w:t>
      </w:r>
    </w:p>
    <w:p w14:paraId="357B858C" w14:textId="77777777" w:rsidR="00EF6D91" w:rsidRPr="00EF6D91" w:rsidRDefault="00EF6D91" w:rsidP="00EF6D91">
      <w:pPr>
        <w:spacing w:before="100" w:beforeAutospacing="1"/>
        <w:jc w:val="both"/>
        <w:rPr>
          <w:rFonts w:ascii="Times New Roman" w:eastAsia="Aptos" w:hAnsi="Times New Roman" w:cs="Times New Roman"/>
          <w:sz w:val="24"/>
          <w:szCs w:val="24"/>
          <w:highlight w:val="yellow"/>
        </w:rPr>
      </w:pPr>
      <w:r w:rsidRPr="00EF6D91">
        <w:rPr>
          <w:rFonts w:ascii="Times New Roman" w:eastAsia="Aptos" w:hAnsi="Times New Roman" w:cs="Times New Roman"/>
          <w:sz w:val="24"/>
          <w:szCs w:val="24"/>
          <w:highlight w:val="yellow"/>
        </w:rPr>
        <w:t xml:space="preserve">Lastly, while </w:t>
      </w:r>
      <w:r w:rsidRPr="00EF6D91">
        <w:rPr>
          <w:rFonts w:ascii="Times New Roman" w:eastAsia="Aptos" w:hAnsi="Times New Roman" w:cs="Times New Roman"/>
          <w:i/>
          <w:iCs/>
          <w:sz w:val="24"/>
          <w:szCs w:val="24"/>
          <w:highlight w:val="yellow"/>
        </w:rPr>
        <w:t>Public Policy and Market (PPM)</w:t>
      </w:r>
      <w:r w:rsidRPr="00EF6D91">
        <w:rPr>
          <w:rFonts w:ascii="Times New Roman" w:eastAsia="Aptos" w:hAnsi="Times New Roman" w:cs="Times New Roman"/>
          <w:sz w:val="24"/>
          <w:szCs w:val="24"/>
          <w:highlight w:val="yellow"/>
        </w:rPr>
        <w:t xml:space="preserve"> barriers were the least influential in this study, they offer a critical opportunity for enhancing DOI. Incorporating the role of regulatory frameworks, policy incentives, and geographical and cultural factors would allow DOI better to predict the adoption of sustainable technologies across diverse contexts.</w:t>
      </w:r>
    </w:p>
    <w:p w14:paraId="33B62E55" w14:textId="2C1BDEDC" w:rsidR="00D5018D" w:rsidRPr="00EF6D91" w:rsidRDefault="00D5018D" w:rsidP="00D5018D">
      <w:pPr>
        <w:jc w:val="both"/>
        <w:rPr>
          <w:rFonts w:ascii="Times New Roman" w:hAnsi="Times New Roman" w:cs="Times New Roman"/>
          <w:b/>
          <w:bCs/>
          <w:color w:val="000000" w:themeColor="text1"/>
          <w:sz w:val="24"/>
          <w:szCs w:val="24"/>
        </w:rPr>
      </w:pPr>
      <w:r w:rsidRPr="00EF6D91">
        <w:rPr>
          <w:rFonts w:ascii="Times New Roman" w:hAnsi="Times New Roman" w:cs="Times New Roman"/>
          <w:b/>
          <w:bCs/>
          <w:color w:val="000000" w:themeColor="text1"/>
          <w:sz w:val="24"/>
          <w:szCs w:val="24"/>
        </w:rPr>
        <w:t>6. Conclusion</w:t>
      </w:r>
      <w:r w:rsidR="00192CF7" w:rsidRPr="00EF6D91">
        <w:rPr>
          <w:rFonts w:ascii="Times New Roman" w:hAnsi="Times New Roman" w:cs="Times New Roman"/>
          <w:b/>
          <w:bCs/>
          <w:color w:val="000000" w:themeColor="text1"/>
          <w:sz w:val="24"/>
          <w:szCs w:val="24"/>
        </w:rPr>
        <w:t>s</w:t>
      </w:r>
    </w:p>
    <w:p w14:paraId="3257EB50" w14:textId="1730F238" w:rsidR="00403432" w:rsidRPr="00EF6D91" w:rsidRDefault="00335BFC"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This study e</w:t>
      </w:r>
      <w:r w:rsidR="005E5B8D" w:rsidRPr="00EF6D91">
        <w:rPr>
          <w:rFonts w:ascii="Times New Roman" w:eastAsia="Aptos" w:hAnsi="Times New Roman" w:cs="Times New Roman"/>
          <w:sz w:val="24"/>
          <w:szCs w:val="24"/>
        </w:rPr>
        <w:t>xplored</w:t>
      </w:r>
      <w:r w:rsidRPr="00EF6D91">
        <w:rPr>
          <w:rFonts w:ascii="Times New Roman" w:eastAsia="Aptos" w:hAnsi="Times New Roman" w:cs="Times New Roman"/>
          <w:sz w:val="24"/>
          <w:szCs w:val="24"/>
        </w:rPr>
        <w:t xml:space="preserve"> the barriers to </w:t>
      </w:r>
      <w:r w:rsidR="005E5B8D" w:rsidRPr="00EF6D91">
        <w:rPr>
          <w:rFonts w:ascii="Times New Roman" w:eastAsia="Aptos" w:hAnsi="Times New Roman" w:cs="Times New Roman"/>
          <w:sz w:val="24"/>
          <w:szCs w:val="24"/>
        </w:rPr>
        <w:t>adopting</w:t>
      </w:r>
      <w:r w:rsidRPr="00EF6D91">
        <w:rPr>
          <w:rFonts w:ascii="Times New Roman" w:eastAsia="Aptos" w:hAnsi="Times New Roman" w:cs="Times New Roman"/>
          <w:sz w:val="24"/>
          <w:szCs w:val="24"/>
        </w:rPr>
        <w:t xml:space="preserve"> electric vehicles (EVs) in last-mile deliveries, a critical component for sustainable transportation. </w:t>
      </w:r>
    </w:p>
    <w:p w14:paraId="24CDBA74" w14:textId="000B4468" w:rsidR="00403432" w:rsidRPr="00EF6D91" w:rsidRDefault="00403432" w:rsidP="00403432">
      <w:pPr>
        <w:jc w:val="both"/>
        <w:rPr>
          <w:rFonts w:ascii="Times New Roman" w:eastAsia="Aptos" w:hAnsi="Times New Roman" w:cs="Times New Roman"/>
          <w:sz w:val="24"/>
          <w:szCs w:val="24"/>
        </w:rPr>
      </w:pPr>
      <w:bookmarkStart w:id="12" w:name="_Hlk164781964"/>
      <w:r w:rsidRPr="00EF6D91">
        <w:rPr>
          <w:rFonts w:ascii="Times New Roman" w:eastAsia="Aptos" w:hAnsi="Times New Roman" w:cs="Times New Roman"/>
          <w:sz w:val="24"/>
          <w:szCs w:val="24"/>
        </w:rPr>
        <w:t xml:space="preserve">From a theoretical </w:t>
      </w:r>
      <w:r w:rsidR="00164431" w:rsidRPr="00EF6D91">
        <w:rPr>
          <w:rFonts w:ascii="Times New Roman" w:eastAsia="Aptos" w:hAnsi="Times New Roman" w:cs="Times New Roman"/>
          <w:sz w:val="24"/>
          <w:szCs w:val="24"/>
        </w:rPr>
        <w:t>perspective</w:t>
      </w:r>
      <w:r w:rsidRPr="00EF6D91">
        <w:rPr>
          <w:rFonts w:ascii="Times New Roman" w:eastAsia="Aptos" w:hAnsi="Times New Roman" w:cs="Times New Roman"/>
          <w:sz w:val="24"/>
          <w:szCs w:val="24"/>
        </w:rPr>
        <w:t xml:space="preserve">, the study embarks on an innovative journey by evaluating and categorizing 21 barriers to EV adoption into four distinct dimensions, utilizing EFA. The subsequent employment of the AHP facilitated the determination of global weights and ranks of these barriers, an aspect notably absent in existing literature concerning last-mile operations. </w:t>
      </w:r>
    </w:p>
    <w:p w14:paraId="6AE93172" w14:textId="4BC8FA07"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Practically, this research furnishes stakeholders with a foundational list, enabling them to prioritize various barriers—spanning energy, infrastructure, financial, resource, operational, technical, policy, perception, and market dimensions—by ranking specific barriers under these categories. Further, it proffers pragmatic recommendations for stakeholders to navigate through the identified, validated, categorized, and ranked barriers, facilitating a smoother adoption of EVs in last-mile operations. Furthermore, this research underscores the multifaceted transition to sustainable transport solutions, necessitating a collaborative effort among policymakers, industry stakeholders, and technology providers to overcome these barriers effectively.</w:t>
      </w:r>
    </w:p>
    <w:p w14:paraId="4A054309" w14:textId="529973EA" w:rsidR="00335BFC" w:rsidRPr="00EF6D91" w:rsidRDefault="00335BFC" w:rsidP="00335BFC">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Through the application of Exploratory Factor Analysis (EFA) and the Analytical Hierarchy Process (AHP), we identified and prioritized four main categories of barriers: Energy and Infrastructure Barriers (EI), Financial and Resource Barriers (FR), Policy Perception and Market Barriers (PPM), and Operational and Technical Barriers (OT).</w:t>
      </w:r>
      <w:r w:rsidR="005E5B8D" w:rsidRPr="00EF6D91">
        <w:rPr>
          <w:rFonts w:ascii="Times New Roman" w:eastAsia="Aptos" w:hAnsi="Times New Roman" w:cs="Times New Roman"/>
          <w:sz w:val="24"/>
          <w:szCs w:val="24"/>
        </w:rPr>
        <w:t xml:space="preserve"> As revealed through our analysis, the paramount barrier</w:t>
      </w:r>
      <w:r w:rsidRPr="00EF6D91">
        <w:rPr>
          <w:rFonts w:ascii="Times New Roman" w:eastAsia="Aptos" w:hAnsi="Times New Roman" w:cs="Times New Roman"/>
          <w:sz w:val="24"/>
          <w:szCs w:val="24"/>
        </w:rPr>
        <w:t xml:space="preserve"> lies within the Energy and Infrastructure realm, emphasizing the urgent need for enhanced charging infrastructure and energy supply frameworks to support </w:t>
      </w:r>
      <w:r w:rsidRPr="00EF6D91">
        <w:rPr>
          <w:rFonts w:ascii="Times New Roman" w:eastAsia="Aptos" w:hAnsi="Times New Roman" w:cs="Times New Roman"/>
          <w:sz w:val="24"/>
          <w:szCs w:val="24"/>
        </w:rPr>
        <w:lastRenderedPageBreak/>
        <w:t xml:space="preserve">EV adoption. This </w:t>
      </w:r>
      <w:r w:rsidR="005E5B8D" w:rsidRPr="00EF6D91">
        <w:rPr>
          <w:rFonts w:ascii="Times New Roman" w:eastAsia="Aptos" w:hAnsi="Times New Roman" w:cs="Times New Roman"/>
          <w:sz w:val="24"/>
          <w:szCs w:val="24"/>
        </w:rPr>
        <w:t xml:space="preserve">barrier </w:t>
      </w:r>
      <w:r w:rsidRPr="00EF6D91">
        <w:rPr>
          <w:rFonts w:ascii="Times New Roman" w:eastAsia="Aptos" w:hAnsi="Times New Roman" w:cs="Times New Roman"/>
          <w:sz w:val="24"/>
          <w:szCs w:val="24"/>
        </w:rPr>
        <w:t>is closely followed by Financial and Resource Barriers, highlighting the significant investment requirements and economic considerations companies face when integrating EVs into their fleets. Operational and Technical Barriers</w:t>
      </w:r>
      <w:r w:rsidR="005E5B8D" w:rsidRPr="00EF6D91">
        <w:rPr>
          <w:rFonts w:ascii="Times New Roman" w:eastAsia="Aptos" w:hAnsi="Times New Roman" w:cs="Times New Roman"/>
          <w:sz w:val="24"/>
          <w:szCs w:val="24"/>
        </w:rPr>
        <w:t xml:space="preserve"> and Policy Perception Market Barriers</w:t>
      </w:r>
      <w:r w:rsidRPr="00EF6D91">
        <w:rPr>
          <w:rFonts w:ascii="Times New Roman" w:eastAsia="Aptos" w:hAnsi="Times New Roman" w:cs="Times New Roman"/>
          <w:sz w:val="24"/>
          <w:szCs w:val="24"/>
        </w:rPr>
        <w:t xml:space="preserve"> also play substantial roles, pointing to the need for technological advancements and supportive policy frameworks to facilitate a smoother transition to EV usage in last-mile deliveries.</w:t>
      </w:r>
    </w:p>
    <w:bookmarkEnd w:id="12"/>
    <w:p w14:paraId="191FB8D2" w14:textId="77777777" w:rsidR="00403432" w:rsidRPr="00EF6D91" w:rsidRDefault="00403432" w:rsidP="00403432">
      <w:pPr>
        <w:spacing w:after="0" w:line="240" w:lineRule="auto"/>
        <w:rPr>
          <w:rFonts w:ascii="Times New Roman" w:eastAsia="Aptos" w:hAnsi="Times New Roman" w:cs="Times New Roman"/>
          <w:sz w:val="24"/>
          <w:szCs w:val="24"/>
        </w:rPr>
      </w:pPr>
      <w:r w:rsidRPr="00EF6D91">
        <w:rPr>
          <w:rFonts w:ascii="Times New Roman" w:eastAsia="Aptos" w:hAnsi="Times New Roman" w:cs="Times New Roman"/>
          <w:i/>
          <w:iCs/>
          <w:sz w:val="24"/>
          <w:szCs w:val="24"/>
        </w:rPr>
        <w:t>Limitations and Future Research Directions</w:t>
      </w:r>
      <w:r w:rsidRPr="00EF6D91">
        <w:rPr>
          <w:rFonts w:ascii="Times New Roman" w:eastAsia="Aptos" w:hAnsi="Times New Roman" w:cs="Times New Roman"/>
          <w:i/>
          <w:iCs/>
          <w:sz w:val="24"/>
          <w:szCs w:val="24"/>
        </w:rPr>
        <w:br/>
      </w:r>
    </w:p>
    <w:p w14:paraId="3598FA5F" w14:textId="0D79780E"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This study provides a detailed examination of the barriers to </w:t>
      </w:r>
      <w:r w:rsidR="005E5B8D" w:rsidRPr="00EF6D91">
        <w:rPr>
          <w:rFonts w:ascii="Times New Roman" w:eastAsia="Aptos" w:hAnsi="Times New Roman" w:cs="Times New Roman"/>
          <w:sz w:val="24"/>
          <w:szCs w:val="24"/>
        </w:rPr>
        <w:t>adopting</w:t>
      </w:r>
      <w:r w:rsidRPr="00EF6D91">
        <w:rPr>
          <w:rFonts w:ascii="Times New Roman" w:eastAsia="Aptos" w:hAnsi="Times New Roman" w:cs="Times New Roman"/>
          <w:sz w:val="24"/>
          <w:szCs w:val="24"/>
        </w:rPr>
        <w:t xml:space="preserve"> electric vehicles (EVs) in last-mile deliveries, identifying several limitations that may affect the robustness and generalizability of the results. The primary constraint arises from reliance on convenience sampling of 157 supply chain experts. Although efficient, this method may not adequately represent the diversity of logistics scenarios and geographic regions, potentially skewing results towards those already familiar with or interested in EV technologies and possibly overlooking perspectives from smaller enterprises or less developed markets.</w:t>
      </w:r>
    </w:p>
    <w:p w14:paraId="48C9E14F" w14:textId="4FCBFD07"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The geographical diversity within the sample also poses limitations. </w:t>
      </w:r>
      <w:r w:rsidR="005E5B8D" w:rsidRPr="00EF6D91">
        <w:rPr>
          <w:rFonts w:ascii="Times New Roman" w:eastAsia="Aptos" w:hAnsi="Times New Roman" w:cs="Times New Roman"/>
          <w:sz w:val="24"/>
          <w:szCs w:val="24"/>
        </w:rPr>
        <w:t>Most</w:t>
      </w:r>
      <w:r w:rsidRPr="00EF6D91">
        <w:rPr>
          <w:rFonts w:ascii="Times New Roman" w:eastAsia="Aptos" w:hAnsi="Times New Roman" w:cs="Times New Roman"/>
          <w:sz w:val="24"/>
          <w:szCs w:val="24"/>
        </w:rPr>
        <w:t xml:space="preserve"> experts consulted may share similar regional experiences, potentially reflecting biases based on their predominant market operations. </w:t>
      </w:r>
      <w:r w:rsidR="00756271" w:rsidRPr="00EF6D91">
        <w:rPr>
          <w:rFonts w:ascii="Times New Roman" w:eastAsia="Aptos" w:hAnsi="Times New Roman" w:cs="Times New Roman"/>
          <w:sz w:val="24"/>
          <w:szCs w:val="24"/>
        </w:rPr>
        <w:t xml:space="preserve">These limitations could restrict the applicability of the findings to other regions that the sample does not adequately represent, thus affecting the study's global relevance. </w:t>
      </w:r>
      <w:r w:rsidR="005E5B8D" w:rsidRPr="00EF6D91">
        <w:rPr>
          <w:rFonts w:ascii="Times New Roman" w:eastAsia="Aptos" w:hAnsi="Times New Roman" w:cs="Times New Roman"/>
          <w:sz w:val="24"/>
          <w:szCs w:val="24"/>
        </w:rPr>
        <w:t>Fu</w:t>
      </w:r>
      <w:r w:rsidRPr="00EF6D91">
        <w:rPr>
          <w:rFonts w:ascii="Times New Roman" w:eastAsia="Aptos" w:hAnsi="Times New Roman" w:cs="Times New Roman"/>
          <w:sz w:val="24"/>
          <w:szCs w:val="24"/>
        </w:rPr>
        <w:t>ture research should utilize more robust sampling methods, such as stratified or random sampling, to enhance the representativeness of the findings.</w:t>
      </w:r>
    </w:p>
    <w:p w14:paraId="03D56287" w14:textId="001B03C9"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Methodologically</w:t>
      </w:r>
      <w:r w:rsidR="00756271" w:rsidRPr="00EF6D91">
        <w:rPr>
          <w:rFonts w:ascii="Times New Roman" w:eastAsia="Aptos" w:hAnsi="Times New Roman" w:cs="Times New Roman"/>
          <w:sz w:val="24"/>
          <w:szCs w:val="24"/>
        </w:rPr>
        <w:t xml:space="preserve">, integrating </w:t>
      </w:r>
      <w:r w:rsidR="005E5B8D" w:rsidRPr="00EF6D91">
        <w:rPr>
          <w:rFonts w:ascii="Times New Roman" w:eastAsia="Aptos" w:hAnsi="Times New Roman" w:cs="Times New Roman"/>
          <w:sz w:val="24"/>
          <w:szCs w:val="24"/>
        </w:rPr>
        <w:t>EFA and AHP to categorise and rank barriers</w:t>
      </w:r>
      <w:r w:rsidR="00756271" w:rsidRPr="00EF6D91">
        <w:rPr>
          <w:rFonts w:ascii="Times New Roman" w:eastAsia="Aptos" w:hAnsi="Times New Roman" w:cs="Times New Roman"/>
          <w:sz w:val="24"/>
          <w:szCs w:val="24"/>
        </w:rPr>
        <w:t xml:space="preserve"> </w:t>
      </w:r>
      <w:r w:rsidR="005E5B8D" w:rsidRPr="00EF6D91">
        <w:rPr>
          <w:rFonts w:ascii="Times New Roman" w:eastAsia="Aptos" w:hAnsi="Times New Roman" w:cs="Times New Roman"/>
          <w:sz w:val="24"/>
          <w:szCs w:val="24"/>
        </w:rPr>
        <w:t>introduce</w:t>
      </w:r>
      <w:r w:rsidR="00756271" w:rsidRPr="00EF6D91">
        <w:rPr>
          <w:rFonts w:ascii="Times New Roman" w:eastAsia="Aptos" w:hAnsi="Times New Roman" w:cs="Times New Roman"/>
          <w:sz w:val="24"/>
          <w:szCs w:val="24"/>
        </w:rPr>
        <w:t>s</w:t>
      </w:r>
      <w:r w:rsidRPr="00EF6D91">
        <w:rPr>
          <w:rFonts w:ascii="Times New Roman" w:eastAsia="Aptos" w:hAnsi="Times New Roman" w:cs="Times New Roman"/>
          <w:sz w:val="24"/>
          <w:szCs w:val="24"/>
        </w:rPr>
        <w:t xml:space="preserve"> specific constraints. EFA depends heavily on the initial choice and </w:t>
      </w:r>
      <w:r w:rsidR="005E5B8D" w:rsidRPr="00EF6D91">
        <w:rPr>
          <w:rFonts w:ascii="Times New Roman" w:eastAsia="Aptos" w:hAnsi="Times New Roman" w:cs="Times New Roman"/>
          <w:sz w:val="24"/>
          <w:szCs w:val="24"/>
        </w:rPr>
        <w:t xml:space="preserve">the </w:t>
      </w:r>
      <w:r w:rsidRPr="00EF6D91">
        <w:rPr>
          <w:rFonts w:ascii="Times New Roman" w:eastAsia="Aptos" w:hAnsi="Times New Roman" w:cs="Times New Roman"/>
          <w:sz w:val="24"/>
          <w:szCs w:val="24"/>
        </w:rPr>
        <w:t>number of factors</w:t>
      </w:r>
      <w:r w:rsidR="005E5B8D" w:rsidRPr="00EF6D91">
        <w:rPr>
          <w:rFonts w:ascii="Times New Roman" w:eastAsia="Aptos" w:hAnsi="Times New Roman" w:cs="Times New Roman"/>
          <w:sz w:val="24"/>
          <w:szCs w:val="24"/>
        </w:rPr>
        <w:t xml:space="preserve"> that</w:t>
      </w:r>
      <w:r w:rsidRPr="00EF6D91">
        <w:rPr>
          <w:rFonts w:ascii="Times New Roman" w:eastAsia="Aptos" w:hAnsi="Times New Roman" w:cs="Times New Roman"/>
          <w:sz w:val="24"/>
          <w:szCs w:val="24"/>
        </w:rPr>
        <w:t xml:space="preserve"> could influence the outcomes. AHP, while providing a structured decision-making approach, might introduce subjectivity through its pairwise comparison process, </w:t>
      </w:r>
      <w:r w:rsidR="005E5B8D" w:rsidRPr="00EF6D91">
        <w:rPr>
          <w:rFonts w:ascii="Times New Roman" w:eastAsia="Aptos" w:hAnsi="Times New Roman" w:cs="Times New Roman"/>
          <w:sz w:val="24"/>
          <w:szCs w:val="24"/>
        </w:rPr>
        <w:t>primari</w:t>
      </w:r>
      <w:r w:rsidRPr="00EF6D91">
        <w:rPr>
          <w:rFonts w:ascii="Times New Roman" w:eastAsia="Aptos" w:hAnsi="Times New Roman" w:cs="Times New Roman"/>
          <w:sz w:val="24"/>
          <w:szCs w:val="24"/>
        </w:rPr>
        <w:t xml:space="preserve">ly as it relies on expert judgments that can be inherently biased. Moreover, </w:t>
      </w:r>
      <w:r w:rsidR="005E5B8D" w:rsidRPr="00EF6D91">
        <w:rPr>
          <w:rFonts w:ascii="Times New Roman" w:eastAsia="Aptos" w:hAnsi="Times New Roman" w:cs="Times New Roman"/>
          <w:sz w:val="24"/>
          <w:szCs w:val="24"/>
        </w:rPr>
        <w:t>applying</w:t>
      </w:r>
      <w:r w:rsidRPr="00EF6D91">
        <w:rPr>
          <w:rFonts w:ascii="Times New Roman" w:eastAsia="Aptos" w:hAnsi="Times New Roman" w:cs="Times New Roman"/>
          <w:sz w:val="24"/>
          <w:szCs w:val="24"/>
        </w:rPr>
        <w:t xml:space="preserve"> AHP’s local-global priority approach may inadvertently introduce biases due to uneven criteria distribution across categories. This </w:t>
      </w:r>
      <w:r w:rsidR="00756271" w:rsidRPr="00EF6D91">
        <w:rPr>
          <w:rFonts w:ascii="Times New Roman" w:eastAsia="Aptos" w:hAnsi="Times New Roman" w:cs="Times New Roman"/>
          <w:sz w:val="24"/>
          <w:szCs w:val="24"/>
        </w:rPr>
        <w:t xml:space="preserve">uneven criteria distribution </w:t>
      </w:r>
      <w:r w:rsidRPr="00EF6D91">
        <w:rPr>
          <w:rFonts w:ascii="Times New Roman" w:eastAsia="Aptos" w:hAnsi="Times New Roman" w:cs="Times New Roman"/>
          <w:sz w:val="24"/>
          <w:szCs w:val="24"/>
        </w:rPr>
        <w:t>could dilute or prioritize criteria weights not based on their intrinsic importance but on the relative number of elements requiring prioritization. Future investigations might benefit from integrating additional decision-making frameworks, such as the Delphi method or alternative multi-criteria decision-making (MCDM) techniques. These methods could provide a balanced approach to criteria weighting, potentially offsetting the limitations identified within the AHP framework.</w:t>
      </w:r>
    </w:p>
    <w:p w14:paraId="2C318BD1" w14:textId="48428974" w:rsidR="00403432" w:rsidRPr="00EF6D91" w:rsidRDefault="00403432" w:rsidP="00403432">
      <w:pPr>
        <w:jc w:val="both"/>
        <w:rPr>
          <w:rFonts w:ascii="Times New Roman" w:eastAsia="Aptos" w:hAnsi="Times New Roman" w:cs="Times New Roman"/>
          <w:sz w:val="24"/>
          <w:szCs w:val="24"/>
        </w:rPr>
      </w:pPr>
      <w:bookmarkStart w:id="13" w:name="_Hlk164782028"/>
      <w:r w:rsidRPr="00EF6D91">
        <w:rPr>
          <w:rFonts w:ascii="Times New Roman" w:eastAsia="Aptos" w:hAnsi="Times New Roman" w:cs="Times New Roman"/>
          <w:sz w:val="24"/>
          <w:szCs w:val="24"/>
          <w:lang w:val="en-US"/>
        </w:rPr>
        <w:t xml:space="preserve">In this study, while we employed validated methodologies such as AHP and EFA to identify and analyze barriers to EV adoption, we did not conduct a sensitivity analysis to test the robustness of these findings. Future research should integrate sensitivity analysis to </w:t>
      </w:r>
      <w:r w:rsidR="00756271" w:rsidRPr="00EF6D91">
        <w:rPr>
          <w:rFonts w:ascii="Times New Roman" w:eastAsia="Aptos" w:hAnsi="Times New Roman" w:cs="Times New Roman"/>
          <w:sz w:val="24"/>
          <w:szCs w:val="24"/>
          <w:lang w:val="en-US"/>
        </w:rPr>
        <w:t>bolster the validity of the findings and</w:t>
      </w:r>
      <w:r w:rsidRPr="00EF6D91">
        <w:rPr>
          <w:rFonts w:ascii="Times New Roman" w:eastAsia="Aptos" w:hAnsi="Times New Roman" w:cs="Times New Roman"/>
          <w:sz w:val="24"/>
          <w:szCs w:val="24"/>
          <w:lang w:val="en-US"/>
        </w:rPr>
        <w:t xml:space="preserve"> explore how modifications to the analyzed barriers could affect the proposed solutions. Further, sensitivity analysis can elucidate the relative importance of </w:t>
      </w:r>
      <w:r w:rsidR="00756271" w:rsidRPr="00EF6D91">
        <w:rPr>
          <w:rFonts w:ascii="Times New Roman" w:eastAsia="Aptos" w:hAnsi="Times New Roman" w:cs="Times New Roman"/>
          <w:sz w:val="24"/>
          <w:szCs w:val="24"/>
          <w:lang w:val="en-US"/>
        </w:rPr>
        <w:t>the different obstacle</w:t>
      </w:r>
      <w:r w:rsidRPr="00EF6D91">
        <w:rPr>
          <w:rFonts w:ascii="Times New Roman" w:eastAsia="Aptos" w:hAnsi="Times New Roman" w:cs="Times New Roman"/>
          <w:sz w:val="24"/>
          <w:szCs w:val="24"/>
          <w:lang w:val="en-US"/>
        </w:rPr>
        <w:t xml:space="preserve">s under varying scenarios, pinpointing critical barriers and opportunities within EV adoption processes. This </w:t>
      </w:r>
      <w:r w:rsidR="00756271" w:rsidRPr="00EF6D91">
        <w:rPr>
          <w:rFonts w:ascii="Times New Roman" w:eastAsia="Aptos" w:hAnsi="Times New Roman" w:cs="Times New Roman"/>
          <w:sz w:val="24"/>
          <w:szCs w:val="24"/>
          <w:lang w:val="en-US"/>
        </w:rPr>
        <w:t xml:space="preserve">approach </w:t>
      </w:r>
      <w:r w:rsidRPr="00EF6D91">
        <w:rPr>
          <w:rFonts w:ascii="Times New Roman" w:eastAsia="Aptos" w:hAnsi="Times New Roman" w:cs="Times New Roman"/>
          <w:sz w:val="24"/>
          <w:szCs w:val="24"/>
          <w:lang w:val="en-US"/>
        </w:rPr>
        <w:t xml:space="preserve">would enhance the understanding of the barrier dynamics and provide a stronger empirical foundation for making strategic decisions </w:t>
      </w:r>
      <w:r w:rsidR="00756271" w:rsidRPr="00EF6D91">
        <w:rPr>
          <w:rFonts w:ascii="Times New Roman" w:eastAsia="Aptos" w:hAnsi="Times New Roman" w:cs="Times New Roman"/>
          <w:sz w:val="24"/>
          <w:szCs w:val="24"/>
          <w:lang w:val="en-US"/>
        </w:rPr>
        <w:t>to facilitate</w:t>
      </w:r>
      <w:r w:rsidRPr="00EF6D91">
        <w:rPr>
          <w:rFonts w:ascii="Times New Roman" w:eastAsia="Aptos" w:hAnsi="Times New Roman" w:cs="Times New Roman"/>
          <w:sz w:val="24"/>
          <w:szCs w:val="24"/>
          <w:lang w:val="en-US"/>
        </w:rPr>
        <w:t xml:space="preserve"> EV adoption in LMD.</w:t>
      </w:r>
    </w:p>
    <w:bookmarkEnd w:id="13"/>
    <w:p w14:paraId="03CDA24D" w14:textId="3BA006F9"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The scope of the study spans all EV types without delving into the nuanced differences among them. Additionally, the barriers identified reflect the current state of technology and market </w:t>
      </w:r>
      <w:r w:rsidRPr="00EF6D91">
        <w:rPr>
          <w:rFonts w:ascii="Times New Roman" w:eastAsia="Aptos" w:hAnsi="Times New Roman" w:cs="Times New Roman"/>
          <w:sz w:val="24"/>
          <w:szCs w:val="24"/>
        </w:rPr>
        <w:lastRenderedPageBreak/>
        <w:t>conditions, subject to rapid changes. Advances in EV technology and shifts in regulatory landscapes could soon render some identified barriers outdated, suggesting that the findings may require periodic updates to remain pertinent.</w:t>
      </w:r>
    </w:p>
    <w:p w14:paraId="02D8217E" w14:textId="5F082E25" w:rsidR="00403432" w:rsidRPr="00EF6D91" w:rsidRDefault="00403432"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Further, while the study identifies and ranks barriers broadly, it does not delve deeply into the specific underlying causes of each barrier. For instance, </w:t>
      </w:r>
      <w:r w:rsidR="00756271" w:rsidRPr="00EF6D91">
        <w:rPr>
          <w:rFonts w:ascii="Times New Roman" w:eastAsia="Aptos" w:hAnsi="Times New Roman" w:cs="Times New Roman"/>
          <w:sz w:val="24"/>
          <w:szCs w:val="24"/>
        </w:rPr>
        <w:t xml:space="preserve">although acknowledged but not explored in detail, issues such as the role of government </w:t>
      </w:r>
      <w:r w:rsidR="00164431" w:rsidRPr="00EF6D91">
        <w:rPr>
          <w:rFonts w:ascii="Times New Roman" w:eastAsia="Aptos" w:hAnsi="Times New Roman" w:cs="Times New Roman"/>
          <w:sz w:val="24"/>
          <w:szCs w:val="24"/>
        </w:rPr>
        <w:t>policy, mainly</w:t>
      </w:r>
      <w:r w:rsidRPr="00EF6D91">
        <w:rPr>
          <w:rFonts w:ascii="Times New Roman" w:eastAsia="Aptos" w:hAnsi="Times New Roman" w:cs="Times New Roman"/>
          <w:sz w:val="24"/>
          <w:szCs w:val="24"/>
        </w:rPr>
        <w:t xml:space="preserve"> how policy variations between countries specifically affect EV adoption in last-mile deliveries. The research primarily focuses on technical and infrastructural aspects, with less emphasis on the economic or political factors that significantly influence technology adoption.</w:t>
      </w:r>
    </w:p>
    <w:p w14:paraId="1ED9ED1A" w14:textId="790238C2" w:rsidR="00756271" w:rsidRPr="00EF6D91" w:rsidRDefault="00756271"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Future studies should adopt a more integrated approach considering these dimensions to provide a more comprehensive understanding of the barriers to EV adoption. Researchers also need to engage more deeply with the complexities of battery recycling and the effects of policy shifts. More studies must explore integrating EVs with renewable energy sources to fulfil sustainability goals. Future research must investigate sustainable models for battery lifecycle management and understand the dynamic implications of policy choices on EV adoption.</w:t>
      </w:r>
    </w:p>
    <w:p w14:paraId="11774A85" w14:textId="41E23A0D" w:rsidR="00403432" w:rsidRPr="00EF6D91" w:rsidRDefault="00756271" w:rsidP="00403432">
      <w:pPr>
        <w:jc w:val="both"/>
        <w:rPr>
          <w:rFonts w:ascii="Times New Roman" w:eastAsia="Aptos" w:hAnsi="Times New Roman" w:cs="Times New Roman"/>
          <w:sz w:val="24"/>
          <w:szCs w:val="24"/>
        </w:rPr>
      </w:pPr>
      <w:r w:rsidRPr="00EF6D91">
        <w:rPr>
          <w:rFonts w:ascii="Times New Roman" w:eastAsia="Aptos" w:hAnsi="Times New Roman" w:cs="Times New Roman"/>
          <w:sz w:val="24"/>
          <w:szCs w:val="24"/>
        </w:rPr>
        <w:t xml:space="preserve">Future inquiries should aim to provide a comprehensive view of barriers across different geographical, cultural, economic, and environmental contexts. They should employ mixed methods and longitudinal designs to capture the evolving nature of these obstacles. </w:t>
      </w:r>
      <w:r w:rsidR="00403432" w:rsidRPr="00EF6D91">
        <w:rPr>
          <w:rFonts w:ascii="Times New Roman" w:eastAsia="Aptos" w:hAnsi="Times New Roman" w:cs="Times New Roman"/>
          <w:sz w:val="24"/>
          <w:szCs w:val="24"/>
        </w:rPr>
        <w:t>Incentive schemes and policy interventions across varied policy landscapes represent another crucial area for exploration, potentially informing strategies to enhance EV adoption rates and sustainability outcomes. Additionally, understanding consumer and stakeholder perceptions through psychological and sociological analyses will be vital in addressing the motivational and attitudinal drivers behind EV adoption in last-mile deliveries.</w:t>
      </w:r>
    </w:p>
    <w:p w14:paraId="3843C3C1" w14:textId="77777777" w:rsidR="003A0AD1" w:rsidRPr="00EF6D91" w:rsidRDefault="003A0AD1" w:rsidP="00D5018D">
      <w:pPr>
        <w:jc w:val="both"/>
        <w:rPr>
          <w:color w:val="000000" w:themeColor="text1"/>
        </w:rPr>
      </w:pPr>
    </w:p>
    <w:p w14:paraId="2F240B85" w14:textId="77777777" w:rsidR="00762B76" w:rsidRPr="00EF6D91" w:rsidRDefault="00762B76" w:rsidP="00D5018D">
      <w:pPr>
        <w:jc w:val="both"/>
        <w:rPr>
          <w:rFonts w:ascii="Times New Roman" w:hAnsi="Times New Roman" w:cs="Times New Roman"/>
          <w:b/>
          <w:bCs/>
          <w:color w:val="000000" w:themeColor="text1"/>
          <w:sz w:val="24"/>
          <w:szCs w:val="24"/>
        </w:rPr>
      </w:pPr>
    </w:p>
    <w:p w14:paraId="7A3B4A72" w14:textId="77777777" w:rsidR="00901359" w:rsidRPr="00EF6D91" w:rsidRDefault="00901359" w:rsidP="00D5018D">
      <w:pPr>
        <w:jc w:val="both"/>
        <w:rPr>
          <w:rFonts w:ascii="Times New Roman" w:hAnsi="Times New Roman" w:cs="Times New Roman"/>
          <w:b/>
          <w:bCs/>
          <w:color w:val="000000" w:themeColor="text1"/>
          <w:sz w:val="24"/>
          <w:szCs w:val="24"/>
        </w:rPr>
      </w:pPr>
    </w:p>
    <w:p w14:paraId="5D235F64" w14:textId="77777777" w:rsidR="00901359" w:rsidRPr="00EF6D91" w:rsidRDefault="00901359" w:rsidP="00D5018D">
      <w:pPr>
        <w:jc w:val="both"/>
        <w:rPr>
          <w:rFonts w:ascii="Times New Roman" w:hAnsi="Times New Roman" w:cs="Times New Roman"/>
          <w:b/>
          <w:bCs/>
          <w:color w:val="000000" w:themeColor="text1"/>
          <w:sz w:val="24"/>
          <w:szCs w:val="24"/>
        </w:rPr>
      </w:pPr>
    </w:p>
    <w:p w14:paraId="357AB12E" w14:textId="77777777" w:rsidR="00901359" w:rsidRPr="00EF6D91" w:rsidRDefault="00901359" w:rsidP="00D5018D">
      <w:pPr>
        <w:jc w:val="both"/>
        <w:rPr>
          <w:rFonts w:ascii="Times New Roman" w:hAnsi="Times New Roman" w:cs="Times New Roman"/>
          <w:b/>
          <w:bCs/>
          <w:color w:val="000000" w:themeColor="text1"/>
          <w:sz w:val="24"/>
          <w:szCs w:val="24"/>
        </w:rPr>
      </w:pPr>
    </w:p>
    <w:p w14:paraId="00F9CC99" w14:textId="77777777" w:rsidR="00901359" w:rsidRPr="00EF6D91" w:rsidRDefault="00901359" w:rsidP="00D5018D">
      <w:pPr>
        <w:jc w:val="both"/>
        <w:rPr>
          <w:rFonts w:ascii="Times New Roman" w:hAnsi="Times New Roman" w:cs="Times New Roman"/>
          <w:b/>
          <w:bCs/>
          <w:color w:val="000000" w:themeColor="text1"/>
          <w:sz w:val="24"/>
          <w:szCs w:val="24"/>
        </w:rPr>
      </w:pPr>
    </w:p>
    <w:p w14:paraId="223F75AC" w14:textId="77777777" w:rsidR="00901359" w:rsidRPr="00EF6D91" w:rsidRDefault="00901359" w:rsidP="00D5018D">
      <w:pPr>
        <w:jc w:val="both"/>
        <w:rPr>
          <w:rFonts w:ascii="Times New Roman" w:hAnsi="Times New Roman" w:cs="Times New Roman"/>
          <w:b/>
          <w:bCs/>
          <w:color w:val="000000" w:themeColor="text1"/>
          <w:sz w:val="24"/>
          <w:szCs w:val="24"/>
        </w:rPr>
      </w:pPr>
    </w:p>
    <w:p w14:paraId="374E25DA" w14:textId="77777777" w:rsidR="00901359" w:rsidRPr="00EF6D91" w:rsidRDefault="00901359" w:rsidP="00D5018D">
      <w:pPr>
        <w:jc w:val="both"/>
        <w:rPr>
          <w:rFonts w:ascii="Times New Roman" w:hAnsi="Times New Roman" w:cs="Times New Roman"/>
          <w:b/>
          <w:bCs/>
          <w:color w:val="000000" w:themeColor="text1"/>
          <w:sz w:val="24"/>
          <w:szCs w:val="24"/>
        </w:rPr>
      </w:pPr>
    </w:p>
    <w:p w14:paraId="19EB91C8" w14:textId="77777777" w:rsidR="00DD1088" w:rsidRPr="00EF6D91" w:rsidRDefault="00DD1088" w:rsidP="00D5018D">
      <w:pPr>
        <w:jc w:val="both"/>
        <w:rPr>
          <w:rFonts w:ascii="Times New Roman" w:hAnsi="Times New Roman" w:cs="Times New Roman"/>
          <w:b/>
          <w:bCs/>
          <w:color w:val="000000" w:themeColor="text1"/>
          <w:sz w:val="24"/>
          <w:szCs w:val="24"/>
        </w:rPr>
      </w:pPr>
    </w:p>
    <w:p w14:paraId="45CDF47A" w14:textId="77777777" w:rsidR="00DD1088" w:rsidRPr="00EF6D91" w:rsidRDefault="00DD1088" w:rsidP="00D5018D">
      <w:pPr>
        <w:jc w:val="both"/>
        <w:rPr>
          <w:rFonts w:ascii="Times New Roman" w:hAnsi="Times New Roman" w:cs="Times New Roman"/>
          <w:b/>
          <w:bCs/>
          <w:color w:val="000000" w:themeColor="text1"/>
          <w:sz w:val="24"/>
          <w:szCs w:val="24"/>
        </w:rPr>
      </w:pPr>
    </w:p>
    <w:p w14:paraId="7A417BD7" w14:textId="77777777" w:rsidR="00DD1088" w:rsidRPr="00EF6D91" w:rsidRDefault="00DD1088" w:rsidP="00D5018D">
      <w:pPr>
        <w:jc w:val="both"/>
        <w:rPr>
          <w:rFonts w:ascii="Times New Roman" w:hAnsi="Times New Roman" w:cs="Times New Roman"/>
          <w:b/>
          <w:bCs/>
          <w:color w:val="000000" w:themeColor="text1"/>
          <w:sz w:val="24"/>
          <w:szCs w:val="24"/>
        </w:rPr>
      </w:pPr>
    </w:p>
    <w:p w14:paraId="4CEBBDFA" w14:textId="77777777" w:rsidR="00DD1088" w:rsidRPr="00EF6D91" w:rsidRDefault="00DD1088" w:rsidP="00D5018D">
      <w:pPr>
        <w:jc w:val="both"/>
        <w:rPr>
          <w:rFonts w:ascii="Times New Roman" w:hAnsi="Times New Roman" w:cs="Times New Roman"/>
          <w:b/>
          <w:bCs/>
          <w:color w:val="000000" w:themeColor="text1"/>
          <w:sz w:val="24"/>
          <w:szCs w:val="24"/>
        </w:rPr>
      </w:pPr>
    </w:p>
    <w:p w14:paraId="68DEE3B1" w14:textId="77777777" w:rsidR="00DD1088" w:rsidRPr="00EF6D91" w:rsidRDefault="00DD1088" w:rsidP="00D5018D">
      <w:pPr>
        <w:jc w:val="both"/>
        <w:rPr>
          <w:rFonts w:ascii="Times New Roman" w:hAnsi="Times New Roman" w:cs="Times New Roman"/>
          <w:b/>
          <w:bCs/>
          <w:color w:val="000000" w:themeColor="text1"/>
          <w:sz w:val="24"/>
          <w:szCs w:val="24"/>
        </w:rPr>
      </w:pPr>
    </w:p>
    <w:p w14:paraId="148A56FC" w14:textId="77777777" w:rsidR="00DD1088" w:rsidRPr="00EF6D91" w:rsidRDefault="00DD1088" w:rsidP="00D5018D">
      <w:pPr>
        <w:jc w:val="both"/>
        <w:rPr>
          <w:rFonts w:ascii="Times New Roman" w:hAnsi="Times New Roman" w:cs="Times New Roman"/>
          <w:b/>
          <w:bCs/>
          <w:color w:val="000000" w:themeColor="text1"/>
          <w:sz w:val="24"/>
          <w:szCs w:val="24"/>
        </w:rPr>
      </w:pPr>
    </w:p>
    <w:p w14:paraId="64BB6946" w14:textId="77777777" w:rsidR="00DD1088" w:rsidRPr="00EF6D91" w:rsidRDefault="00DD1088" w:rsidP="00D5018D">
      <w:pPr>
        <w:jc w:val="both"/>
        <w:rPr>
          <w:rFonts w:ascii="Times New Roman" w:hAnsi="Times New Roman" w:cs="Times New Roman"/>
          <w:b/>
          <w:bCs/>
          <w:color w:val="000000" w:themeColor="text1"/>
          <w:sz w:val="24"/>
          <w:szCs w:val="24"/>
        </w:rPr>
      </w:pPr>
    </w:p>
    <w:p w14:paraId="41250C6C" w14:textId="1D6B0ED0" w:rsidR="00EA0664" w:rsidRPr="00EF6D91" w:rsidRDefault="00EA0664" w:rsidP="00D5018D">
      <w:pPr>
        <w:jc w:val="both"/>
        <w:rPr>
          <w:rFonts w:ascii="Times New Roman" w:hAnsi="Times New Roman" w:cs="Times New Roman"/>
          <w:b/>
          <w:bCs/>
          <w:color w:val="000000" w:themeColor="text1"/>
          <w:sz w:val="24"/>
          <w:szCs w:val="24"/>
        </w:rPr>
      </w:pPr>
      <w:r w:rsidRPr="00EF6D91">
        <w:rPr>
          <w:rFonts w:ascii="Times New Roman" w:hAnsi="Times New Roman" w:cs="Times New Roman"/>
          <w:b/>
          <w:bCs/>
          <w:color w:val="000000" w:themeColor="text1"/>
          <w:sz w:val="24"/>
          <w:szCs w:val="24"/>
        </w:rPr>
        <w:t>REFERENCES</w:t>
      </w:r>
    </w:p>
    <w:p w14:paraId="5CB2ABFF" w14:textId="77777777" w:rsidR="00AF71F9" w:rsidRPr="00EF6D91" w:rsidRDefault="00567693"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color w:val="000000" w:themeColor="text1"/>
          <w:sz w:val="24"/>
          <w:szCs w:val="24"/>
        </w:rPr>
        <w:fldChar w:fldCharType="begin"/>
      </w:r>
      <w:r w:rsidR="00E9108F" w:rsidRPr="00EF6D91">
        <w:rPr>
          <w:rFonts w:ascii="Times New Roman" w:hAnsi="Times New Roman" w:cs="Times New Roman"/>
          <w:color w:val="000000" w:themeColor="text1"/>
          <w:sz w:val="24"/>
          <w:szCs w:val="24"/>
        </w:rPr>
        <w:instrText xml:space="preserve"> ADDIN ZOTERO_BIBL {"uncited":[],"omitted":[],"custom":[]} CSL_BIBLIOGRAPHY </w:instrText>
      </w:r>
      <w:r w:rsidRPr="00EF6D91">
        <w:rPr>
          <w:rFonts w:ascii="Times New Roman" w:hAnsi="Times New Roman" w:cs="Times New Roman"/>
          <w:color w:val="000000" w:themeColor="text1"/>
          <w:sz w:val="24"/>
          <w:szCs w:val="24"/>
        </w:rPr>
        <w:fldChar w:fldCharType="separate"/>
      </w:r>
      <w:r w:rsidR="00AF71F9" w:rsidRPr="00EF6D91">
        <w:rPr>
          <w:rFonts w:ascii="Times New Roman" w:hAnsi="Times New Roman" w:cs="Times New Roman"/>
          <w:sz w:val="24"/>
          <w:szCs w:val="24"/>
        </w:rPr>
        <w:t xml:space="preserve">Akoglu, H. (2018), “User’s guide to correlation coefficients”, </w:t>
      </w:r>
      <w:r w:rsidR="00AF71F9" w:rsidRPr="00EF6D91">
        <w:rPr>
          <w:rFonts w:ascii="Times New Roman" w:hAnsi="Times New Roman" w:cs="Times New Roman"/>
          <w:i/>
          <w:iCs/>
          <w:sz w:val="24"/>
          <w:szCs w:val="24"/>
        </w:rPr>
        <w:t>Turkish Journal of Emergency Medicine</w:t>
      </w:r>
      <w:r w:rsidR="00AF71F9" w:rsidRPr="00EF6D91">
        <w:rPr>
          <w:rFonts w:ascii="Times New Roman" w:hAnsi="Times New Roman" w:cs="Times New Roman"/>
          <w:sz w:val="24"/>
          <w:szCs w:val="24"/>
        </w:rPr>
        <w:t>, Vol. 18 No. 3, pp. 91–93, doi: 10.1016/j.tjem.2018.08.001.</w:t>
      </w:r>
    </w:p>
    <w:p w14:paraId="4D7D4820" w14:textId="30EF2AB2"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Aljohani, K. and Thompson, R.G. (2020), “An examination of last</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 xml:space="preserve">mile delivery practices of freight carriers servicing business receivers in inner-city areas”, </w:t>
      </w:r>
      <w:r w:rsidRPr="00EF6D91">
        <w:rPr>
          <w:rFonts w:ascii="Times New Roman" w:hAnsi="Times New Roman" w:cs="Times New Roman"/>
          <w:i/>
          <w:iCs/>
          <w:sz w:val="24"/>
          <w:szCs w:val="24"/>
        </w:rPr>
        <w:t>Sustainability</w:t>
      </w:r>
      <w:r w:rsidRPr="00EF6D91">
        <w:rPr>
          <w:rFonts w:ascii="Times New Roman" w:hAnsi="Times New Roman" w:cs="Times New Roman"/>
          <w:sz w:val="24"/>
          <w:szCs w:val="24"/>
        </w:rPr>
        <w:t>, Vol. 12 No. 7, p. 2837, doi: 10.3390/su12072837.</w:t>
      </w:r>
    </w:p>
    <w:p w14:paraId="5A44E271"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“Amazon now has over 10,000 custom electric vans delivering to customers across the U.S.” (2023), </w:t>
      </w:r>
      <w:r w:rsidRPr="00EF6D91">
        <w:rPr>
          <w:rFonts w:ascii="Times New Roman" w:hAnsi="Times New Roman" w:cs="Times New Roman"/>
          <w:i/>
          <w:iCs/>
          <w:sz w:val="24"/>
          <w:szCs w:val="24"/>
        </w:rPr>
        <w:t>US About Amazon</w:t>
      </w:r>
      <w:r w:rsidRPr="00EF6D91">
        <w:rPr>
          <w:rFonts w:ascii="Times New Roman" w:hAnsi="Times New Roman" w:cs="Times New Roman"/>
          <w:sz w:val="24"/>
          <w:szCs w:val="24"/>
        </w:rPr>
        <w:t>, 30 March, available at: https://www.aboutamazon.com/news/transportation/everything-you-need-to-know-about-amazons-electric-delivery-vans-from-rivian (accessed 26 March 2024).</w:t>
      </w:r>
    </w:p>
    <w:p w14:paraId="1FAFFBB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Anosike, A., Loomes, H., Udokporo, C.K. and Garza-Reyes, J.A. (2023), “Exploring the challenges of electric vehicle adoption in final mile parcel delivery”, </w:t>
      </w:r>
      <w:r w:rsidRPr="00EF6D91">
        <w:rPr>
          <w:rFonts w:ascii="Times New Roman" w:hAnsi="Times New Roman" w:cs="Times New Roman"/>
          <w:i/>
          <w:iCs/>
          <w:sz w:val="24"/>
          <w:szCs w:val="24"/>
        </w:rPr>
        <w:t>International Journal of Logistics Research and Applications</w:t>
      </w:r>
      <w:r w:rsidRPr="00EF6D91">
        <w:rPr>
          <w:rFonts w:ascii="Times New Roman" w:hAnsi="Times New Roman" w:cs="Times New Roman"/>
          <w:sz w:val="24"/>
          <w:szCs w:val="24"/>
        </w:rPr>
        <w:t>, Vol. 26 No. 6, pp. 683–707, doi: 10.1080/13675567.2021.1978409.</w:t>
      </w:r>
    </w:p>
    <w:p w14:paraId="3D578BB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Asadi, S., Nilashi, M., Iranmanesh, M., Ghobakhloo, M., Samad, S., Alghamdi, A., Almulihi, A., </w:t>
      </w:r>
      <w:r w:rsidRPr="00EF6D91">
        <w:rPr>
          <w:rFonts w:ascii="Times New Roman" w:hAnsi="Times New Roman" w:cs="Times New Roman"/>
          <w:i/>
          <w:iCs/>
          <w:sz w:val="24"/>
          <w:szCs w:val="24"/>
        </w:rPr>
        <w:t>et al.</w:t>
      </w:r>
      <w:r w:rsidRPr="00EF6D91">
        <w:rPr>
          <w:rFonts w:ascii="Times New Roman" w:hAnsi="Times New Roman" w:cs="Times New Roman"/>
          <w:sz w:val="24"/>
          <w:szCs w:val="24"/>
        </w:rPr>
        <w:t xml:space="preserve"> (2022), “Drivers and barriers of electric vehicle usage in Malaysia: A DEMATEL approach”, </w:t>
      </w:r>
      <w:r w:rsidRPr="00EF6D91">
        <w:rPr>
          <w:rFonts w:ascii="Times New Roman" w:hAnsi="Times New Roman" w:cs="Times New Roman"/>
          <w:i/>
          <w:iCs/>
          <w:sz w:val="24"/>
          <w:szCs w:val="24"/>
        </w:rPr>
        <w:t>Resources, Conservation and Recycling</w:t>
      </w:r>
      <w:r w:rsidRPr="00EF6D91">
        <w:rPr>
          <w:rFonts w:ascii="Times New Roman" w:hAnsi="Times New Roman" w:cs="Times New Roman"/>
          <w:sz w:val="24"/>
          <w:szCs w:val="24"/>
        </w:rPr>
        <w:t>, Vol. 177, p. 105965, doi: 10.1016/j.resconrec.2021.105965.</w:t>
      </w:r>
    </w:p>
    <w:p w14:paraId="6296EFB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Aungkulanon, P., Atthirawong, W. and Luangpaiboon, P. (2023), “Fuzzy Analytical Hierarchy Process for Strategic Decision Making in Electric Vehicle Adoption”, </w:t>
      </w:r>
      <w:r w:rsidRPr="00EF6D91">
        <w:rPr>
          <w:rFonts w:ascii="Times New Roman" w:hAnsi="Times New Roman" w:cs="Times New Roman"/>
          <w:i/>
          <w:iCs/>
          <w:sz w:val="24"/>
          <w:szCs w:val="24"/>
        </w:rPr>
        <w:t>Sustainability</w:t>
      </w:r>
      <w:r w:rsidRPr="00EF6D91">
        <w:rPr>
          <w:rFonts w:ascii="Times New Roman" w:hAnsi="Times New Roman" w:cs="Times New Roman"/>
          <w:sz w:val="24"/>
          <w:szCs w:val="24"/>
        </w:rPr>
        <w:t>, Vol. 15 No. 8, p. 7003, doi: 10.3390/su15087003.</w:t>
      </w:r>
    </w:p>
    <w:p w14:paraId="53767D2B"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Banijamali, A., Pakanen, O.-P., Kuvaja, P. and Oivo, M. (2020), “Software architectures of the convergence of cloud computing and the Internet of Things: A systematic literature review”, </w:t>
      </w:r>
      <w:r w:rsidRPr="00EF6D91">
        <w:rPr>
          <w:rFonts w:ascii="Times New Roman" w:hAnsi="Times New Roman" w:cs="Times New Roman"/>
          <w:i/>
          <w:iCs/>
          <w:sz w:val="24"/>
          <w:szCs w:val="24"/>
        </w:rPr>
        <w:t>Information and Software Technology</w:t>
      </w:r>
      <w:r w:rsidRPr="00EF6D91">
        <w:rPr>
          <w:rFonts w:ascii="Times New Roman" w:hAnsi="Times New Roman" w:cs="Times New Roman"/>
          <w:sz w:val="24"/>
          <w:szCs w:val="24"/>
        </w:rPr>
        <w:t>, Vol. 122, p. 106271, doi: 10.1016/j.infsof.2020.106271.</w:t>
      </w:r>
    </w:p>
    <w:p w14:paraId="03ACBDFB" w14:textId="2735D08D"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Barisa, A., Rosa, M. and Kisele, A. (2016), “Introducing electric mobility in </w:t>
      </w:r>
      <w:r w:rsidR="00756271" w:rsidRPr="00EF6D91">
        <w:rPr>
          <w:rFonts w:ascii="Times New Roman" w:hAnsi="Times New Roman" w:cs="Times New Roman"/>
          <w:sz w:val="24"/>
          <w:szCs w:val="24"/>
        </w:rPr>
        <w:t>L</w:t>
      </w:r>
      <w:r w:rsidRPr="00EF6D91">
        <w:rPr>
          <w:rFonts w:ascii="Times New Roman" w:hAnsi="Times New Roman" w:cs="Times New Roman"/>
          <w:sz w:val="24"/>
          <w:szCs w:val="24"/>
        </w:rPr>
        <w:t xml:space="preserve">atvian municipalities: results of a survey”, </w:t>
      </w:r>
      <w:r w:rsidRPr="00EF6D91">
        <w:rPr>
          <w:rFonts w:ascii="Times New Roman" w:hAnsi="Times New Roman" w:cs="Times New Roman"/>
          <w:i/>
          <w:iCs/>
          <w:sz w:val="24"/>
          <w:szCs w:val="24"/>
        </w:rPr>
        <w:t>Energy Procedia</w:t>
      </w:r>
      <w:r w:rsidRPr="00EF6D91">
        <w:rPr>
          <w:rFonts w:ascii="Times New Roman" w:hAnsi="Times New Roman" w:cs="Times New Roman"/>
          <w:sz w:val="24"/>
          <w:szCs w:val="24"/>
        </w:rPr>
        <w:t>, Vol. 95, pp. 50–57, doi: 10.1016/j.egypro.2016.09.015.</w:t>
      </w:r>
    </w:p>
    <w:p w14:paraId="1500F41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“Barriers to electric vehicle adoption”. (n.d.). , available at: https://www.exro.com/industry-insights/barriers-to-battery-electric-vehicle-adoption (accessed 26 March 2024).</w:t>
      </w:r>
    </w:p>
    <w:p w14:paraId="60A1E3A3"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Bask, A. and Rajahonka, M. (2017), “The role of environmental sustainability in the freight transport mode choice: A systematic literature review with focus on the EU”, </w:t>
      </w:r>
      <w:r w:rsidRPr="00EF6D91">
        <w:rPr>
          <w:rFonts w:ascii="Times New Roman" w:hAnsi="Times New Roman" w:cs="Times New Roman"/>
          <w:i/>
          <w:iCs/>
          <w:sz w:val="24"/>
          <w:szCs w:val="24"/>
        </w:rPr>
        <w:t>International Journal of Physical Distribution &amp; Logistics Management</w:t>
      </w:r>
      <w:r w:rsidRPr="00EF6D91">
        <w:rPr>
          <w:rFonts w:ascii="Times New Roman" w:hAnsi="Times New Roman" w:cs="Times New Roman"/>
          <w:sz w:val="24"/>
          <w:szCs w:val="24"/>
        </w:rPr>
        <w:t>, Vol. 47 No. 7, pp. 560–602, doi: 10.1108/IJPDLM-03-2017-0127.</w:t>
      </w:r>
    </w:p>
    <w:p w14:paraId="3DA6BBA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Bektaş, T. (2017), </w:t>
      </w:r>
      <w:r w:rsidRPr="00EF6D91">
        <w:rPr>
          <w:rFonts w:ascii="Times New Roman" w:hAnsi="Times New Roman" w:cs="Times New Roman"/>
          <w:i/>
          <w:iCs/>
          <w:sz w:val="24"/>
          <w:szCs w:val="24"/>
        </w:rPr>
        <w:t>Freight Transport and Distribution: Concepts and Optimisation Models</w:t>
      </w:r>
      <w:r w:rsidRPr="00EF6D91">
        <w:rPr>
          <w:rFonts w:ascii="Times New Roman" w:hAnsi="Times New Roman" w:cs="Times New Roman"/>
          <w:sz w:val="24"/>
          <w:szCs w:val="24"/>
        </w:rPr>
        <w:t>, 1st ed., CRC Press.</w:t>
      </w:r>
    </w:p>
    <w:p w14:paraId="4079F4E6"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Berkeley, N., Bailey, D., Jones, A. and Jarvis, D. (2017), “Assessing the transition towards battery electric vehicles: a multi-level perspective on drivers of, and barriers to, take up”, </w:t>
      </w:r>
      <w:r w:rsidRPr="00EF6D91">
        <w:rPr>
          <w:rFonts w:ascii="Times New Roman" w:hAnsi="Times New Roman" w:cs="Times New Roman"/>
          <w:i/>
          <w:iCs/>
          <w:sz w:val="24"/>
          <w:szCs w:val="24"/>
        </w:rPr>
        <w:t>Transportation Research Part A: Policy and Practice</w:t>
      </w:r>
      <w:r w:rsidRPr="00EF6D91">
        <w:rPr>
          <w:rFonts w:ascii="Times New Roman" w:hAnsi="Times New Roman" w:cs="Times New Roman"/>
          <w:sz w:val="24"/>
          <w:szCs w:val="24"/>
        </w:rPr>
        <w:t>, Vol. 106, pp. 320–332, doi: 10.1016/j.tra.2017.10.004.</w:t>
      </w:r>
    </w:p>
    <w:p w14:paraId="21B4DF5E" w14:textId="311B88CB"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Biresselioglu, M.E., Demirbag Kaplan, M. and Yilmaz, B.K. (2018), “Electric mobility in Europe: A comprehensive review of motivators and barriers in decision</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 xml:space="preserve">making processes”, </w:t>
      </w:r>
      <w:r w:rsidRPr="00EF6D91">
        <w:rPr>
          <w:rFonts w:ascii="Times New Roman" w:hAnsi="Times New Roman" w:cs="Times New Roman"/>
          <w:i/>
          <w:iCs/>
          <w:sz w:val="24"/>
          <w:szCs w:val="24"/>
        </w:rPr>
        <w:t>Transportation Research Part A: Policy and Practice</w:t>
      </w:r>
      <w:r w:rsidRPr="00EF6D91">
        <w:rPr>
          <w:rFonts w:ascii="Times New Roman" w:hAnsi="Times New Roman" w:cs="Times New Roman"/>
          <w:sz w:val="24"/>
          <w:szCs w:val="24"/>
        </w:rPr>
        <w:t>, Vol. 109, pp. 1–13, doi: 10.1016/j.tra.2018.01.017.</w:t>
      </w:r>
    </w:p>
    <w:p w14:paraId="32E9DB63" w14:textId="3ED49409"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Bosona, T. (2020), “Urban freight last</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 xml:space="preserve">mile logistics—challenges and opportunities to improve sustainability: a literature review”, </w:t>
      </w:r>
      <w:r w:rsidRPr="00EF6D91">
        <w:rPr>
          <w:rFonts w:ascii="Times New Roman" w:hAnsi="Times New Roman" w:cs="Times New Roman"/>
          <w:i/>
          <w:iCs/>
          <w:sz w:val="24"/>
          <w:szCs w:val="24"/>
        </w:rPr>
        <w:t>Sustainability</w:t>
      </w:r>
      <w:r w:rsidRPr="00EF6D91">
        <w:rPr>
          <w:rFonts w:ascii="Times New Roman" w:hAnsi="Times New Roman" w:cs="Times New Roman"/>
          <w:sz w:val="24"/>
          <w:szCs w:val="24"/>
        </w:rPr>
        <w:t>, Vol. 12 No. 21, p. 8769, doi: 10.3390/su12218769.</w:t>
      </w:r>
    </w:p>
    <w:p w14:paraId="50922E5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lastRenderedPageBreak/>
        <w:t xml:space="preserve">Bruzzone, F., Cavallaro, F. and Nocera, S. (2021), “The integration of passenger and freight transport for first-last mile operations”, </w:t>
      </w:r>
      <w:r w:rsidRPr="00EF6D91">
        <w:rPr>
          <w:rFonts w:ascii="Times New Roman" w:hAnsi="Times New Roman" w:cs="Times New Roman"/>
          <w:i/>
          <w:iCs/>
          <w:sz w:val="24"/>
          <w:szCs w:val="24"/>
        </w:rPr>
        <w:t>Transport Policy</w:t>
      </w:r>
      <w:r w:rsidRPr="00EF6D91">
        <w:rPr>
          <w:rFonts w:ascii="Times New Roman" w:hAnsi="Times New Roman" w:cs="Times New Roman"/>
          <w:sz w:val="24"/>
          <w:szCs w:val="24"/>
        </w:rPr>
        <w:t>, Vol. 100, pp. 31–48, doi: 10.1016/j.tranpol.2020.10.009.</w:t>
      </w:r>
    </w:p>
    <w:p w14:paraId="1307D2F6"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Caggiani, L., Colovic, A., Prencipe, L.P. and Ottomanelli, M. (2021), “A green logistics solution for last-mile deliveries considering e-vans and e-cargo bikes”, </w:t>
      </w:r>
      <w:r w:rsidRPr="00EF6D91">
        <w:rPr>
          <w:rFonts w:ascii="Times New Roman" w:hAnsi="Times New Roman" w:cs="Times New Roman"/>
          <w:i/>
          <w:iCs/>
          <w:sz w:val="24"/>
          <w:szCs w:val="24"/>
        </w:rPr>
        <w:t>Transportation Research Procedia</w:t>
      </w:r>
      <w:r w:rsidRPr="00EF6D91">
        <w:rPr>
          <w:rFonts w:ascii="Times New Roman" w:hAnsi="Times New Roman" w:cs="Times New Roman"/>
          <w:sz w:val="24"/>
          <w:szCs w:val="24"/>
        </w:rPr>
        <w:t>, Vol. 52, pp. 75–82, doi: 10.1016/j.trpro.2021.01.010.</w:t>
      </w:r>
    </w:p>
    <w:p w14:paraId="2E34F2AC" w14:textId="3EEEC836"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Carter, C.R., Hatton, M.R., Wu, C. and Chen, X. (2019), “Sustainable supply chain management: continuing evolution and future directions</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 xml:space="preserve">” </w:t>
      </w:r>
      <w:r w:rsidRPr="00EF6D91">
        <w:rPr>
          <w:rFonts w:ascii="Times New Roman" w:hAnsi="Times New Roman" w:cs="Times New Roman"/>
          <w:i/>
          <w:iCs/>
          <w:sz w:val="24"/>
          <w:szCs w:val="24"/>
        </w:rPr>
        <w:t>International Journal of Physical Distribution &amp; Logistics Management</w:t>
      </w:r>
      <w:r w:rsidRPr="00EF6D91">
        <w:rPr>
          <w:rFonts w:ascii="Times New Roman" w:hAnsi="Times New Roman" w:cs="Times New Roman"/>
          <w:sz w:val="24"/>
          <w:szCs w:val="24"/>
        </w:rPr>
        <w:t>, Vol. 50 No. 1, pp. 122–146, doi: 10.1108/IJPDLM-02-2019-0056.</w:t>
      </w:r>
    </w:p>
    <w:p w14:paraId="404E7904"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Centobelli, P., Cerchione, R., Esposito, E. and Oropallo, E. (2021), “Surfing blockchain wave, or drowning? Shaping the future of distributed ledgers and decentralized technologies”, </w:t>
      </w:r>
      <w:r w:rsidRPr="00EF6D91">
        <w:rPr>
          <w:rFonts w:ascii="Times New Roman" w:hAnsi="Times New Roman" w:cs="Times New Roman"/>
          <w:i/>
          <w:iCs/>
          <w:sz w:val="24"/>
          <w:szCs w:val="24"/>
        </w:rPr>
        <w:t>TECHNOLOGICAL FORECASTING AND SOCIAL CHANGE</w:t>
      </w:r>
      <w:r w:rsidRPr="00EF6D91">
        <w:rPr>
          <w:rFonts w:ascii="Times New Roman" w:hAnsi="Times New Roman" w:cs="Times New Roman"/>
          <w:sz w:val="24"/>
          <w:szCs w:val="24"/>
        </w:rPr>
        <w:t>, Vol. 165, doi: 10.1016/j.techfore.2020.120463.</w:t>
      </w:r>
    </w:p>
    <w:p w14:paraId="2101E24D"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Christensen, L., Klauenberg, J., Kveiborg, O. and Rudolph, C. (2017), “Suitability of commercial transport for a shift to electric mobility with Denmark and Germany as use cases”, </w:t>
      </w:r>
      <w:r w:rsidRPr="00EF6D91">
        <w:rPr>
          <w:rFonts w:ascii="Times New Roman" w:hAnsi="Times New Roman" w:cs="Times New Roman"/>
          <w:i/>
          <w:iCs/>
          <w:sz w:val="24"/>
          <w:szCs w:val="24"/>
        </w:rPr>
        <w:t>Research in Transportation Economics</w:t>
      </w:r>
      <w:r w:rsidRPr="00EF6D91">
        <w:rPr>
          <w:rFonts w:ascii="Times New Roman" w:hAnsi="Times New Roman" w:cs="Times New Roman"/>
          <w:sz w:val="24"/>
          <w:szCs w:val="24"/>
        </w:rPr>
        <w:t>, Vol. 64, pp. 48–60, doi: 10.1016/j.retrec.2017.08.004.</w:t>
      </w:r>
    </w:p>
    <w:p w14:paraId="60536861"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Counsell, C. (1997), “Formulating Questions and Locating Primary Studies for Inclusion in Systematic Reviews”, </w:t>
      </w:r>
      <w:r w:rsidRPr="00EF6D91">
        <w:rPr>
          <w:rFonts w:ascii="Times New Roman" w:hAnsi="Times New Roman" w:cs="Times New Roman"/>
          <w:i/>
          <w:iCs/>
          <w:sz w:val="24"/>
          <w:szCs w:val="24"/>
        </w:rPr>
        <w:t>Annals of Internal Medicine</w:t>
      </w:r>
      <w:r w:rsidRPr="00EF6D91">
        <w:rPr>
          <w:rFonts w:ascii="Times New Roman" w:hAnsi="Times New Roman" w:cs="Times New Roman"/>
          <w:sz w:val="24"/>
          <w:szCs w:val="24"/>
        </w:rPr>
        <w:t>, Vol. 127 No. 5, p. 380, doi: 10.7326/0003-4819-127-5-199709010-00008.</w:t>
      </w:r>
    </w:p>
    <w:p w14:paraId="56CA987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D’Adamo, I., Gastaldi, M. and Ozturk, I. (2023), “The sustainable development of mobility in the green transition: Renewable energy, local industrial chain, and battery recycling”, </w:t>
      </w:r>
      <w:r w:rsidRPr="00EF6D91">
        <w:rPr>
          <w:rFonts w:ascii="Times New Roman" w:hAnsi="Times New Roman" w:cs="Times New Roman"/>
          <w:i/>
          <w:iCs/>
          <w:sz w:val="24"/>
          <w:szCs w:val="24"/>
        </w:rPr>
        <w:t>Sustainable Development</w:t>
      </w:r>
      <w:r w:rsidRPr="00EF6D91">
        <w:rPr>
          <w:rFonts w:ascii="Times New Roman" w:hAnsi="Times New Roman" w:cs="Times New Roman"/>
          <w:sz w:val="24"/>
          <w:szCs w:val="24"/>
        </w:rPr>
        <w:t>, Vol. 31 No. 2, pp. 840–852, doi: 10.1002/sd.2424.</w:t>
      </w:r>
    </w:p>
    <w:p w14:paraId="354796BF"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D’Adamo, I., Gastaldi, M., Piccioni, J. and Rosa, P. (2023), “The Role of Automotive Flexibility in Supporting the Diffusion of Sustainable Mobility Initiatives: A Stakeholder Attitudes Assessment”, </w:t>
      </w:r>
      <w:r w:rsidRPr="00EF6D91">
        <w:rPr>
          <w:rFonts w:ascii="Times New Roman" w:hAnsi="Times New Roman" w:cs="Times New Roman"/>
          <w:i/>
          <w:iCs/>
          <w:sz w:val="24"/>
          <w:szCs w:val="24"/>
        </w:rPr>
        <w:t>Global Journal of Flexible Systems Management</w:t>
      </w:r>
      <w:r w:rsidRPr="00EF6D91">
        <w:rPr>
          <w:rFonts w:ascii="Times New Roman" w:hAnsi="Times New Roman" w:cs="Times New Roman"/>
          <w:sz w:val="24"/>
          <w:szCs w:val="24"/>
        </w:rPr>
        <w:t>, Vol. 24 No. 3, pp. 459–481, doi: 10.1007/s40171-023-00349-w.</w:t>
      </w:r>
    </w:p>
    <w:p w14:paraId="166EF9DA"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(Daisy) Lyu, J., Krasonikolakis, I. and Vrontis, D. (2022), “A systematic literature review of store atmosphere in alternative retail commerce channels”, </w:t>
      </w:r>
      <w:r w:rsidRPr="00EF6D91">
        <w:rPr>
          <w:rFonts w:ascii="Times New Roman" w:hAnsi="Times New Roman" w:cs="Times New Roman"/>
          <w:i/>
          <w:iCs/>
          <w:sz w:val="24"/>
          <w:szCs w:val="24"/>
        </w:rPr>
        <w:t>Journal of Business Research</w:t>
      </w:r>
      <w:r w:rsidRPr="00EF6D91">
        <w:rPr>
          <w:rFonts w:ascii="Times New Roman" w:hAnsi="Times New Roman" w:cs="Times New Roman"/>
          <w:sz w:val="24"/>
          <w:szCs w:val="24"/>
        </w:rPr>
        <w:t>, Vol. 153, pp. 412–427, doi: 10.1016/j.jbusres.2022.08.050.</w:t>
      </w:r>
    </w:p>
    <w:p w14:paraId="3A73D937"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De La Torre, R., Corlu, C.G., Faulin, J., Onggo, B.S. and Juan, A.A. (2021), “Simulation, optimization, and machine learning in sustainable transportation systems: models and applications”, </w:t>
      </w:r>
      <w:r w:rsidRPr="00EF6D91">
        <w:rPr>
          <w:rFonts w:ascii="Times New Roman" w:hAnsi="Times New Roman" w:cs="Times New Roman"/>
          <w:i/>
          <w:iCs/>
          <w:sz w:val="24"/>
          <w:szCs w:val="24"/>
        </w:rPr>
        <w:t>Sustainability</w:t>
      </w:r>
      <w:r w:rsidRPr="00EF6D91">
        <w:rPr>
          <w:rFonts w:ascii="Times New Roman" w:hAnsi="Times New Roman" w:cs="Times New Roman"/>
          <w:sz w:val="24"/>
          <w:szCs w:val="24"/>
        </w:rPr>
        <w:t>, Vol. 13 No. 3, p. 1551, doi: 10.3390/su13031551.</w:t>
      </w:r>
    </w:p>
    <w:p w14:paraId="0960F597" w14:textId="6983A0CC"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Denyer, D. and Tranfield, D. (2009), “Producing a systematic review.” </w:t>
      </w:r>
      <w:r w:rsidRPr="00EF6D91">
        <w:rPr>
          <w:rFonts w:ascii="Times New Roman" w:hAnsi="Times New Roman" w:cs="Times New Roman"/>
          <w:i/>
          <w:iCs/>
          <w:sz w:val="24"/>
          <w:szCs w:val="24"/>
        </w:rPr>
        <w:t>The Sage Handbook of Organizational Research Methods.</w:t>
      </w:r>
      <w:r w:rsidRPr="00EF6D91">
        <w:rPr>
          <w:rFonts w:ascii="Times New Roman" w:hAnsi="Times New Roman" w:cs="Times New Roman"/>
          <w:sz w:val="24"/>
          <w:szCs w:val="24"/>
        </w:rPr>
        <w:t>, Sage Publications Ltd, Thousand Oaks,  CA, pp. 671–689.</w:t>
      </w:r>
    </w:p>
    <w:p w14:paraId="67BA56D4"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Dillan, R. (2022), “Ev industry statistics: electric vehicle market shares &amp; forecasts”, </w:t>
      </w:r>
      <w:r w:rsidRPr="00EF6D91">
        <w:rPr>
          <w:rFonts w:ascii="Times New Roman" w:hAnsi="Times New Roman" w:cs="Times New Roman"/>
          <w:i/>
          <w:iCs/>
          <w:sz w:val="24"/>
          <w:szCs w:val="24"/>
        </w:rPr>
        <w:t>Find EV Charging Stations, Read Reviews &amp; Rate Your Experience.</w:t>
      </w:r>
      <w:r w:rsidRPr="00EF6D91">
        <w:rPr>
          <w:rFonts w:ascii="Times New Roman" w:hAnsi="Times New Roman" w:cs="Times New Roman"/>
          <w:sz w:val="24"/>
          <w:szCs w:val="24"/>
        </w:rPr>
        <w:t>, 30 August, available at: https://evhype.com/ev-industry-stats/ (accessed 16 October 2023).</w:t>
      </w:r>
    </w:p>
    <w:p w14:paraId="490C936D"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Dwivedi, A., Moktadir, Md.A., Chiappetta Jabbour, C.J. and De Carvalho, D.E. (2022), “Integrating the circular economy and industry 4.0 for sustainable development: Implications for responsible footwear production in a big data-driven world”, </w:t>
      </w:r>
      <w:r w:rsidRPr="00EF6D91">
        <w:rPr>
          <w:rFonts w:ascii="Times New Roman" w:hAnsi="Times New Roman" w:cs="Times New Roman"/>
          <w:i/>
          <w:iCs/>
          <w:sz w:val="24"/>
          <w:szCs w:val="24"/>
        </w:rPr>
        <w:t>Technological Forecasting and Social Change</w:t>
      </w:r>
      <w:r w:rsidRPr="00EF6D91">
        <w:rPr>
          <w:rFonts w:ascii="Times New Roman" w:hAnsi="Times New Roman" w:cs="Times New Roman"/>
          <w:sz w:val="24"/>
          <w:szCs w:val="24"/>
        </w:rPr>
        <w:t>, Vol. 175, p. 121335, doi: 10.1016/j.techfore.2021.121335.</w:t>
      </w:r>
    </w:p>
    <w:p w14:paraId="0280926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Eisinga, R., Grotenhuis, M.T. and Pelzer, B. (2013), “The reliability of a two-item scale: Pearson, Cronbach, or Spearman-Brown?”, </w:t>
      </w:r>
      <w:r w:rsidRPr="00EF6D91">
        <w:rPr>
          <w:rFonts w:ascii="Times New Roman" w:hAnsi="Times New Roman" w:cs="Times New Roman"/>
          <w:i/>
          <w:iCs/>
          <w:sz w:val="24"/>
          <w:szCs w:val="24"/>
        </w:rPr>
        <w:t>International Journal of Public Health</w:t>
      </w:r>
      <w:r w:rsidRPr="00EF6D91">
        <w:rPr>
          <w:rFonts w:ascii="Times New Roman" w:hAnsi="Times New Roman" w:cs="Times New Roman"/>
          <w:sz w:val="24"/>
          <w:szCs w:val="24"/>
        </w:rPr>
        <w:t>, Vol. 58 No. 4, pp. 637–642, doi: 10.1007/s00038-012-0416-3.</w:t>
      </w:r>
    </w:p>
    <w:p w14:paraId="197CDF5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“Electric vehicle charging stations in Europe | McKinsey”. (n.d.). , available at: https://www.mckinsey.com/industries/automotive-and-assembly/our-insights/europes-ev-</w:t>
      </w:r>
      <w:r w:rsidRPr="00EF6D91">
        <w:rPr>
          <w:rFonts w:ascii="Times New Roman" w:hAnsi="Times New Roman" w:cs="Times New Roman"/>
          <w:sz w:val="24"/>
          <w:szCs w:val="24"/>
        </w:rPr>
        <w:lastRenderedPageBreak/>
        <w:t>opportunity-and-the-charging-infrastructure-needed-to-meet-it (accessed 13 October 2023).</w:t>
      </w:r>
    </w:p>
    <w:p w14:paraId="646ED7D7"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proofErr w:type="spellStart"/>
      <w:r w:rsidRPr="00EF6D91">
        <w:rPr>
          <w:rFonts w:ascii="Times New Roman" w:hAnsi="Times New Roman" w:cs="Times New Roman"/>
          <w:sz w:val="24"/>
          <w:szCs w:val="24"/>
        </w:rPr>
        <w:t>Fulzele</w:t>
      </w:r>
      <w:proofErr w:type="spellEnd"/>
      <w:r w:rsidRPr="00EF6D91">
        <w:rPr>
          <w:rFonts w:ascii="Times New Roman" w:hAnsi="Times New Roman" w:cs="Times New Roman"/>
          <w:sz w:val="24"/>
          <w:szCs w:val="24"/>
        </w:rPr>
        <w:t xml:space="preserve">, V., Shankar, R. and Choudhary, D. (2019), “A model for the selection of transportation modes in the context of sustainable freight transportation”, </w:t>
      </w:r>
      <w:r w:rsidRPr="00EF6D91">
        <w:rPr>
          <w:rFonts w:ascii="Times New Roman" w:hAnsi="Times New Roman" w:cs="Times New Roman"/>
          <w:i/>
          <w:iCs/>
          <w:sz w:val="24"/>
          <w:szCs w:val="24"/>
        </w:rPr>
        <w:t>Industrial Management &amp; Data Systems</w:t>
      </w:r>
      <w:r w:rsidRPr="00EF6D91">
        <w:rPr>
          <w:rFonts w:ascii="Times New Roman" w:hAnsi="Times New Roman" w:cs="Times New Roman"/>
          <w:sz w:val="24"/>
          <w:szCs w:val="24"/>
        </w:rPr>
        <w:t>, Vol. 119 No. 8, pp. 1764–1784, doi: 10.1108/IMDS-03-2019-0169.</w:t>
      </w:r>
    </w:p>
    <w:p w14:paraId="0B5B3A83"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Gao, Y., Zhang, X., Cheng, Q., Guo, B. and Yang, J. (2019), “Classification and review of the charging strategies for commercial lithium-ion batteries”, </w:t>
      </w:r>
      <w:r w:rsidRPr="00EF6D91">
        <w:rPr>
          <w:rFonts w:ascii="Times New Roman" w:hAnsi="Times New Roman" w:cs="Times New Roman"/>
          <w:i/>
          <w:iCs/>
          <w:sz w:val="24"/>
          <w:szCs w:val="24"/>
        </w:rPr>
        <w:t>IEEE Access</w:t>
      </w:r>
      <w:r w:rsidRPr="00EF6D91">
        <w:rPr>
          <w:rFonts w:ascii="Times New Roman" w:hAnsi="Times New Roman" w:cs="Times New Roman"/>
          <w:sz w:val="24"/>
          <w:szCs w:val="24"/>
        </w:rPr>
        <w:t>, Vol. 7, pp. 43511–43524, doi: 10.1109/ACCESS.2019.2906117.</w:t>
      </w:r>
    </w:p>
    <w:p w14:paraId="45E05A2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Giordano, A., Fischbeck, P. and Matthews, H.S. (2018), “Environmental and economic comparison of diesel and battery electric delivery vans to inform city logistics fleet replacement strategies”,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64, pp. 216–229, doi: 10.1016/j.trd.2017.10.003.</w:t>
      </w:r>
    </w:p>
    <w:p w14:paraId="4AF05F17" w14:textId="79BCA280"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“Global e</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commerce sales growth (2023–2027) [aug 2023 update]”. (n.d.). , available at: https://www.oberlo.com/statistics/global-ecommerce-sales-growth (accessed 16 October 2023).</w:t>
      </w:r>
    </w:p>
    <w:p w14:paraId="027CE108" w14:textId="54B2F405"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Goel, P., Sharma, N., Mathiyazhagan, K. and Vimal, K.E.K. (2021), “Government is trying</w:t>
      </w:r>
      <w:r w:rsidR="00756271" w:rsidRPr="00EF6D91">
        <w:rPr>
          <w:rFonts w:ascii="Times New Roman" w:hAnsi="Times New Roman" w:cs="Times New Roman"/>
          <w:sz w:val="24"/>
          <w:szCs w:val="24"/>
        </w:rPr>
        <w:t>,</w:t>
      </w:r>
      <w:r w:rsidRPr="00EF6D91">
        <w:rPr>
          <w:rFonts w:ascii="Times New Roman" w:hAnsi="Times New Roman" w:cs="Times New Roman"/>
          <w:sz w:val="24"/>
          <w:szCs w:val="24"/>
        </w:rPr>
        <w:t xml:space="preserve"> but consumers are not buying: A barrier analysis for electric vehicle sales in India”, </w:t>
      </w:r>
      <w:r w:rsidRPr="00EF6D91">
        <w:rPr>
          <w:rFonts w:ascii="Times New Roman" w:hAnsi="Times New Roman" w:cs="Times New Roman"/>
          <w:i/>
          <w:iCs/>
          <w:sz w:val="24"/>
          <w:szCs w:val="24"/>
        </w:rPr>
        <w:t>Sustainable Production and Consumption</w:t>
      </w:r>
      <w:r w:rsidRPr="00EF6D91">
        <w:rPr>
          <w:rFonts w:ascii="Times New Roman" w:hAnsi="Times New Roman" w:cs="Times New Roman"/>
          <w:sz w:val="24"/>
          <w:szCs w:val="24"/>
        </w:rPr>
        <w:t>, Vol. 28, pp. 71–90, doi: 10.1016/j.spc.2021.03.029.</w:t>
      </w:r>
    </w:p>
    <w:p w14:paraId="0BD1A40F"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Gupta, S. and Gupta, S. (2023), “What drives customers crazy for green vehicles? a fuzzy AHP approach”, </w:t>
      </w:r>
      <w:r w:rsidRPr="00EF6D91">
        <w:rPr>
          <w:rFonts w:ascii="Times New Roman" w:hAnsi="Times New Roman" w:cs="Times New Roman"/>
          <w:i/>
          <w:iCs/>
          <w:sz w:val="24"/>
          <w:szCs w:val="24"/>
        </w:rPr>
        <w:t>Environment, Development and Sustainability</w:t>
      </w:r>
      <w:r w:rsidRPr="00EF6D91">
        <w:rPr>
          <w:rFonts w:ascii="Times New Roman" w:hAnsi="Times New Roman" w:cs="Times New Roman"/>
          <w:sz w:val="24"/>
          <w:szCs w:val="24"/>
        </w:rPr>
        <w:t>, doi: 10.1007/s10668-023-03599-x.</w:t>
      </w:r>
    </w:p>
    <w:p w14:paraId="048F971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Ha, N.T., Akbari, M. and Au, B. (2023), “Last mile delivery in logistics and supply chain management: a bibliometric analysis and future directions”, </w:t>
      </w:r>
      <w:r w:rsidRPr="00EF6D91">
        <w:rPr>
          <w:rFonts w:ascii="Times New Roman" w:hAnsi="Times New Roman" w:cs="Times New Roman"/>
          <w:i/>
          <w:iCs/>
          <w:sz w:val="24"/>
          <w:szCs w:val="24"/>
        </w:rPr>
        <w:t>Benchmarking: An International Journal</w:t>
      </w:r>
      <w:r w:rsidRPr="00EF6D91">
        <w:rPr>
          <w:rFonts w:ascii="Times New Roman" w:hAnsi="Times New Roman" w:cs="Times New Roman"/>
          <w:sz w:val="24"/>
          <w:szCs w:val="24"/>
        </w:rPr>
        <w:t>, Vol. 30 No. 4, pp. 1137–1170, doi: 10.1108/BIJ-07-2021-0409.</w:t>
      </w:r>
    </w:p>
    <w:p w14:paraId="3BD0EAA7"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Hair, J.F. (Ed.). (2010), </w:t>
      </w:r>
      <w:r w:rsidRPr="00EF6D91">
        <w:rPr>
          <w:rFonts w:ascii="Times New Roman" w:hAnsi="Times New Roman" w:cs="Times New Roman"/>
          <w:i/>
          <w:iCs/>
          <w:sz w:val="24"/>
          <w:szCs w:val="24"/>
        </w:rPr>
        <w:t>Multivariate Data Analysis</w:t>
      </w:r>
      <w:r w:rsidRPr="00EF6D91">
        <w:rPr>
          <w:rFonts w:ascii="Times New Roman" w:hAnsi="Times New Roman" w:cs="Times New Roman"/>
          <w:sz w:val="24"/>
          <w:szCs w:val="24"/>
        </w:rPr>
        <w:t>, 7th ed., Prentice Hall, Upper Saddle River, NJ.</w:t>
      </w:r>
    </w:p>
    <w:p w14:paraId="58C6E13B"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lang w:val="es-MX"/>
        </w:rPr>
        <w:t xml:space="preserve">Hardman, S., Jenn, A., Tal, G., Axsen, J., Beard, G., Daina, N., Figenbaum, E., </w:t>
      </w:r>
      <w:r w:rsidRPr="00EF6D91">
        <w:rPr>
          <w:rFonts w:ascii="Times New Roman" w:hAnsi="Times New Roman" w:cs="Times New Roman"/>
          <w:i/>
          <w:iCs/>
          <w:sz w:val="24"/>
          <w:szCs w:val="24"/>
          <w:lang w:val="es-MX"/>
        </w:rPr>
        <w:t>et al.</w:t>
      </w:r>
      <w:r w:rsidRPr="00EF6D91">
        <w:rPr>
          <w:rFonts w:ascii="Times New Roman" w:hAnsi="Times New Roman" w:cs="Times New Roman"/>
          <w:sz w:val="24"/>
          <w:szCs w:val="24"/>
          <w:lang w:val="es-MX"/>
        </w:rPr>
        <w:t xml:space="preserve"> </w:t>
      </w:r>
      <w:r w:rsidRPr="00EF6D91">
        <w:rPr>
          <w:rFonts w:ascii="Times New Roman" w:hAnsi="Times New Roman" w:cs="Times New Roman"/>
          <w:sz w:val="24"/>
          <w:szCs w:val="24"/>
        </w:rPr>
        <w:t xml:space="preserve">(2018), “A review of consumer preferences of and interactions with electric vehicle charging infrastructure”,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62, pp. 508–523, doi: 10.1016/j.trd.2018.04.002.</w:t>
      </w:r>
    </w:p>
    <w:p w14:paraId="158756C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Hosseinpour, S., Hongyi Chen, and Hua Tang. (2015), “Barriers to the wide adoption of electric vehicles: A literature review based discussion”, </w:t>
      </w:r>
      <w:r w:rsidRPr="00EF6D91">
        <w:rPr>
          <w:rFonts w:ascii="Times New Roman" w:hAnsi="Times New Roman" w:cs="Times New Roman"/>
          <w:i/>
          <w:iCs/>
          <w:sz w:val="24"/>
          <w:szCs w:val="24"/>
        </w:rPr>
        <w:t>2015 Portland International Conference on Management of Engineering and Technology (PICMET)</w:t>
      </w:r>
      <w:r w:rsidRPr="00EF6D91">
        <w:rPr>
          <w:rFonts w:ascii="Times New Roman" w:hAnsi="Times New Roman" w:cs="Times New Roman"/>
          <w:sz w:val="24"/>
          <w:szCs w:val="24"/>
        </w:rPr>
        <w:t>, presented at the 2015 Portland International Conference on Management of Engineering and Technology (PICMET), IEEE, Portland, OR, USA, pp. 2329–2336, doi: 10.1109/PICMET.2015.7273259.</w:t>
      </w:r>
    </w:p>
    <w:p w14:paraId="0419E4B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Hübner, A.H., Kuhn, H. and Wollenburg, J. (2016), “Last mile fulfilment and distribution in omni-channel grocery retailing: a strategic planning framework”, edited by Towers, N. and Kotzab, H.</w:t>
      </w:r>
      <w:r w:rsidRPr="00EF6D91">
        <w:rPr>
          <w:rFonts w:ascii="Times New Roman" w:hAnsi="Times New Roman" w:cs="Times New Roman"/>
          <w:i/>
          <w:iCs/>
          <w:sz w:val="24"/>
          <w:szCs w:val="24"/>
        </w:rPr>
        <w:t>International Journal of Retail &amp; Distribution Management</w:t>
      </w:r>
      <w:r w:rsidRPr="00EF6D91">
        <w:rPr>
          <w:rFonts w:ascii="Times New Roman" w:hAnsi="Times New Roman" w:cs="Times New Roman"/>
          <w:sz w:val="24"/>
          <w:szCs w:val="24"/>
        </w:rPr>
        <w:t>, Vol. 44 No. 3, doi: 10.1108/IJRDM-11-2014-0154.</w:t>
      </w:r>
    </w:p>
    <w:p w14:paraId="70673B8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International Energy Agency. (2023), </w:t>
      </w:r>
      <w:r w:rsidRPr="00EF6D91">
        <w:rPr>
          <w:rFonts w:ascii="Times New Roman" w:hAnsi="Times New Roman" w:cs="Times New Roman"/>
          <w:i/>
          <w:iCs/>
          <w:sz w:val="24"/>
          <w:szCs w:val="24"/>
        </w:rPr>
        <w:t>Global EV Outlook 2023: Catching up with Climate Ambitions</w:t>
      </w:r>
      <w:r w:rsidRPr="00EF6D91">
        <w:rPr>
          <w:rFonts w:ascii="Times New Roman" w:hAnsi="Times New Roman" w:cs="Times New Roman"/>
          <w:sz w:val="24"/>
          <w:szCs w:val="24"/>
        </w:rPr>
        <w:t>, OECD, doi: 10.1787/cbe724e8-en.</w:t>
      </w:r>
    </w:p>
    <w:p w14:paraId="4364ADF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Jahanmir, S.F. and Cavadas, J. (2018), “Factors affecting late adoption of digital innovations”, </w:t>
      </w:r>
      <w:r w:rsidRPr="00EF6D91">
        <w:rPr>
          <w:rFonts w:ascii="Times New Roman" w:hAnsi="Times New Roman" w:cs="Times New Roman"/>
          <w:i/>
          <w:iCs/>
          <w:sz w:val="24"/>
          <w:szCs w:val="24"/>
        </w:rPr>
        <w:t>Journal of Business Research</w:t>
      </w:r>
      <w:r w:rsidRPr="00EF6D91">
        <w:rPr>
          <w:rFonts w:ascii="Times New Roman" w:hAnsi="Times New Roman" w:cs="Times New Roman"/>
          <w:sz w:val="24"/>
          <w:szCs w:val="24"/>
        </w:rPr>
        <w:t>, Vol. 88, pp. 337–343, doi: 10.1016/j.jbusres.2018.01.058.</w:t>
      </w:r>
    </w:p>
    <w:p w14:paraId="0872046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Kannan, R. and Hirschberg, S. (2016), “Interplay between electricity and transport sectors – Integrating the Swiss car fleet and electricity system”, </w:t>
      </w:r>
      <w:r w:rsidRPr="00EF6D91">
        <w:rPr>
          <w:rFonts w:ascii="Times New Roman" w:hAnsi="Times New Roman" w:cs="Times New Roman"/>
          <w:i/>
          <w:iCs/>
          <w:sz w:val="24"/>
          <w:szCs w:val="24"/>
        </w:rPr>
        <w:t>Transportation Research Part A: Policy and Practice</w:t>
      </w:r>
      <w:r w:rsidRPr="00EF6D91">
        <w:rPr>
          <w:rFonts w:ascii="Times New Roman" w:hAnsi="Times New Roman" w:cs="Times New Roman"/>
          <w:sz w:val="24"/>
          <w:szCs w:val="24"/>
        </w:rPr>
        <w:t>, Vol. 94, pp. 514–531, doi: 10.1016/j.tra.2016.10.007.</w:t>
      </w:r>
    </w:p>
    <w:p w14:paraId="191F4440"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Keskin, M. and Çatay, B. (2016), “Partial recharge strategies for the electric vehicle routing problem with time windows”, </w:t>
      </w:r>
      <w:r w:rsidRPr="00EF6D91">
        <w:rPr>
          <w:rFonts w:ascii="Times New Roman" w:hAnsi="Times New Roman" w:cs="Times New Roman"/>
          <w:i/>
          <w:iCs/>
          <w:sz w:val="24"/>
          <w:szCs w:val="24"/>
        </w:rPr>
        <w:t>Transportation Research Part C: Emerging Technologies</w:t>
      </w:r>
      <w:r w:rsidRPr="00EF6D91">
        <w:rPr>
          <w:rFonts w:ascii="Times New Roman" w:hAnsi="Times New Roman" w:cs="Times New Roman"/>
          <w:sz w:val="24"/>
          <w:szCs w:val="24"/>
        </w:rPr>
        <w:t>, Vol. 65, pp. 111–127, doi: 10.1016/j.trc.2016.01.013.</w:t>
      </w:r>
    </w:p>
    <w:p w14:paraId="5F8A0F8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lastRenderedPageBreak/>
        <w:t xml:space="preserve">Knupfer, M., Sprake, D., Vagapov, Y. and Anuchin, A. (2016), “Cross impact analysis of Vehicle-to-Grid technologies in the context of 2030”, </w:t>
      </w:r>
      <w:r w:rsidRPr="00EF6D91">
        <w:rPr>
          <w:rFonts w:ascii="Times New Roman" w:hAnsi="Times New Roman" w:cs="Times New Roman"/>
          <w:i/>
          <w:iCs/>
          <w:sz w:val="24"/>
          <w:szCs w:val="24"/>
        </w:rPr>
        <w:t>2016 IX International Conference on Power Drives Systems (ICPDS)</w:t>
      </w:r>
      <w:r w:rsidRPr="00EF6D91">
        <w:rPr>
          <w:rFonts w:ascii="Times New Roman" w:hAnsi="Times New Roman" w:cs="Times New Roman"/>
          <w:sz w:val="24"/>
          <w:szCs w:val="24"/>
        </w:rPr>
        <w:t>, presented at the 2016 IX International Conference on Power Drives Systems (ICPDS), IEEE, Perm, Russia, pp. 1–5, doi: 10.1109/ICPDS.2016.7756682.</w:t>
      </w:r>
    </w:p>
    <w:p w14:paraId="669F866B"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Kumar, S., Raut, R.D., Aktas, E., Narkhede, B.E. and Gedam, V.V. (2022), “Barriers to adoption of industry 4.0 and sustainability: a case study with SMEs”, </w:t>
      </w:r>
      <w:r w:rsidRPr="00EF6D91">
        <w:rPr>
          <w:rFonts w:ascii="Times New Roman" w:hAnsi="Times New Roman" w:cs="Times New Roman"/>
          <w:i/>
          <w:iCs/>
          <w:sz w:val="24"/>
          <w:szCs w:val="24"/>
        </w:rPr>
        <w:t>International Journal of Computer Integrated Manufacturing</w:t>
      </w:r>
      <w:r w:rsidRPr="00EF6D91">
        <w:rPr>
          <w:rFonts w:ascii="Times New Roman" w:hAnsi="Times New Roman" w:cs="Times New Roman"/>
          <w:sz w:val="24"/>
          <w:szCs w:val="24"/>
        </w:rPr>
        <w:t>, pp. 1–21, doi: 10.1080/0951192X.2022.2128217.</w:t>
      </w:r>
    </w:p>
    <w:p w14:paraId="10F4B2A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Kuppusamy, S., Magazine, M.J. and Rao, U. (2017), “Electric vehicle adoption decisions in a fleet environment”, </w:t>
      </w:r>
      <w:r w:rsidRPr="00EF6D91">
        <w:rPr>
          <w:rFonts w:ascii="Times New Roman" w:hAnsi="Times New Roman" w:cs="Times New Roman"/>
          <w:i/>
          <w:iCs/>
          <w:sz w:val="24"/>
          <w:szCs w:val="24"/>
        </w:rPr>
        <w:t>European Journal of Operational Research</w:t>
      </w:r>
      <w:r w:rsidRPr="00EF6D91">
        <w:rPr>
          <w:rFonts w:ascii="Times New Roman" w:hAnsi="Times New Roman" w:cs="Times New Roman"/>
          <w:sz w:val="24"/>
          <w:szCs w:val="24"/>
        </w:rPr>
        <w:t>, Vol. 262 No. 1, pp. 123–135, doi: 10.1016/j.ejor.2017.03.039.</w:t>
      </w:r>
    </w:p>
    <w:p w14:paraId="16768D3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Lal, A., Renaldy, T., Breuning, L., Hamacher, T. and You, F. (2023), “Electrifying light commercial vehicles for last-mile deliveries: Environmental and economic perspectives”, </w:t>
      </w:r>
      <w:r w:rsidRPr="00EF6D91">
        <w:rPr>
          <w:rFonts w:ascii="Times New Roman" w:hAnsi="Times New Roman" w:cs="Times New Roman"/>
          <w:i/>
          <w:iCs/>
          <w:sz w:val="24"/>
          <w:szCs w:val="24"/>
        </w:rPr>
        <w:t>Journal of Cleaner Production</w:t>
      </w:r>
      <w:r w:rsidRPr="00EF6D91">
        <w:rPr>
          <w:rFonts w:ascii="Times New Roman" w:hAnsi="Times New Roman" w:cs="Times New Roman"/>
          <w:sz w:val="24"/>
          <w:szCs w:val="24"/>
        </w:rPr>
        <w:t>, Vol. 416, p. 137933, doi: 10.1016/j.jclepro.2023.137933.</w:t>
      </w:r>
    </w:p>
    <w:p w14:paraId="5D13EA3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Lebeau, P., Macharis, C. and Van Mierlo, J. (2016), “Exploring the choice of battery electric vehicles in city logistics: A conjoint-based choice analysis”, </w:t>
      </w:r>
      <w:r w:rsidRPr="00EF6D91">
        <w:rPr>
          <w:rFonts w:ascii="Times New Roman" w:hAnsi="Times New Roman" w:cs="Times New Roman"/>
          <w:i/>
          <w:iCs/>
          <w:sz w:val="24"/>
          <w:szCs w:val="24"/>
        </w:rPr>
        <w:t>Transportation Research Part E: Logistics and Transportation Review</w:t>
      </w:r>
      <w:r w:rsidRPr="00EF6D91">
        <w:rPr>
          <w:rFonts w:ascii="Times New Roman" w:hAnsi="Times New Roman" w:cs="Times New Roman"/>
          <w:sz w:val="24"/>
          <w:szCs w:val="24"/>
        </w:rPr>
        <w:t>, Vol. 91, pp. 245–258, doi: 10.1016/j.tre.2016.04.004.</w:t>
      </w:r>
    </w:p>
    <w:p w14:paraId="600E2B0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Lebrouhi, B.E., Khattari, Y., Lamrani, B., Maaroufi, M., Zeraouli, Y. and Kousksou, T. (2021), “Key challenges for a large-scale development of battery electric vehicles: A comprehensive review”, </w:t>
      </w:r>
      <w:r w:rsidRPr="00EF6D91">
        <w:rPr>
          <w:rFonts w:ascii="Times New Roman" w:hAnsi="Times New Roman" w:cs="Times New Roman"/>
          <w:i/>
          <w:iCs/>
          <w:sz w:val="24"/>
          <w:szCs w:val="24"/>
        </w:rPr>
        <w:t>Journal of Energy Storage</w:t>
      </w:r>
      <w:r w:rsidRPr="00EF6D91">
        <w:rPr>
          <w:rFonts w:ascii="Times New Roman" w:hAnsi="Times New Roman" w:cs="Times New Roman"/>
          <w:sz w:val="24"/>
          <w:szCs w:val="24"/>
        </w:rPr>
        <w:t>, Vol. 44, p. 103273, doi: 10.1016/j.est.2021.103273.</w:t>
      </w:r>
    </w:p>
    <w:p w14:paraId="0B8F0FF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Luthra, S. and Mangla, S.K. (2018), “Evaluating challenges to Industry 4.0 initiatives for supply chain sustainability in emerging economies”, </w:t>
      </w:r>
      <w:r w:rsidRPr="00EF6D91">
        <w:rPr>
          <w:rFonts w:ascii="Times New Roman" w:hAnsi="Times New Roman" w:cs="Times New Roman"/>
          <w:i/>
          <w:iCs/>
          <w:sz w:val="24"/>
          <w:szCs w:val="24"/>
        </w:rPr>
        <w:t>Process Safety and Environmental Protection</w:t>
      </w:r>
      <w:r w:rsidRPr="00EF6D91">
        <w:rPr>
          <w:rFonts w:ascii="Times New Roman" w:hAnsi="Times New Roman" w:cs="Times New Roman"/>
          <w:sz w:val="24"/>
          <w:szCs w:val="24"/>
        </w:rPr>
        <w:t>, Vol. 117, pp. 168–179, doi: 10.1016/j.psep.2018.04.018.</w:t>
      </w:r>
    </w:p>
    <w:p w14:paraId="0A653481"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Luthra, S., Mangla, S.K., Xu, L. and Diabat, A. (2016), “Using AHP to evaluate barriers in adopting sustainable consumption and production initiatives in a supply chain”, </w:t>
      </w:r>
      <w:r w:rsidRPr="00EF6D91">
        <w:rPr>
          <w:rFonts w:ascii="Times New Roman" w:hAnsi="Times New Roman" w:cs="Times New Roman"/>
          <w:i/>
          <w:iCs/>
          <w:sz w:val="24"/>
          <w:szCs w:val="24"/>
        </w:rPr>
        <w:t>International Journal of Production Economics</w:t>
      </w:r>
      <w:r w:rsidRPr="00EF6D91">
        <w:rPr>
          <w:rFonts w:ascii="Times New Roman" w:hAnsi="Times New Roman" w:cs="Times New Roman"/>
          <w:sz w:val="24"/>
          <w:szCs w:val="24"/>
        </w:rPr>
        <w:t>, Vol. 181, pp. 342–349, doi: 10.1016/j.ijpe.2016.04.001.</w:t>
      </w:r>
    </w:p>
    <w:p w14:paraId="679BF94D"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Maskey, R., Fei, J. and Nguyen, H.-O. (2018), “Use of exploratory factor analysis in maritime research”, </w:t>
      </w:r>
      <w:r w:rsidRPr="00EF6D91">
        <w:rPr>
          <w:rFonts w:ascii="Times New Roman" w:hAnsi="Times New Roman" w:cs="Times New Roman"/>
          <w:i/>
          <w:iCs/>
          <w:sz w:val="24"/>
          <w:szCs w:val="24"/>
        </w:rPr>
        <w:t>The Asian Journal of Shipping and Logistics</w:t>
      </w:r>
      <w:r w:rsidRPr="00EF6D91">
        <w:rPr>
          <w:rFonts w:ascii="Times New Roman" w:hAnsi="Times New Roman" w:cs="Times New Roman"/>
          <w:sz w:val="24"/>
          <w:szCs w:val="24"/>
        </w:rPr>
        <w:t>, Vol. 34 No. 2, pp. 91–111, doi: 10.1016/j.ajsl.2018.06.006.</w:t>
      </w:r>
    </w:p>
    <w:p w14:paraId="65B7E0E7"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lang w:val="es-MX"/>
        </w:rPr>
        <w:t xml:space="preserve">de Mello Bandeira, R.A., Goes, G.V., Schmitz Gonçalves, D.N., D’Agosto, M. de A. and Oliveira, C.M. de. </w:t>
      </w:r>
      <w:r w:rsidRPr="00EF6D91">
        <w:rPr>
          <w:rFonts w:ascii="Times New Roman" w:hAnsi="Times New Roman" w:cs="Times New Roman"/>
          <w:sz w:val="24"/>
          <w:szCs w:val="24"/>
        </w:rPr>
        <w:t xml:space="preserve">(2019), “Electric vehicles in the last mile of urban freight transportation: A sustainability assessment of postal deliveries in Rio de Janeiro-Brazil”,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67, pp. 491–502, doi: 10.1016/j.trd.2018.12.017.</w:t>
      </w:r>
    </w:p>
    <w:p w14:paraId="5A3BE744"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Mersky, A.C., Sprei, F., Samaras, C. and Qian, Z. (Sean). (2016), “Effectiveness of incentives on electric vehicle adoption in Norway”,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46, pp. 56–68, doi: 10.1016/j.trd.2016.03.011.</w:t>
      </w:r>
    </w:p>
    <w:p w14:paraId="7182DC5C"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Morganti, E. and Browne, M. (2018), “Technical and operational obstacles to the adoption of electric vans in France and the UK: An operator perspective”, </w:t>
      </w:r>
      <w:r w:rsidRPr="00EF6D91">
        <w:rPr>
          <w:rFonts w:ascii="Times New Roman" w:hAnsi="Times New Roman" w:cs="Times New Roman"/>
          <w:i/>
          <w:iCs/>
          <w:sz w:val="24"/>
          <w:szCs w:val="24"/>
        </w:rPr>
        <w:t>Transport Policy</w:t>
      </w:r>
      <w:r w:rsidRPr="00EF6D91">
        <w:rPr>
          <w:rFonts w:ascii="Times New Roman" w:hAnsi="Times New Roman" w:cs="Times New Roman"/>
          <w:sz w:val="24"/>
          <w:szCs w:val="24"/>
        </w:rPr>
        <w:t>, Vol. 63, pp. 90–97, doi: 10.1016/j.tranpol.2017.12.010.</w:t>
      </w:r>
    </w:p>
    <w:p w14:paraId="4BC14564"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Noel, L., Zarazua De Rubens, G., Kester, J. and Sovacool, B.K. (2020), “Understanding the socio-technical nexus of Nordic electric vehicle (EV) barriers: A qualitative discussion of range, price, charging and knowledge”, </w:t>
      </w:r>
      <w:r w:rsidRPr="00EF6D91">
        <w:rPr>
          <w:rFonts w:ascii="Times New Roman" w:hAnsi="Times New Roman" w:cs="Times New Roman"/>
          <w:i/>
          <w:iCs/>
          <w:sz w:val="24"/>
          <w:szCs w:val="24"/>
        </w:rPr>
        <w:t>Energy Policy</w:t>
      </w:r>
      <w:r w:rsidRPr="00EF6D91">
        <w:rPr>
          <w:rFonts w:ascii="Times New Roman" w:hAnsi="Times New Roman" w:cs="Times New Roman"/>
          <w:sz w:val="24"/>
          <w:szCs w:val="24"/>
        </w:rPr>
        <w:t>, Vol. 138, p. 111292, doi: 10.1016/j.enpol.2020.111292.</w:t>
      </w:r>
    </w:p>
    <w:p w14:paraId="508FD9E7" w14:textId="704856D4"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Osborne, J. (2019), “What is Rotating in Exploratory Factor Analysis?” </w:t>
      </w:r>
      <w:r w:rsidRPr="00EF6D91">
        <w:rPr>
          <w:rFonts w:ascii="Times New Roman" w:hAnsi="Times New Roman" w:cs="Times New Roman"/>
          <w:i/>
          <w:iCs/>
          <w:sz w:val="24"/>
          <w:szCs w:val="24"/>
        </w:rPr>
        <w:t>Practical Assessment, Research, and Evaluation</w:t>
      </w:r>
      <w:r w:rsidRPr="00EF6D91">
        <w:rPr>
          <w:rFonts w:ascii="Times New Roman" w:hAnsi="Times New Roman" w:cs="Times New Roman"/>
          <w:sz w:val="24"/>
          <w:szCs w:val="24"/>
        </w:rPr>
        <w:t>, Vol. 20 No. 1, doi: https://doi.org/10.7275/hb2g-m060.</w:t>
      </w:r>
    </w:p>
    <w:p w14:paraId="39A7652F" w14:textId="2237FC40"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lastRenderedPageBreak/>
        <w:t xml:space="preserve">Osborne, J.W. (2014), </w:t>
      </w:r>
      <w:r w:rsidRPr="00EF6D91">
        <w:rPr>
          <w:rFonts w:ascii="Times New Roman" w:hAnsi="Times New Roman" w:cs="Times New Roman"/>
          <w:i/>
          <w:iCs/>
          <w:sz w:val="24"/>
          <w:szCs w:val="24"/>
        </w:rPr>
        <w:t>Best Practices in Ex</w:t>
      </w:r>
      <w:r w:rsidR="00756271" w:rsidRPr="00EF6D91">
        <w:rPr>
          <w:rFonts w:ascii="Times New Roman" w:hAnsi="Times New Roman" w:cs="Times New Roman"/>
          <w:i/>
          <w:iCs/>
          <w:sz w:val="24"/>
          <w:szCs w:val="24"/>
        </w:rPr>
        <w:t>p</w:t>
      </w:r>
      <w:r w:rsidRPr="00EF6D91">
        <w:rPr>
          <w:rFonts w:ascii="Times New Roman" w:hAnsi="Times New Roman" w:cs="Times New Roman"/>
          <w:i/>
          <w:iCs/>
          <w:sz w:val="24"/>
          <w:szCs w:val="24"/>
        </w:rPr>
        <w:t>loratory Factor Analysis</w:t>
      </w:r>
      <w:r w:rsidRPr="00EF6D91">
        <w:rPr>
          <w:rFonts w:ascii="Times New Roman" w:hAnsi="Times New Roman" w:cs="Times New Roman"/>
          <w:sz w:val="24"/>
          <w:szCs w:val="24"/>
        </w:rPr>
        <w:t>, CreateSpace Independent Publishing Platform, [Louisville, Ky.].</w:t>
      </w:r>
    </w:p>
    <w:p w14:paraId="1A43E38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bookmarkStart w:id="14" w:name="_Hlk164781613"/>
      <w:r w:rsidRPr="00EF6D91">
        <w:rPr>
          <w:rFonts w:ascii="Times New Roman" w:hAnsi="Times New Roman" w:cs="Times New Roman"/>
          <w:sz w:val="24"/>
          <w:szCs w:val="24"/>
        </w:rPr>
        <w:t xml:space="preserve">Pahwa, A. and Jaller, M. (2022), “A cost-based comparative analysis of different last-mile strategies for e-commerce delivery”, </w:t>
      </w:r>
      <w:r w:rsidRPr="00EF6D91">
        <w:rPr>
          <w:rFonts w:ascii="Times New Roman" w:hAnsi="Times New Roman" w:cs="Times New Roman"/>
          <w:i/>
          <w:iCs/>
          <w:sz w:val="24"/>
          <w:szCs w:val="24"/>
        </w:rPr>
        <w:t>Transportation Research Part E: Logistics and Transportation Review</w:t>
      </w:r>
      <w:r w:rsidRPr="00EF6D91">
        <w:rPr>
          <w:rFonts w:ascii="Times New Roman" w:hAnsi="Times New Roman" w:cs="Times New Roman"/>
          <w:sz w:val="24"/>
          <w:szCs w:val="24"/>
        </w:rPr>
        <w:t>, Vol. 164, p. 102783, doi: 10.1016/j.tre.2022.102783.</w:t>
      </w:r>
    </w:p>
    <w:bookmarkEnd w:id="14"/>
    <w:p w14:paraId="397D6D7E" w14:textId="7D68B3C0"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Palmaccio, M., Dicuonzo, G. and Belyaeva, Z.S. (2021), “The </w:t>
      </w:r>
      <w:r w:rsidR="00756271" w:rsidRPr="00EF6D91">
        <w:rPr>
          <w:rFonts w:ascii="Times New Roman" w:hAnsi="Times New Roman" w:cs="Times New Roman"/>
          <w:sz w:val="24"/>
          <w:szCs w:val="24"/>
        </w:rPr>
        <w:t>I</w:t>
      </w:r>
      <w:r w:rsidRPr="00EF6D91">
        <w:rPr>
          <w:rFonts w:ascii="Times New Roman" w:hAnsi="Times New Roman" w:cs="Times New Roman"/>
          <w:sz w:val="24"/>
          <w:szCs w:val="24"/>
        </w:rPr>
        <w:t xml:space="preserve">nternet of things and corporate business models: A systematic literature review”, </w:t>
      </w:r>
      <w:r w:rsidRPr="00EF6D91">
        <w:rPr>
          <w:rFonts w:ascii="Times New Roman" w:hAnsi="Times New Roman" w:cs="Times New Roman"/>
          <w:i/>
          <w:iCs/>
          <w:sz w:val="24"/>
          <w:szCs w:val="24"/>
        </w:rPr>
        <w:t>Journal of Business Research</w:t>
      </w:r>
      <w:r w:rsidRPr="00EF6D91">
        <w:rPr>
          <w:rFonts w:ascii="Times New Roman" w:hAnsi="Times New Roman" w:cs="Times New Roman"/>
          <w:sz w:val="24"/>
          <w:szCs w:val="24"/>
        </w:rPr>
        <w:t>, Vol. 131, pp. 610–618, doi: 10.1016/j.jbusres.2020.09.069.</w:t>
      </w:r>
    </w:p>
    <w:p w14:paraId="70BDD98B"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Patella, S.M., </w:t>
      </w:r>
      <w:proofErr w:type="spellStart"/>
      <w:r w:rsidRPr="00EF6D91">
        <w:rPr>
          <w:rFonts w:ascii="Times New Roman" w:hAnsi="Times New Roman" w:cs="Times New Roman"/>
          <w:sz w:val="24"/>
          <w:szCs w:val="24"/>
        </w:rPr>
        <w:t>Grazieschi</w:t>
      </w:r>
      <w:proofErr w:type="spellEnd"/>
      <w:r w:rsidRPr="00EF6D91">
        <w:rPr>
          <w:rFonts w:ascii="Times New Roman" w:hAnsi="Times New Roman" w:cs="Times New Roman"/>
          <w:sz w:val="24"/>
          <w:szCs w:val="24"/>
        </w:rPr>
        <w:t xml:space="preserve">, G., Gatta, V., Marcucci, E. and Carrese, S. (2020), “The adoption of green vehicles in last mile logistics: a systematic review”, </w:t>
      </w:r>
      <w:r w:rsidRPr="00EF6D91">
        <w:rPr>
          <w:rFonts w:ascii="Times New Roman" w:hAnsi="Times New Roman" w:cs="Times New Roman"/>
          <w:i/>
          <w:iCs/>
          <w:sz w:val="24"/>
          <w:szCs w:val="24"/>
        </w:rPr>
        <w:t>Sustainability</w:t>
      </w:r>
      <w:r w:rsidRPr="00EF6D91">
        <w:rPr>
          <w:rFonts w:ascii="Times New Roman" w:hAnsi="Times New Roman" w:cs="Times New Roman"/>
          <w:sz w:val="24"/>
          <w:szCs w:val="24"/>
        </w:rPr>
        <w:t>, Vol. 13 No. 1, p. 6, doi: 10.3390/su13010006.</w:t>
      </w:r>
    </w:p>
    <w:p w14:paraId="3E4F8C41"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Patyal, V.S., Kumar, R. and Kushwah, S. (2021), “Modeling barriers to the adoption of electric vehicles: An Indian perspective”, </w:t>
      </w:r>
      <w:r w:rsidRPr="00EF6D91">
        <w:rPr>
          <w:rFonts w:ascii="Times New Roman" w:hAnsi="Times New Roman" w:cs="Times New Roman"/>
          <w:i/>
          <w:iCs/>
          <w:sz w:val="24"/>
          <w:szCs w:val="24"/>
        </w:rPr>
        <w:t>Energy</w:t>
      </w:r>
      <w:r w:rsidRPr="00EF6D91">
        <w:rPr>
          <w:rFonts w:ascii="Times New Roman" w:hAnsi="Times New Roman" w:cs="Times New Roman"/>
          <w:sz w:val="24"/>
          <w:szCs w:val="24"/>
        </w:rPr>
        <w:t>, Vol. 237, p. 121554, doi: 10.1016/j.energy.2021.121554.</w:t>
      </w:r>
    </w:p>
    <w:p w14:paraId="0CC45CAD"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Pauer, F., Schmidt, K., Babac, A., Damm, K., Frank, M. and von der Schulenburg, J.-M.G. (2016), “Comparison of different approaches applied in Analytic Hierarchy Process – an example of information needs of patients with rare diseases”, </w:t>
      </w:r>
      <w:r w:rsidRPr="00EF6D91">
        <w:rPr>
          <w:rFonts w:ascii="Times New Roman" w:hAnsi="Times New Roman" w:cs="Times New Roman"/>
          <w:i/>
          <w:iCs/>
          <w:sz w:val="24"/>
          <w:szCs w:val="24"/>
        </w:rPr>
        <w:t>BMC Medical Informatics and Decision Making</w:t>
      </w:r>
      <w:r w:rsidRPr="00EF6D91">
        <w:rPr>
          <w:rFonts w:ascii="Times New Roman" w:hAnsi="Times New Roman" w:cs="Times New Roman"/>
          <w:sz w:val="24"/>
          <w:szCs w:val="24"/>
        </w:rPr>
        <w:t>, Vol. 16 No. 1, p. 117, doi: 10.1186/s12911-016-0346-8.</w:t>
      </w:r>
    </w:p>
    <w:p w14:paraId="64242220"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Pelletier, S., Jabali, O. and Laporte, G. (2018), “Charge scheduling for electric freight vehicles”, </w:t>
      </w:r>
      <w:r w:rsidRPr="00EF6D91">
        <w:rPr>
          <w:rFonts w:ascii="Times New Roman" w:hAnsi="Times New Roman" w:cs="Times New Roman"/>
          <w:i/>
          <w:iCs/>
          <w:sz w:val="24"/>
          <w:szCs w:val="24"/>
        </w:rPr>
        <w:t>Transportation Research Part B: Methodological</w:t>
      </w:r>
      <w:r w:rsidRPr="00EF6D91">
        <w:rPr>
          <w:rFonts w:ascii="Times New Roman" w:hAnsi="Times New Roman" w:cs="Times New Roman"/>
          <w:sz w:val="24"/>
          <w:szCs w:val="24"/>
        </w:rPr>
        <w:t>, Vol. 115, pp. 246–269, doi: 10.1016/j.trb.2018.07.010.</w:t>
      </w:r>
    </w:p>
    <w:p w14:paraId="593E1830"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Peters, A. and Dütschke, E. (2014), “How do Consumers Perceive Electric Vehicles? A Comparison of German Consumer Groups”, </w:t>
      </w:r>
      <w:r w:rsidRPr="00EF6D91">
        <w:rPr>
          <w:rFonts w:ascii="Times New Roman" w:hAnsi="Times New Roman" w:cs="Times New Roman"/>
          <w:i/>
          <w:iCs/>
          <w:sz w:val="24"/>
          <w:szCs w:val="24"/>
        </w:rPr>
        <w:t>Journal of Environmental Policy &amp; Planning</w:t>
      </w:r>
      <w:r w:rsidRPr="00EF6D91">
        <w:rPr>
          <w:rFonts w:ascii="Times New Roman" w:hAnsi="Times New Roman" w:cs="Times New Roman"/>
          <w:sz w:val="24"/>
          <w:szCs w:val="24"/>
        </w:rPr>
        <w:t>, Vol. 16 No. 3, pp. 359–377, doi: 10.1080/1523908X.2013.879037.</w:t>
      </w:r>
    </w:p>
    <w:p w14:paraId="3E32DF3A"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“Policies to promote electric vehicle deployment – Global EV Outlook 2021 – Analysis”. (n.d.). </w:t>
      </w:r>
      <w:r w:rsidRPr="00EF6D91">
        <w:rPr>
          <w:rFonts w:ascii="Times New Roman" w:hAnsi="Times New Roman" w:cs="Times New Roman"/>
          <w:i/>
          <w:iCs/>
          <w:sz w:val="24"/>
          <w:szCs w:val="24"/>
        </w:rPr>
        <w:t>IEA</w:t>
      </w:r>
      <w:r w:rsidRPr="00EF6D91">
        <w:rPr>
          <w:rFonts w:ascii="Times New Roman" w:hAnsi="Times New Roman" w:cs="Times New Roman"/>
          <w:sz w:val="24"/>
          <w:szCs w:val="24"/>
        </w:rPr>
        <w:t>, available at: https://www.iea.org/reports/global-ev-outlook-2021/policies-to-promote-electric-vehicle-deployment (accessed 26 March 2024).</w:t>
      </w:r>
    </w:p>
    <w:p w14:paraId="676C93D6"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Reio, T.G. and Shuck, B. (2015), “Exploratory factor analysis: implications for theory, research, and practice”, </w:t>
      </w:r>
      <w:r w:rsidRPr="00EF6D91">
        <w:rPr>
          <w:rFonts w:ascii="Times New Roman" w:hAnsi="Times New Roman" w:cs="Times New Roman"/>
          <w:i/>
          <w:iCs/>
          <w:sz w:val="24"/>
          <w:szCs w:val="24"/>
        </w:rPr>
        <w:t>Advances in Developing Human Resources</w:t>
      </w:r>
      <w:r w:rsidRPr="00EF6D91">
        <w:rPr>
          <w:rFonts w:ascii="Times New Roman" w:hAnsi="Times New Roman" w:cs="Times New Roman"/>
          <w:sz w:val="24"/>
          <w:szCs w:val="24"/>
        </w:rPr>
        <w:t>, Vol. 17 No. 1, pp. 12–25, doi: 10.1177/1523422314559804.</w:t>
      </w:r>
    </w:p>
    <w:p w14:paraId="4B705F9E"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Rogers, E.M. (2003), </w:t>
      </w:r>
      <w:r w:rsidRPr="00EF6D91">
        <w:rPr>
          <w:rFonts w:ascii="Times New Roman" w:hAnsi="Times New Roman" w:cs="Times New Roman"/>
          <w:i/>
          <w:iCs/>
          <w:sz w:val="24"/>
          <w:szCs w:val="24"/>
        </w:rPr>
        <w:t>Diffusion of Innovations</w:t>
      </w:r>
      <w:r w:rsidRPr="00EF6D91">
        <w:rPr>
          <w:rFonts w:ascii="Times New Roman" w:hAnsi="Times New Roman" w:cs="Times New Roman"/>
          <w:sz w:val="24"/>
          <w:szCs w:val="24"/>
        </w:rPr>
        <w:t>, 5th ed., Free Press, New York.</w:t>
      </w:r>
    </w:p>
    <w:p w14:paraId="3111194D"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bookmarkStart w:id="15" w:name="_Hlk164781626"/>
      <w:r w:rsidRPr="00EF6D91">
        <w:rPr>
          <w:rFonts w:ascii="Times New Roman" w:hAnsi="Times New Roman" w:cs="Times New Roman"/>
          <w:sz w:val="24"/>
          <w:szCs w:val="24"/>
        </w:rPr>
        <w:t xml:space="preserve">Rosales-Tristancho, A., Brey, R., Carazo, A.F. and Brey, J.J. (2022), “Analysis of the barriers to the adoption of zero-emission vehicles in Spain”, </w:t>
      </w:r>
      <w:r w:rsidRPr="00EF6D91">
        <w:rPr>
          <w:rFonts w:ascii="Times New Roman" w:hAnsi="Times New Roman" w:cs="Times New Roman"/>
          <w:i/>
          <w:iCs/>
          <w:sz w:val="24"/>
          <w:szCs w:val="24"/>
        </w:rPr>
        <w:t>Transportation Research Part A: Policy and Practice</w:t>
      </w:r>
      <w:r w:rsidRPr="00EF6D91">
        <w:rPr>
          <w:rFonts w:ascii="Times New Roman" w:hAnsi="Times New Roman" w:cs="Times New Roman"/>
          <w:sz w:val="24"/>
          <w:szCs w:val="24"/>
        </w:rPr>
        <w:t>, Vol. 158, pp. 19–43, doi: 10.1016/j.tra.2022.01.016.</w:t>
      </w:r>
    </w:p>
    <w:bookmarkEnd w:id="15"/>
    <w:p w14:paraId="78045DD6"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Rowley, J. and Slack, F. (2004), “Conducting a literature review”, </w:t>
      </w:r>
      <w:r w:rsidRPr="00EF6D91">
        <w:rPr>
          <w:rFonts w:ascii="Times New Roman" w:hAnsi="Times New Roman" w:cs="Times New Roman"/>
          <w:i/>
          <w:iCs/>
          <w:sz w:val="24"/>
          <w:szCs w:val="24"/>
        </w:rPr>
        <w:t>Management Research News</w:t>
      </w:r>
      <w:r w:rsidRPr="00EF6D91">
        <w:rPr>
          <w:rFonts w:ascii="Times New Roman" w:hAnsi="Times New Roman" w:cs="Times New Roman"/>
          <w:sz w:val="24"/>
          <w:szCs w:val="24"/>
        </w:rPr>
        <w:t>, Vol. 27 No. 6, pp. 31–39, doi: 10.1108/01409170410784185.</w:t>
      </w:r>
    </w:p>
    <w:p w14:paraId="7EB40FB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Saaty, T.L. (2008), “Decision making with the analytic hierarchy process”, </w:t>
      </w:r>
      <w:r w:rsidRPr="00EF6D91">
        <w:rPr>
          <w:rFonts w:ascii="Times New Roman" w:hAnsi="Times New Roman" w:cs="Times New Roman"/>
          <w:i/>
          <w:iCs/>
          <w:sz w:val="24"/>
          <w:szCs w:val="24"/>
        </w:rPr>
        <w:t>International Journal of Services Sciences</w:t>
      </w:r>
      <w:r w:rsidRPr="00EF6D91">
        <w:rPr>
          <w:rFonts w:ascii="Times New Roman" w:hAnsi="Times New Roman" w:cs="Times New Roman"/>
          <w:sz w:val="24"/>
          <w:szCs w:val="24"/>
        </w:rPr>
        <w:t>, Vol. 1 No. 1, p. 83, doi: 10.1504/IJSSCI.2008.017590.</w:t>
      </w:r>
    </w:p>
    <w:p w14:paraId="74F4979A"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Samuels, P. (2017), “Advice on Exploratory Factor Analysis”, Monograph, ResearchGate, 9/06/2017, 9 June, available at: https://www.researchgate.net/publication/319165677_Advice_on_Exploratory_Factor_Analysis (accessed 17 October 2023).</w:t>
      </w:r>
    </w:p>
    <w:p w14:paraId="6668D76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Schücking, M., Jochem, P., Fichtner, W., Wollersheim, O. and Stella, K. (2017), “Charging strategies for economic operations of electric vehicles in commercial applications”,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51, pp. 173–189, doi: 10.1016/j.trd.2016.11.032.</w:t>
      </w:r>
    </w:p>
    <w:p w14:paraId="5F1C1F9F"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bookmarkStart w:id="16" w:name="_Hlk164781638"/>
      <w:r w:rsidRPr="00EF6D91">
        <w:rPr>
          <w:rFonts w:ascii="Times New Roman" w:hAnsi="Times New Roman" w:cs="Times New Roman"/>
          <w:sz w:val="24"/>
          <w:szCs w:val="24"/>
        </w:rPr>
        <w:t xml:space="preserve">Selter, J.-L., Schmitz, J. and Schramm-Klein, H. (2024), “Sustainability assessment of last-mile electrification: A qualitative study in Germany”, </w:t>
      </w:r>
      <w:r w:rsidRPr="00EF6D91">
        <w:rPr>
          <w:rFonts w:ascii="Times New Roman" w:hAnsi="Times New Roman" w:cs="Times New Roman"/>
          <w:i/>
          <w:iCs/>
          <w:sz w:val="24"/>
          <w:szCs w:val="24"/>
        </w:rPr>
        <w:t>Transportation Research Part D: Transport and Environment</w:t>
      </w:r>
      <w:r w:rsidRPr="00EF6D91">
        <w:rPr>
          <w:rFonts w:ascii="Times New Roman" w:hAnsi="Times New Roman" w:cs="Times New Roman"/>
          <w:sz w:val="24"/>
          <w:szCs w:val="24"/>
        </w:rPr>
        <w:t>, Vol. 126, p. 104019, doi: 10.1016/j.trd.2023.104019.</w:t>
      </w:r>
    </w:p>
    <w:bookmarkEnd w:id="16"/>
    <w:p w14:paraId="54F6001C"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lastRenderedPageBreak/>
        <w:t xml:space="preserve">Shrestha, N. (2021), “Factor analysis as a tool for survey analysis”, </w:t>
      </w:r>
      <w:r w:rsidRPr="00EF6D91">
        <w:rPr>
          <w:rFonts w:ascii="Times New Roman" w:hAnsi="Times New Roman" w:cs="Times New Roman"/>
          <w:i/>
          <w:iCs/>
          <w:sz w:val="24"/>
          <w:szCs w:val="24"/>
        </w:rPr>
        <w:t>American Journal of Applied Mathematics and Statistics</w:t>
      </w:r>
      <w:r w:rsidRPr="00EF6D91">
        <w:rPr>
          <w:rFonts w:ascii="Times New Roman" w:hAnsi="Times New Roman" w:cs="Times New Roman"/>
          <w:sz w:val="24"/>
          <w:szCs w:val="24"/>
        </w:rPr>
        <w:t>, Vol. 9 No. 1, pp. 4–11, doi: 10.12691/ajams-9-1-2.</w:t>
      </w:r>
    </w:p>
    <w:p w14:paraId="7C6F1AD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Singh, S., Mohanty, R.P., Mangla, S.K. and Agrawal, V. (2023), “Critical success factors of additive manufacturing for higher sustainable competitive advantage in supply chains”, </w:t>
      </w:r>
      <w:r w:rsidRPr="00EF6D91">
        <w:rPr>
          <w:rFonts w:ascii="Times New Roman" w:hAnsi="Times New Roman" w:cs="Times New Roman"/>
          <w:i/>
          <w:iCs/>
          <w:sz w:val="24"/>
          <w:szCs w:val="24"/>
        </w:rPr>
        <w:t>Journal of Cleaner Production</w:t>
      </w:r>
      <w:r w:rsidRPr="00EF6D91">
        <w:rPr>
          <w:rFonts w:ascii="Times New Roman" w:hAnsi="Times New Roman" w:cs="Times New Roman"/>
          <w:sz w:val="24"/>
          <w:szCs w:val="24"/>
        </w:rPr>
        <w:t>, Vol. 425, p. 138908, doi: 10.1016/j.jclepro.2023.138908.</w:t>
      </w:r>
    </w:p>
    <w:p w14:paraId="4D65C72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bookmarkStart w:id="17" w:name="_Hlk164781648"/>
      <w:r w:rsidRPr="00EF6D91">
        <w:rPr>
          <w:rFonts w:ascii="Times New Roman" w:hAnsi="Times New Roman" w:cs="Times New Roman"/>
          <w:sz w:val="24"/>
          <w:szCs w:val="24"/>
        </w:rPr>
        <w:t xml:space="preserve">Siragusa, C., Tumino, A., Mangiaracina, R. and Perego, A. (2022), “Electric vehicles performing last-mile delivery in B2C e-commerce: An economic and environmental assessment”, </w:t>
      </w:r>
      <w:r w:rsidRPr="00EF6D91">
        <w:rPr>
          <w:rFonts w:ascii="Times New Roman" w:hAnsi="Times New Roman" w:cs="Times New Roman"/>
          <w:i/>
          <w:iCs/>
          <w:sz w:val="24"/>
          <w:szCs w:val="24"/>
        </w:rPr>
        <w:t>International Journal of Sustainable Transportation</w:t>
      </w:r>
      <w:r w:rsidRPr="00EF6D91">
        <w:rPr>
          <w:rFonts w:ascii="Times New Roman" w:hAnsi="Times New Roman" w:cs="Times New Roman"/>
          <w:sz w:val="24"/>
          <w:szCs w:val="24"/>
        </w:rPr>
        <w:t>, Vol. 16 No. 1, pp. 22–33, doi: 10.1080/15568318.2020.1847367.</w:t>
      </w:r>
    </w:p>
    <w:bookmarkEnd w:id="17"/>
    <w:p w14:paraId="54961894"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Snyder, H. (2019), “Literature review as a research methodology: An overview and guidelines”, </w:t>
      </w:r>
      <w:r w:rsidRPr="00EF6D91">
        <w:rPr>
          <w:rFonts w:ascii="Times New Roman" w:hAnsi="Times New Roman" w:cs="Times New Roman"/>
          <w:i/>
          <w:iCs/>
          <w:sz w:val="24"/>
          <w:szCs w:val="24"/>
        </w:rPr>
        <w:t>JOURNAL OF BUSINESS RESEARCH</w:t>
      </w:r>
      <w:r w:rsidRPr="00EF6D91">
        <w:rPr>
          <w:rFonts w:ascii="Times New Roman" w:hAnsi="Times New Roman" w:cs="Times New Roman"/>
          <w:sz w:val="24"/>
          <w:szCs w:val="24"/>
        </w:rPr>
        <w:t>, Vol. 104, pp. 333–339, doi: 10.1016/j.jbusres.2019.07.039.</w:t>
      </w:r>
    </w:p>
    <w:p w14:paraId="1D39D7CF"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SteadieSeifi, M., Dellaert, N.P., Nuijten, W., Van Woensel, T. and Raoufi, R. (2014), “Multimodal freight transportation planning: A literature review”, </w:t>
      </w:r>
      <w:r w:rsidRPr="00EF6D91">
        <w:rPr>
          <w:rFonts w:ascii="Times New Roman" w:hAnsi="Times New Roman" w:cs="Times New Roman"/>
          <w:i/>
          <w:iCs/>
          <w:sz w:val="24"/>
          <w:szCs w:val="24"/>
        </w:rPr>
        <w:t>European Journal of Operational Research</w:t>
      </w:r>
      <w:r w:rsidRPr="00EF6D91">
        <w:rPr>
          <w:rFonts w:ascii="Times New Roman" w:hAnsi="Times New Roman" w:cs="Times New Roman"/>
          <w:sz w:val="24"/>
          <w:szCs w:val="24"/>
        </w:rPr>
        <w:t>, Vol. 233 No. 1, pp. 1–15, doi: 10.1016/j.ejor.2013.06.055.</w:t>
      </w:r>
    </w:p>
    <w:p w14:paraId="4F18E535" w14:textId="1A89FA0E"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Taber, K.S. (2018), “The use of </w:t>
      </w:r>
      <w:r w:rsidR="00756271" w:rsidRPr="00EF6D91">
        <w:rPr>
          <w:rFonts w:ascii="Times New Roman" w:hAnsi="Times New Roman" w:cs="Times New Roman"/>
          <w:sz w:val="24"/>
          <w:szCs w:val="24"/>
        </w:rPr>
        <w:t>C</w:t>
      </w:r>
      <w:r w:rsidRPr="00EF6D91">
        <w:rPr>
          <w:rFonts w:ascii="Times New Roman" w:hAnsi="Times New Roman" w:cs="Times New Roman"/>
          <w:sz w:val="24"/>
          <w:szCs w:val="24"/>
        </w:rPr>
        <w:t xml:space="preserve">ronbach’s alpha when developing and reporting research instruments in science education”, </w:t>
      </w:r>
      <w:r w:rsidRPr="00EF6D91">
        <w:rPr>
          <w:rFonts w:ascii="Times New Roman" w:hAnsi="Times New Roman" w:cs="Times New Roman"/>
          <w:i/>
          <w:iCs/>
          <w:sz w:val="24"/>
          <w:szCs w:val="24"/>
        </w:rPr>
        <w:t>Research in Science Education</w:t>
      </w:r>
      <w:r w:rsidRPr="00EF6D91">
        <w:rPr>
          <w:rFonts w:ascii="Times New Roman" w:hAnsi="Times New Roman" w:cs="Times New Roman"/>
          <w:sz w:val="24"/>
          <w:szCs w:val="24"/>
        </w:rPr>
        <w:t>, Vol. 48 No. 6, pp. 1273–1296, doi: 10.1007/s11165-016-9602-2.</w:t>
      </w:r>
    </w:p>
    <w:p w14:paraId="091E0743"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Talwar, S., Kaur, P., Fosso Wamba, S. and Dhir, A. (2021), “Big Data in operations and supply chain management: a systematic literature review and future research agenda”, </w:t>
      </w:r>
      <w:r w:rsidRPr="00EF6D91">
        <w:rPr>
          <w:rFonts w:ascii="Times New Roman" w:hAnsi="Times New Roman" w:cs="Times New Roman"/>
          <w:i/>
          <w:iCs/>
          <w:sz w:val="24"/>
          <w:szCs w:val="24"/>
        </w:rPr>
        <w:t>International Journal of Production Research</w:t>
      </w:r>
      <w:r w:rsidRPr="00EF6D91">
        <w:rPr>
          <w:rFonts w:ascii="Times New Roman" w:hAnsi="Times New Roman" w:cs="Times New Roman"/>
          <w:sz w:val="24"/>
          <w:szCs w:val="24"/>
        </w:rPr>
        <w:t>, Vol. 59 No. 11, pp. 3509–3534, doi: 10.1080/00207543.2020.1868599.</w:t>
      </w:r>
    </w:p>
    <w:p w14:paraId="6009431F"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bookmarkStart w:id="18" w:name="_Hlk164781657"/>
      <w:r w:rsidRPr="00EF6D91">
        <w:rPr>
          <w:rFonts w:ascii="Times New Roman" w:hAnsi="Times New Roman" w:cs="Times New Roman"/>
          <w:sz w:val="24"/>
          <w:szCs w:val="24"/>
        </w:rPr>
        <w:t xml:space="preserve">Tarei, P.K., Chand, P. and Gupta, H. (2021), “Barriers to the adoption of electric vehicles: Evidence from India”, </w:t>
      </w:r>
      <w:r w:rsidRPr="00EF6D91">
        <w:rPr>
          <w:rFonts w:ascii="Times New Roman" w:hAnsi="Times New Roman" w:cs="Times New Roman"/>
          <w:i/>
          <w:iCs/>
          <w:sz w:val="24"/>
          <w:szCs w:val="24"/>
        </w:rPr>
        <w:t>Journal of Cleaner Production</w:t>
      </w:r>
      <w:r w:rsidRPr="00EF6D91">
        <w:rPr>
          <w:rFonts w:ascii="Times New Roman" w:hAnsi="Times New Roman" w:cs="Times New Roman"/>
          <w:sz w:val="24"/>
          <w:szCs w:val="24"/>
        </w:rPr>
        <w:t>, Vol. 291, p. 125847, doi: 10.1016/j.jclepro.2021.125847.</w:t>
      </w:r>
    </w:p>
    <w:bookmarkEnd w:id="18"/>
    <w:p w14:paraId="43E8964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proofErr w:type="spellStart"/>
      <w:r w:rsidRPr="00EF6D91">
        <w:rPr>
          <w:rFonts w:ascii="Times New Roman" w:hAnsi="Times New Roman" w:cs="Times New Roman"/>
          <w:sz w:val="24"/>
          <w:szCs w:val="24"/>
        </w:rPr>
        <w:t>Tranfield</w:t>
      </w:r>
      <w:proofErr w:type="spellEnd"/>
      <w:r w:rsidRPr="00EF6D91">
        <w:rPr>
          <w:rFonts w:ascii="Times New Roman" w:hAnsi="Times New Roman" w:cs="Times New Roman"/>
          <w:sz w:val="24"/>
          <w:szCs w:val="24"/>
        </w:rPr>
        <w:t xml:space="preserve">, D., Denyer, D. and Smart, P. (2003), “Towards a methodology for developing evidence-informed management knowledge by means of systematic review”, </w:t>
      </w:r>
      <w:r w:rsidRPr="00EF6D91">
        <w:rPr>
          <w:rFonts w:ascii="Times New Roman" w:hAnsi="Times New Roman" w:cs="Times New Roman"/>
          <w:i/>
          <w:iCs/>
          <w:sz w:val="24"/>
          <w:szCs w:val="24"/>
        </w:rPr>
        <w:t>BRITISH JOURNAL OF MANAGEMENT</w:t>
      </w:r>
      <w:r w:rsidRPr="00EF6D91">
        <w:rPr>
          <w:rFonts w:ascii="Times New Roman" w:hAnsi="Times New Roman" w:cs="Times New Roman"/>
          <w:sz w:val="24"/>
          <w:szCs w:val="24"/>
        </w:rPr>
        <w:t>, Vol. 14 No. 3, pp. 207–222, doi: 10.1111/1467-8551.00375.</w:t>
      </w:r>
    </w:p>
    <w:p w14:paraId="6714E848"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Wikström, M., Hansson, L. and Alvfors, P. (2015), “An end has a start – investigating the usage of electric vehicles in commercial fleets”, </w:t>
      </w:r>
      <w:r w:rsidRPr="00EF6D91">
        <w:rPr>
          <w:rFonts w:ascii="Times New Roman" w:hAnsi="Times New Roman" w:cs="Times New Roman"/>
          <w:i/>
          <w:iCs/>
          <w:sz w:val="24"/>
          <w:szCs w:val="24"/>
        </w:rPr>
        <w:t>Energy Procedia</w:t>
      </w:r>
      <w:r w:rsidRPr="00EF6D91">
        <w:rPr>
          <w:rFonts w:ascii="Times New Roman" w:hAnsi="Times New Roman" w:cs="Times New Roman"/>
          <w:sz w:val="24"/>
          <w:szCs w:val="24"/>
        </w:rPr>
        <w:t>, Vol. 75, pp. 1932–1937, doi: 10.1016/j.egypro.2015.07.223.</w:t>
      </w:r>
    </w:p>
    <w:p w14:paraId="281FFD9B"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Williams, B., Onsman, A. and Brown, T. (2010), “Exploratory factor analysis: a five-step guide for novices”, </w:t>
      </w:r>
      <w:r w:rsidRPr="00EF6D91">
        <w:rPr>
          <w:rFonts w:ascii="Times New Roman" w:hAnsi="Times New Roman" w:cs="Times New Roman"/>
          <w:i/>
          <w:iCs/>
          <w:sz w:val="24"/>
          <w:szCs w:val="24"/>
        </w:rPr>
        <w:t>Australasian Journal of Paramedicine</w:t>
      </w:r>
      <w:r w:rsidRPr="00EF6D91">
        <w:rPr>
          <w:rFonts w:ascii="Times New Roman" w:hAnsi="Times New Roman" w:cs="Times New Roman"/>
          <w:sz w:val="24"/>
          <w:szCs w:val="24"/>
        </w:rPr>
        <w:t>, Vol. 8, pp. 1–13, doi: 10.33151/ajp.8.3.93.</w:t>
      </w:r>
    </w:p>
    <w:p w14:paraId="31044F65"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Wolff, S. and Madlener, R. (2019), “Driven by change: Commercial drivers’ acceptance and efficiency perceptions of light-duty electric vehicle usage in Germany”, </w:t>
      </w:r>
      <w:r w:rsidRPr="00EF6D91">
        <w:rPr>
          <w:rFonts w:ascii="Times New Roman" w:hAnsi="Times New Roman" w:cs="Times New Roman"/>
          <w:i/>
          <w:iCs/>
          <w:sz w:val="24"/>
          <w:szCs w:val="24"/>
        </w:rPr>
        <w:t>Transportation Research Part C: Emerging Technologies</w:t>
      </w:r>
      <w:r w:rsidRPr="00EF6D91">
        <w:rPr>
          <w:rFonts w:ascii="Times New Roman" w:hAnsi="Times New Roman" w:cs="Times New Roman"/>
          <w:sz w:val="24"/>
          <w:szCs w:val="24"/>
        </w:rPr>
        <w:t>, Vol. 105, pp. 262–282, doi: 10.1016/j.trc.2019.05.017.</w:t>
      </w:r>
    </w:p>
    <w:p w14:paraId="0D66AF3C"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“World energy transitions outlook 2022”. (n.d.). , available at: https://www.irena.org/Digital-Report/World-Energy-Transitions-Outlook-2022 (accessed 26 March 2024).</w:t>
      </w:r>
    </w:p>
    <w:p w14:paraId="375D4699"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Yong, A.G. and Pearce, S. (2013), “A beginner’s guide to factor analysis: focusing on exploratory factor analysis”, </w:t>
      </w:r>
      <w:r w:rsidRPr="00EF6D91">
        <w:rPr>
          <w:rFonts w:ascii="Times New Roman" w:hAnsi="Times New Roman" w:cs="Times New Roman"/>
          <w:i/>
          <w:iCs/>
          <w:sz w:val="24"/>
          <w:szCs w:val="24"/>
        </w:rPr>
        <w:t>Tutorials in Quantitative Methods for Psychology</w:t>
      </w:r>
      <w:r w:rsidRPr="00EF6D91">
        <w:rPr>
          <w:rFonts w:ascii="Times New Roman" w:hAnsi="Times New Roman" w:cs="Times New Roman"/>
          <w:sz w:val="24"/>
          <w:szCs w:val="24"/>
        </w:rPr>
        <w:t>, Vol. 9 No. 2, pp. 79–94, doi: 10.20982/tqmp.09.2.p079.</w:t>
      </w:r>
    </w:p>
    <w:p w14:paraId="5237A872"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Zhang, M., Tse, Y.K., Doherty, B., Li, S. and Akhtar, P. (2018), “Sustainable supply chain management: Confirmation of a higher-order model”, </w:t>
      </w:r>
      <w:r w:rsidRPr="00EF6D91">
        <w:rPr>
          <w:rFonts w:ascii="Times New Roman" w:hAnsi="Times New Roman" w:cs="Times New Roman"/>
          <w:i/>
          <w:iCs/>
          <w:sz w:val="24"/>
          <w:szCs w:val="24"/>
        </w:rPr>
        <w:t>Resources, Conservation and Recycling</w:t>
      </w:r>
      <w:r w:rsidRPr="00EF6D91">
        <w:rPr>
          <w:rFonts w:ascii="Times New Roman" w:hAnsi="Times New Roman" w:cs="Times New Roman"/>
          <w:sz w:val="24"/>
          <w:szCs w:val="24"/>
        </w:rPr>
        <w:t>, Vol. 128, pp. 206–221, doi: 10.1016/j.resconrec.2016.06.015.</w:t>
      </w:r>
    </w:p>
    <w:p w14:paraId="3C45F741" w14:textId="77777777" w:rsidR="00AF71F9" w:rsidRPr="00EF6D91" w:rsidRDefault="00AF71F9" w:rsidP="00B81C5C">
      <w:pPr>
        <w:pStyle w:val="Bibliography"/>
        <w:spacing w:line="240" w:lineRule="auto"/>
        <w:ind w:left="360" w:hanging="360"/>
        <w:jc w:val="both"/>
        <w:rPr>
          <w:rFonts w:ascii="Times New Roman" w:hAnsi="Times New Roman" w:cs="Times New Roman"/>
          <w:sz w:val="24"/>
          <w:szCs w:val="24"/>
        </w:rPr>
      </w:pPr>
      <w:r w:rsidRPr="00EF6D91">
        <w:rPr>
          <w:rFonts w:ascii="Times New Roman" w:hAnsi="Times New Roman" w:cs="Times New Roman"/>
          <w:sz w:val="24"/>
          <w:szCs w:val="24"/>
        </w:rPr>
        <w:t xml:space="preserve">Zhu, K., Dong, S., Xu, S.X. and Kraemer, K.L. (2006), “Innovation diffusion in global contexts: determinants of post-adoption digital transformation of European companies”, </w:t>
      </w:r>
      <w:r w:rsidRPr="00EF6D91">
        <w:rPr>
          <w:rFonts w:ascii="Times New Roman" w:hAnsi="Times New Roman" w:cs="Times New Roman"/>
          <w:i/>
          <w:iCs/>
          <w:sz w:val="24"/>
          <w:szCs w:val="24"/>
        </w:rPr>
        <w:lastRenderedPageBreak/>
        <w:t>European Journal of Information Systems</w:t>
      </w:r>
      <w:r w:rsidRPr="00EF6D91">
        <w:rPr>
          <w:rFonts w:ascii="Times New Roman" w:hAnsi="Times New Roman" w:cs="Times New Roman"/>
          <w:sz w:val="24"/>
          <w:szCs w:val="24"/>
        </w:rPr>
        <w:t>, Vol. 15 No. 6, pp. 601–616, doi: 10.1057/palgrave.ejis.3000650.</w:t>
      </w:r>
    </w:p>
    <w:p w14:paraId="148B7FCB" w14:textId="0348D7E0" w:rsidR="00D5018D" w:rsidRPr="00901359" w:rsidRDefault="00567693" w:rsidP="00B81C5C">
      <w:pPr>
        <w:spacing w:after="0" w:line="240" w:lineRule="auto"/>
        <w:ind w:hanging="360"/>
        <w:jc w:val="both"/>
        <w:rPr>
          <w:rFonts w:ascii="Times New Roman" w:hAnsi="Times New Roman" w:cs="Times New Roman"/>
          <w:color w:val="000000" w:themeColor="text1"/>
          <w:sz w:val="24"/>
          <w:szCs w:val="24"/>
        </w:rPr>
      </w:pPr>
      <w:r w:rsidRPr="00EF6D91">
        <w:rPr>
          <w:rFonts w:ascii="Times New Roman" w:hAnsi="Times New Roman" w:cs="Times New Roman"/>
          <w:color w:val="000000" w:themeColor="text1"/>
          <w:sz w:val="24"/>
          <w:szCs w:val="24"/>
        </w:rPr>
        <w:fldChar w:fldCharType="end"/>
      </w:r>
    </w:p>
    <w:p w14:paraId="5CE6A68C" w14:textId="77777777" w:rsidR="004612CB" w:rsidRPr="00AC21CE" w:rsidRDefault="004612CB" w:rsidP="00AC21CE">
      <w:pPr>
        <w:rPr>
          <w:lang w:val="en-US"/>
        </w:rPr>
      </w:pPr>
    </w:p>
    <w:sectPr w:rsidR="004612CB" w:rsidRPr="00AC21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42AD" w14:textId="77777777" w:rsidR="00195D41" w:rsidRDefault="00195D41" w:rsidP="00C32397">
      <w:pPr>
        <w:spacing w:after="0" w:line="240" w:lineRule="auto"/>
      </w:pPr>
      <w:r>
        <w:separator/>
      </w:r>
    </w:p>
  </w:endnote>
  <w:endnote w:type="continuationSeparator" w:id="0">
    <w:p w14:paraId="6CD1B270" w14:textId="77777777" w:rsidR="00195D41" w:rsidRDefault="00195D41" w:rsidP="00C3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8AC5" w14:textId="77777777" w:rsidR="00C32397" w:rsidRDefault="00C3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DFFB" w14:textId="77777777" w:rsidR="00C32397" w:rsidRDefault="00C32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D5E7" w14:textId="77777777" w:rsidR="00C32397" w:rsidRDefault="00C3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8F68" w14:textId="77777777" w:rsidR="00195D41" w:rsidRDefault="00195D41" w:rsidP="00C32397">
      <w:pPr>
        <w:spacing w:after="0" w:line="240" w:lineRule="auto"/>
      </w:pPr>
      <w:r>
        <w:separator/>
      </w:r>
    </w:p>
  </w:footnote>
  <w:footnote w:type="continuationSeparator" w:id="0">
    <w:p w14:paraId="4040BCCA" w14:textId="77777777" w:rsidR="00195D41" w:rsidRDefault="00195D41" w:rsidP="00C3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3658" w14:textId="77777777" w:rsidR="00C32397" w:rsidRDefault="00C32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0A9D" w14:textId="77777777" w:rsidR="00C32397" w:rsidRDefault="00C32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A5BD0" w14:textId="77777777" w:rsidR="00C32397" w:rsidRDefault="00C3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96"/>
    <w:multiLevelType w:val="multilevel"/>
    <w:tmpl w:val="304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1196"/>
    <w:multiLevelType w:val="multilevel"/>
    <w:tmpl w:val="C4A0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C3DFF"/>
    <w:multiLevelType w:val="multilevel"/>
    <w:tmpl w:val="39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87198"/>
    <w:multiLevelType w:val="multilevel"/>
    <w:tmpl w:val="25521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923AD"/>
    <w:multiLevelType w:val="multilevel"/>
    <w:tmpl w:val="C756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3235F"/>
    <w:multiLevelType w:val="hybridMultilevel"/>
    <w:tmpl w:val="CB86494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9539E"/>
    <w:multiLevelType w:val="hybridMultilevel"/>
    <w:tmpl w:val="475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A2513"/>
    <w:multiLevelType w:val="hybridMultilevel"/>
    <w:tmpl w:val="8040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C2C38"/>
    <w:multiLevelType w:val="hybridMultilevel"/>
    <w:tmpl w:val="4F5E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72E52"/>
    <w:multiLevelType w:val="hybridMultilevel"/>
    <w:tmpl w:val="67B4BFE8"/>
    <w:lvl w:ilvl="0" w:tplc="40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F5493"/>
    <w:multiLevelType w:val="hybridMultilevel"/>
    <w:tmpl w:val="A2FE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84BB3"/>
    <w:multiLevelType w:val="hybridMultilevel"/>
    <w:tmpl w:val="8956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96663"/>
    <w:multiLevelType w:val="hybridMultilevel"/>
    <w:tmpl w:val="5A6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04532"/>
    <w:multiLevelType w:val="hybridMultilevel"/>
    <w:tmpl w:val="D5A4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F3D60"/>
    <w:multiLevelType w:val="hybridMultilevel"/>
    <w:tmpl w:val="A398A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660802">
    <w:abstractNumId w:val="10"/>
  </w:num>
  <w:num w:numId="2" w16cid:durableId="520362842">
    <w:abstractNumId w:val="12"/>
  </w:num>
  <w:num w:numId="3" w16cid:durableId="291180604">
    <w:abstractNumId w:val="1"/>
  </w:num>
  <w:num w:numId="4" w16cid:durableId="304430327">
    <w:abstractNumId w:val="2"/>
  </w:num>
  <w:num w:numId="5" w16cid:durableId="1592542207">
    <w:abstractNumId w:val="9"/>
  </w:num>
  <w:num w:numId="6" w16cid:durableId="565144564">
    <w:abstractNumId w:val="4"/>
  </w:num>
  <w:num w:numId="7" w16cid:durableId="1775638127">
    <w:abstractNumId w:val="3"/>
  </w:num>
  <w:num w:numId="8" w16cid:durableId="1558473178">
    <w:abstractNumId w:val="5"/>
  </w:num>
  <w:num w:numId="9" w16cid:durableId="156775226">
    <w:abstractNumId w:val="14"/>
  </w:num>
  <w:num w:numId="10" w16cid:durableId="1777824481">
    <w:abstractNumId w:val="13"/>
  </w:num>
  <w:num w:numId="11" w16cid:durableId="1112433629">
    <w:abstractNumId w:val="11"/>
  </w:num>
  <w:num w:numId="12" w16cid:durableId="1318995546">
    <w:abstractNumId w:val="6"/>
  </w:num>
  <w:num w:numId="13" w16cid:durableId="62608787">
    <w:abstractNumId w:val="7"/>
  </w:num>
  <w:num w:numId="14" w16cid:durableId="690763454">
    <w:abstractNumId w:val="8"/>
  </w:num>
  <w:num w:numId="15" w16cid:durableId="27540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zIzNbAwNTc1sbBQ0lEKTi0uzszPAykwMa4FAAtYldYtAAAA"/>
  </w:docVars>
  <w:rsids>
    <w:rsidRoot w:val="00740337"/>
    <w:rsid w:val="00024B71"/>
    <w:rsid w:val="00032BF6"/>
    <w:rsid w:val="00034CD2"/>
    <w:rsid w:val="00042F59"/>
    <w:rsid w:val="00044019"/>
    <w:rsid w:val="0004521A"/>
    <w:rsid w:val="00046977"/>
    <w:rsid w:val="000518D0"/>
    <w:rsid w:val="00054029"/>
    <w:rsid w:val="000615DD"/>
    <w:rsid w:val="00067913"/>
    <w:rsid w:val="00081445"/>
    <w:rsid w:val="000866E8"/>
    <w:rsid w:val="000B2472"/>
    <w:rsid w:val="000B36C6"/>
    <w:rsid w:val="000B3A93"/>
    <w:rsid w:val="000D0B6A"/>
    <w:rsid w:val="000D3639"/>
    <w:rsid w:val="000E28FF"/>
    <w:rsid w:val="000E2C4C"/>
    <w:rsid w:val="000E3F5B"/>
    <w:rsid w:val="000E6829"/>
    <w:rsid w:val="000E687A"/>
    <w:rsid w:val="000F510E"/>
    <w:rsid w:val="00115C40"/>
    <w:rsid w:val="001271D0"/>
    <w:rsid w:val="00151844"/>
    <w:rsid w:val="001560E5"/>
    <w:rsid w:val="00162387"/>
    <w:rsid w:val="00164431"/>
    <w:rsid w:val="00165570"/>
    <w:rsid w:val="00176964"/>
    <w:rsid w:val="001777F3"/>
    <w:rsid w:val="0018215A"/>
    <w:rsid w:val="00192CF7"/>
    <w:rsid w:val="00194DFC"/>
    <w:rsid w:val="00195D41"/>
    <w:rsid w:val="00196194"/>
    <w:rsid w:val="001971E2"/>
    <w:rsid w:val="001A76D3"/>
    <w:rsid w:val="001B5A4D"/>
    <w:rsid w:val="001C038B"/>
    <w:rsid w:val="001C4CEC"/>
    <w:rsid w:val="001D05E0"/>
    <w:rsid w:val="001D3FD7"/>
    <w:rsid w:val="001D52D3"/>
    <w:rsid w:val="001E6859"/>
    <w:rsid w:val="00201A64"/>
    <w:rsid w:val="002075C3"/>
    <w:rsid w:val="00210079"/>
    <w:rsid w:val="00213E93"/>
    <w:rsid w:val="0021463A"/>
    <w:rsid w:val="0021790F"/>
    <w:rsid w:val="002238B3"/>
    <w:rsid w:val="00232C7C"/>
    <w:rsid w:val="00243A70"/>
    <w:rsid w:val="00246A2E"/>
    <w:rsid w:val="00277CC2"/>
    <w:rsid w:val="002965CF"/>
    <w:rsid w:val="002A638E"/>
    <w:rsid w:val="002A6FBF"/>
    <w:rsid w:val="002B2A0C"/>
    <w:rsid w:val="002C13CB"/>
    <w:rsid w:val="002C4AFA"/>
    <w:rsid w:val="002C54DC"/>
    <w:rsid w:val="002C5C4E"/>
    <w:rsid w:val="002D2C49"/>
    <w:rsid w:val="002E3348"/>
    <w:rsid w:val="002E5D8F"/>
    <w:rsid w:val="002F2F29"/>
    <w:rsid w:val="002F588D"/>
    <w:rsid w:val="002F6A19"/>
    <w:rsid w:val="00303FA6"/>
    <w:rsid w:val="00310112"/>
    <w:rsid w:val="00310E98"/>
    <w:rsid w:val="00314502"/>
    <w:rsid w:val="00323348"/>
    <w:rsid w:val="00324AD7"/>
    <w:rsid w:val="00335BFC"/>
    <w:rsid w:val="003428B2"/>
    <w:rsid w:val="00346924"/>
    <w:rsid w:val="003502CD"/>
    <w:rsid w:val="0035547A"/>
    <w:rsid w:val="003602ED"/>
    <w:rsid w:val="00362148"/>
    <w:rsid w:val="00365F35"/>
    <w:rsid w:val="00366AA0"/>
    <w:rsid w:val="003867E6"/>
    <w:rsid w:val="003919FF"/>
    <w:rsid w:val="00392912"/>
    <w:rsid w:val="00392D5F"/>
    <w:rsid w:val="00392FF8"/>
    <w:rsid w:val="00396326"/>
    <w:rsid w:val="003A0AD1"/>
    <w:rsid w:val="003A3549"/>
    <w:rsid w:val="003B2F6C"/>
    <w:rsid w:val="003B3C17"/>
    <w:rsid w:val="003B3C70"/>
    <w:rsid w:val="003B5D21"/>
    <w:rsid w:val="003B602D"/>
    <w:rsid w:val="003B6A97"/>
    <w:rsid w:val="003C178D"/>
    <w:rsid w:val="003C2107"/>
    <w:rsid w:val="003C23B6"/>
    <w:rsid w:val="003D5817"/>
    <w:rsid w:val="003D7ED1"/>
    <w:rsid w:val="003E20DC"/>
    <w:rsid w:val="003E71F5"/>
    <w:rsid w:val="003F0664"/>
    <w:rsid w:val="003F0B99"/>
    <w:rsid w:val="003F0DD8"/>
    <w:rsid w:val="00403432"/>
    <w:rsid w:val="004229E6"/>
    <w:rsid w:val="004319B0"/>
    <w:rsid w:val="004335E4"/>
    <w:rsid w:val="00433D1A"/>
    <w:rsid w:val="00445450"/>
    <w:rsid w:val="00450A77"/>
    <w:rsid w:val="004612CB"/>
    <w:rsid w:val="00466604"/>
    <w:rsid w:val="00476A17"/>
    <w:rsid w:val="00491CF0"/>
    <w:rsid w:val="004A3819"/>
    <w:rsid w:val="004A3CBD"/>
    <w:rsid w:val="004A7954"/>
    <w:rsid w:val="004B71FA"/>
    <w:rsid w:val="004C0B8D"/>
    <w:rsid w:val="004C2F48"/>
    <w:rsid w:val="004C42CB"/>
    <w:rsid w:val="004D2EA7"/>
    <w:rsid w:val="004F7F42"/>
    <w:rsid w:val="0050286C"/>
    <w:rsid w:val="00507096"/>
    <w:rsid w:val="00521B96"/>
    <w:rsid w:val="0052397A"/>
    <w:rsid w:val="00524A80"/>
    <w:rsid w:val="0053418F"/>
    <w:rsid w:val="00540BEB"/>
    <w:rsid w:val="00543F7A"/>
    <w:rsid w:val="00544FB6"/>
    <w:rsid w:val="00546F00"/>
    <w:rsid w:val="00547D95"/>
    <w:rsid w:val="00557788"/>
    <w:rsid w:val="00557826"/>
    <w:rsid w:val="00561C4C"/>
    <w:rsid w:val="00561C59"/>
    <w:rsid w:val="00561F3F"/>
    <w:rsid w:val="00567693"/>
    <w:rsid w:val="0057796D"/>
    <w:rsid w:val="00584264"/>
    <w:rsid w:val="00593169"/>
    <w:rsid w:val="00596097"/>
    <w:rsid w:val="005978B1"/>
    <w:rsid w:val="005A503D"/>
    <w:rsid w:val="005B6E7B"/>
    <w:rsid w:val="005C03DB"/>
    <w:rsid w:val="005C135B"/>
    <w:rsid w:val="005C5571"/>
    <w:rsid w:val="005E3C3D"/>
    <w:rsid w:val="005E56BF"/>
    <w:rsid w:val="005E5B8D"/>
    <w:rsid w:val="005E6D3D"/>
    <w:rsid w:val="005F06C0"/>
    <w:rsid w:val="005F0D10"/>
    <w:rsid w:val="005F103E"/>
    <w:rsid w:val="005F3F5C"/>
    <w:rsid w:val="005F6DB6"/>
    <w:rsid w:val="005F7E1F"/>
    <w:rsid w:val="006079DB"/>
    <w:rsid w:val="00614F5D"/>
    <w:rsid w:val="00615A80"/>
    <w:rsid w:val="00622572"/>
    <w:rsid w:val="006254C5"/>
    <w:rsid w:val="00626846"/>
    <w:rsid w:val="00632CBD"/>
    <w:rsid w:val="006342F5"/>
    <w:rsid w:val="006352AF"/>
    <w:rsid w:val="00637232"/>
    <w:rsid w:val="00645548"/>
    <w:rsid w:val="0065312A"/>
    <w:rsid w:val="006550E6"/>
    <w:rsid w:val="00661DBD"/>
    <w:rsid w:val="00664F54"/>
    <w:rsid w:val="00670072"/>
    <w:rsid w:val="00673929"/>
    <w:rsid w:val="00680DE7"/>
    <w:rsid w:val="00687BDF"/>
    <w:rsid w:val="00694BBB"/>
    <w:rsid w:val="006964E8"/>
    <w:rsid w:val="006B43FA"/>
    <w:rsid w:val="006B5A72"/>
    <w:rsid w:val="006B7683"/>
    <w:rsid w:val="006C10B6"/>
    <w:rsid w:val="006D0475"/>
    <w:rsid w:val="006D4677"/>
    <w:rsid w:val="006F0F8C"/>
    <w:rsid w:val="006F4847"/>
    <w:rsid w:val="006F5FCB"/>
    <w:rsid w:val="00706608"/>
    <w:rsid w:val="00710527"/>
    <w:rsid w:val="00714839"/>
    <w:rsid w:val="00734597"/>
    <w:rsid w:val="00740337"/>
    <w:rsid w:val="007467FD"/>
    <w:rsid w:val="00753BDC"/>
    <w:rsid w:val="00755769"/>
    <w:rsid w:val="0075596A"/>
    <w:rsid w:val="00756271"/>
    <w:rsid w:val="00762B76"/>
    <w:rsid w:val="00765213"/>
    <w:rsid w:val="00765B45"/>
    <w:rsid w:val="00774854"/>
    <w:rsid w:val="00777BE8"/>
    <w:rsid w:val="007845D7"/>
    <w:rsid w:val="00796714"/>
    <w:rsid w:val="007A5D5A"/>
    <w:rsid w:val="007B1DE7"/>
    <w:rsid w:val="007C0445"/>
    <w:rsid w:val="007C1599"/>
    <w:rsid w:val="007C2185"/>
    <w:rsid w:val="007D23CB"/>
    <w:rsid w:val="007E614C"/>
    <w:rsid w:val="007F14EC"/>
    <w:rsid w:val="007F36E6"/>
    <w:rsid w:val="008130AB"/>
    <w:rsid w:val="008149AA"/>
    <w:rsid w:val="00816FAD"/>
    <w:rsid w:val="00824C72"/>
    <w:rsid w:val="00834932"/>
    <w:rsid w:val="00841558"/>
    <w:rsid w:val="0086205E"/>
    <w:rsid w:val="00876247"/>
    <w:rsid w:val="0089044E"/>
    <w:rsid w:val="00891BE4"/>
    <w:rsid w:val="008923C7"/>
    <w:rsid w:val="00896BAB"/>
    <w:rsid w:val="008B0F07"/>
    <w:rsid w:val="008C3662"/>
    <w:rsid w:val="008E10B0"/>
    <w:rsid w:val="008E2CD9"/>
    <w:rsid w:val="008F23C1"/>
    <w:rsid w:val="008F6A8C"/>
    <w:rsid w:val="00901359"/>
    <w:rsid w:val="009067FD"/>
    <w:rsid w:val="00910BF2"/>
    <w:rsid w:val="00914F0A"/>
    <w:rsid w:val="00933D65"/>
    <w:rsid w:val="00952BE5"/>
    <w:rsid w:val="0095717E"/>
    <w:rsid w:val="00963975"/>
    <w:rsid w:val="009668B2"/>
    <w:rsid w:val="00967802"/>
    <w:rsid w:val="0096780B"/>
    <w:rsid w:val="00973EA9"/>
    <w:rsid w:val="00976B9D"/>
    <w:rsid w:val="009823A1"/>
    <w:rsid w:val="00985284"/>
    <w:rsid w:val="00991A46"/>
    <w:rsid w:val="009A43FB"/>
    <w:rsid w:val="009B06E8"/>
    <w:rsid w:val="009B4801"/>
    <w:rsid w:val="009C13C9"/>
    <w:rsid w:val="009D6DE3"/>
    <w:rsid w:val="009E504A"/>
    <w:rsid w:val="009F10FC"/>
    <w:rsid w:val="009F4ACD"/>
    <w:rsid w:val="009F6362"/>
    <w:rsid w:val="009F7147"/>
    <w:rsid w:val="00A000B6"/>
    <w:rsid w:val="00A06DEA"/>
    <w:rsid w:val="00A13177"/>
    <w:rsid w:val="00A16AF6"/>
    <w:rsid w:val="00A2179C"/>
    <w:rsid w:val="00A22DBA"/>
    <w:rsid w:val="00A25857"/>
    <w:rsid w:val="00A34E43"/>
    <w:rsid w:val="00A409B8"/>
    <w:rsid w:val="00A52866"/>
    <w:rsid w:val="00A53213"/>
    <w:rsid w:val="00A54FFF"/>
    <w:rsid w:val="00A60746"/>
    <w:rsid w:val="00A61B5F"/>
    <w:rsid w:val="00A67257"/>
    <w:rsid w:val="00A67E66"/>
    <w:rsid w:val="00A70248"/>
    <w:rsid w:val="00A7120C"/>
    <w:rsid w:val="00A71FF3"/>
    <w:rsid w:val="00A9006D"/>
    <w:rsid w:val="00AA0523"/>
    <w:rsid w:val="00AA1544"/>
    <w:rsid w:val="00AB2337"/>
    <w:rsid w:val="00AB2C45"/>
    <w:rsid w:val="00AC21CE"/>
    <w:rsid w:val="00AC2F53"/>
    <w:rsid w:val="00AC52D5"/>
    <w:rsid w:val="00AC733B"/>
    <w:rsid w:val="00AD2791"/>
    <w:rsid w:val="00AD5C71"/>
    <w:rsid w:val="00AE2CA8"/>
    <w:rsid w:val="00AE7689"/>
    <w:rsid w:val="00AF331B"/>
    <w:rsid w:val="00AF55E3"/>
    <w:rsid w:val="00AF566C"/>
    <w:rsid w:val="00AF71F9"/>
    <w:rsid w:val="00B00725"/>
    <w:rsid w:val="00B058F7"/>
    <w:rsid w:val="00B1082E"/>
    <w:rsid w:val="00B16964"/>
    <w:rsid w:val="00B171BE"/>
    <w:rsid w:val="00B20BEE"/>
    <w:rsid w:val="00B24069"/>
    <w:rsid w:val="00B265DC"/>
    <w:rsid w:val="00B32B40"/>
    <w:rsid w:val="00B33B7E"/>
    <w:rsid w:val="00B41813"/>
    <w:rsid w:val="00B43B2F"/>
    <w:rsid w:val="00B525F2"/>
    <w:rsid w:val="00B54EBE"/>
    <w:rsid w:val="00B6182D"/>
    <w:rsid w:val="00B65A67"/>
    <w:rsid w:val="00B77513"/>
    <w:rsid w:val="00B81C5C"/>
    <w:rsid w:val="00B93D2A"/>
    <w:rsid w:val="00B94598"/>
    <w:rsid w:val="00B95BCE"/>
    <w:rsid w:val="00B969A7"/>
    <w:rsid w:val="00BA0B42"/>
    <w:rsid w:val="00BB0A7F"/>
    <w:rsid w:val="00BB1920"/>
    <w:rsid w:val="00BB6C57"/>
    <w:rsid w:val="00BE3394"/>
    <w:rsid w:val="00BF05B4"/>
    <w:rsid w:val="00BF3DF2"/>
    <w:rsid w:val="00BF448E"/>
    <w:rsid w:val="00BF5B4B"/>
    <w:rsid w:val="00BF5D26"/>
    <w:rsid w:val="00C012E0"/>
    <w:rsid w:val="00C117C1"/>
    <w:rsid w:val="00C15268"/>
    <w:rsid w:val="00C21E51"/>
    <w:rsid w:val="00C313EC"/>
    <w:rsid w:val="00C32397"/>
    <w:rsid w:val="00C33BAD"/>
    <w:rsid w:val="00C347E7"/>
    <w:rsid w:val="00C51F7C"/>
    <w:rsid w:val="00C52BB3"/>
    <w:rsid w:val="00C6173A"/>
    <w:rsid w:val="00C6516B"/>
    <w:rsid w:val="00C7004F"/>
    <w:rsid w:val="00C722AA"/>
    <w:rsid w:val="00C80CB2"/>
    <w:rsid w:val="00C962CF"/>
    <w:rsid w:val="00CA15E8"/>
    <w:rsid w:val="00CA40A4"/>
    <w:rsid w:val="00CA49CC"/>
    <w:rsid w:val="00CA4A0E"/>
    <w:rsid w:val="00CA6488"/>
    <w:rsid w:val="00CB01D3"/>
    <w:rsid w:val="00CB0BF7"/>
    <w:rsid w:val="00CB3710"/>
    <w:rsid w:val="00CB6380"/>
    <w:rsid w:val="00CB7681"/>
    <w:rsid w:val="00CB7D24"/>
    <w:rsid w:val="00CC481A"/>
    <w:rsid w:val="00CC7BF7"/>
    <w:rsid w:val="00CD094C"/>
    <w:rsid w:val="00CD2762"/>
    <w:rsid w:val="00CD3315"/>
    <w:rsid w:val="00CD6C27"/>
    <w:rsid w:val="00CD6C93"/>
    <w:rsid w:val="00CF0C24"/>
    <w:rsid w:val="00CF3E55"/>
    <w:rsid w:val="00CF5C90"/>
    <w:rsid w:val="00CF7D06"/>
    <w:rsid w:val="00D07FAB"/>
    <w:rsid w:val="00D1066E"/>
    <w:rsid w:val="00D10E02"/>
    <w:rsid w:val="00D17C95"/>
    <w:rsid w:val="00D20110"/>
    <w:rsid w:val="00D235F5"/>
    <w:rsid w:val="00D2470D"/>
    <w:rsid w:val="00D41426"/>
    <w:rsid w:val="00D41F6B"/>
    <w:rsid w:val="00D42EB7"/>
    <w:rsid w:val="00D45145"/>
    <w:rsid w:val="00D46AF3"/>
    <w:rsid w:val="00D5018D"/>
    <w:rsid w:val="00D54E80"/>
    <w:rsid w:val="00D63AB6"/>
    <w:rsid w:val="00D679A0"/>
    <w:rsid w:val="00D77C2D"/>
    <w:rsid w:val="00D82119"/>
    <w:rsid w:val="00D855C6"/>
    <w:rsid w:val="00D90973"/>
    <w:rsid w:val="00D916C8"/>
    <w:rsid w:val="00DB20B4"/>
    <w:rsid w:val="00DB31AC"/>
    <w:rsid w:val="00DB7853"/>
    <w:rsid w:val="00DC136B"/>
    <w:rsid w:val="00DC1A3F"/>
    <w:rsid w:val="00DC2F15"/>
    <w:rsid w:val="00DC32F4"/>
    <w:rsid w:val="00DD1088"/>
    <w:rsid w:val="00DE3DC6"/>
    <w:rsid w:val="00DF4681"/>
    <w:rsid w:val="00E10A3D"/>
    <w:rsid w:val="00E164F0"/>
    <w:rsid w:val="00E215CD"/>
    <w:rsid w:val="00E220C3"/>
    <w:rsid w:val="00E37E85"/>
    <w:rsid w:val="00E40D7E"/>
    <w:rsid w:val="00E56AC9"/>
    <w:rsid w:val="00E56F59"/>
    <w:rsid w:val="00E62CA2"/>
    <w:rsid w:val="00E646D2"/>
    <w:rsid w:val="00E67EE5"/>
    <w:rsid w:val="00E711AE"/>
    <w:rsid w:val="00E826E7"/>
    <w:rsid w:val="00E90190"/>
    <w:rsid w:val="00E9108F"/>
    <w:rsid w:val="00E931F1"/>
    <w:rsid w:val="00EA0664"/>
    <w:rsid w:val="00EA0E4E"/>
    <w:rsid w:val="00EA33C5"/>
    <w:rsid w:val="00EB2D73"/>
    <w:rsid w:val="00EB44AB"/>
    <w:rsid w:val="00EC0BDB"/>
    <w:rsid w:val="00EC0DD3"/>
    <w:rsid w:val="00EC3650"/>
    <w:rsid w:val="00EC57D0"/>
    <w:rsid w:val="00EC7E8E"/>
    <w:rsid w:val="00ED04AA"/>
    <w:rsid w:val="00ED57F8"/>
    <w:rsid w:val="00EF22D8"/>
    <w:rsid w:val="00EF53CF"/>
    <w:rsid w:val="00EF6D91"/>
    <w:rsid w:val="00F00E46"/>
    <w:rsid w:val="00F17DA8"/>
    <w:rsid w:val="00F26E6F"/>
    <w:rsid w:val="00F31E06"/>
    <w:rsid w:val="00F34242"/>
    <w:rsid w:val="00F36724"/>
    <w:rsid w:val="00F403B6"/>
    <w:rsid w:val="00F4336E"/>
    <w:rsid w:val="00F533D7"/>
    <w:rsid w:val="00F669CE"/>
    <w:rsid w:val="00F762B5"/>
    <w:rsid w:val="00F801AD"/>
    <w:rsid w:val="00F907D8"/>
    <w:rsid w:val="00F959CF"/>
    <w:rsid w:val="00F97B90"/>
    <w:rsid w:val="00FA7243"/>
    <w:rsid w:val="00FB0278"/>
    <w:rsid w:val="00FC0C1E"/>
    <w:rsid w:val="00FC1328"/>
    <w:rsid w:val="00FC3194"/>
    <w:rsid w:val="00FD177C"/>
    <w:rsid w:val="00FE587C"/>
    <w:rsid w:val="00FF0DC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55813"/>
  <w15:chartTrackingRefBased/>
  <w15:docId w15:val="{72C20B99-507E-4958-BF85-C8BF5323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AD1"/>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Bibliography">
    <w:name w:val="Bibliography"/>
    <w:basedOn w:val="Normal"/>
    <w:next w:val="Normal"/>
    <w:uiPriority w:val="37"/>
    <w:unhideWhenUsed/>
    <w:rsid w:val="00567693"/>
    <w:pPr>
      <w:spacing w:after="0" w:line="480" w:lineRule="auto"/>
      <w:ind w:left="720" w:hanging="720"/>
    </w:pPr>
  </w:style>
  <w:style w:type="paragraph" w:styleId="Header">
    <w:name w:val="header"/>
    <w:basedOn w:val="Normal"/>
    <w:link w:val="HeaderChar"/>
    <w:uiPriority w:val="99"/>
    <w:unhideWhenUsed/>
    <w:rsid w:val="00C3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397"/>
    <w:rPr>
      <w:lang w:val="en-GB"/>
    </w:rPr>
  </w:style>
  <w:style w:type="paragraph" w:styleId="Footer">
    <w:name w:val="footer"/>
    <w:basedOn w:val="Normal"/>
    <w:link w:val="FooterChar"/>
    <w:uiPriority w:val="99"/>
    <w:unhideWhenUsed/>
    <w:rsid w:val="00C3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397"/>
    <w:rPr>
      <w:lang w:val="en-GB"/>
    </w:rPr>
  </w:style>
  <w:style w:type="paragraph" w:styleId="Revision">
    <w:name w:val="Revision"/>
    <w:hidden/>
    <w:uiPriority w:val="99"/>
    <w:semiHidden/>
    <w:rsid w:val="00365F35"/>
    <w:pPr>
      <w:spacing w:after="0" w:line="240" w:lineRule="auto"/>
    </w:pPr>
    <w:rPr>
      <w:lang w:val="en-GB"/>
    </w:rPr>
  </w:style>
  <w:style w:type="character" w:styleId="CommentReference">
    <w:name w:val="annotation reference"/>
    <w:basedOn w:val="DefaultParagraphFont"/>
    <w:uiPriority w:val="99"/>
    <w:semiHidden/>
    <w:unhideWhenUsed/>
    <w:rsid w:val="002965CF"/>
    <w:rPr>
      <w:sz w:val="16"/>
      <w:szCs w:val="16"/>
    </w:rPr>
  </w:style>
  <w:style w:type="paragraph" w:styleId="CommentText">
    <w:name w:val="annotation text"/>
    <w:basedOn w:val="Normal"/>
    <w:link w:val="CommentTextChar"/>
    <w:uiPriority w:val="99"/>
    <w:unhideWhenUsed/>
    <w:rsid w:val="002965CF"/>
    <w:pPr>
      <w:spacing w:line="240" w:lineRule="auto"/>
    </w:pPr>
    <w:rPr>
      <w:sz w:val="20"/>
      <w:szCs w:val="20"/>
    </w:rPr>
  </w:style>
  <w:style w:type="character" w:customStyle="1" w:styleId="CommentTextChar">
    <w:name w:val="Comment Text Char"/>
    <w:basedOn w:val="DefaultParagraphFont"/>
    <w:link w:val="CommentText"/>
    <w:uiPriority w:val="99"/>
    <w:rsid w:val="002965CF"/>
    <w:rPr>
      <w:sz w:val="20"/>
      <w:szCs w:val="20"/>
      <w:lang w:val="en-GB"/>
    </w:rPr>
  </w:style>
  <w:style w:type="paragraph" w:styleId="CommentSubject">
    <w:name w:val="annotation subject"/>
    <w:basedOn w:val="CommentText"/>
    <w:next w:val="CommentText"/>
    <w:link w:val="CommentSubjectChar"/>
    <w:uiPriority w:val="99"/>
    <w:semiHidden/>
    <w:unhideWhenUsed/>
    <w:rsid w:val="002965CF"/>
    <w:rPr>
      <w:b/>
      <w:bCs/>
    </w:rPr>
  </w:style>
  <w:style w:type="character" w:customStyle="1" w:styleId="CommentSubjectChar">
    <w:name w:val="Comment Subject Char"/>
    <w:basedOn w:val="CommentTextChar"/>
    <w:link w:val="CommentSubject"/>
    <w:uiPriority w:val="99"/>
    <w:semiHidden/>
    <w:rsid w:val="002965CF"/>
    <w:rPr>
      <w:b/>
      <w:bCs/>
      <w:sz w:val="20"/>
      <w:szCs w:val="20"/>
      <w:lang w:val="en-GB"/>
    </w:rPr>
  </w:style>
  <w:style w:type="paragraph" w:styleId="ListParagraph">
    <w:name w:val="List Paragraph"/>
    <w:basedOn w:val="Normal"/>
    <w:uiPriority w:val="34"/>
    <w:qFormat/>
    <w:rsid w:val="001B5A4D"/>
    <w:pPr>
      <w:ind w:left="720"/>
      <w:contextualSpacing/>
    </w:pPr>
  </w:style>
  <w:style w:type="paragraph" w:styleId="NormalWeb">
    <w:name w:val="Normal (Web)"/>
    <w:basedOn w:val="Normal"/>
    <w:uiPriority w:val="99"/>
    <w:semiHidden/>
    <w:unhideWhenUsed/>
    <w:rsid w:val="00201A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0064">
      <w:bodyDiv w:val="1"/>
      <w:marLeft w:val="0"/>
      <w:marRight w:val="0"/>
      <w:marTop w:val="0"/>
      <w:marBottom w:val="0"/>
      <w:divBdr>
        <w:top w:val="none" w:sz="0" w:space="0" w:color="auto"/>
        <w:left w:val="none" w:sz="0" w:space="0" w:color="auto"/>
        <w:bottom w:val="none" w:sz="0" w:space="0" w:color="auto"/>
        <w:right w:val="none" w:sz="0" w:space="0" w:color="auto"/>
      </w:divBdr>
    </w:div>
    <w:div w:id="2348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26D42-7890-45AC-BF03-8E27EC7F5A2A}">
  <we:reference id="f78a3046-9e99-4300-aa2b-5814002b01a2" version="1.55.1.0" store="EXCatalog" storeType="EXCatalog"/>
  <we:alternateReferences>
    <we:reference id="WA104382081" version="1.55.1.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77F2-D512-467E-BC00-C6E32F85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33</Pages>
  <Words>35732</Words>
  <Characters>224757</Characters>
  <Application>Microsoft Office Word</Application>
  <DocSecurity>0</DocSecurity>
  <Lines>5914</Lines>
  <Paragraphs>2713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Derby</Company>
  <LinksUpToDate>false</LinksUpToDate>
  <CharactersWithSpaces>257776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Arturo Garza-Reyes</cp:lastModifiedBy>
  <cp:revision>112</cp:revision>
  <cp:lastPrinted>2024-03-14T06:43:00Z</cp:lastPrinted>
  <dcterms:created xsi:type="dcterms:W3CDTF">2024-10-07T09:27:00Z</dcterms:created>
  <dcterms:modified xsi:type="dcterms:W3CDTF">2024-10-08T17:40:00Z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id="6AkWpwMt"/&gt;&lt;style id="http://www.zotero.org/styles/emerald-harvard" hasBibliography="1" bibliographyStyleHasBeenSet="1"/&gt;&lt;prefs&gt;&lt;pref name="fieldType" value="Field"/&gt;&lt;/prefs&gt;&lt;/data&gt;</vt:lpwstr>
  </property>
  <property fmtid="{D5CDD505-2E9C-101B-9397-08002B2CF9AE}" pid="3" name="GrammarlyDocumentId">
    <vt:lpwstr>c1d68685ad35a76679d209ea287329aaa0b8d8ed370c0878a110fc4c8fbb466e</vt:lpwstr>
  </property>
</Properties>
</file>