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D71A" w14:textId="77777777" w:rsidR="000F3566" w:rsidRDefault="000F3566">
      <w:pPr>
        <w:rPr>
          <w:rFonts w:cstheme="minorHAnsi"/>
          <w:sz w:val="22"/>
          <w:szCs w:val="22"/>
        </w:rPr>
      </w:pPr>
    </w:p>
    <w:p w14:paraId="69D9111E" w14:textId="4772A043" w:rsidR="00413A36" w:rsidRDefault="00413A36" w:rsidP="001D0DFF">
      <w:pPr>
        <w:rPr>
          <w:b/>
          <w:bCs/>
        </w:rPr>
      </w:pPr>
    </w:p>
    <w:p w14:paraId="137B078E" w14:textId="77777777" w:rsidR="00413A36" w:rsidRDefault="00413A36" w:rsidP="00D1558C">
      <w:pPr>
        <w:jc w:val="center"/>
        <w:rPr>
          <w:b/>
          <w:bCs/>
        </w:rPr>
      </w:pPr>
    </w:p>
    <w:p w14:paraId="0F44DC33" w14:textId="3FDD9060" w:rsidR="0012425C" w:rsidRDefault="002A7D27" w:rsidP="000F18A1">
      <w:pPr>
        <w:jc w:val="center"/>
        <w:rPr>
          <w:b/>
          <w:bCs/>
        </w:rPr>
      </w:pPr>
      <w:r w:rsidRPr="00D1558C">
        <w:rPr>
          <w:b/>
          <w:bCs/>
        </w:rPr>
        <w:t>Introduction</w:t>
      </w:r>
    </w:p>
    <w:p w14:paraId="2990FF41" w14:textId="77777777" w:rsidR="000F18A1" w:rsidRPr="000F18A1" w:rsidRDefault="000F18A1" w:rsidP="000F18A1">
      <w:pPr>
        <w:jc w:val="center"/>
        <w:rPr>
          <w:b/>
          <w:bCs/>
        </w:rPr>
      </w:pPr>
    </w:p>
    <w:p w14:paraId="4DC83A65" w14:textId="33961638" w:rsidR="00495D97" w:rsidRDefault="00280786" w:rsidP="000D0A63">
      <w:pPr>
        <w:spacing w:line="480" w:lineRule="auto"/>
        <w:ind w:firstLine="720"/>
        <w:jc w:val="both"/>
        <w:rPr>
          <w:rFonts w:cstheme="minorHAnsi"/>
        </w:rPr>
      </w:pPr>
      <w:r>
        <w:rPr>
          <w:rFonts w:cstheme="minorHAnsi"/>
        </w:rPr>
        <w:t>Pain</w:t>
      </w:r>
      <w:r w:rsidR="00511D3D">
        <w:rPr>
          <w:rFonts w:cstheme="minorHAnsi"/>
        </w:rPr>
        <w:t xml:space="preserve"> </w:t>
      </w:r>
      <w:r w:rsidR="00796538">
        <w:rPr>
          <w:rFonts w:cstheme="minorHAnsi"/>
        </w:rPr>
        <w:t>or</w:t>
      </w:r>
      <w:r w:rsidR="00577CF6">
        <w:rPr>
          <w:rFonts w:cstheme="minorHAnsi"/>
        </w:rPr>
        <w:t xml:space="preserve"> impairments </w:t>
      </w:r>
      <w:r w:rsidR="00501C29">
        <w:rPr>
          <w:rFonts w:cstheme="minorHAnsi"/>
        </w:rPr>
        <w:t xml:space="preserve">of the musculoskeletal system </w:t>
      </w:r>
      <w:r w:rsidR="00577CF6">
        <w:rPr>
          <w:rFonts w:cstheme="minorHAnsi"/>
        </w:rPr>
        <w:t xml:space="preserve">(commonly referred to as </w:t>
      </w:r>
      <w:r w:rsidR="00796538">
        <w:rPr>
          <w:rFonts w:cstheme="minorHAnsi"/>
        </w:rPr>
        <w:t>m</w:t>
      </w:r>
      <w:r w:rsidR="00577CF6" w:rsidRPr="0073171D">
        <w:rPr>
          <w:rFonts w:cstheme="minorHAnsi"/>
        </w:rPr>
        <w:t>usculoskeletal</w:t>
      </w:r>
      <w:r w:rsidR="000F18A1" w:rsidRPr="0073171D">
        <w:rPr>
          <w:rFonts w:cstheme="minorHAnsi"/>
        </w:rPr>
        <w:t xml:space="preserve"> </w:t>
      </w:r>
      <w:r w:rsidR="000543CB">
        <w:rPr>
          <w:rFonts w:cstheme="minorHAnsi"/>
        </w:rPr>
        <w:t>d</w:t>
      </w:r>
      <w:r w:rsidR="009173F3">
        <w:rPr>
          <w:rFonts w:cstheme="minorHAnsi"/>
        </w:rPr>
        <w:t>isorders</w:t>
      </w:r>
      <w:r w:rsidR="005D23FC">
        <w:rPr>
          <w:rFonts w:cstheme="minorHAnsi"/>
        </w:rPr>
        <w:t xml:space="preserve"> (MS</w:t>
      </w:r>
      <w:r w:rsidR="009173F3">
        <w:rPr>
          <w:rFonts w:cstheme="minorHAnsi"/>
        </w:rPr>
        <w:t>Ds</w:t>
      </w:r>
      <w:r w:rsidR="005D23FC">
        <w:rPr>
          <w:rFonts w:cstheme="minorHAnsi"/>
        </w:rPr>
        <w:t>)</w:t>
      </w:r>
      <w:r w:rsidR="00F34383">
        <w:rPr>
          <w:rFonts w:cstheme="minorHAnsi"/>
        </w:rPr>
        <w:t xml:space="preserve"> </w:t>
      </w:r>
      <w:r w:rsidR="0069735A">
        <w:rPr>
          <w:rFonts w:cstheme="minorHAnsi"/>
        </w:rPr>
        <w:t>(</w:t>
      </w:r>
      <w:r w:rsidR="0069735A" w:rsidRPr="0069735A">
        <w:rPr>
          <w:rFonts w:cstheme="minorHAnsi"/>
        </w:rPr>
        <w:t>Zhuang</w:t>
      </w:r>
      <w:r w:rsidR="0069735A">
        <w:rPr>
          <w:rFonts w:cstheme="minorHAnsi"/>
        </w:rPr>
        <w:t xml:space="preserve"> et al, 2022</w:t>
      </w:r>
      <w:r w:rsidR="00F46395">
        <w:rPr>
          <w:rFonts w:cstheme="minorHAnsi"/>
        </w:rPr>
        <w:t>)</w:t>
      </w:r>
      <w:r w:rsidR="00796538">
        <w:rPr>
          <w:rFonts w:cstheme="minorHAnsi"/>
        </w:rPr>
        <w:t>)</w:t>
      </w:r>
      <w:r w:rsidR="00B57186">
        <w:rPr>
          <w:rFonts w:cstheme="minorHAnsi"/>
        </w:rPr>
        <w:t xml:space="preserve"> </w:t>
      </w:r>
      <w:r w:rsidR="009173F3">
        <w:rPr>
          <w:rFonts w:cstheme="minorHAnsi"/>
        </w:rPr>
        <w:t>are</w:t>
      </w:r>
      <w:r w:rsidR="002A7D27" w:rsidRPr="0073171D">
        <w:rPr>
          <w:rFonts w:cstheme="minorHAnsi"/>
        </w:rPr>
        <w:t xml:space="preserve"> the most widespread and burdensome form of impairment global</w:t>
      </w:r>
      <w:r w:rsidR="00266365" w:rsidRPr="0073171D">
        <w:rPr>
          <w:rFonts w:cstheme="minorHAnsi"/>
        </w:rPr>
        <w:t>ly</w:t>
      </w:r>
      <w:r w:rsidR="002A7D27" w:rsidRPr="0073171D">
        <w:rPr>
          <w:rFonts w:cstheme="minorHAnsi"/>
        </w:rPr>
        <w:t xml:space="preserve">, with an estimated </w:t>
      </w:r>
      <w:r w:rsidR="0009084D" w:rsidRPr="0073171D">
        <w:rPr>
          <w:rFonts w:cstheme="minorHAnsi"/>
        </w:rPr>
        <w:t xml:space="preserve">1.71 billion </w:t>
      </w:r>
      <w:r w:rsidR="004C4766" w:rsidRPr="0073171D">
        <w:rPr>
          <w:rFonts w:cstheme="minorHAnsi"/>
        </w:rPr>
        <w:t>people</w:t>
      </w:r>
      <w:r w:rsidR="00266365" w:rsidRPr="0073171D">
        <w:rPr>
          <w:rFonts w:cstheme="minorHAnsi"/>
        </w:rPr>
        <w:t xml:space="preserve"> </w:t>
      </w:r>
      <w:r w:rsidR="009E424C">
        <w:rPr>
          <w:rFonts w:cstheme="minorHAnsi"/>
        </w:rPr>
        <w:t>affected</w:t>
      </w:r>
      <w:r w:rsidR="002A7D27" w:rsidRPr="0073171D">
        <w:rPr>
          <w:rFonts w:cstheme="minorHAnsi"/>
        </w:rPr>
        <w:t xml:space="preserve"> </w:t>
      </w:r>
      <w:r w:rsidR="004103DC" w:rsidRPr="0073171D">
        <w:rPr>
          <w:rFonts w:cstheme="minorHAnsi"/>
        </w:rPr>
        <w:t>(Cieza et al., 2020)</w:t>
      </w:r>
      <w:r w:rsidR="002A7D27" w:rsidRPr="0073171D">
        <w:rPr>
          <w:rFonts w:cstheme="minorHAnsi"/>
        </w:rPr>
        <w:t xml:space="preserve">. </w:t>
      </w:r>
      <w:r w:rsidR="00FD4316">
        <w:rPr>
          <w:rFonts w:cstheme="minorHAnsi"/>
        </w:rPr>
        <w:t xml:space="preserve">While symptoms such as stiffness or reduced mobility </w:t>
      </w:r>
      <w:r w:rsidR="000D0A63">
        <w:rPr>
          <w:rFonts w:cstheme="minorHAnsi"/>
        </w:rPr>
        <w:t>are</w:t>
      </w:r>
      <w:r w:rsidR="00FD4316">
        <w:rPr>
          <w:rFonts w:cstheme="minorHAnsi"/>
        </w:rPr>
        <w:t xml:space="preserve"> associated</w:t>
      </w:r>
      <w:r w:rsidR="000D0A63">
        <w:rPr>
          <w:rFonts w:cstheme="minorHAnsi"/>
        </w:rPr>
        <w:t xml:space="preserve"> with</w:t>
      </w:r>
      <w:r w:rsidR="00FD4316">
        <w:rPr>
          <w:rFonts w:cstheme="minorHAnsi"/>
        </w:rPr>
        <w:t xml:space="preserve"> </w:t>
      </w:r>
      <w:r w:rsidR="000E636D">
        <w:rPr>
          <w:rFonts w:cstheme="minorHAnsi"/>
        </w:rPr>
        <w:t>MSDs</w:t>
      </w:r>
      <w:r w:rsidR="000D0A63">
        <w:rPr>
          <w:rFonts w:cstheme="minorHAnsi"/>
        </w:rPr>
        <w:t xml:space="preserve">, they </w:t>
      </w:r>
      <w:r w:rsidR="00F22962">
        <w:rPr>
          <w:rFonts w:cstheme="minorHAnsi"/>
        </w:rPr>
        <w:t xml:space="preserve">are </w:t>
      </w:r>
      <w:r w:rsidR="00A60D35">
        <w:rPr>
          <w:rFonts w:cstheme="minorHAnsi"/>
        </w:rPr>
        <w:t>characterised</w:t>
      </w:r>
      <w:r w:rsidR="00F22962">
        <w:rPr>
          <w:rFonts w:cstheme="minorHAnsi"/>
        </w:rPr>
        <w:t xml:space="preserve"> by the presence of </w:t>
      </w:r>
      <w:r w:rsidR="000D0A63">
        <w:rPr>
          <w:rFonts w:cstheme="minorHAnsi"/>
        </w:rPr>
        <w:t>their ‘primary symptom’, musculoskeletal pain (MSP) (</w:t>
      </w:r>
      <w:r w:rsidR="000D0A63" w:rsidRPr="000E636D">
        <w:rPr>
          <w:rFonts w:cstheme="minorHAnsi"/>
        </w:rPr>
        <w:t>National Academies of Sciences</w:t>
      </w:r>
      <w:r w:rsidR="000D0A63">
        <w:rPr>
          <w:rFonts w:cstheme="minorHAnsi"/>
        </w:rPr>
        <w:t xml:space="preserve">, 2020). </w:t>
      </w:r>
      <w:r w:rsidR="003B5435">
        <w:rPr>
          <w:rFonts w:cstheme="minorHAnsi"/>
        </w:rPr>
        <w:t xml:space="preserve">Chronic </w:t>
      </w:r>
      <w:r w:rsidR="00217240">
        <w:rPr>
          <w:rFonts w:cstheme="minorHAnsi"/>
        </w:rPr>
        <w:t>MSP</w:t>
      </w:r>
      <w:r w:rsidR="003B5435">
        <w:rPr>
          <w:rFonts w:cstheme="minorHAnsi"/>
        </w:rPr>
        <w:t xml:space="preserve"> </w:t>
      </w:r>
      <w:r w:rsidR="000E4426">
        <w:rPr>
          <w:rFonts w:cstheme="minorHAnsi"/>
        </w:rPr>
        <w:t>can be</w:t>
      </w:r>
      <w:r w:rsidR="00511865">
        <w:rPr>
          <w:rFonts w:cstheme="minorHAnsi"/>
        </w:rPr>
        <w:t xml:space="preserve"> </w:t>
      </w:r>
      <w:r w:rsidR="00617F09">
        <w:rPr>
          <w:rFonts w:cstheme="minorHAnsi"/>
        </w:rPr>
        <w:t>identified as</w:t>
      </w:r>
      <w:r w:rsidR="00511865">
        <w:rPr>
          <w:rFonts w:cstheme="minorHAnsi"/>
        </w:rPr>
        <w:t xml:space="preserve"> both a primary condition</w:t>
      </w:r>
      <w:r w:rsidR="000E4426">
        <w:rPr>
          <w:rFonts w:cstheme="minorHAnsi"/>
        </w:rPr>
        <w:t xml:space="preserve"> </w:t>
      </w:r>
      <w:r w:rsidR="008A6A5F">
        <w:rPr>
          <w:rFonts w:cstheme="minorHAnsi"/>
        </w:rPr>
        <w:t>or</w:t>
      </w:r>
      <w:r w:rsidR="000E4426">
        <w:rPr>
          <w:rFonts w:cstheme="minorHAnsi"/>
        </w:rPr>
        <w:t xml:space="preserve"> as</w:t>
      </w:r>
      <w:r w:rsidR="00EF25C9">
        <w:rPr>
          <w:rFonts w:cstheme="minorHAnsi"/>
        </w:rPr>
        <w:t xml:space="preserve"> secondary factor </w:t>
      </w:r>
      <w:r w:rsidR="005B55B8">
        <w:rPr>
          <w:rFonts w:cstheme="minorHAnsi"/>
        </w:rPr>
        <w:t>of another</w:t>
      </w:r>
      <w:r w:rsidR="00EF25C9">
        <w:rPr>
          <w:rFonts w:cstheme="minorHAnsi"/>
        </w:rPr>
        <w:t xml:space="preserve"> primary condition</w:t>
      </w:r>
      <w:r w:rsidR="007B0C11">
        <w:rPr>
          <w:rFonts w:cstheme="minorHAnsi"/>
        </w:rPr>
        <w:t>, with b</w:t>
      </w:r>
      <w:r w:rsidR="002A7D27" w:rsidRPr="0073171D">
        <w:rPr>
          <w:rFonts w:cstheme="minorHAnsi"/>
        </w:rPr>
        <w:t>ack pain</w:t>
      </w:r>
      <w:r w:rsidR="007B0C11">
        <w:rPr>
          <w:rFonts w:cstheme="minorHAnsi"/>
        </w:rPr>
        <w:t xml:space="preserve"> alone</w:t>
      </w:r>
      <w:r w:rsidR="00715806" w:rsidRPr="0073171D">
        <w:rPr>
          <w:rFonts w:cstheme="minorHAnsi"/>
        </w:rPr>
        <w:t xml:space="preserve"> </w:t>
      </w:r>
      <w:r w:rsidR="008A6A5F">
        <w:rPr>
          <w:rFonts w:cstheme="minorHAnsi"/>
        </w:rPr>
        <w:t>identified</w:t>
      </w:r>
      <w:r w:rsidR="00251A66">
        <w:rPr>
          <w:rFonts w:cstheme="minorHAnsi"/>
        </w:rPr>
        <w:t xml:space="preserve"> </w:t>
      </w:r>
      <w:r w:rsidR="00D22D9A" w:rsidRPr="0073171D">
        <w:rPr>
          <w:rFonts w:cstheme="minorHAnsi"/>
        </w:rPr>
        <w:t>as</w:t>
      </w:r>
      <w:r w:rsidR="002A7D27" w:rsidRPr="0073171D">
        <w:rPr>
          <w:rFonts w:cstheme="minorHAnsi"/>
        </w:rPr>
        <w:t xml:space="preserve"> </w:t>
      </w:r>
      <w:r w:rsidR="005E6510" w:rsidRPr="0073171D">
        <w:rPr>
          <w:rFonts w:cstheme="minorHAnsi"/>
        </w:rPr>
        <w:t>one of</w:t>
      </w:r>
      <w:r w:rsidR="002A7D27" w:rsidRPr="0073171D">
        <w:rPr>
          <w:rFonts w:cstheme="minorHAnsi"/>
        </w:rPr>
        <w:t xml:space="preserve"> largest </w:t>
      </w:r>
      <w:r w:rsidR="005856BC" w:rsidRPr="0073171D">
        <w:rPr>
          <w:rFonts w:cstheme="minorHAnsi"/>
        </w:rPr>
        <w:t xml:space="preserve">individual </w:t>
      </w:r>
      <w:r w:rsidR="002A7D27" w:rsidRPr="0073171D">
        <w:rPr>
          <w:rFonts w:cstheme="minorHAnsi"/>
        </w:rPr>
        <w:t>source</w:t>
      </w:r>
      <w:r w:rsidR="005E6510" w:rsidRPr="0073171D">
        <w:rPr>
          <w:rFonts w:cstheme="minorHAnsi"/>
        </w:rPr>
        <w:t>s</w:t>
      </w:r>
      <w:r w:rsidR="002A7D27" w:rsidRPr="0073171D">
        <w:rPr>
          <w:rFonts w:cstheme="minorHAnsi"/>
        </w:rPr>
        <w:t xml:space="preserve"> of disability</w:t>
      </w:r>
      <w:r w:rsidR="005E6510" w:rsidRPr="0073171D">
        <w:rPr>
          <w:rFonts w:cstheme="minorHAnsi"/>
        </w:rPr>
        <w:t xml:space="preserve"> and </w:t>
      </w:r>
      <w:r w:rsidR="009D3028" w:rsidRPr="0073171D">
        <w:rPr>
          <w:rFonts w:cstheme="minorHAnsi"/>
        </w:rPr>
        <w:t>impairment</w:t>
      </w:r>
      <w:r w:rsidR="00F171DF" w:rsidRPr="0073171D">
        <w:rPr>
          <w:rFonts w:cstheme="minorHAnsi"/>
        </w:rPr>
        <w:t xml:space="preserve"> </w:t>
      </w:r>
      <w:r w:rsidR="00D22D9A" w:rsidRPr="0073171D">
        <w:rPr>
          <w:rFonts w:cstheme="minorHAnsi"/>
        </w:rPr>
        <w:t xml:space="preserve">globally (World Health Organisation (WHO), 2022) and </w:t>
      </w:r>
      <w:r w:rsidR="00817AB6">
        <w:rPr>
          <w:rFonts w:cstheme="minorHAnsi"/>
        </w:rPr>
        <w:t>in the UK</w:t>
      </w:r>
      <w:r w:rsidR="00D22D9A" w:rsidRPr="0073171D">
        <w:rPr>
          <w:rFonts w:cstheme="minorHAnsi"/>
        </w:rPr>
        <w:t xml:space="preserve"> </w:t>
      </w:r>
      <w:r w:rsidR="002A7D27" w:rsidRPr="0073171D">
        <w:rPr>
          <w:rFonts w:cstheme="minorHAnsi"/>
        </w:rPr>
        <w:t>(</w:t>
      </w:r>
      <w:r w:rsidR="005E6510" w:rsidRPr="0073171D">
        <w:rPr>
          <w:rFonts w:cstheme="minorHAnsi"/>
        </w:rPr>
        <w:t xml:space="preserve">Wang et al., 2020, </w:t>
      </w:r>
      <w:r w:rsidR="002A7D27" w:rsidRPr="0073171D">
        <w:rPr>
          <w:rFonts w:cstheme="minorHAnsi"/>
        </w:rPr>
        <w:t>Institute for Health Metrics and Evaluation</w:t>
      </w:r>
      <w:r w:rsidR="007D185D" w:rsidRPr="0073171D">
        <w:rPr>
          <w:rFonts w:cstheme="minorHAnsi"/>
        </w:rPr>
        <w:t xml:space="preserve"> </w:t>
      </w:r>
      <w:r w:rsidR="005E6510" w:rsidRPr="0073171D">
        <w:rPr>
          <w:rFonts w:cstheme="minorHAnsi"/>
        </w:rPr>
        <w:t>(</w:t>
      </w:r>
      <w:r w:rsidR="002A7D27" w:rsidRPr="0073171D">
        <w:rPr>
          <w:rFonts w:cstheme="minorHAnsi"/>
        </w:rPr>
        <w:t>IMHE</w:t>
      </w:r>
      <w:r w:rsidR="005E6510" w:rsidRPr="0073171D">
        <w:rPr>
          <w:rFonts w:cstheme="minorHAnsi"/>
        </w:rPr>
        <w:t>)</w:t>
      </w:r>
      <w:r w:rsidR="002A7D27" w:rsidRPr="0073171D">
        <w:rPr>
          <w:rFonts w:cstheme="minorHAnsi"/>
        </w:rPr>
        <w:t>, 2019).</w:t>
      </w:r>
      <w:r w:rsidR="005E6510" w:rsidRPr="0073171D">
        <w:rPr>
          <w:rFonts w:cstheme="minorHAnsi"/>
        </w:rPr>
        <w:t xml:space="preserve"> In 2021-22</w:t>
      </w:r>
      <w:r w:rsidR="002A7D27" w:rsidRPr="0073171D">
        <w:rPr>
          <w:rFonts w:cstheme="minorHAnsi"/>
        </w:rPr>
        <w:t xml:space="preserve"> </w:t>
      </w:r>
      <w:r w:rsidR="003817DF" w:rsidRPr="0073171D">
        <w:rPr>
          <w:rFonts w:cstheme="minorHAnsi"/>
        </w:rPr>
        <w:t>a</w:t>
      </w:r>
      <w:r w:rsidR="002A7D27" w:rsidRPr="0073171D">
        <w:rPr>
          <w:rFonts w:cstheme="minorHAnsi"/>
        </w:rPr>
        <w:t xml:space="preserve">n estimated </w:t>
      </w:r>
      <w:r w:rsidR="004E7EC3" w:rsidRPr="0073171D">
        <w:rPr>
          <w:rFonts w:cstheme="minorHAnsi"/>
        </w:rPr>
        <w:t>7.3</w:t>
      </w:r>
      <w:r w:rsidR="002A7D27" w:rsidRPr="0073171D">
        <w:rPr>
          <w:rFonts w:cstheme="minorHAnsi"/>
        </w:rPr>
        <w:t xml:space="preserve"> million working days were lost in the UK</w:t>
      </w:r>
      <w:r w:rsidR="000D0A63">
        <w:rPr>
          <w:rFonts w:cstheme="minorHAnsi"/>
        </w:rPr>
        <w:t xml:space="preserve"> alone</w:t>
      </w:r>
      <w:r w:rsidR="002A7D27" w:rsidRPr="0073171D">
        <w:rPr>
          <w:rFonts w:cstheme="minorHAnsi"/>
        </w:rPr>
        <w:t xml:space="preserve"> (</w:t>
      </w:r>
      <w:r w:rsidR="007A76CF" w:rsidRPr="0073171D">
        <w:rPr>
          <w:rFonts w:cstheme="minorHAnsi"/>
        </w:rPr>
        <w:t>Health and Safety Executive (</w:t>
      </w:r>
      <w:r w:rsidR="002A7D27" w:rsidRPr="00730C7F">
        <w:rPr>
          <w:rFonts w:cstheme="minorHAnsi"/>
        </w:rPr>
        <w:t>HSE</w:t>
      </w:r>
      <w:r w:rsidR="007A76CF" w:rsidRPr="00730C7F">
        <w:rPr>
          <w:rFonts w:cstheme="minorHAnsi"/>
        </w:rPr>
        <w:t>)</w:t>
      </w:r>
      <w:r w:rsidR="002A7D27" w:rsidRPr="00730C7F">
        <w:rPr>
          <w:rFonts w:cstheme="minorHAnsi"/>
        </w:rPr>
        <w:t>, 20</w:t>
      </w:r>
      <w:r w:rsidR="000C14A7" w:rsidRPr="00730C7F">
        <w:rPr>
          <w:rFonts w:cstheme="minorHAnsi"/>
        </w:rPr>
        <w:t>22</w:t>
      </w:r>
      <w:r w:rsidR="00730C7F" w:rsidRPr="00730C7F">
        <w:rPr>
          <w:rFonts w:cstheme="minorHAnsi"/>
        </w:rPr>
        <w:t>a</w:t>
      </w:r>
      <w:r w:rsidR="002A7D27" w:rsidRPr="0073171D">
        <w:rPr>
          <w:rFonts w:cstheme="minorHAnsi"/>
        </w:rPr>
        <w:t xml:space="preserve">), </w:t>
      </w:r>
      <w:r w:rsidR="005856BC" w:rsidRPr="0073171D">
        <w:rPr>
          <w:rFonts w:cstheme="minorHAnsi"/>
        </w:rPr>
        <w:t>and</w:t>
      </w:r>
      <w:r w:rsidR="002A7D27" w:rsidRPr="0073171D">
        <w:rPr>
          <w:rFonts w:cstheme="minorHAnsi"/>
        </w:rPr>
        <w:t xml:space="preserve"> individuals living with MSD</w:t>
      </w:r>
      <w:r w:rsidR="003817DF" w:rsidRPr="0073171D">
        <w:rPr>
          <w:rFonts w:cstheme="minorHAnsi"/>
        </w:rPr>
        <w:t>s</w:t>
      </w:r>
      <w:r w:rsidR="002A7D27" w:rsidRPr="0073171D">
        <w:rPr>
          <w:rFonts w:cstheme="minorHAnsi"/>
        </w:rPr>
        <w:t xml:space="preserve"> have significant reductions in years of healthy life expectancy (</w:t>
      </w:r>
      <w:r w:rsidR="00F84938" w:rsidRPr="0073171D">
        <w:rPr>
          <w:rFonts w:cstheme="minorHAnsi"/>
        </w:rPr>
        <w:t>Vos et al., 2020</w:t>
      </w:r>
      <w:r w:rsidR="002A7D27" w:rsidRPr="0073171D">
        <w:rPr>
          <w:rFonts w:cstheme="minorHAnsi"/>
        </w:rPr>
        <w:t>)</w:t>
      </w:r>
      <w:r w:rsidR="00D22D9A" w:rsidRPr="0073171D">
        <w:rPr>
          <w:rFonts w:cstheme="minorHAnsi"/>
        </w:rPr>
        <w:t xml:space="preserve">, </w:t>
      </w:r>
      <w:r w:rsidR="000D0A63">
        <w:rPr>
          <w:rFonts w:cstheme="minorHAnsi"/>
        </w:rPr>
        <w:t>and</w:t>
      </w:r>
      <w:r w:rsidR="008702C3" w:rsidRPr="0073171D">
        <w:rPr>
          <w:rFonts w:cstheme="minorHAnsi"/>
        </w:rPr>
        <w:t xml:space="preserve"> increased risk of </w:t>
      </w:r>
      <w:r w:rsidR="005D10F9" w:rsidRPr="0073171D">
        <w:rPr>
          <w:rFonts w:cstheme="minorHAnsi"/>
        </w:rPr>
        <w:t xml:space="preserve">developing </w:t>
      </w:r>
      <w:r w:rsidR="008702C3" w:rsidRPr="0073171D">
        <w:rPr>
          <w:rFonts w:cstheme="minorHAnsi"/>
        </w:rPr>
        <w:t>other chronic health conditions</w:t>
      </w:r>
      <w:r w:rsidR="00B32C73" w:rsidRPr="0073171D">
        <w:rPr>
          <w:rFonts w:cstheme="minorHAnsi"/>
        </w:rPr>
        <w:t xml:space="preserve"> such as cancer, cardiovascular disease, and diabetes</w:t>
      </w:r>
      <w:r w:rsidR="008702C3" w:rsidRPr="0073171D">
        <w:rPr>
          <w:rFonts w:cstheme="minorHAnsi"/>
        </w:rPr>
        <w:t xml:space="preserve"> </w:t>
      </w:r>
      <w:r w:rsidR="00F43B37" w:rsidRPr="0073171D">
        <w:rPr>
          <w:rFonts w:cstheme="minorHAnsi"/>
        </w:rPr>
        <w:t>(Williams et al., 2018)</w:t>
      </w:r>
      <w:r w:rsidR="002A7D27" w:rsidRPr="0073171D">
        <w:rPr>
          <w:rFonts w:cstheme="minorHAnsi"/>
        </w:rPr>
        <w:t>.</w:t>
      </w:r>
      <w:r w:rsidR="000F18A1" w:rsidRPr="0073171D">
        <w:rPr>
          <w:rFonts w:cstheme="minorHAnsi"/>
        </w:rPr>
        <w:t xml:space="preserve"> </w:t>
      </w:r>
    </w:p>
    <w:p w14:paraId="752B1013" w14:textId="15D22593" w:rsidR="001F3B83" w:rsidRPr="00495D97" w:rsidRDefault="00A77B07" w:rsidP="00CF4057">
      <w:pPr>
        <w:spacing w:line="480" w:lineRule="auto"/>
        <w:ind w:firstLine="720"/>
        <w:jc w:val="both"/>
        <w:rPr>
          <w:rFonts w:cstheme="minorHAnsi"/>
        </w:rPr>
      </w:pPr>
      <w:r>
        <w:rPr>
          <w:rFonts w:cstheme="minorHAnsi"/>
        </w:rPr>
        <w:t>E</w:t>
      </w:r>
      <w:r w:rsidR="002E15BE" w:rsidRPr="0073171D">
        <w:rPr>
          <w:rFonts w:cstheme="minorHAnsi"/>
        </w:rPr>
        <w:t xml:space="preserve">vidence suggests that MSD incidence, progression, and recovery </w:t>
      </w:r>
      <w:r>
        <w:rPr>
          <w:rFonts w:cstheme="minorHAnsi"/>
        </w:rPr>
        <w:t>is</w:t>
      </w:r>
      <w:r w:rsidR="002E15BE" w:rsidRPr="0073171D">
        <w:rPr>
          <w:rFonts w:cstheme="minorHAnsi"/>
        </w:rPr>
        <w:t xml:space="preserve"> influenced by social support and relationship factors, with findings indicating that greater access to support from a spouse or significant other</w:t>
      </w:r>
      <w:r w:rsidR="004F6F11" w:rsidRPr="0073171D">
        <w:rPr>
          <w:rFonts w:cstheme="minorHAnsi"/>
        </w:rPr>
        <w:t xml:space="preserve"> (</w:t>
      </w:r>
      <w:r w:rsidR="002E15BE" w:rsidRPr="0073171D">
        <w:rPr>
          <w:rFonts w:cstheme="minorHAnsi"/>
        </w:rPr>
        <w:t>usually in the form of a long-term relationship</w:t>
      </w:r>
      <w:r w:rsidR="004F6F11" w:rsidRPr="0073171D">
        <w:rPr>
          <w:rFonts w:cstheme="minorHAnsi"/>
        </w:rPr>
        <w:t>)</w:t>
      </w:r>
      <w:r w:rsidR="00E776D0" w:rsidRPr="0073171D">
        <w:rPr>
          <w:rFonts w:cstheme="minorHAnsi"/>
        </w:rPr>
        <w:t xml:space="preserve"> </w:t>
      </w:r>
      <w:r w:rsidR="002E15BE" w:rsidRPr="0073171D">
        <w:rPr>
          <w:rFonts w:cstheme="minorHAnsi"/>
        </w:rPr>
        <w:t>tend</w:t>
      </w:r>
      <w:r w:rsidR="004F6F11" w:rsidRPr="0073171D">
        <w:rPr>
          <w:rFonts w:cstheme="minorHAnsi"/>
        </w:rPr>
        <w:t>s</w:t>
      </w:r>
      <w:r w:rsidR="002E15BE" w:rsidRPr="0073171D">
        <w:rPr>
          <w:rFonts w:cstheme="minorHAnsi"/>
        </w:rPr>
        <w:t xml:space="preserve"> to yield improved outcomes (Kindt et al, 2016, Edwards et al., 2016). </w:t>
      </w:r>
      <w:r w:rsidR="00D22D9A" w:rsidRPr="0073171D">
        <w:rPr>
          <w:rFonts w:cstheme="minorHAnsi"/>
        </w:rPr>
        <w:t xml:space="preserve">Current evidence </w:t>
      </w:r>
      <w:r w:rsidR="005D10F9" w:rsidRPr="0073171D">
        <w:rPr>
          <w:rFonts w:cstheme="minorHAnsi"/>
        </w:rPr>
        <w:t xml:space="preserve">indicates </w:t>
      </w:r>
      <w:r w:rsidR="00E776D0" w:rsidRPr="0073171D">
        <w:rPr>
          <w:rFonts w:cstheme="minorHAnsi"/>
        </w:rPr>
        <w:t>MSD</w:t>
      </w:r>
      <w:r w:rsidR="00D22D9A" w:rsidRPr="0073171D">
        <w:rPr>
          <w:rFonts w:cstheme="minorHAnsi"/>
        </w:rPr>
        <w:t>s</w:t>
      </w:r>
      <w:r w:rsidR="00E776D0" w:rsidRPr="0073171D">
        <w:rPr>
          <w:rFonts w:cstheme="minorHAnsi"/>
        </w:rPr>
        <w:t xml:space="preserve"> </w:t>
      </w:r>
      <w:r w:rsidR="002E15BE" w:rsidRPr="0073171D">
        <w:rPr>
          <w:rFonts w:cstheme="minorHAnsi"/>
        </w:rPr>
        <w:t xml:space="preserve">to be </w:t>
      </w:r>
      <w:r w:rsidR="00D22D9A" w:rsidRPr="0073171D">
        <w:rPr>
          <w:rFonts w:cstheme="minorHAnsi"/>
        </w:rPr>
        <w:t>more common</w:t>
      </w:r>
      <w:r w:rsidR="002E15BE" w:rsidRPr="0073171D">
        <w:rPr>
          <w:rFonts w:cstheme="minorHAnsi"/>
        </w:rPr>
        <w:t xml:space="preserve"> in females compared to males</w:t>
      </w:r>
      <w:r w:rsidR="00551997" w:rsidRPr="0073171D">
        <w:rPr>
          <w:rFonts w:cstheme="minorHAnsi"/>
        </w:rPr>
        <w:t xml:space="preserve"> (Wijnhoven, De Vet, and Picavet, 2006)</w:t>
      </w:r>
      <w:r w:rsidR="002E15BE" w:rsidRPr="0073171D">
        <w:rPr>
          <w:rFonts w:cstheme="minorHAnsi"/>
        </w:rPr>
        <w:t>, however not all findings are in support</w:t>
      </w:r>
      <w:r w:rsidR="0034540E" w:rsidRPr="0073171D">
        <w:rPr>
          <w:rFonts w:cstheme="minorHAnsi"/>
        </w:rPr>
        <w:t xml:space="preserve"> of</w:t>
      </w:r>
      <w:r w:rsidR="002E15BE" w:rsidRPr="0073171D">
        <w:rPr>
          <w:rFonts w:cstheme="minorHAnsi"/>
        </w:rPr>
        <w:t xml:space="preserve"> this conclusion (</w:t>
      </w:r>
      <w:r w:rsidR="00D22D9A" w:rsidRPr="0073171D">
        <w:rPr>
          <w:rFonts w:cstheme="minorHAnsi"/>
        </w:rPr>
        <w:t xml:space="preserve">see </w:t>
      </w:r>
      <w:r w:rsidR="002E15BE" w:rsidRPr="0073171D">
        <w:rPr>
          <w:rFonts w:cstheme="minorHAnsi"/>
        </w:rPr>
        <w:t>Erik and Smith 2013</w:t>
      </w:r>
      <w:r w:rsidR="00D22D9A" w:rsidRPr="0073171D">
        <w:rPr>
          <w:rFonts w:cstheme="minorHAnsi"/>
        </w:rPr>
        <w:t xml:space="preserve"> for a review</w:t>
      </w:r>
      <w:r w:rsidR="002E15BE" w:rsidRPr="0073171D">
        <w:rPr>
          <w:rFonts w:cstheme="minorHAnsi"/>
        </w:rPr>
        <w:t xml:space="preserve">). </w:t>
      </w:r>
      <w:r w:rsidR="00982F04">
        <w:rPr>
          <w:rFonts w:cstheme="minorHAnsi"/>
        </w:rPr>
        <w:t xml:space="preserve">In the absence of </w:t>
      </w:r>
      <w:r w:rsidR="00730C7F">
        <w:rPr>
          <w:rFonts w:cstheme="minorHAnsi"/>
        </w:rPr>
        <w:t xml:space="preserve">reliable </w:t>
      </w:r>
      <w:r w:rsidR="00982F04">
        <w:rPr>
          <w:rFonts w:cstheme="minorHAnsi"/>
        </w:rPr>
        <w:t>objective tests to indicate MSP presence</w:t>
      </w:r>
      <w:r w:rsidR="002E7E31" w:rsidRPr="006D74CC">
        <w:rPr>
          <w:rFonts w:cstheme="minorHAnsi"/>
        </w:rPr>
        <w:t>;</w:t>
      </w:r>
      <w:r w:rsidR="007D3D03" w:rsidRPr="006D74CC">
        <w:rPr>
          <w:rFonts w:cstheme="minorHAnsi"/>
        </w:rPr>
        <w:t xml:space="preserve"> </w:t>
      </w:r>
      <w:r w:rsidR="00982F04" w:rsidRPr="006D74CC">
        <w:rPr>
          <w:rFonts w:cstheme="minorHAnsi"/>
        </w:rPr>
        <w:t>diagnosis</w:t>
      </w:r>
      <w:r w:rsidR="00982F04">
        <w:rPr>
          <w:rFonts w:cstheme="minorHAnsi"/>
        </w:rPr>
        <w:t xml:space="preserve"> and assessment relies heavily on the use of self-report measures to gather </w:t>
      </w:r>
      <w:r w:rsidR="00223E6E" w:rsidRPr="006D74CC">
        <w:rPr>
          <w:rFonts w:cstheme="minorHAnsi"/>
        </w:rPr>
        <w:t>an</w:t>
      </w:r>
      <w:r w:rsidR="00223E6E">
        <w:rPr>
          <w:rFonts w:cstheme="minorHAnsi"/>
        </w:rPr>
        <w:t xml:space="preserve"> </w:t>
      </w:r>
      <w:r w:rsidR="00982F04">
        <w:rPr>
          <w:rFonts w:cstheme="minorHAnsi"/>
        </w:rPr>
        <w:t xml:space="preserve">individual’s experiences (Williams &amp; Craig, 2016, Erick &amp; Smith, 2011). While some formal clinical </w:t>
      </w:r>
      <w:r w:rsidR="00982F04">
        <w:rPr>
          <w:rFonts w:cstheme="minorHAnsi"/>
        </w:rPr>
        <w:lastRenderedPageBreak/>
        <w:t>diagnosis processes may seek to incorporate other approaches such as testing or examination (Turk &amp;Melzack, 2011), evidence shows it is still common for conditions to go undiagnosed despite these professional investigation</w:t>
      </w:r>
      <w:r w:rsidR="006D74CC">
        <w:rPr>
          <w:rFonts w:cstheme="minorHAnsi"/>
        </w:rPr>
        <w:t>s</w:t>
      </w:r>
      <w:r w:rsidR="00982F04">
        <w:rPr>
          <w:rFonts w:cstheme="minorHAnsi"/>
        </w:rPr>
        <w:t xml:space="preserve"> (The </w:t>
      </w:r>
      <w:r w:rsidR="00982F04" w:rsidRPr="00FF10E5">
        <w:rPr>
          <w:rFonts w:cstheme="minorHAnsi"/>
        </w:rPr>
        <w:t>Royal Osteoporosis Society</w:t>
      </w:r>
      <w:r w:rsidR="00982F04">
        <w:rPr>
          <w:rFonts w:cstheme="minorHAnsi"/>
        </w:rPr>
        <w:t>, 2021). While some MSP research does opt to use formal diagnosis by a health professional as inclusion crit</w:t>
      </w:r>
      <w:r w:rsidR="00982F04" w:rsidRPr="00A77B07">
        <w:rPr>
          <w:rFonts w:cstheme="minorHAnsi"/>
        </w:rPr>
        <w:t>erion</w:t>
      </w:r>
      <w:r w:rsidR="00982F04">
        <w:rPr>
          <w:rFonts w:cstheme="minorHAnsi"/>
        </w:rPr>
        <w:t xml:space="preserve"> (</w:t>
      </w:r>
      <w:r w:rsidR="00982F04" w:rsidRPr="0046386F">
        <w:rPr>
          <w:rFonts w:cstheme="minorHAnsi"/>
        </w:rPr>
        <w:t>Converso et al</w:t>
      </w:r>
      <w:r w:rsidR="00730C7F">
        <w:rPr>
          <w:rFonts w:cstheme="minorHAnsi"/>
        </w:rPr>
        <w:t>.,</w:t>
      </w:r>
      <w:r w:rsidR="00982F04" w:rsidRPr="0046386F">
        <w:rPr>
          <w:rFonts w:cstheme="minorHAnsi"/>
        </w:rPr>
        <w:t xml:space="preserve"> 201</w:t>
      </w:r>
      <w:r w:rsidR="00730C7F">
        <w:rPr>
          <w:rFonts w:cstheme="minorHAnsi"/>
        </w:rPr>
        <w:t>8</w:t>
      </w:r>
      <w:r w:rsidR="00982F04" w:rsidRPr="0046386F">
        <w:rPr>
          <w:rFonts w:cstheme="minorHAnsi"/>
        </w:rPr>
        <w:t>)</w:t>
      </w:r>
      <w:r w:rsidR="00982F04">
        <w:rPr>
          <w:rFonts w:cstheme="minorHAnsi"/>
        </w:rPr>
        <w:t xml:space="preserve">, this approach has the potential to exclude important data from analyses for the reasons outlined, and most research opts for participant self-report measures as the sole form of evaluation. </w:t>
      </w:r>
      <w:r w:rsidR="006D1764" w:rsidRPr="0073171D">
        <w:rPr>
          <w:rFonts w:cstheme="minorHAnsi"/>
        </w:rPr>
        <w:t xml:space="preserve">The </w:t>
      </w:r>
      <w:r w:rsidR="0034540E" w:rsidRPr="0073171D">
        <w:rPr>
          <w:rFonts w:cstheme="minorHAnsi"/>
        </w:rPr>
        <w:t>present</w:t>
      </w:r>
      <w:r w:rsidR="000F18A1" w:rsidRPr="0073171D">
        <w:rPr>
          <w:rFonts w:cstheme="minorHAnsi"/>
        </w:rPr>
        <w:t xml:space="preserve"> study </w:t>
      </w:r>
      <w:r w:rsidR="003817DF" w:rsidRPr="0073171D">
        <w:rPr>
          <w:rFonts w:cstheme="minorHAnsi"/>
        </w:rPr>
        <w:t>aims to evaluate</w:t>
      </w:r>
      <w:r w:rsidR="000F18A1" w:rsidRPr="0073171D">
        <w:rPr>
          <w:rFonts w:cstheme="minorHAnsi"/>
        </w:rPr>
        <w:t xml:space="preserve"> the nature of musculoskeletal (MSK) health and</w:t>
      </w:r>
      <w:r w:rsidR="0025057C" w:rsidRPr="0073171D">
        <w:rPr>
          <w:rFonts w:cstheme="minorHAnsi"/>
        </w:rPr>
        <w:t xml:space="preserve"> </w:t>
      </w:r>
      <w:r w:rsidR="000C468A">
        <w:rPr>
          <w:rFonts w:cstheme="minorHAnsi"/>
        </w:rPr>
        <w:t>pain (MSP)</w:t>
      </w:r>
      <w:r w:rsidR="000F18A1" w:rsidRPr="0073171D">
        <w:rPr>
          <w:rFonts w:cstheme="minorHAnsi"/>
        </w:rPr>
        <w:t xml:space="preserve"> in </w:t>
      </w:r>
      <w:r w:rsidR="00881CE8">
        <w:rPr>
          <w:rFonts w:cstheme="minorHAnsi"/>
        </w:rPr>
        <w:t xml:space="preserve">those working </w:t>
      </w:r>
      <w:r w:rsidR="000F18A1" w:rsidRPr="0073171D">
        <w:rPr>
          <w:rFonts w:cstheme="minorHAnsi"/>
        </w:rPr>
        <w:t xml:space="preserve">the UK early </w:t>
      </w:r>
      <w:r w:rsidR="00881CE8">
        <w:rPr>
          <w:rFonts w:cstheme="minorHAnsi"/>
        </w:rPr>
        <w:t>education</w:t>
      </w:r>
      <w:r w:rsidR="00BA3C9D">
        <w:rPr>
          <w:rFonts w:cstheme="minorHAnsi"/>
        </w:rPr>
        <w:t xml:space="preserve"> (</w:t>
      </w:r>
      <w:r w:rsidR="005F2FFC" w:rsidRPr="005F2FFC">
        <w:rPr>
          <w:rFonts w:cstheme="minorHAnsi"/>
        </w:rPr>
        <w:t>ECE</w:t>
      </w:r>
      <w:r w:rsidR="00BA3C9D">
        <w:rPr>
          <w:rFonts w:cstheme="minorHAnsi"/>
        </w:rPr>
        <w:t>) (0-8 years)</w:t>
      </w:r>
      <w:r w:rsidR="000F18A1" w:rsidRPr="0073171D">
        <w:rPr>
          <w:rFonts w:cstheme="minorHAnsi"/>
        </w:rPr>
        <w:t xml:space="preserve"> sector. It will </w:t>
      </w:r>
      <w:r w:rsidR="00D22D9A" w:rsidRPr="0073171D">
        <w:rPr>
          <w:rFonts w:cstheme="minorHAnsi"/>
        </w:rPr>
        <w:t>see</w:t>
      </w:r>
      <w:r w:rsidR="00551997" w:rsidRPr="0073171D">
        <w:rPr>
          <w:rFonts w:cstheme="minorHAnsi"/>
        </w:rPr>
        <w:t>k</w:t>
      </w:r>
      <w:r w:rsidR="00D22D9A" w:rsidRPr="0073171D">
        <w:rPr>
          <w:rFonts w:cstheme="minorHAnsi"/>
        </w:rPr>
        <w:t xml:space="preserve"> to understand potential</w:t>
      </w:r>
      <w:r w:rsidR="000F18A1" w:rsidRPr="0073171D">
        <w:rPr>
          <w:rFonts w:cstheme="minorHAnsi"/>
        </w:rPr>
        <w:t xml:space="preserve"> </w:t>
      </w:r>
      <w:r w:rsidR="003817DF" w:rsidRPr="0073171D">
        <w:rPr>
          <w:rFonts w:cstheme="minorHAnsi"/>
        </w:rPr>
        <w:t>relationships between</w:t>
      </w:r>
      <w:r w:rsidR="000F18A1" w:rsidRPr="0073171D">
        <w:rPr>
          <w:rFonts w:cstheme="minorHAnsi"/>
        </w:rPr>
        <w:t xml:space="preserve"> </w:t>
      </w:r>
      <w:r w:rsidR="003817DF" w:rsidRPr="0073171D">
        <w:rPr>
          <w:rFonts w:cstheme="minorHAnsi"/>
        </w:rPr>
        <w:t>work</w:t>
      </w:r>
      <w:r w:rsidR="00982F04">
        <w:rPr>
          <w:rFonts w:cstheme="minorHAnsi"/>
        </w:rPr>
        <w:t>ing</w:t>
      </w:r>
      <w:r w:rsidR="000F18A1" w:rsidRPr="0073171D">
        <w:rPr>
          <w:rFonts w:cstheme="minorHAnsi"/>
        </w:rPr>
        <w:t xml:space="preserve"> environment</w:t>
      </w:r>
      <w:r w:rsidR="003817DF" w:rsidRPr="0073171D">
        <w:rPr>
          <w:rFonts w:cstheme="minorHAnsi"/>
        </w:rPr>
        <w:t>s</w:t>
      </w:r>
      <w:r w:rsidR="000A233B" w:rsidRPr="0073171D">
        <w:rPr>
          <w:rFonts w:cstheme="minorHAnsi"/>
        </w:rPr>
        <w:t>,</w:t>
      </w:r>
      <w:r w:rsidR="000F18A1" w:rsidRPr="0073171D">
        <w:rPr>
          <w:rFonts w:cstheme="minorHAnsi"/>
        </w:rPr>
        <w:t xml:space="preserve"> role demands</w:t>
      </w:r>
      <w:r w:rsidR="000A233B" w:rsidRPr="0073171D">
        <w:rPr>
          <w:rFonts w:cstheme="minorHAnsi"/>
        </w:rPr>
        <w:t>,</w:t>
      </w:r>
      <w:r w:rsidR="00D22D9A" w:rsidRPr="0073171D">
        <w:rPr>
          <w:rFonts w:cstheme="minorHAnsi"/>
        </w:rPr>
        <w:t xml:space="preserve"> </w:t>
      </w:r>
      <w:r w:rsidR="003817DF" w:rsidRPr="0073171D">
        <w:rPr>
          <w:rFonts w:cstheme="minorHAnsi"/>
        </w:rPr>
        <w:t>MS</w:t>
      </w:r>
      <w:r w:rsidR="00BA3C9D">
        <w:rPr>
          <w:rFonts w:cstheme="minorHAnsi"/>
        </w:rPr>
        <w:t>P</w:t>
      </w:r>
      <w:r w:rsidR="003817DF" w:rsidRPr="0073171D">
        <w:rPr>
          <w:rFonts w:cstheme="minorHAnsi"/>
        </w:rPr>
        <w:t xml:space="preserve"> experiences, work </w:t>
      </w:r>
      <w:r w:rsidR="000F18A1" w:rsidRPr="0073171D">
        <w:rPr>
          <w:rFonts w:cstheme="minorHAnsi"/>
        </w:rPr>
        <w:t xml:space="preserve">absenteeism and </w:t>
      </w:r>
      <w:r w:rsidR="00CF4057">
        <w:rPr>
          <w:rFonts w:cstheme="minorHAnsi"/>
        </w:rPr>
        <w:t>workforce</w:t>
      </w:r>
      <w:r w:rsidR="000F18A1" w:rsidRPr="0073171D">
        <w:rPr>
          <w:rFonts w:cstheme="minorHAnsi"/>
        </w:rPr>
        <w:t xml:space="preserve"> retention</w:t>
      </w:r>
      <w:r w:rsidR="005D10F9" w:rsidRPr="0073171D">
        <w:rPr>
          <w:rFonts w:cstheme="minorHAnsi"/>
        </w:rPr>
        <w:t xml:space="preserve"> in the UK </w:t>
      </w:r>
      <w:r w:rsidR="005F2FFC" w:rsidRPr="005F2FFC">
        <w:rPr>
          <w:rFonts w:cstheme="minorHAnsi"/>
        </w:rPr>
        <w:t>ECE</w:t>
      </w:r>
      <w:r w:rsidR="005D10F9" w:rsidRPr="0073171D">
        <w:rPr>
          <w:rFonts w:cstheme="minorHAnsi"/>
        </w:rPr>
        <w:t xml:space="preserve"> sector</w:t>
      </w:r>
      <w:r w:rsidR="000F18A1" w:rsidRPr="0073171D">
        <w:rPr>
          <w:rFonts w:cstheme="minorHAnsi"/>
        </w:rPr>
        <w:t>.</w:t>
      </w:r>
    </w:p>
    <w:p w14:paraId="7F7CB9EF" w14:textId="6EF60700" w:rsidR="006F0DAE" w:rsidRDefault="006F0DAE" w:rsidP="00495B0F">
      <w:pPr>
        <w:rPr>
          <w:b/>
          <w:bCs/>
        </w:rPr>
      </w:pPr>
    </w:p>
    <w:p w14:paraId="5E26DD86" w14:textId="24657B18" w:rsidR="00CF4057" w:rsidRDefault="00715FA5" w:rsidP="00EB5204">
      <w:pPr>
        <w:spacing w:line="480" w:lineRule="auto"/>
        <w:ind w:firstLine="720"/>
        <w:jc w:val="both"/>
        <w:rPr>
          <w:rFonts w:cstheme="minorHAnsi"/>
        </w:rPr>
      </w:pPr>
      <w:r w:rsidRPr="001F1E4F">
        <w:rPr>
          <w:rFonts w:cstheme="minorHAnsi"/>
        </w:rPr>
        <w:t>Approximately 300,000 people are paid to work in early years and childcare positions in England (</w:t>
      </w:r>
      <w:r w:rsidR="00C35134" w:rsidRPr="001F1E4F">
        <w:rPr>
          <w:rFonts w:cstheme="minorHAnsi"/>
        </w:rPr>
        <w:t xml:space="preserve">Department for Education </w:t>
      </w:r>
      <w:r w:rsidR="00C35134">
        <w:rPr>
          <w:rFonts w:cstheme="minorHAnsi"/>
        </w:rPr>
        <w:t>(</w:t>
      </w:r>
      <w:r w:rsidRPr="001F1E4F">
        <w:rPr>
          <w:rFonts w:cstheme="minorHAnsi"/>
        </w:rPr>
        <w:t>DfE</w:t>
      </w:r>
      <w:r w:rsidR="00C35134">
        <w:rPr>
          <w:rFonts w:cstheme="minorHAnsi"/>
        </w:rPr>
        <w:t>)</w:t>
      </w:r>
      <w:r w:rsidRPr="001F1E4F">
        <w:rPr>
          <w:rFonts w:cstheme="minorHAnsi"/>
        </w:rPr>
        <w:t xml:space="preserve"> 2021</w:t>
      </w:r>
      <w:r w:rsidR="00597371" w:rsidRPr="001F1E4F">
        <w:rPr>
          <w:rFonts w:cstheme="minorHAnsi"/>
        </w:rPr>
        <w:t>b</w:t>
      </w:r>
      <w:r w:rsidRPr="001F1E4F">
        <w:rPr>
          <w:rFonts w:cstheme="minorHAnsi"/>
        </w:rPr>
        <w:t xml:space="preserve">). </w:t>
      </w:r>
      <w:r w:rsidR="006F0DAE" w:rsidRPr="001F1E4F">
        <w:rPr>
          <w:rFonts w:cstheme="minorHAnsi"/>
        </w:rPr>
        <w:t xml:space="preserve">Guidelines describe an optimal and ‘enabling’ </w:t>
      </w:r>
      <w:r w:rsidR="005F2FFC" w:rsidRPr="005F2FFC">
        <w:rPr>
          <w:rFonts w:cstheme="minorHAnsi"/>
        </w:rPr>
        <w:t>ECE</w:t>
      </w:r>
      <w:r w:rsidR="006F0DAE" w:rsidRPr="001F1E4F">
        <w:rPr>
          <w:rFonts w:cstheme="minorHAnsi"/>
        </w:rPr>
        <w:t xml:space="preserve"> environment </w:t>
      </w:r>
      <w:r w:rsidR="00C16CCF" w:rsidRPr="001F1E4F">
        <w:rPr>
          <w:rFonts w:cstheme="minorHAnsi"/>
        </w:rPr>
        <w:t xml:space="preserve">as </w:t>
      </w:r>
      <w:r w:rsidR="006F0DAE" w:rsidRPr="001F1E4F">
        <w:rPr>
          <w:rFonts w:cstheme="minorHAnsi"/>
        </w:rPr>
        <w:t>deliver</w:t>
      </w:r>
      <w:r w:rsidR="00C16CCF" w:rsidRPr="001F1E4F">
        <w:rPr>
          <w:rFonts w:cstheme="minorHAnsi"/>
        </w:rPr>
        <w:t>ing</w:t>
      </w:r>
      <w:r w:rsidR="006F0DAE" w:rsidRPr="001F1E4F">
        <w:rPr>
          <w:rFonts w:cstheme="minorHAnsi"/>
        </w:rPr>
        <w:t xml:space="preserve"> resources and activities to children at their own level in specialised low</w:t>
      </w:r>
      <w:r w:rsidR="00C16CCF" w:rsidRPr="001F1E4F">
        <w:rPr>
          <w:rFonts w:cstheme="minorHAnsi"/>
        </w:rPr>
        <w:t>-</w:t>
      </w:r>
      <w:r w:rsidR="006F0DAE" w:rsidRPr="001F1E4F">
        <w:rPr>
          <w:rFonts w:cstheme="minorHAnsi"/>
        </w:rPr>
        <w:t>heigh</w:t>
      </w:r>
      <w:r w:rsidR="00AC307C" w:rsidRPr="001F1E4F">
        <w:rPr>
          <w:rFonts w:cstheme="minorHAnsi"/>
        </w:rPr>
        <w:t>t</w:t>
      </w:r>
      <w:r w:rsidR="006F0DAE" w:rsidRPr="001F1E4F">
        <w:rPr>
          <w:rFonts w:cstheme="minorHAnsi"/>
        </w:rPr>
        <w:t xml:space="preserve"> environments</w:t>
      </w:r>
      <w:r w:rsidR="009D2EBE" w:rsidRPr="001F1E4F">
        <w:rPr>
          <w:rFonts w:cstheme="minorHAnsi"/>
        </w:rPr>
        <w:t>,</w:t>
      </w:r>
      <w:r w:rsidR="006F0DAE" w:rsidRPr="001F1E4F">
        <w:rPr>
          <w:rFonts w:cstheme="minorHAnsi"/>
        </w:rPr>
        <w:t xml:space="preserve"> </w:t>
      </w:r>
      <w:r w:rsidR="00C16CCF" w:rsidRPr="001F1E4F">
        <w:rPr>
          <w:rFonts w:cstheme="minorHAnsi"/>
        </w:rPr>
        <w:t xml:space="preserve">with </w:t>
      </w:r>
      <w:r w:rsidR="00263B5A">
        <w:rPr>
          <w:rFonts w:cstheme="minorHAnsi"/>
        </w:rPr>
        <w:t>E</w:t>
      </w:r>
      <w:r w:rsidR="005F2FFC">
        <w:rPr>
          <w:rFonts w:cstheme="minorHAnsi"/>
        </w:rPr>
        <w:t>C</w:t>
      </w:r>
      <w:r w:rsidR="00263B5A">
        <w:rPr>
          <w:rFonts w:cstheme="minorHAnsi"/>
        </w:rPr>
        <w:t>E</w:t>
      </w:r>
      <w:r w:rsidR="00C16CCF" w:rsidRPr="001F1E4F">
        <w:rPr>
          <w:rFonts w:cstheme="minorHAnsi"/>
        </w:rPr>
        <w:t xml:space="preserve"> p</w:t>
      </w:r>
      <w:r w:rsidR="006F0DAE" w:rsidRPr="001F1E4F">
        <w:rPr>
          <w:rFonts w:cstheme="minorHAnsi"/>
        </w:rPr>
        <w:t xml:space="preserve">ractitioners </w:t>
      </w:r>
      <w:r w:rsidR="004234CB" w:rsidRPr="001F1E4F">
        <w:rPr>
          <w:rFonts w:cstheme="minorHAnsi"/>
        </w:rPr>
        <w:t>facilitating</w:t>
      </w:r>
      <w:r w:rsidR="006F0DAE" w:rsidRPr="001F1E4F">
        <w:rPr>
          <w:rFonts w:cstheme="minorHAnsi"/>
        </w:rPr>
        <w:t xml:space="preserve"> development and progression by providing scaffolded and independent activities and </w:t>
      </w:r>
      <w:r w:rsidR="00EB5204" w:rsidRPr="001F1E4F">
        <w:rPr>
          <w:rFonts w:cstheme="minorHAnsi"/>
        </w:rPr>
        <w:t>experiences</w:t>
      </w:r>
      <w:r w:rsidR="006F0DAE" w:rsidRPr="001F1E4F">
        <w:rPr>
          <w:rFonts w:cstheme="minorHAnsi"/>
        </w:rPr>
        <w:t xml:space="preserve"> </w:t>
      </w:r>
      <w:r w:rsidR="00C16CCF" w:rsidRPr="001F1E4F">
        <w:rPr>
          <w:rFonts w:cstheme="minorHAnsi"/>
        </w:rPr>
        <w:t>within these settings</w:t>
      </w:r>
      <w:r w:rsidR="006F0DAE" w:rsidRPr="001F1E4F">
        <w:rPr>
          <w:rFonts w:cstheme="minorHAnsi"/>
        </w:rPr>
        <w:t xml:space="preserve"> </w:t>
      </w:r>
      <w:r w:rsidR="00C16CCF" w:rsidRPr="001F1E4F">
        <w:rPr>
          <w:rFonts w:cstheme="minorHAnsi"/>
        </w:rPr>
        <w:t>(</w:t>
      </w:r>
      <w:r w:rsidR="00C35134" w:rsidRPr="001F1E4F">
        <w:rPr>
          <w:rFonts w:cstheme="minorHAnsi"/>
        </w:rPr>
        <w:t>DfE</w:t>
      </w:r>
      <w:r w:rsidR="00C16CCF" w:rsidRPr="001F1E4F">
        <w:rPr>
          <w:rFonts w:cstheme="minorHAnsi"/>
        </w:rPr>
        <w:t>, 2021</w:t>
      </w:r>
      <w:r w:rsidR="00CD7B79">
        <w:rPr>
          <w:rFonts w:cstheme="minorHAnsi"/>
        </w:rPr>
        <w:t>a</w:t>
      </w:r>
      <w:r w:rsidR="00C16CCF" w:rsidRPr="001F1E4F">
        <w:rPr>
          <w:rFonts w:cstheme="minorHAnsi"/>
        </w:rPr>
        <w:t xml:space="preserve">). </w:t>
      </w:r>
    </w:p>
    <w:p w14:paraId="2658E43C" w14:textId="0FAA12A1" w:rsidR="00EB5204" w:rsidRPr="001F1E4F" w:rsidRDefault="001F3B83" w:rsidP="00EB5204">
      <w:pPr>
        <w:spacing w:line="480" w:lineRule="auto"/>
        <w:ind w:firstLine="720"/>
        <w:jc w:val="both"/>
        <w:rPr>
          <w:rFonts w:cstheme="minorHAnsi"/>
        </w:rPr>
      </w:pPr>
      <w:r w:rsidRPr="001F1E4F">
        <w:rPr>
          <w:rFonts w:cstheme="minorHAnsi"/>
        </w:rPr>
        <w:t>Exi</w:t>
      </w:r>
      <w:r w:rsidR="00B173F3" w:rsidRPr="001F1E4F">
        <w:rPr>
          <w:rFonts w:cstheme="minorHAnsi"/>
        </w:rPr>
        <w:t>s</w:t>
      </w:r>
      <w:r w:rsidRPr="001F1E4F">
        <w:rPr>
          <w:rFonts w:cstheme="minorHAnsi"/>
        </w:rPr>
        <w:t xml:space="preserve">ting evidence demonstrates that </w:t>
      </w:r>
      <w:r w:rsidR="00174304" w:rsidRPr="001F1E4F">
        <w:rPr>
          <w:rFonts w:cstheme="minorHAnsi"/>
        </w:rPr>
        <w:t>certain</w:t>
      </w:r>
      <w:r w:rsidRPr="001F1E4F">
        <w:rPr>
          <w:rFonts w:cstheme="minorHAnsi"/>
        </w:rPr>
        <w:t xml:space="preserve"> role demands </w:t>
      </w:r>
      <w:r w:rsidR="00C16CCF" w:rsidRPr="001F1E4F">
        <w:rPr>
          <w:rFonts w:cstheme="minorHAnsi"/>
        </w:rPr>
        <w:t xml:space="preserve">placed </w:t>
      </w:r>
      <w:r w:rsidRPr="001F1E4F">
        <w:rPr>
          <w:rFonts w:cstheme="minorHAnsi"/>
        </w:rPr>
        <w:t xml:space="preserve">on </w:t>
      </w:r>
      <w:r w:rsidR="00EB5204" w:rsidRPr="001F1E4F">
        <w:rPr>
          <w:rFonts w:cstheme="minorHAnsi"/>
        </w:rPr>
        <w:t>people</w:t>
      </w:r>
      <w:r w:rsidRPr="001F1E4F">
        <w:rPr>
          <w:rFonts w:cstheme="minorHAnsi"/>
        </w:rPr>
        <w:t xml:space="preserve"> working in education are associated with increased</w:t>
      </w:r>
      <w:r w:rsidR="00495B0F" w:rsidRPr="001F1E4F">
        <w:rPr>
          <w:rFonts w:cstheme="minorHAnsi"/>
        </w:rPr>
        <w:t xml:space="preserve"> </w:t>
      </w:r>
      <w:r w:rsidR="00C16CCF" w:rsidRPr="001F1E4F">
        <w:rPr>
          <w:rFonts w:cstheme="minorHAnsi"/>
        </w:rPr>
        <w:t>risk of</w:t>
      </w:r>
      <w:r w:rsidRPr="001F1E4F">
        <w:rPr>
          <w:rFonts w:cstheme="minorHAnsi"/>
        </w:rPr>
        <w:t xml:space="preserve"> </w:t>
      </w:r>
      <w:r w:rsidR="00174304" w:rsidRPr="001F1E4F">
        <w:rPr>
          <w:rFonts w:cstheme="minorHAnsi"/>
        </w:rPr>
        <w:t xml:space="preserve">developing </w:t>
      </w:r>
      <w:r w:rsidRPr="001F1E4F">
        <w:rPr>
          <w:rFonts w:cstheme="minorHAnsi"/>
        </w:rPr>
        <w:t>MSD</w:t>
      </w:r>
      <w:r w:rsidR="00174304" w:rsidRPr="001F1E4F">
        <w:rPr>
          <w:rFonts w:cstheme="minorHAnsi"/>
        </w:rPr>
        <w:t>s</w:t>
      </w:r>
      <w:r w:rsidR="00B173F3" w:rsidRPr="001F1E4F">
        <w:rPr>
          <w:rFonts w:cstheme="minorHAnsi"/>
        </w:rPr>
        <w:t xml:space="preserve">; these </w:t>
      </w:r>
      <w:r w:rsidR="00B173F3" w:rsidRPr="00966563">
        <w:rPr>
          <w:rFonts w:cstheme="minorHAnsi"/>
        </w:rPr>
        <w:t>include lifting heavy loads, prolonged sitting</w:t>
      </w:r>
      <w:r w:rsidR="00B173F3" w:rsidRPr="001F1E4F">
        <w:rPr>
          <w:rFonts w:cstheme="minorHAnsi"/>
        </w:rPr>
        <w:t xml:space="preserve"> or standing, working in awkward postures,</w:t>
      </w:r>
      <w:r w:rsidR="00D64803" w:rsidRPr="001F1E4F">
        <w:rPr>
          <w:rFonts w:cstheme="minorHAnsi"/>
        </w:rPr>
        <w:t xml:space="preserve"> </w:t>
      </w:r>
      <w:r w:rsidR="00891475">
        <w:rPr>
          <w:rFonts w:cstheme="minorHAnsi"/>
        </w:rPr>
        <w:t xml:space="preserve">bodily </w:t>
      </w:r>
      <w:r w:rsidR="00D64803" w:rsidRPr="001F1E4F">
        <w:rPr>
          <w:rFonts w:cstheme="minorHAnsi"/>
        </w:rPr>
        <w:t>twisting</w:t>
      </w:r>
      <w:r w:rsidR="00891475">
        <w:rPr>
          <w:rFonts w:cstheme="minorHAnsi"/>
        </w:rPr>
        <w:t xml:space="preserve"> movement</w:t>
      </w:r>
      <w:r w:rsidR="00D64803" w:rsidRPr="001F1E4F">
        <w:rPr>
          <w:rFonts w:cstheme="minorHAnsi"/>
        </w:rPr>
        <w:t>,</w:t>
      </w:r>
      <w:r w:rsidR="00B173F3" w:rsidRPr="001F1E4F">
        <w:rPr>
          <w:rFonts w:cstheme="minorHAnsi"/>
        </w:rPr>
        <w:t xml:space="preserve"> and provision of inappropriate furniture</w:t>
      </w:r>
      <w:r w:rsidRPr="001F1E4F">
        <w:rPr>
          <w:rFonts w:cstheme="minorHAnsi"/>
        </w:rPr>
        <w:t xml:space="preserve"> (</w:t>
      </w:r>
      <w:r w:rsidRPr="001F1E4F">
        <w:rPr>
          <w:rFonts w:cstheme="minorHAnsi"/>
          <w:lang w:val="en-US"/>
        </w:rPr>
        <w:t>Grant, Habes,</w:t>
      </w:r>
      <w:r w:rsidRPr="001F1E4F">
        <w:rPr>
          <w:rFonts w:cstheme="minorHAnsi"/>
        </w:rPr>
        <w:t xml:space="preserve"> and</w:t>
      </w:r>
      <w:r w:rsidRPr="001F1E4F">
        <w:rPr>
          <w:rFonts w:cstheme="minorHAnsi"/>
          <w:lang w:val="en-US"/>
        </w:rPr>
        <w:t xml:space="preserve"> Tepper,</w:t>
      </w:r>
      <w:r w:rsidRPr="001F1E4F">
        <w:rPr>
          <w:rFonts w:cstheme="minorHAnsi"/>
        </w:rPr>
        <w:t xml:space="preserve"> </w:t>
      </w:r>
      <w:r w:rsidR="00EB5204" w:rsidRPr="001F1E4F">
        <w:rPr>
          <w:rFonts w:cstheme="minorHAnsi"/>
          <w:lang w:val="en-US"/>
        </w:rPr>
        <w:t>(</w:t>
      </w:r>
      <w:r w:rsidRPr="001F1E4F">
        <w:rPr>
          <w:rFonts w:cstheme="minorHAnsi"/>
          <w:lang w:val="en-US"/>
        </w:rPr>
        <w:t>1995</w:t>
      </w:r>
      <w:r w:rsidRPr="001F1E4F">
        <w:rPr>
          <w:rFonts w:cstheme="minorHAnsi"/>
        </w:rPr>
        <w:t xml:space="preserve">), </w:t>
      </w:r>
      <w:r w:rsidRPr="001F1E4F">
        <w:rPr>
          <w:rFonts w:cstheme="minorHAnsi"/>
          <w:lang w:val="en-US"/>
        </w:rPr>
        <w:t>Pillastrini</w:t>
      </w:r>
      <w:r w:rsidRPr="001F1E4F">
        <w:rPr>
          <w:rFonts w:cstheme="minorHAnsi"/>
        </w:rPr>
        <w:t xml:space="preserve"> et al., (2009), Erick and Smith (2011). </w:t>
      </w:r>
      <w:r w:rsidR="00263B5A">
        <w:rPr>
          <w:rFonts w:cstheme="minorHAnsi"/>
        </w:rPr>
        <w:t>E</w:t>
      </w:r>
      <w:r w:rsidR="005F2FFC">
        <w:rPr>
          <w:rFonts w:cstheme="minorHAnsi"/>
        </w:rPr>
        <w:t>C</w:t>
      </w:r>
      <w:r w:rsidR="00263B5A">
        <w:rPr>
          <w:rFonts w:cstheme="minorHAnsi"/>
        </w:rPr>
        <w:t>E</w:t>
      </w:r>
      <w:r w:rsidRPr="001F1E4F">
        <w:rPr>
          <w:rFonts w:cstheme="minorHAnsi"/>
        </w:rPr>
        <w:t xml:space="preserve"> </w:t>
      </w:r>
      <w:r w:rsidR="003F536C">
        <w:rPr>
          <w:rFonts w:cstheme="minorHAnsi"/>
        </w:rPr>
        <w:t>professionals</w:t>
      </w:r>
      <w:r w:rsidRPr="001F1E4F">
        <w:rPr>
          <w:rFonts w:cstheme="minorHAnsi"/>
        </w:rPr>
        <w:t xml:space="preserve"> are</w:t>
      </w:r>
      <w:r w:rsidR="00495B0F" w:rsidRPr="001F1E4F">
        <w:rPr>
          <w:rFonts w:cstheme="minorHAnsi"/>
        </w:rPr>
        <w:t xml:space="preserve"> required to carry out many of </w:t>
      </w:r>
      <w:r w:rsidR="00C16CCF" w:rsidRPr="001F1E4F">
        <w:rPr>
          <w:rFonts w:cstheme="minorHAnsi"/>
        </w:rPr>
        <w:t>the</w:t>
      </w:r>
      <w:r w:rsidR="00211A01">
        <w:rPr>
          <w:rFonts w:cstheme="minorHAnsi"/>
        </w:rPr>
        <w:t xml:space="preserve"> hazardous</w:t>
      </w:r>
      <w:r w:rsidR="00C16CCF" w:rsidRPr="001F1E4F">
        <w:rPr>
          <w:rFonts w:cstheme="minorHAnsi"/>
        </w:rPr>
        <w:t xml:space="preserve"> actions described</w:t>
      </w:r>
      <w:r w:rsidR="00211A01">
        <w:rPr>
          <w:rFonts w:cstheme="minorHAnsi"/>
        </w:rPr>
        <w:t xml:space="preserve"> above</w:t>
      </w:r>
      <w:r w:rsidR="00495B0F" w:rsidRPr="001F1E4F">
        <w:rPr>
          <w:rFonts w:cstheme="minorHAnsi"/>
        </w:rPr>
        <w:t xml:space="preserve"> as routine aspects of their role alongside facing unique and additional </w:t>
      </w:r>
      <w:r w:rsidR="00EB5204" w:rsidRPr="001F1E4F">
        <w:rPr>
          <w:rFonts w:cstheme="minorHAnsi"/>
        </w:rPr>
        <w:t>factors. These include the</w:t>
      </w:r>
      <w:r w:rsidR="009E1645" w:rsidRPr="001F1E4F">
        <w:rPr>
          <w:rFonts w:cstheme="minorHAnsi"/>
        </w:rPr>
        <w:t xml:space="preserve"> added</w:t>
      </w:r>
      <w:r w:rsidR="00495B0F" w:rsidRPr="001F1E4F">
        <w:rPr>
          <w:rFonts w:cstheme="minorHAnsi"/>
        </w:rPr>
        <w:t xml:space="preserve"> </w:t>
      </w:r>
      <w:r w:rsidR="00EB5204" w:rsidRPr="001F1E4F">
        <w:rPr>
          <w:rFonts w:cstheme="minorHAnsi"/>
        </w:rPr>
        <w:t>demands associated with</w:t>
      </w:r>
      <w:r w:rsidR="00C16CCF" w:rsidRPr="001F1E4F">
        <w:rPr>
          <w:rFonts w:cstheme="minorHAnsi"/>
        </w:rPr>
        <w:t xml:space="preserve"> working in a low-height environment</w:t>
      </w:r>
      <w:r w:rsidR="00EB5204" w:rsidRPr="001F1E4F">
        <w:rPr>
          <w:rFonts w:cstheme="minorHAnsi"/>
        </w:rPr>
        <w:t>,</w:t>
      </w:r>
      <w:r w:rsidR="00C16CCF" w:rsidRPr="001F1E4F">
        <w:rPr>
          <w:rFonts w:cstheme="minorHAnsi"/>
        </w:rPr>
        <w:t xml:space="preserve"> </w:t>
      </w:r>
      <w:r w:rsidR="00495B0F" w:rsidRPr="001F1E4F">
        <w:rPr>
          <w:rFonts w:cstheme="minorHAnsi"/>
        </w:rPr>
        <w:t xml:space="preserve">such as </w:t>
      </w:r>
      <w:r w:rsidRPr="001F1E4F">
        <w:rPr>
          <w:rFonts w:cstheme="minorHAnsi"/>
        </w:rPr>
        <w:t>stooping,</w:t>
      </w:r>
      <w:r w:rsidR="00AC307C" w:rsidRPr="001F1E4F">
        <w:rPr>
          <w:rFonts w:cstheme="minorHAnsi"/>
        </w:rPr>
        <w:t xml:space="preserve"> </w:t>
      </w:r>
      <w:r w:rsidR="007D3FB8" w:rsidRPr="001F1E4F">
        <w:rPr>
          <w:rFonts w:cstheme="minorHAnsi"/>
        </w:rPr>
        <w:t>bending</w:t>
      </w:r>
      <w:r w:rsidRPr="001F1E4F">
        <w:rPr>
          <w:rFonts w:cstheme="minorHAnsi"/>
        </w:rPr>
        <w:t xml:space="preserve">, crouching, </w:t>
      </w:r>
      <w:r w:rsidR="00AC307C" w:rsidRPr="001F1E4F">
        <w:rPr>
          <w:rFonts w:cstheme="minorHAnsi"/>
        </w:rPr>
        <w:t xml:space="preserve">kneeling </w:t>
      </w:r>
      <w:r w:rsidRPr="001F1E4F">
        <w:rPr>
          <w:rFonts w:cstheme="minorHAnsi"/>
        </w:rPr>
        <w:t xml:space="preserve">or sitting for prolonged periods, </w:t>
      </w:r>
      <w:r w:rsidR="00C16CCF" w:rsidRPr="001F1E4F">
        <w:rPr>
          <w:rFonts w:cstheme="minorHAnsi"/>
        </w:rPr>
        <w:t>as well as role demands such as</w:t>
      </w:r>
      <w:r w:rsidR="00C16CCF" w:rsidRPr="00D97778">
        <w:rPr>
          <w:rFonts w:cstheme="minorHAnsi"/>
        </w:rPr>
        <w:t>, lifting</w:t>
      </w:r>
      <w:r w:rsidR="00282BCC" w:rsidRPr="006D74CC">
        <w:rPr>
          <w:rFonts w:cstheme="minorHAnsi"/>
        </w:rPr>
        <w:t xml:space="preserve">, </w:t>
      </w:r>
      <w:r w:rsidR="00D97778" w:rsidRPr="006D74CC">
        <w:rPr>
          <w:rFonts w:cstheme="minorHAnsi"/>
        </w:rPr>
        <w:t>m</w:t>
      </w:r>
      <w:r w:rsidR="00D97778" w:rsidRPr="00D97778">
        <w:rPr>
          <w:rFonts w:cstheme="minorHAnsi"/>
        </w:rPr>
        <w:t xml:space="preserve">oving and </w:t>
      </w:r>
      <w:r w:rsidR="00C16CCF" w:rsidRPr="00D97778">
        <w:rPr>
          <w:rFonts w:cstheme="minorHAnsi"/>
        </w:rPr>
        <w:t>carrying</w:t>
      </w:r>
      <w:r w:rsidR="00D97778" w:rsidRPr="00D97778">
        <w:rPr>
          <w:rFonts w:cstheme="minorHAnsi"/>
        </w:rPr>
        <w:t xml:space="preserve"> equipment and/or children</w:t>
      </w:r>
      <w:r w:rsidR="00C16CCF" w:rsidRPr="00D97778">
        <w:rPr>
          <w:rFonts w:cstheme="minorHAnsi"/>
        </w:rPr>
        <w:t xml:space="preserve">, </w:t>
      </w:r>
      <w:r w:rsidR="00C16CCF" w:rsidRPr="00D97778">
        <w:rPr>
          <w:rFonts w:cstheme="minorHAnsi"/>
        </w:rPr>
        <w:lastRenderedPageBreak/>
        <w:t>feeding and/or changing children.</w:t>
      </w:r>
      <w:r w:rsidR="00C16CCF" w:rsidRPr="001F1E4F">
        <w:rPr>
          <w:rFonts w:cstheme="minorHAnsi"/>
        </w:rPr>
        <w:t xml:space="preserve"> These tasks are commonly</w:t>
      </w:r>
      <w:r w:rsidRPr="001F1E4F">
        <w:rPr>
          <w:rFonts w:cstheme="minorHAnsi"/>
        </w:rPr>
        <w:t xml:space="preserve"> </w:t>
      </w:r>
      <w:r w:rsidR="00C16CCF" w:rsidRPr="001F1E4F">
        <w:rPr>
          <w:rFonts w:cstheme="minorHAnsi"/>
        </w:rPr>
        <w:t xml:space="preserve">completed </w:t>
      </w:r>
      <w:r w:rsidR="00EB5204" w:rsidRPr="001F1E4F">
        <w:rPr>
          <w:rFonts w:cstheme="minorHAnsi"/>
        </w:rPr>
        <w:t xml:space="preserve">by </w:t>
      </w:r>
      <w:r w:rsidR="00D97778">
        <w:rPr>
          <w:rFonts w:cstheme="minorHAnsi"/>
        </w:rPr>
        <w:t xml:space="preserve">the </w:t>
      </w:r>
      <w:r w:rsidR="00263B5A">
        <w:rPr>
          <w:rFonts w:cstheme="minorHAnsi"/>
        </w:rPr>
        <w:t>E</w:t>
      </w:r>
      <w:r w:rsidR="005F2FFC">
        <w:rPr>
          <w:rFonts w:cstheme="minorHAnsi"/>
        </w:rPr>
        <w:t>C</w:t>
      </w:r>
      <w:r w:rsidR="00263B5A">
        <w:rPr>
          <w:rFonts w:cstheme="minorHAnsi"/>
        </w:rPr>
        <w:t>E</w:t>
      </w:r>
      <w:r w:rsidR="009E1645" w:rsidRPr="001F1E4F">
        <w:rPr>
          <w:rFonts w:cstheme="minorHAnsi"/>
        </w:rPr>
        <w:t xml:space="preserve"> </w:t>
      </w:r>
      <w:r w:rsidR="00D97778">
        <w:rPr>
          <w:rFonts w:cstheme="minorHAnsi"/>
        </w:rPr>
        <w:t>workforce</w:t>
      </w:r>
      <w:r w:rsidR="00EB5204" w:rsidRPr="001F1E4F">
        <w:rPr>
          <w:rFonts w:cstheme="minorHAnsi"/>
        </w:rPr>
        <w:t xml:space="preserve"> </w:t>
      </w:r>
      <w:r w:rsidR="009E1645" w:rsidRPr="001F1E4F">
        <w:rPr>
          <w:rFonts w:cstheme="minorHAnsi"/>
        </w:rPr>
        <w:t>in the absence of</w:t>
      </w:r>
      <w:r w:rsidRPr="001F1E4F">
        <w:rPr>
          <w:rFonts w:cstheme="minorHAnsi"/>
        </w:rPr>
        <w:t xml:space="preserve"> adequate support and/or appropriate furniture (Erick and Smith, 2013).</w:t>
      </w:r>
      <w:r w:rsidR="00C16CCF" w:rsidRPr="001F1E4F">
        <w:rPr>
          <w:rFonts w:cstheme="minorHAnsi"/>
        </w:rPr>
        <w:t xml:space="preserve"> </w:t>
      </w:r>
      <w:r w:rsidR="00A56DF4" w:rsidRPr="001F1E4F">
        <w:rPr>
          <w:rFonts w:cstheme="minorHAnsi"/>
        </w:rPr>
        <w:t>These</w:t>
      </w:r>
      <w:r w:rsidR="00495B0F" w:rsidRPr="001F1E4F">
        <w:rPr>
          <w:rFonts w:cstheme="minorHAnsi"/>
        </w:rPr>
        <w:t xml:space="preserve"> physical demands</w:t>
      </w:r>
      <w:r w:rsidR="00C16CCF" w:rsidRPr="001F1E4F">
        <w:rPr>
          <w:rFonts w:cstheme="minorHAnsi"/>
        </w:rPr>
        <w:t xml:space="preserve"> </w:t>
      </w:r>
      <w:r w:rsidR="00495B0F" w:rsidRPr="001F1E4F">
        <w:rPr>
          <w:rFonts w:cstheme="minorHAnsi"/>
        </w:rPr>
        <w:t xml:space="preserve">are associated with increased </w:t>
      </w:r>
      <w:r w:rsidR="00A56DF4" w:rsidRPr="001F1E4F">
        <w:rPr>
          <w:rFonts w:cstheme="minorHAnsi"/>
        </w:rPr>
        <w:t>risk</w:t>
      </w:r>
      <w:r w:rsidR="00495B0F" w:rsidRPr="001F1E4F">
        <w:rPr>
          <w:rFonts w:cstheme="minorHAnsi"/>
        </w:rPr>
        <w:t xml:space="preserve"> of MSD</w:t>
      </w:r>
      <w:r w:rsidR="00D97778">
        <w:rPr>
          <w:rFonts w:cstheme="minorHAnsi"/>
        </w:rPr>
        <w:t>s</w:t>
      </w:r>
      <w:r w:rsidR="00495B0F" w:rsidRPr="001F1E4F">
        <w:rPr>
          <w:rFonts w:cstheme="minorHAnsi"/>
        </w:rPr>
        <w:t xml:space="preserve"> (Gallagher, 2005)</w:t>
      </w:r>
      <w:r w:rsidR="00C34400">
        <w:rPr>
          <w:rFonts w:cstheme="minorHAnsi"/>
        </w:rPr>
        <w:t>.</w:t>
      </w:r>
      <w:r w:rsidR="00495B0F" w:rsidRPr="001F1E4F">
        <w:rPr>
          <w:rFonts w:cstheme="minorHAnsi"/>
        </w:rPr>
        <w:t xml:space="preserve"> </w:t>
      </w:r>
      <w:r w:rsidR="00C34400">
        <w:rPr>
          <w:rFonts w:cstheme="minorHAnsi"/>
        </w:rPr>
        <w:t>F</w:t>
      </w:r>
      <w:r w:rsidR="00A56DF4" w:rsidRPr="001F1E4F">
        <w:rPr>
          <w:rFonts w:cstheme="minorHAnsi"/>
        </w:rPr>
        <w:t xml:space="preserve">urther support for this </w:t>
      </w:r>
      <w:r w:rsidR="000152AB" w:rsidRPr="001F1E4F">
        <w:rPr>
          <w:rFonts w:cstheme="minorHAnsi"/>
        </w:rPr>
        <w:t xml:space="preserve">is </w:t>
      </w:r>
      <w:r w:rsidR="00A56DF4" w:rsidRPr="001F1E4F">
        <w:rPr>
          <w:rFonts w:cstheme="minorHAnsi"/>
        </w:rPr>
        <w:t>provided by</w:t>
      </w:r>
      <w:r w:rsidR="00495B0F" w:rsidRPr="001F1E4F">
        <w:rPr>
          <w:rFonts w:cstheme="minorHAnsi"/>
        </w:rPr>
        <w:t xml:space="preserve"> the UK HSE, which highlight </w:t>
      </w:r>
      <w:r w:rsidR="00A56DF4" w:rsidRPr="001F1E4F">
        <w:rPr>
          <w:rFonts w:cstheme="minorHAnsi"/>
        </w:rPr>
        <w:t>‘</w:t>
      </w:r>
      <w:r w:rsidR="00495B0F" w:rsidRPr="001F1E4F">
        <w:rPr>
          <w:rFonts w:cstheme="minorHAnsi"/>
        </w:rPr>
        <w:t>manual</w:t>
      </w:r>
      <w:r w:rsidR="00A56DF4" w:rsidRPr="001F1E4F">
        <w:rPr>
          <w:rFonts w:cstheme="minorHAnsi"/>
        </w:rPr>
        <w:t>-</w:t>
      </w:r>
      <w:r w:rsidR="00495B0F" w:rsidRPr="001F1E4F">
        <w:rPr>
          <w:rFonts w:cstheme="minorHAnsi"/>
        </w:rPr>
        <w:t>handling</w:t>
      </w:r>
      <w:r w:rsidR="00A56DF4" w:rsidRPr="001F1E4F">
        <w:rPr>
          <w:rFonts w:cstheme="minorHAnsi"/>
        </w:rPr>
        <w:t>’</w:t>
      </w:r>
      <w:r w:rsidR="00495B0F" w:rsidRPr="001F1E4F">
        <w:rPr>
          <w:rFonts w:cstheme="minorHAnsi"/>
        </w:rPr>
        <w:t xml:space="preserve"> and </w:t>
      </w:r>
      <w:r w:rsidR="00A56DF4" w:rsidRPr="001F1E4F">
        <w:rPr>
          <w:rFonts w:cstheme="minorHAnsi"/>
        </w:rPr>
        <w:t>‘</w:t>
      </w:r>
      <w:r w:rsidR="00495B0F" w:rsidRPr="001F1E4F">
        <w:rPr>
          <w:rFonts w:cstheme="minorHAnsi"/>
        </w:rPr>
        <w:t>working in awkward/tiring positions</w:t>
      </w:r>
      <w:r w:rsidR="00A56DF4" w:rsidRPr="001F1E4F">
        <w:rPr>
          <w:rFonts w:cstheme="minorHAnsi"/>
        </w:rPr>
        <w:t>’</w:t>
      </w:r>
      <w:r w:rsidR="00495B0F" w:rsidRPr="001F1E4F">
        <w:rPr>
          <w:rFonts w:cstheme="minorHAnsi"/>
        </w:rPr>
        <w:t xml:space="preserve"> to be two of the most prominent risk factors contributing to MSD</w:t>
      </w:r>
      <w:r w:rsidR="0090125C">
        <w:rPr>
          <w:rFonts w:cstheme="minorHAnsi"/>
        </w:rPr>
        <w:t>s</w:t>
      </w:r>
      <w:r w:rsidR="00495B0F" w:rsidRPr="001F1E4F">
        <w:rPr>
          <w:rFonts w:cstheme="minorHAnsi"/>
        </w:rPr>
        <w:t xml:space="preserve"> (HSE, 2022</w:t>
      </w:r>
      <w:r w:rsidR="0090125C">
        <w:rPr>
          <w:rFonts w:cstheme="minorHAnsi"/>
        </w:rPr>
        <w:t>b</w:t>
      </w:r>
      <w:r w:rsidR="00495B0F" w:rsidRPr="001F1E4F">
        <w:rPr>
          <w:rFonts w:cstheme="minorHAnsi"/>
        </w:rPr>
        <w:t xml:space="preserve">). </w:t>
      </w:r>
      <w:r w:rsidR="00EB5204" w:rsidRPr="001F1E4F">
        <w:rPr>
          <w:rFonts w:cstheme="minorHAnsi"/>
        </w:rPr>
        <w:t xml:space="preserve">It is reasonable </w:t>
      </w:r>
      <w:r w:rsidR="00CA6EE5" w:rsidRPr="001F1E4F">
        <w:rPr>
          <w:rFonts w:cstheme="minorHAnsi"/>
        </w:rPr>
        <w:t xml:space="preserve">therefore </w:t>
      </w:r>
      <w:r w:rsidR="00EB5204" w:rsidRPr="001F1E4F">
        <w:rPr>
          <w:rFonts w:cstheme="minorHAnsi"/>
        </w:rPr>
        <w:t xml:space="preserve">to conclude, that the role and environmental demands </w:t>
      </w:r>
      <w:r w:rsidR="000152AB" w:rsidRPr="001F1E4F">
        <w:rPr>
          <w:rFonts w:cstheme="minorHAnsi"/>
        </w:rPr>
        <w:t>of</w:t>
      </w:r>
      <w:r w:rsidR="00EB5204" w:rsidRPr="001F1E4F">
        <w:rPr>
          <w:rFonts w:cstheme="minorHAnsi"/>
        </w:rPr>
        <w:t xml:space="preserve"> individuals working in the </w:t>
      </w:r>
      <w:r w:rsidR="00263B5A">
        <w:rPr>
          <w:rFonts w:cstheme="minorHAnsi"/>
        </w:rPr>
        <w:t>E</w:t>
      </w:r>
      <w:r w:rsidR="003617D3">
        <w:rPr>
          <w:rFonts w:cstheme="minorHAnsi"/>
        </w:rPr>
        <w:t>C</w:t>
      </w:r>
      <w:r w:rsidR="00263B5A">
        <w:rPr>
          <w:rFonts w:cstheme="minorHAnsi"/>
        </w:rPr>
        <w:t>E</w:t>
      </w:r>
      <w:r w:rsidR="00EB5204" w:rsidRPr="001F1E4F">
        <w:rPr>
          <w:rFonts w:cstheme="minorHAnsi"/>
        </w:rPr>
        <w:t xml:space="preserve"> sector present a high potential risk to MSK health and the development of MSDs. </w:t>
      </w:r>
    </w:p>
    <w:p w14:paraId="228DEF6F" w14:textId="57682516" w:rsidR="00C16CCF" w:rsidRPr="001F1E4F" w:rsidRDefault="001F3B83" w:rsidP="001E4EEF">
      <w:pPr>
        <w:spacing w:line="480" w:lineRule="auto"/>
        <w:ind w:firstLine="720"/>
        <w:jc w:val="both"/>
        <w:rPr>
          <w:rFonts w:cstheme="minorHAnsi"/>
        </w:rPr>
      </w:pPr>
      <w:r w:rsidRPr="001F1E4F">
        <w:rPr>
          <w:rFonts w:cstheme="minorHAnsi"/>
        </w:rPr>
        <w:t>Increased incidence of MSDs and the demands of certain job roles is well established</w:t>
      </w:r>
      <w:r w:rsidR="0090125C">
        <w:rPr>
          <w:rFonts w:cstheme="minorHAnsi"/>
        </w:rPr>
        <w:t>.</w:t>
      </w:r>
      <w:r w:rsidRPr="001F1E4F">
        <w:rPr>
          <w:rFonts w:cstheme="minorHAnsi"/>
        </w:rPr>
        <w:t xml:space="preserve"> </w:t>
      </w:r>
      <w:r w:rsidR="0090125C">
        <w:rPr>
          <w:rFonts w:cstheme="minorHAnsi"/>
        </w:rPr>
        <w:t>T</w:t>
      </w:r>
      <w:r w:rsidRPr="001F1E4F">
        <w:rPr>
          <w:rFonts w:cstheme="minorHAnsi"/>
        </w:rPr>
        <w:t xml:space="preserve">he </w:t>
      </w:r>
      <w:r w:rsidR="00495B0F" w:rsidRPr="001F1E4F">
        <w:rPr>
          <w:rFonts w:cstheme="minorHAnsi"/>
        </w:rPr>
        <w:t xml:space="preserve">potential </w:t>
      </w:r>
      <w:r w:rsidRPr="001F1E4F">
        <w:rPr>
          <w:rFonts w:cstheme="minorHAnsi"/>
        </w:rPr>
        <w:t>risks posed by sectors such as</w:t>
      </w:r>
      <w:r w:rsidR="00495B0F" w:rsidRPr="001F1E4F">
        <w:rPr>
          <w:rFonts w:cstheme="minorHAnsi"/>
        </w:rPr>
        <w:t xml:space="preserve"> construction or</w:t>
      </w:r>
      <w:r w:rsidRPr="001F1E4F">
        <w:rPr>
          <w:rFonts w:cstheme="minorHAnsi"/>
        </w:rPr>
        <w:t xml:space="preserve"> </w:t>
      </w:r>
      <w:r w:rsidR="00495B0F" w:rsidRPr="001F1E4F">
        <w:rPr>
          <w:rFonts w:cstheme="minorHAnsi"/>
        </w:rPr>
        <w:t xml:space="preserve">agriculture </w:t>
      </w:r>
      <w:r w:rsidR="000152AB" w:rsidRPr="001F1E4F">
        <w:rPr>
          <w:rFonts w:cstheme="minorHAnsi"/>
        </w:rPr>
        <w:t xml:space="preserve">are </w:t>
      </w:r>
      <w:r w:rsidR="00495B0F" w:rsidRPr="001F1E4F">
        <w:rPr>
          <w:rFonts w:cstheme="minorHAnsi"/>
        </w:rPr>
        <w:t>widely</w:t>
      </w:r>
      <w:r w:rsidRPr="001F1E4F">
        <w:rPr>
          <w:rFonts w:cstheme="minorHAnsi"/>
        </w:rPr>
        <w:t xml:space="preserve"> understood and </w:t>
      </w:r>
      <w:r w:rsidR="001F786D" w:rsidRPr="001F1E4F">
        <w:rPr>
          <w:rFonts w:cstheme="minorHAnsi"/>
        </w:rPr>
        <w:t>routinely reported</w:t>
      </w:r>
      <w:r w:rsidRPr="001F1E4F">
        <w:rPr>
          <w:rFonts w:cstheme="minorHAnsi"/>
        </w:rPr>
        <w:t xml:space="preserve"> upon (HSE, 2022</w:t>
      </w:r>
      <w:r w:rsidR="000A3F1D" w:rsidRPr="001F1E4F">
        <w:rPr>
          <w:rFonts w:cstheme="minorHAnsi"/>
        </w:rPr>
        <w:t>a</w:t>
      </w:r>
      <w:r w:rsidRPr="001F1E4F">
        <w:rPr>
          <w:rFonts w:cstheme="minorHAnsi"/>
        </w:rPr>
        <w:t>)</w:t>
      </w:r>
      <w:r w:rsidR="006B2853">
        <w:rPr>
          <w:rFonts w:cstheme="minorHAnsi"/>
        </w:rPr>
        <w:t>.</w:t>
      </w:r>
      <w:r w:rsidR="001E4EEF">
        <w:rPr>
          <w:rFonts w:cstheme="minorHAnsi"/>
        </w:rPr>
        <w:t xml:space="preserve"> </w:t>
      </w:r>
      <w:r w:rsidR="00D0374F" w:rsidRPr="00966563">
        <w:rPr>
          <w:rFonts w:cstheme="minorHAnsi"/>
        </w:rPr>
        <w:t xml:space="preserve">In line with earlier studies </w:t>
      </w:r>
      <w:r w:rsidR="00186EF2" w:rsidRPr="00966563">
        <w:rPr>
          <w:rFonts w:cstheme="minorHAnsi"/>
        </w:rPr>
        <w:t>(Cheng et al., 2013)</w:t>
      </w:r>
      <w:r w:rsidR="003A09D5" w:rsidRPr="00966563">
        <w:rPr>
          <w:rFonts w:cstheme="minorHAnsi"/>
        </w:rPr>
        <w:t xml:space="preserve">, </w:t>
      </w:r>
      <w:r w:rsidR="00186EF2" w:rsidRPr="00966563">
        <w:rPr>
          <w:rFonts w:cstheme="minorHAnsi"/>
        </w:rPr>
        <w:t xml:space="preserve">use of </w:t>
      </w:r>
      <w:r w:rsidR="003A09D5" w:rsidRPr="00966563">
        <w:rPr>
          <w:rFonts w:cstheme="minorHAnsi"/>
        </w:rPr>
        <w:t xml:space="preserve">term </w:t>
      </w:r>
      <w:r w:rsidR="00186EF2" w:rsidRPr="00966563">
        <w:rPr>
          <w:rFonts w:cstheme="minorHAnsi"/>
        </w:rPr>
        <w:t>‘</w:t>
      </w:r>
      <w:r w:rsidR="003A09D5" w:rsidRPr="00966563">
        <w:rPr>
          <w:rFonts w:cstheme="minorHAnsi"/>
        </w:rPr>
        <w:t>MSP</w:t>
      </w:r>
      <w:r w:rsidR="00186EF2" w:rsidRPr="00966563">
        <w:rPr>
          <w:rFonts w:cstheme="minorHAnsi"/>
        </w:rPr>
        <w:t>’</w:t>
      </w:r>
      <w:r w:rsidR="003A09D5" w:rsidRPr="00966563">
        <w:rPr>
          <w:rFonts w:cstheme="minorHAnsi"/>
        </w:rPr>
        <w:t xml:space="preserve"> in the current report</w:t>
      </w:r>
      <w:r w:rsidR="00186EF2" w:rsidRPr="00966563">
        <w:rPr>
          <w:rFonts w:cstheme="minorHAnsi"/>
        </w:rPr>
        <w:t xml:space="preserve"> </w:t>
      </w:r>
      <w:r w:rsidR="001E4EEF" w:rsidRPr="00966563">
        <w:rPr>
          <w:rFonts w:cstheme="minorHAnsi"/>
        </w:rPr>
        <w:t>will refer</w:t>
      </w:r>
      <w:r w:rsidR="00186EF2" w:rsidRPr="00966563">
        <w:rPr>
          <w:rFonts w:cstheme="minorHAnsi"/>
        </w:rPr>
        <w:t xml:space="preserve"> </w:t>
      </w:r>
      <w:r w:rsidR="00E16A60" w:rsidRPr="00966563">
        <w:rPr>
          <w:rFonts w:cstheme="minorHAnsi"/>
        </w:rPr>
        <w:t xml:space="preserve">to </w:t>
      </w:r>
      <w:r w:rsidR="001E4EEF" w:rsidRPr="00966563">
        <w:rPr>
          <w:rFonts w:cstheme="minorHAnsi"/>
        </w:rPr>
        <w:t>‘</w:t>
      </w:r>
      <w:r w:rsidR="00037A01" w:rsidRPr="00966563">
        <w:rPr>
          <w:rFonts w:cstheme="minorHAnsi"/>
        </w:rPr>
        <w:t xml:space="preserve">work-related </w:t>
      </w:r>
      <w:r w:rsidR="00E16A60" w:rsidRPr="00966563">
        <w:rPr>
          <w:rFonts w:cstheme="minorHAnsi"/>
        </w:rPr>
        <w:t xml:space="preserve">musculoskeletal </w:t>
      </w:r>
      <w:r w:rsidR="00237F75" w:rsidRPr="00966563">
        <w:rPr>
          <w:rFonts w:cstheme="minorHAnsi"/>
        </w:rPr>
        <w:t>pain</w:t>
      </w:r>
      <w:r w:rsidR="001E4EEF" w:rsidRPr="00966563">
        <w:rPr>
          <w:rFonts w:cstheme="minorHAnsi"/>
        </w:rPr>
        <w:t>’</w:t>
      </w:r>
      <w:r w:rsidR="00237F75" w:rsidRPr="00966563">
        <w:rPr>
          <w:rFonts w:cstheme="minorHAnsi"/>
        </w:rPr>
        <w:t xml:space="preserve"> </w:t>
      </w:r>
      <w:r w:rsidR="00E16A60" w:rsidRPr="00966563">
        <w:rPr>
          <w:rFonts w:cstheme="minorHAnsi"/>
        </w:rPr>
        <w:t>which is</w:t>
      </w:r>
      <w:r w:rsidR="00186EF2" w:rsidRPr="00966563">
        <w:rPr>
          <w:rFonts w:cstheme="minorHAnsi"/>
        </w:rPr>
        <w:t xml:space="preserve"> </w:t>
      </w:r>
      <w:r w:rsidR="000037E4" w:rsidRPr="00966563">
        <w:rPr>
          <w:rFonts w:cstheme="minorHAnsi"/>
        </w:rPr>
        <w:t xml:space="preserve">pain that occurs during </w:t>
      </w:r>
      <w:r w:rsidR="00037A01" w:rsidRPr="00966563">
        <w:rPr>
          <w:rFonts w:cstheme="minorHAnsi"/>
        </w:rPr>
        <w:t>working hours.</w:t>
      </w:r>
      <w:r w:rsidR="00495B0F" w:rsidRPr="00966563">
        <w:rPr>
          <w:rFonts w:cstheme="minorHAnsi"/>
        </w:rPr>
        <w:t xml:space="preserve"> </w:t>
      </w:r>
      <w:r w:rsidR="00F4709C" w:rsidRPr="00966563">
        <w:rPr>
          <w:rFonts w:cstheme="minorHAnsi"/>
        </w:rPr>
        <w:t>Erick and</w:t>
      </w:r>
      <w:r w:rsidR="00F4709C" w:rsidRPr="00F4709C">
        <w:rPr>
          <w:rFonts w:cstheme="minorHAnsi"/>
        </w:rPr>
        <w:t xml:space="preserve"> Smith’s 2011 systematic review of MSDs among schoolteachers globally reports high incidence, with sources providing estimates ranging between 39% and 95% of their samples reporting some form of MSD.</w:t>
      </w:r>
      <w:r w:rsidR="00F4709C">
        <w:rPr>
          <w:rFonts w:cstheme="minorHAnsi"/>
        </w:rPr>
        <w:t xml:space="preserve"> </w:t>
      </w:r>
      <w:r w:rsidR="006B2853">
        <w:rPr>
          <w:rFonts w:cstheme="minorHAnsi"/>
        </w:rPr>
        <w:t>H</w:t>
      </w:r>
      <w:r w:rsidR="00495B0F" w:rsidRPr="001F1E4F">
        <w:rPr>
          <w:rFonts w:cstheme="minorHAnsi"/>
        </w:rPr>
        <w:t>owever</w:t>
      </w:r>
      <w:r w:rsidR="006B2853">
        <w:rPr>
          <w:rFonts w:cstheme="minorHAnsi"/>
        </w:rPr>
        <w:t>,</w:t>
      </w:r>
      <w:r w:rsidR="00495B0F" w:rsidRPr="001F1E4F">
        <w:rPr>
          <w:rFonts w:cstheme="minorHAnsi"/>
        </w:rPr>
        <w:t xml:space="preserve"> despite the </w:t>
      </w:r>
      <w:r w:rsidR="000A3F1D" w:rsidRPr="001F1E4F">
        <w:rPr>
          <w:rFonts w:cstheme="minorHAnsi"/>
        </w:rPr>
        <w:t>equivalency of</w:t>
      </w:r>
      <w:r w:rsidR="00495B0F" w:rsidRPr="001F1E4F">
        <w:rPr>
          <w:rFonts w:cstheme="minorHAnsi"/>
        </w:rPr>
        <w:t xml:space="preserve"> risk presented, the </w:t>
      </w:r>
      <w:r w:rsidR="00263B5A">
        <w:rPr>
          <w:rFonts w:cstheme="minorHAnsi"/>
        </w:rPr>
        <w:t>E</w:t>
      </w:r>
      <w:r w:rsidR="005F2FFC">
        <w:rPr>
          <w:rFonts w:cstheme="minorHAnsi"/>
        </w:rPr>
        <w:t>C</w:t>
      </w:r>
      <w:r w:rsidR="00263B5A">
        <w:rPr>
          <w:rFonts w:cstheme="minorHAnsi"/>
        </w:rPr>
        <w:t>E</w:t>
      </w:r>
      <w:r w:rsidR="00495B0F" w:rsidRPr="001F1E4F">
        <w:rPr>
          <w:rFonts w:cstheme="minorHAnsi"/>
        </w:rPr>
        <w:t xml:space="preserve"> sector does</w:t>
      </w:r>
      <w:r w:rsidR="000A3F1D" w:rsidRPr="001F1E4F">
        <w:rPr>
          <w:rFonts w:cstheme="minorHAnsi"/>
        </w:rPr>
        <w:t xml:space="preserve"> not</w:t>
      </w:r>
      <w:r w:rsidR="00495B0F" w:rsidRPr="001F1E4F">
        <w:rPr>
          <w:rFonts w:cstheme="minorHAnsi"/>
        </w:rPr>
        <w:t xml:space="preserve"> attract similar levels of </w:t>
      </w:r>
      <w:r w:rsidR="000A3F1D" w:rsidRPr="001F1E4F">
        <w:rPr>
          <w:rFonts w:cstheme="minorHAnsi"/>
        </w:rPr>
        <w:t xml:space="preserve">attention or </w:t>
      </w:r>
      <w:r w:rsidR="00495B0F" w:rsidRPr="001F1E4F">
        <w:rPr>
          <w:rFonts w:cstheme="minorHAnsi"/>
        </w:rPr>
        <w:t xml:space="preserve">consideration </w:t>
      </w:r>
      <w:r w:rsidR="000A3F1D" w:rsidRPr="001F1E4F">
        <w:rPr>
          <w:rFonts w:cstheme="minorHAnsi"/>
        </w:rPr>
        <w:t>regarding the</w:t>
      </w:r>
      <w:r w:rsidR="00495B0F" w:rsidRPr="001F1E4F">
        <w:rPr>
          <w:rFonts w:cstheme="minorHAnsi"/>
        </w:rPr>
        <w:t xml:space="preserve"> promotion and protection of physical health in its workforce</w:t>
      </w:r>
      <w:r w:rsidR="006B2853">
        <w:rPr>
          <w:rFonts w:cstheme="minorHAnsi"/>
        </w:rPr>
        <w:t>.</w:t>
      </w:r>
      <w:r w:rsidR="00C16CCF" w:rsidRPr="001F1E4F">
        <w:rPr>
          <w:rFonts w:cstheme="minorHAnsi"/>
        </w:rPr>
        <w:t xml:space="preserve"> </w:t>
      </w:r>
      <w:r w:rsidR="006B2853">
        <w:rPr>
          <w:rFonts w:cstheme="minorHAnsi"/>
        </w:rPr>
        <w:t>T</w:t>
      </w:r>
      <w:r w:rsidR="00C16CCF" w:rsidRPr="001F1E4F">
        <w:rPr>
          <w:rFonts w:cstheme="minorHAnsi"/>
        </w:rPr>
        <w:t>his is reflected by the</w:t>
      </w:r>
      <w:r w:rsidR="005C74E2" w:rsidRPr="001F1E4F">
        <w:rPr>
          <w:rFonts w:cstheme="minorHAnsi"/>
        </w:rPr>
        <w:t xml:space="preserve"> current</w:t>
      </w:r>
      <w:r w:rsidR="002A1732" w:rsidRPr="001F1E4F">
        <w:rPr>
          <w:rFonts w:cstheme="minorHAnsi"/>
        </w:rPr>
        <w:t xml:space="preserve"> dearth of</w:t>
      </w:r>
      <w:r w:rsidR="002A7D27" w:rsidRPr="001F1E4F">
        <w:rPr>
          <w:rFonts w:cstheme="minorHAnsi"/>
        </w:rPr>
        <w:t xml:space="preserve"> research </w:t>
      </w:r>
      <w:r w:rsidR="00B142E9" w:rsidRPr="001F1E4F">
        <w:rPr>
          <w:rFonts w:cstheme="minorHAnsi"/>
        </w:rPr>
        <w:t>on MSDs</w:t>
      </w:r>
      <w:r w:rsidR="00966563">
        <w:rPr>
          <w:rFonts w:cstheme="minorHAnsi"/>
        </w:rPr>
        <w:t>/MSP</w:t>
      </w:r>
      <w:r w:rsidR="00B142E9" w:rsidRPr="001F1E4F">
        <w:rPr>
          <w:rFonts w:cstheme="minorHAnsi"/>
        </w:rPr>
        <w:t xml:space="preserve"> in </w:t>
      </w:r>
      <w:r w:rsidR="002A7D27" w:rsidRPr="001F1E4F">
        <w:rPr>
          <w:rFonts w:cstheme="minorHAnsi"/>
        </w:rPr>
        <w:t>UK</w:t>
      </w:r>
      <w:r w:rsidR="00B142E9" w:rsidRPr="001F1E4F">
        <w:rPr>
          <w:rFonts w:cstheme="minorHAnsi"/>
        </w:rPr>
        <w:t xml:space="preserve"> </w:t>
      </w:r>
      <w:r w:rsidR="00263B5A">
        <w:rPr>
          <w:rFonts w:cstheme="minorHAnsi"/>
        </w:rPr>
        <w:t>E</w:t>
      </w:r>
      <w:r w:rsidR="005F2FFC">
        <w:rPr>
          <w:rFonts w:cstheme="minorHAnsi"/>
        </w:rPr>
        <w:t>C</w:t>
      </w:r>
      <w:r w:rsidR="00263B5A">
        <w:rPr>
          <w:rFonts w:cstheme="minorHAnsi"/>
        </w:rPr>
        <w:t>E</w:t>
      </w:r>
      <w:r w:rsidR="002A7D27" w:rsidRPr="001F1E4F">
        <w:rPr>
          <w:rFonts w:cstheme="minorHAnsi"/>
        </w:rPr>
        <w:t xml:space="preserve"> </w:t>
      </w:r>
      <w:r w:rsidR="002A1732" w:rsidRPr="001F1E4F">
        <w:rPr>
          <w:rFonts w:cstheme="minorHAnsi"/>
        </w:rPr>
        <w:t>populations</w:t>
      </w:r>
      <w:r w:rsidR="005C74E2" w:rsidRPr="001F1E4F">
        <w:rPr>
          <w:rFonts w:cstheme="minorHAnsi"/>
        </w:rPr>
        <w:t>.</w:t>
      </w:r>
      <w:r w:rsidR="002A7D27" w:rsidRPr="001F1E4F">
        <w:rPr>
          <w:rFonts w:cstheme="minorHAnsi"/>
        </w:rPr>
        <w:t xml:space="preserve"> </w:t>
      </w:r>
      <w:r w:rsidR="005C74E2" w:rsidRPr="001F1E4F">
        <w:rPr>
          <w:rFonts w:cstheme="minorHAnsi"/>
        </w:rPr>
        <w:t>The</w:t>
      </w:r>
      <w:r w:rsidR="006B2853">
        <w:rPr>
          <w:rFonts w:cstheme="minorHAnsi"/>
        </w:rPr>
        <w:t xml:space="preserve"> </w:t>
      </w:r>
      <w:r w:rsidR="005C74E2" w:rsidRPr="001F1E4F">
        <w:rPr>
          <w:rFonts w:cstheme="minorHAnsi"/>
        </w:rPr>
        <w:t>Labour Force Surv</w:t>
      </w:r>
      <w:r w:rsidR="00A049CD">
        <w:rPr>
          <w:rFonts w:cstheme="minorHAnsi"/>
        </w:rPr>
        <w:t>ey</w:t>
      </w:r>
      <w:r w:rsidR="005C74E2" w:rsidRPr="001F1E4F">
        <w:rPr>
          <w:rFonts w:cstheme="minorHAnsi"/>
        </w:rPr>
        <w:t xml:space="preserve"> aims to measure and evaluate k</w:t>
      </w:r>
      <w:r w:rsidR="00A049CD">
        <w:rPr>
          <w:rFonts w:cstheme="minorHAnsi"/>
        </w:rPr>
        <w:t>ey</w:t>
      </w:r>
      <w:r w:rsidR="005C74E2" w:rsidRPr="001F1E4F">
        <w:rPr>
          <w:rFonts w:cstheme="minorHAnsi"/>
        </w:rPr>
        <w:t xml:space="preserve"> factors in specific sectors of employment within the UK</w:t>
      </w:r>
      <w:r w:rsidR="00C16CCF" w:rsidRPr="001F1E4F">
        <w:rPr>
          <w:rFonts w:cstheme="minorHAnsi"/>
        </w:rPr>
        <w:t>, with</w:t>
      </w:r>
      <w:r w:rsidR="005C74E2" w:rsidRPr="001F1E4F">
        <w:rPr>
          <w:rFonts w:cstheme="minorHAnsi"/>
        </w:rPr>
        <w:t xml:space="preserve"> </w:t>
      </w:r>
      <w:r w:rsidR="0010713C" w:rsidRPr="001F1E4F">
        <w:rPr>
          <w:rFonts w:cstheme="minorHAnsi"/>
        </w:rPr>
        <w:t>the most recent</w:t>
      </w:r>
      <w:r w:rsidR="006B2853">
        <w:rPr>
          <w:rFonts w:cstheme="minorHAnsi"/>
        </w:rPr>
        <w:t xml:space="preserve"> survey</w:t>
      </w:r>
      <w:r w:rsidR="0010713C" w:rsidRPr="001F1E4F">
        <w:rPr>
          <w:rFonts w:cstheme="minorHAnsi"/>
        </w:rPr>
        <w:t xml:space="preserve"> for the education sector (HSE, 2022</w:t>
      </w:r>
      <w:r w:rsidR="000A3F1D" w:rsidRPr="001F1E4F">
        <w:rPr>
          <w:rFonts w:cstheme="minorHAnsi"/>
        </w:rPr>
        <w:t>b</w:t>
      </w:r>
      <w:r w:rsidR="0010713C" w:rsidRPr="001F1E4F">
        <w:rPr>
          <w:rFonts w:cstheme="minorHAnsi"/>
        </w:rPr>
        <w:t xml:space="preserve">) </w:t>
      </w:r>
      <w:r w:rsidR="00C16CCF" w:rsidRPr="001F1E4F">
        <w:rPr>
          <w:rFonts w:cstheme="minorHAnsi"/>
        </w:rPr>
        <w:t xml:space="preserve">reporting </w:t>
      </w:r>
      <w:r w:rsidR="0010713C" w:rsidRPr="001F1E4F">
        <w:rPr>
          <w:rFonts w:cstheme="minorHAnsi"/>
        </w:rPr>
        <w:t xml:space="preserve">MSD incidence rate as </w:t>
      </w:r>
      <w:r w:rsidR="003E1898">
        <w:rPr>
          <w:rFonts w:cstheme="minorHAnsi"/>
        </w:rPr>
        <w:t>0</w:t>
      </w:r>
      <w:r w:rsidR="0010713C" w:rsidRPr="001F1E4F">
        <w:rPr>
          <w:rFonts w:cstheme="minorHAnsi"/>
        </w:rPr>
        <w:t xml:space="preserve">.9%. However, it must be </w:t>
      </w:r>
      <w:r w:rsidR="00EB5204" w:rsidRPr="001F1E4F">
        <w:rPr>
          <w:rFonts w:cstheme="minorHAnsi"/>
        </w:rPr>
        <w:t>highlighted</w:t>
      </w:r>
      <w:r w:rsidR="0010713C" w:rsidRPr="001F1E4F">
        <w:rPr>
          <w:rFonts w:cstheme="minorHAnsi"/>
        </w:rPr>
        <w:t xml:space="preserve"> that participants completing the surv</w:t>
      </w:r>
      <w:r w:rsidR="00A049CD">
        <w:rPr>
          <w:rFonts w:cstheme="minorHAnsi"/>
        </w:rPr>
        <w:t>ey</w:t>
      </w:r>
      <w:r w:rsidR="0010713C" w:rsidRPr="001F1E4F">
        <w:rPr>
          <w:rFonts w:cstheme="minorHAnsi"/>
        </w:rPr>
        <w:t xml:space="preserve"> are only </w:t>
      </w:r>
      <w:r w:rsidR="00EB5204" w:rsidRPr="001F1E4F">
        <w:rPr>
          <w:rFonts w:cstheme="minorHAnsi"/>
        </w:rPr>
        <w:t>required</w:t>
      </w:r>
      <w:r w:rsidR="0010713C" w:rsidRPr="001F1E4F">
        <w:rPr>
          <w:rFonts w:cstheme="minorHAnsi"/>
        </w:rPr>
        <w:t xml:space="preserve"> to report health problems which have caused them to take formal </w:t>
      </w:r>
      <w:r w:rsidR="00EB5204" w:rsidRPr="001F1E4F">
        <w:rPr>
          <w:rFonts w:cstheme="minorHAnsi"/>
        </w:rPr>
        <w:t>sick leave</w:t>
      </w:r>
      <w:r w:rsidR="0010713C" w:rsidRPr="001F1E4F">
        <w:rPr>
          <w:rFonts w:cstheme="minorHAnsi"/>
        </w:rPr>
        <w:t xml:space="preserve"> from work,</w:t>
      </w:r>
      <w:r w:rsidR="00C16CCF" w:rsidRPr="001F1E4F">
        <w:rPr>
          <w:rFonts w:cstheme="minorHAnsi"/>
        </w:rPr>
        <w:t xml:space="preserve"> rather</w:t>
      </w:r>
      <w:r w:rsidR="0010713C" w:rsidRPr="001F1E4F">
        <w:rPr>
          <w:rFonts w:cstheme="minorHAnsi"/>
        </w:rPr>
        <w:t xml:space="preserve"> than the actual status of their physical or mental health (Office of National Statistics (ONS), 2022). This failure to include </w:t>
      </w:r>
      <w:r w:rsidR="0010713C" w:rsidRPr="001F1E4F">
        <w:rPr>
          <w:rFonts w:cstheme="minorHAnsi"/>
        </w:rPr>
        <w:lastRenderedPageBreak/>
        <w:t xml:space="preserve">considerations of presenteeism obfuscate the actual nature and quality of physical health in this population. </w:t>
      </w:r>
    </w:p>
    <w:p w14:paraId="13A745CD" w14:textId="6DC26990" w:rsidR="00C16CCF" w:rsidRDefault="00C16CCF" w:rsidP="002A7D27">
      <w:pPr>
        <w:spacing w:line="480" w:lineRule="auto"/>
        <w:jc w:val="both"/>
        <w:rPr>
          <w:rFonts w:cstheme="minorHAnsi"/>
          <w:sz w:val="22"/>
          <w:szCs w:val="22"/>
        </w:rPr>
      </w:pPr>
    </w:p>
    <w:p w14:paraId="3C114FE2" w14:textId="4BBD1B7F" w:rsidR="00715806" w:rsidRPr="00595C55" w:rsidRDefault="00857AED" w:rsidP="00595C55">
      <w:pPr>
        <w:spacing w:line="480" w:lineRule="auto"/>
        <w:ind w:firstLine="720"/>
        <w:jc w:val="both"/>
        <w:rPr>
          <w:rFonts w:cstheme="minorHAnsi"/>
          <w:lang w:val="en-US"/>
        </w:rPr>
      </w:pPr>
      <w:r w:rsidRPr="001F1E4F">
        <w:rPr>
          <w:rFonts w:cstheme="minorHAnsi"/>
        </w:rPr>
        <w:t xml:space="preserve">The UK </w:t>
      </w:r>
      <w:r w:rsidR="00263B5A">
        <w:rPr>
          <w:rFonts w:cstheme="minorHAnsi"/>
        </w:rPr>
        <w:t>E</w:t>
      </w:r>
      <w:r w:rsidR="005F2FFC">
        <w:rPr>
          <w:rFonts w:cstheme="minorHAnsi"/>
        </w:rPr>
        <w:t>C</w:t>
      </w:r>
      <w:r w:rsidR="00263B5A">
        <w:rPr>
          <w:rFonts w:cstheme="minorHAnsi"/>
        </w:rPr>
        <w:t>E</w:t>
      </w:r>
      <w:r w:rsidRPr="001F1E4F">
        <w:rPr>
          <w:rFonts w:cstheme="minorHAnsi"/>
        </w:rPr>
        <w:t xml:space="preserve"> sector is </w:t>
      </w:r>
      <w:r w:rsidR="00863162" w:rsidRPr="001F1E4F">
        <w:rPr>
          <w:rFonts w:cstheme="minorHAnsi"/>
        </w:rPr>
        <w:t>currently experiencing</w:t>
      </w:r>
      <w:r w:rsidRPr="001F1E4F">
        <w:rPr>
          <w:rFonts w:cstheme="minorHAnsi"/>
        </w:rPr>
        <w:t xml:space="preserve"> challenges related to </w:t>
      </w:r>
      <w:r w:rsidR="00C8028C" w:rsidRPr="001F1E4F">
        <w:rPr>
          <w:rFonts w:cstheme="minorHAnsi"/>
        </w:rPr>
        <w:t>attracting</w:t>
      </w:r>
      <w:r w:rsidRPr="001F1E4F">
        <w:rPr>
          <w:rFonts w:cstheme="minorHAnsi"/>
        </w:rPr>
        <w:t xml:space="preserve"> new staff and keeping those who are already there. </w:t>
      </w:r>
      <w:r w:rsidR="002E5040" w:rsidRPr="00762D30">
        <w:rPr>
          <w:rFonts w:cstheme="minorHAnsi"/>
        </w:rPr>
        <w:t xml:space="preserve">A report from the </w:t>
      </w:r>
      <w:r w:rsidR="00F9154A" w:rsidRPr="00762D30">
        <w:rPr>
          <w:rFonts w:cstheme="minorHAnsi"/>
        </w:rPr>
        <w:t>E</w:t>
      </w:r>
      <w:r w:rsidR="003A73D0" w:rsidRPr="00762D30">
        <w:rPr>
          <w:rFonts w:cstheme="minorHAnsi"/>
        </w:rPr>
        <w:t xml:space="preserve">arly </w:t>
      </w:r>
      <w:r w:rsidR="00F9154A" w:rsidRPr="00762D30">
        <w:rPr>
          <w:rFonts w:cstheme="minorHAnsi"/>
        </w:rPr>
        <w:t>Y</w:t>
      </w:r>
      <w:r w:rsidR="003A73D0" w:rsidRPr="00762D30">
        <w:rPr>
          <w:rFonts w:cstheme="minorHAnsi"/>
        </w:rPr>
        <w:t xml:space="preserve">ears </w:t>
      </w:r>
      <w:r w:rsidR="00F9154A" w:rsidRPr="00762D30">
        <w:rPr>
          <w:rFonts w:cstheme="minorHAnsi"/>
        </w:rPr>
        <w:t>A</w:t>
      </w:r>
      <w:r w:rsidR="003A73D0" w:rsidRPr="00762D30">
        <w:rPr>
          <w:rFonts w:cstheme="minorHAnsi"/>
        </w:rPr>
        <w:t>lliance</w:t>
      </w:r>
      <w:r w:rsidR="0030445E">
        <w:rPr>
          <w:rFonts w:cstheme="minorHAnsi"/>
        </w:rPr>
        <w:t xml:space="preserve"> (2021)</w:t>
      </w:r>
      <w:r w:rsidR="00423537" w:rsidRPr="00762D30">
        <w:rPr>
          <w:rFonts w:cstheme="minorHAnsi"/>
        </w:rPr>
        <w:t>,</w:t>
      </w:r>
      <w:r w:rsidR="0030445E">
        <w:rPr>
          <w:rFonts w:cstheme="minorHAnsi"/>
        </w:rPr>
        <w:t xml:space="preserve"> </w:t>
      </w:r>
      <w:r w:rsidR="006B2D31" w:rsidRPr="00EC6A4D">
        <w:rPr>
          <w:rFonts w:cstheme="minorHAnsi"/>
        </w:rPr>
        <w:t>hi</w:t>
      </w:r>
      <w:r w:rsidR="006B2D31" w:rsidRPr="00762D30">
        <w:rPr>
          <w:rFonts w:cstheme="minorHAnsi"/>
        </w:rPr>
        <w:t>ghlights</w:t>
      </w:r>
      <w:r w:rsidRPr="00762D30">
        <w:rPr>
          <w:rFonts w:cstheme="minorHAnsi"/>
        </w:rPr>
        <w:t xml:space="preserve"> </w:t>
      </w:r>
      <w:r w:rsidR="008D6311" w:rsidRPr="00762D30">
        <w:rPr>
          <w:rFonts w:cstheme="minorHAnsi"/>
        </w:rPr>
        <w:t>present</w:t>
      </w:r>
      <w:r w:rsidR="006B2D31" w:rsidRPr="00762D30">
        <w:rPr>
          <w:rFonts w:cstheme="minorHAnsi"/>
        </w:rPr>
        <w:t xml:space="preserve"> and growing issues regarding </w:t>
      </w:r>
      <w:r w:rsidR="00961378" w:rsidRPr="00762D30">
        <w:rPr>
          <w:rFonts w:cstheme="minorHAnsi"/>
          <w:lang w:val="en-US"/>
        </w:rPr>
        <w:t>r</w:t>
      </w:r>
      <w:r w:rsidR="002A7D27" w:rsidRPr="00762D30">
        <w:rPr>
          <w:rFonts w:cstheme="minorHAnsi"/>
          <w:lang w:val="en-US"/>
        </w:rPr>
        <w:t>ecruitment and retention</w:t>
      </w:r>
      <w:r w:rsidR="00A01D2D" w:rsidRPr="00762D30">
        <w:rPr>
          <w:rFonts w:cstheme="minorHAnsi"/>
          <w:lang w:val="en-US"/>
        </w:rPr>
        <w:t>, with up</w:t>
      </w:r>
      <w:r w:rsidR="00423537" w:rsidRPr="00762D30">
        <w:rPr>
          <w:rFonts w:cstheme="minorHAnsi"/>
          <w:lang w:val="en-US"/>
        </w:rPr>
        <w:t xml:space="preserve"> </w:t>
      </w:r>
      <w:r w:rsidR="00A01D2D" w:rsidRPr="00762D30">
        <w:rPr>
          <w:rFonts w:cstheme="minorHAnsi"/>
          <w:lang w:val="en-US"/>
        </w:rPr>
        <w:t xml:space="preserve">to 84% of </w:t>
      </w:r>
      <w:r w:rsidR="00FF3D49" w:rsidRPr="00762D30">
        <w:rPr>
          <w:rFonts w:cstheme="minorHAnsi"/>
          <w:lang w:val="en-US"/>
        </w:rPr>
        <w:t>settings</w:t>
      </w:r>
      <w:r w:rsidR="00A01D2D" w:rsidRPr="00762D30">
        <w:rPr>
          <w:rFonts w:cstheme="minorHAnsi"/>
          <w:lang w:val="en-US"/>
        </w:rPr>
        <w:t xml:space="preserve"> </w:t>
      </w:r>
      <w:r w:rsidR="008601FB" w:rsidRPr="00762D30">
        <w:rPr>
          <w:rFonts w:cstheme="minorHAnsi"/>
          <w:lang w:val="en-US"/>
        </w:rPr>
        <w:t>reporting</w:t>
      </w:r>
      <w:r w:rsidR="00A01D2D" w:rsidRPr="00762D30">
        <w:rPr>
          <w:rFonts w:cstheme="minorHAnsi"/>
          <w:lang w:val="en-US"/>
        </w:rPr>
        <w:t xml:space="preserve"> </w:t>
      </w:r>
      <w:r w:rsidRPr="00762D30">
        <w:rPr>
          <w:rFonts w:cstheme="minorHAnsi"/>
          <w:lang w:val="en-US"/>
        </w:rPr>
        <w:t>difficulties</w:t>
      </w:r>
      <w:r w:rsidR="00A01D2D" w:rsidRPr="00762D30">
        <w:rPr>
          <w:rFonts w:cstheme="minorHAnsi"/>
          <w:lang w:val="en-US"/>
        </w:rPr>
        <w:t xml:space="preserve"> </w:t>
      </w:r>
      <w:r w:rsidR="00157723" w:rsidRPr="00762D30">
        <w:rPr>
          <w:rFonts w:cstheme="minorHAnsi"/>
          <w:lang w:val="en-US"/>
        </w:rPr>
        <w:t>recruiting staff members.</w:t>
      </w:r>
      <w:r w:rsidR="007463EF" w:rsidRPr="00762D30">
        <w:rPr>
          <w:rFonts w:cstheme="minorHAnsi"/>
          <w:lang w:val="en-US"/>
        </w:rPr>
        <w:t xml:space="preserve"> </w:t>
      </w:r>
      <w:r w:rsidR="00595C55">
        <w:rPr>
          <w:rStyle w:val="normaltextrun"/>
          <w:rFonts w:eastAsiaTheme="majorEastAsia"/>
          <w:color w:val="000000"/>
          <w:shd w:val="clear" w:color="auto" w:fill="FFFFFF"/>
        </w:rPr>
        <w:t xml:space="preserve">Retention of early childhood educators is also a concern, where greater rates of staff departure have been associated with back pain or other MSDs related to work factors </w:t>
      </w:r>
      <w:r w:rsidR="00A346BE" w:rsidRPr="00762D30">
        <w:rPr>
          <w:rFonts w:cstheme="minorHAnsi"/>
          <w:lang w:val="en-US"/>
        </w:rPr>
        <w:t>(</w:t>
      </w:r>
      <w:r w:rsidR="00AE0A00" w:rsidRPr="00762D30">
        <w:t xml:space="preserve">Lallukka </w:t>
      </w:r>
      <w:r w:rsidR="00A346BE" w:rsidRPr="00762D30">
        <w:t>et al., 2018)</w:t>
      </w:r>
      <w:r w:rsidR="002A7D27" w:rsidRPr="00762D30">
        <w:rPr>
          <w:rFonts w:cstheme="minorHAnsi"/>
        </w:rPr>
        <w:t>.</w:t>
      </w:r>
      <w:r w:rsidR="002A7D27" w:rsidRPr="001F1E4F">
        <w:rPr>
          <w:rFonts w:cstheme="minorHAnsi"/>
        </w:rPr>
        <w:t xml:space="preserve"> Despite </w:t>
      </w:r>
      <w:r w:rsidR="008D6311" w:rsidRPr="001F1E4F">
        <w:rPr>
          <w:rFonts w:cstheme="minorHAnsi"/>
        </w:rPr>
        <w:t>th</w:t>
      </w:r>
      <w:r w:rsidR="00CA750E" w:rsidRPr="001F1E4F">
        <w:rPr>
          <w:rFonts w:cstheme="minorHAnsi"/>
        </w:rPr>
        <w:t>is</w:t>
      </w:r>
      <w:r w:rsidR="002A7D27" w:rsidRPr="001F1E4F">
        <w:rPr>
          <w:rFonts w:cstheme="minorHAnsi"/>
        </w:rPr>
        <w:t xml:space="preserve">, </w:t>
      </w:r>
      <w:r w:rsidR="00CA750E" w:rsidRPr="001F1E4F">
        <w:rPr>
          <w:rFonts w:cstheme="minorHAnsi"/>
        </w:rPr>
        <w:t>a</w:t>
      </w:r>
      <w:r w:rsidR="002A7D27" w:rsidRPr="001F1E4F">
        <w:rPr>
          <w:rFonts w:cstheme="minorHAnsi"/>
        </w:rPr>
        <w:t xml:space="preserve"> </w:t>
      </w:r>
      <w:r w:rsidR="002A7D27" w:rsidRPr="001F1E4F">
        <w:rPr>
          <w:rFonts w:cstheme="minorHAnsi"/>
          <w:lang w:val="en-US"/>
        </w:rPr>
        <w:t>recent UK gov</w:t>
      </w:r>
      <w:r w:rsidR="00F85B6E">
        <w:rPr>
          <w:rFonts w:cstheme="minorHAnsi"/>
          <w:lang w:val="en-US"/>
        </w:rPr>
        <w:t>ernment</w:t>
      </w:r>
      <w:r w:rsidR="002A7D27" w:rsidRPr="001F1E4F">
        <w:rPr>
          <w:rFonts w:cstheme="minorHAnsi"/>
          <w:lang w:val="en-US"/>
        </w:rPr>
        <w:t xml:space="preserve"> report</w:t>
      </w:r>
      <w:r w:rsidR="00D65955" w:rsidRPr="001F1E4F">
        <w:rPr>
          <w:rFonts w:cstheme="minorHAnsi"/>
          <w:lang w:val="en-US"/>
        </w:rPr>
        <w:t xml:space="preserve"> titled</w:t>
      </w:r>
      <w:r w:rsidR="002A7D27" w:rsidRPr="001F1E4F">
        <w:rPr>
          <w:rFonts w:cstheme="minorHAnsi"/>
          <w:lang w:val="en-US"/>
        </w:rPr>
        <w:t xml:space="preserve"> “</w:t>
      </w:r>
      <w:r w:rsidR="002A7D27" w:rsidRPr="001F1E4F">
        <w:rPr>
          <w:rFonts w:cstheme="minorHAnsi"/>
          <w:i/>
          <w:iCs/>
        </w:rPr>
        <w:t>The early years workforce: recruitment, retention, and business planning</w:t>
      </w:r>
      <w:r w:rsidR="002A7D27" w:rsidRPr="001F1E4F">
        <w:rPr>
          <w:rFonts w:cstheme="minorHAnsi"/>
        </w:rPr>
        <w:t>” (</w:t>
      </w:r>
      <w:r w:rsidR="007A1FEF" w:rsidRPr="001F1E4F">
        <w:rPr>
          <w:rFonts w:cstheme="minorHAnsi"/>
        </w:rPr>
        <w:t>DfE</w:t>
      </w:r>
      <w:r w:rsidR="002A7D27" w:rsidRPr="001F1E4F">
        <w:rPr>
          <w:rFonts w:cstheme="minorHAnsi"/>
        </w:rPr>
        <w:t>, 2022)</w:t>
      </w:r>
      <w:r w:rsidR="00D65955" w:rsidRPr="001F1E4F">
        <w:rPr>
          <w:rFonts w:cstheme="minorHAnsi"/>
        </w:rPr>
        <w:t>,</w:t>
      </w:r>
      <w:r w:rsidR="002A7D27" w:rsidRPr="001F1E4F">
        <w:rPr>
          <w:rFonts w:cstheme="minorHAnsi"/>
        </w:rPr>
        <w:t xml:space="preserve"> </w:t>
      </w:r>
      <w:r w:rsidR="00296282" w:rsidRPr="001F1E4F">
        <w:rPr>
          <w:rFonts w:cstheme="minorHAnsi"/>
        </w:rPr>
        <w:t xml:space="preserve">did </w:t>
      </w:r>
      <w:r w:rsidR="00D65955" w:rsidRPr="001F1E4F">
        <w:rPr>
          <w:rFonts w:cstheme="minorHAnsi"/>
        </w:rPr>
        <w:t>not</w:t>
      </w:r>
      <w:r w:rsidR="008D6311" w:rsidRPr="001F1E4F">
        <w:rPr>
          <w:rFonts w:cstheme="minorHAnsi"/>
        </w:rPr>
        <w:t xml:space="preserve"> </w:t>
      </w:r>
      <w:r w:rsidR="00CB585F" w:rsidRPr="001F1E4F">
        <w:rPr>
          <w:rFonts w:cstheme="minorHAnsi"/>
        </w:rPr>
        <w:t xml:space="preserve">include </w:t>
      </w:r>
      <w:r w:rsidR="008D6311" w:rsidRPr="001F1E4F">
        <w:rPr>
          <w:rFonts w:cstheme="minorHAnsi"/>
        </w:rPr>
        <w:t>consider</w:t>
      </w:r>
      <w:r w:rsidR="00CB585F" w:rsidRPr="001F1E4F">
        <w:rPr>
          <w:rFonts w:cstheme="minorHAnsi"/>
        </w:rPr>
        <w:t>ations of</w:t>
      </w:r>
      <w:r w:rsidR="002A7D27" w:rsidRPr="001F1E4F">
        <w:rPr>
          <w:rFonts w:cstheme="minorHAnsi"/>
        </w:rPr>
        <w:t xml:space="preserve"> practitioner health</w:t>
      </w:r>
      <w:r w:rsidR="00CA750E" w:rsidRPr="001F1E4F">
        <w:rPr>
          <w:rFonts w:cstheme="minorHAnsi"/>
        </w:rPr>
        <w:t>,</w:t>
      </w:r>
      <w:r w:rsidR="002A7D27" w:rsidRPr="001F1E4F">
        <w:rPr>
          <w:rFonts w:cstheme="minorHAnsi"/>
        </w:rPr>
        <w:t xml:space="preserve"> or MSK risk</w:t>
      </w:r>
      <w:r w:rsidR="00CB585F" w:rsidRPr="001F1E4F">
        <w:rPr>
          <w:rFonts w:cstheme="minorHAnsi"/>
        </w:rPr>
        <w:t xml:space="preserve"> as contributing factors. </w:t>
      </w:r>
      <w:r w:rsidR="002A7D27" w:rsidRPr="001F1E4F">
        <w:rPr>
          <w:rFonts w:cstheme="minorHAnsi"/>
        </w:rPr>
        <w:t>Similarly, the “</w:t>
      </w:r>
      <w:r w:rsidR="002A7D27" w:rsidRPr="001F1E4F">
        <w:rPr>
          <w:rFonts w:cstheme="minorHAnsi"/>
          <w:i/>
          <w:iCs/>
        </w:rPr>
        <w:t>Childcare and early years providers surv</w:t>
      </w:r>
      <w:r w:rsidR="00DA2885">
        <w:rPr>
          <w:rFonts w:cstheme="minorHAnsi"/>
          <w:i/>
          <w:iCs/>
        </w:rPr>
        <w:t>ey</w:t>
      </w:r>
      <w:r w:rsidR="002A7D27" w:rsidRPr="001F1E4F">
        <w:rPr>
          <w:rFonts w:cstheme="minorHAnsi"/>
          <w:i/>
          <w:iCs/>
        </w:rPr>
        <w:t>: 2021</w:t>
      </w:r>
      <w:r w:rsidR="002A7D27" w:rsidRPr="001F1E4F">
        <w:rPr>
          <w:rFonts w:cstheme="minorHAnsi"/>
        </w:rPr>
        <w:t>”</w:t>
      </w:r>
      <w:r w:rsidR="00143B44" w:rsidRPr="001F1E4F">
        <w:rPr>
          <w:rFonts w:cstheme="minorHAnsi"/>
        </w:rPr>
        <w:t>,</w:t>
      </w:r>
      <w:r w:rsidR="002A7D27" w:rsidRPr="001F1E4F">
        <w:rPr>
          <w:rFonts w:cstheme="minorHAnsi"/>
        </w:rPr>
        <w:t xml:space="preserve"> </w:t>
      </w:r>
      <w:r w:rsidR="001476B8" w:rsidRPr="001F1E4F">
        <w:rPr>
          <w:rFonts w:cstheme="minorHAnsi"/>
        </w:rPr>
        <w:t xml:space="preserve">which records and evaluates current UK </w:t>
      </w:r>
      <w:r w:rsidR="00263B5A">
        <w:rPr>
          <w:rFonts w:cstheme="minorHAnsi"/>
        </w:rPr>
        <w:t>E</w:t>
      </w:r>
      <w:r w:rsidR="005F2FFC">
        <w:rPr>
          <w:rFonts w:cstheme="minorHAnsi"/>
        </w:rPr>
        <w:t>C</w:t>
      </w:r>
      <w:r w:rsidR="00263B5A">
        <w:rPr>
          <w:rFonts w:cstheme="minorHAnsi"/>
        </w:rPr>
        <w:t>E</w:t>
      </w:r>
      <w:r w:rsidR="001476B8" w:rsidRPr="001F1E4F">
        <w:rPr>
          <w:rFonts w:cstheme="minorHAnsi"/>
        </w:rPr>
        <w:t xml:space="preserve"> </w:t>
      </w:r>
      <w:r w:rsidR="00A2701C">
        <w:rPr>
          <w:rFonts w:cstheme="minorHAnsi"/>
        </w:rPr>
        <w:t xml:space="preserve">environments and settings </w:t>
      </w:r>
      <w:r w:rsidR="00A2701C" w:rsidRPr="00F902D2">
        <w:rPr>
          <w:rFonts w:cstheme="minorHAnsi"/>
        </w:rPr>
        <w:t>(</w:t>
      </w:r>
      <w:r w:rsidR="00746511" w:rsidRPr="00F902D2">
        <w:rPr>
          <w:rFonts w:cstheme="minorHAnsi"/>
        </w:rPr>
        <w:t>for example</w:t>
      </w:r>
      <w:r w:rsidR="009273F3" w:rsidRPr="00F902D2">
        <w:rPr>
          <w:rFonts w:cstheme="minorHAnsi"/>
        </w:rPr>
        <w:t xml:space="preserve"> </w:t>
      </w:r>
      <w:r w:rsidR="006044C3" w:rsidRPr="00F902D2">
        <w:rPr>
          <w:rFonts w:cstheme="minorHAnsi"/>
        </w:rPr>
        <w:t xml:space="preserve">primary </w:t>
      </w:r>
      <w:r w:rsidR="00A2701C" w:rsidRPr="00F902D2">
        <w:rPr>
          <w:rFonts w:cstheme="minorHAnsi"/>
        </w:rPr>
        <w:t>classrooms,</w:t>
      </w:r>
      <w:r w:rsidR="00F902D2" w:rsidRPr="00F902D2">
        <w:rPr>
          <w:rFonts w:cstheme="minorHAnsi"/>
        </w:rPr>
        <w:t xml:space="preserve"> kindergarten,</w:t>
      </w:r>
      <w:r w:rsidR="006044C3" w:rsidRPr="00F902D2">
        <w:rPr>
          <w:rFonts w:cstheme="minorHAnsi"/>
        </w:rPr>
        <w:t xml:space="preserve"> preschools,</w:t>
      </w:r>
      <w:r w:rsidR="00A2701C" w:rsidRPr="00F902D2">
        <w:rPr>
          <w:rFonts w:cstheme="minorHAnsi"/>
        </w:rPr>
        <w:t xml:space="preserve"> </w:t>
      </w:r>
      <w:r w:rsidR="009273F3" w:rsidRPr="00F902D2">
        <w:rPr>
          <w:rFonts w:cstheme="minorHAnsi"/>
        </w:rPr>
        <w:t>private day nurseries</w:t>
      </w:r>
      <w:r w:rsidR="009778C0" w:rsidRPr="00F902D2">
        <w:rPr>
          <w:rFonts w:cstheme="minorHAnsi"/>
        </w:rPr>
        <w:t>,</w:t>
      </w:r>
      <w:r w:rsidR="00A2701C" w:rsidRPr="00F902D2">
        <w:rPr>
          <w:rFonts w:cstheme="minorHAnsi"/>
        </w:rPr>
        <w:t xml:space="preserve"> childminders</w:t>
      </w:r>
      <w:r w:rsidR="00374F7A" w:rsidRPr="00F902D2">
        <w:rPr>
          <w:rFonts w:cstheme="minorHAnsi"/>
        </w:rPr>
        <w:t>, etc.)</w:t>
      </w:r>
      <w:r w:rsidR="001476B8" w:rsidRPr="001F1E4F">
        <w:rPr>
          <w:rFonts w:cstheme="minorHAnsi"/>
        </w:rPr>
        <w:t xml:space="preserve"> and employees </w:t>
      </w:r>
      <w:r w:rsidR="002A7D27" w:rsidRPr="001F1E4F">
        <w:rPr>
          <w:rFonts w:cstheme="minorHAnsi"/>
        </w:rPr>
        <w:t>(DfE, 2021</w:t>
      </w:r>
      <w:r w:rsidR="00A57540">
        <w:rPr>
          <w:rFonts w:cstheme="minorHAnsi"/>
        </w:rPr>
        <w:t>b</w:t>
      </w:r>
      <w:r w:rsidR="002A7D27" w:rsidRPr="001F1E4F">
        <w:rPr>
          <w:rFonts w:cstheme="minorHAnsi"/>
        </w:rPr>
        <w:t>)</w:t>
      </w:r>
      <w:r w:rsidR="001471D1" w:rsidRPr="001F1E4F">
        <w:rPr>
          <w:rFonts w:cstheme="minorHAnsi"/>
        </w:rPr>
        <w:t>,</w:t>
      </w:r>
      <w:r w:rsidR="00CB585F" w:rsidRPr="001F1E4F">
        <w:rPr>
          <w:rFonts w:cstheme="minorHAnsi"/>
        </w:rPr>
        <w:t xml:space="preserve"> </w:t>
      </w:r>
      <w:r w:rsidR="001476B8" w:rsidRPr="001F1E4F">
        <w:rPr>
          <w:rFonts w:cstheme="minorHAnsi"/>
        </w:rPr>
        <w:t>omits</w:t>
      </w:r>
      <w:r w:rsidR="002A7D27" w:rsidRPr="001F1E4F">
        <w:rPr>
          <w:rFonts w:cstheme="minorHAnsi"/>
        </w:rPr>
        <w:t xml:space="preserve"> practitioner health</w:t>
      </w:r>
      <w:r w:rsidR="008F368E" w:rsidRPr="001F1E4F">
        <w:rPr>
          <w:rFonts w:cstheme="minorHAnsi"/>
        </w:rPr>
        <w:t xml:space="preserve"> as </w:t>
      </w:r>
      <w:r w:rsidR="007328AE" w:rsidRPr="001F1E4F">
        <w:rPr>
          <w:rFonts w:cstheme="minorHAnsi"/>
        </w:rPr>
        <w:t>a factor</w:t>
      </w:r>
      <w:r w:rsidR="001476B8" w:rsidRPr="001F1E4F">
        <w:rPr>
          <w:rFonts w:cstheme="minorHAnsi"/>
        </w:rPr>
        <w:t>.</w:t>
      </w:r>
      <w:r w:rsidR="009B652E" w:rsidRPr="001F1E4F">
        <w:rPr>
          <w:rFonts w:cstheme="minorHAnsi"/>
        </w:rPr>
        <w:t xml:space="preserve"> </w:t>
      </w:r>
      <w:r w:rsidR="00A5001F">
        <w:rPr>
          <w:rFonts w:cstheme="minorHAnsi"/>
        </w:rPr>
        <w:t>Additionally, i</w:t>
      </w:r>
      <w:r w:rsidR="00CA750E" w:rsidRPr="001F1E4F">
        <w:rPr>
          <w:rFonts w:cstheme="minorHAnsi"/>
        </w:rPr>
        <w:t xml:space="preserve">n a move that is likely to further </w:t>
      </w:r>
      <w:r w:rsidR="00D66E2E" w:rsidRPr="001F1E4F">
        <w:rPr>
          <w:rFonts w:cstheme="minorHAnsi"/>
        </w:rPr>
        <w:t>increas</w:t>
      </w:r>
      <w:r w:rsidR="00CA750E" w:rsidRPr="001F1E4F">
        <w:rPr>
          <w:rFonts w:cstheme="minorHAnsi"/>
        </w:rPr>
        <w:t>e</w:t>
      </w:r>
      <w:r w:rsidR="00D66E2E" w:rsidRPr="001F1E4F">
        <w:rPr>
          <w:rFonts w:cstheme="minorHAnsi"/>
        </w:rPr>
        <w:t xml:space="preserve"> </w:t>
      </w:r>
      <w:r w:rsidR="001F0BAC" w:rsidRPr="001F1E4F">
        <w:rPr>
          <w:rFonts w:cstheme="minorHAnsi"/>
        </w:rPr>
        <w:t>the</w:t>
      </w:r>
      <w:r w:rsidR="002A7D27" w:rsidRPr="001F1E4F">
        <w:rPr>
          <w:rFonts w:cstheme="minorHAnsi"/>
        </w:rPr>
        <w:t xml:space="preserve"> physical </w:t>
      </w:r>
      <w:r w:rsidR="004B2931" w:rsidRPr="001F1E4F">
        <w:rPr>
          <w:rFonts w:cstheme="minorHAnsi"/>
        </w:rPr>
        <w:t xml:space="preserve">demand and </w:t>
      </w:r>
      <w:r w:rsidR="002A7D27" w:rsidRPr="001F1E4F">
        <w:rPr>
          <w:rFonts w:cstheme="minorHAnsi"/>
        </w:rPr>
        <w:t xml:space="preserve">strain </w:t>
      </w:r>
      <w:r w:rsidR="00CA750E" w:rsidRPr="001F1E4F">
        <w:rPr>
          <w:rFonts w:cstheme="minorHAnsi"/>
        </w:rPr>
        <w:t xml:space="preserve">placed </w:t>
      </w:r>
      <w:r w:rsidR="002A7D27" w:rsidRPr="001F1E4F">
        <w:rPr>
          <w:rFonts w:cstheme="minorHAnsi"/>
        </w:rPr>
        <w:t xml:space="preserve">on the </w:t>
      </w:r>
      <w:r w:rsidR="00263B5A">
        <w:rPr>
          <w:rFonts w:cstheme="minorHAnsi"/>
        </w:rPr>
        <w:t>E</w:t>
      </w:r>
      <w:r w:rsidR="005F2FFC">
        <w:rPr>
          <w:rFonts w:cstheme="minorHAnsi"/>
        </w:rPr>
        <w:t>C</w:t>
      </w:r>
      <w:r w:rsidR="00263B5A">
        <w:rPr>
          <w:rFonts w:cstheme="minorHAnsi"/>
        </w:rPr>
        <w:t>E</w:t>
      </w:r>
      <w:r w:rsidR="00CA750E" w:rsidRPr="001F1E4F">
        <w:rPr>
          <w:rFonts w:cstheme="minorHAnsi"/>
        </w:rPr>
        <w:t xml:space="preserve"> </w:t>
      </w:r>
      <w:r w:rsidR="002A7D27" w:rsidRPr="001F1E4F">
        <w:rPr>
          <w:rFonts w:cstheme="minorHAnsi"/>
        </w:rPr>
        <w:t>workforce,</w:t>
      </w:r>
      <w:r w:rsidR="00CA750E" w:rsidRPr="001F1E4F">
        <w:rPr>
          <w:rFonts w:cstheme="minorHAnsi"/>
        </w:rPr>
        <w:t xml:space="preserve"> recent reports indicate the UK gov</w:t>
      </w:r>
      <w:r w:rsidR="00143B44" w:rsidRPr="001F1E4F">
        <w:rPr>
          <w:rFonts w:cstheme="minorHAnsi"/>
        </w:rPr>
        <w:t xml:space="preserve">ernment </w:t>
      </w:r>
      <w:r w:rsidR="00CA750E" w:rsidRPr="001F1E4F">
        <w:rPr>
          <w:rFonts w:cstheme="minorHAnsi"/>
        </w:rPr>
        <w:t xml:space="preserve">is currently considering amending staff-child ratio guidelines for </w:t>
      </w:r>
      <w:r w:rsidR="00263B5A">
        <w:rPr>
          <w:rFonts w:cstheme="minorHAnsi"/>
        </w:rPr>
        <w:t>E</w:t>
      </w:r>
      <w:r w:rsidR="005F2FFC">
        <w:rPr>
          <w:rFonts w:cstheme="minorHAnsi"/>
        </w:rPr>
        <w:t>C</w:t>
      </w:r>
      <w:r w:rsidR="00263B5A">
        <w:rPr>
          <w:rFonts w:cstheme="minorHAnsi"/>
        </w:rPr>
        <w:t>E</w:t>
      </w:r>
      <w:r w:rsidR="00CA750E" w:rsidRPr="001F1E4F">
        <w:rPr>
          <w:rFonts w:cstheme="minorHAnsi"/>
        </w:rPr>
        <w:t xml:space="preserve"> settings to increase the number of children that one practitioner </w:t>
      </w:r>
      <w:r w:rsidR="00CA6EE5" w:rsidRPr="001F1E4F">
        <w:rPr>
          <w:rFonts w:cstheme="minorHAnsi"/>
        </w:rPr>
        <w:t>can</w:t>
      </w:r>
      <w:r w:rsidR="00CA750E" w:rsidRPr="001F1E4F">
        <w:rPr>
          <w:rFonts w:cstheme="minorHAnsi"/>
        </w:rPr>
        <w:t xml:space="preserve"> legally supervise (</w:t>
      </w:r>
      <w:r w:rsidR="00263B5A">
        <w:rPr>
          <w:rFonts w:cstheme="minorHAnsi"/>
        </w:rPr>
        <w:t>E</w:t>
      </w:r>
      <w:r w:rsidR="00CA6EE5">
        <w:rPr>
          <w:rFonts w:cstheme="minorHAnsi"/>
        </w:rPr>
        <w:t xml:space="preserve">arly </w:t>
      </w:r>
      <w:r w:rsidR="00DA2885">
        <w:rPr>
          <w:rFonts w:cstheme="minorHAnsi"/>
        </w:rPr>
        <w:t>Y</w:t>
      </w:r>
      <w:r w:rsidR="00CA6EE5">
        <w:rPr>
          <w:rFonts w:cstheme="minorHAnsi"/>
        </w:rPr>
        <w:t xml:space="preserve">ears </w:t>
      </w:r>
      <w:r w:rsidR="00CA750E" w:rsidRPr="001F1E4F">
        <w:rPr>
          <w:rFonts w:cstheme="minorHAnsi"/>
        </w:rPr>
        <w:t>A</w:t>
      </w:r>
      <w:r w:rsidR="00CA6EE5">
        <w:rPr>
          <w:rFonts w:cstheme="minorHAnsi"/>
        </w:rPr>
        <w:t>lliance</w:t>
      </w:r>
      <w:r w:rsidR="00CA750E" w:rsidRPr="001F1E4F">
        <w:rPr>
          <w:rFonts w:cstheme="minorHAnsi"/>
        </w:rPr>
        <w:t xml:space="preserve">, 2022). </w:t>
      </w:r>
      <w:r w:rsidR="00CA6EE5">
        <w:rPr>
          <w:rFonts w:cstheme="minorHAnsi"/>
        </w:rPr>
        <w:t>Changes</w:t>
      </w:r>
      <w:r w:rsidR="00CA750E" w:rsidRPr="001F1E4F">
        <w:rPr>
          <w:rFonts w:cstheme="minorHAnsi"/>
        </w:rPr>
        <w:t xml:space="preserve"> such as these </w:t>
      </w:r>
      <w:r w:rsidR="00715806" w:rsidRPr="001F1E4F">
        <w:rPr>
          <w:rFonts w:cstheme="minorHAnsi"/>
        </w:rPr>
        <w:t>ha</w:t>
      </w:r>
      <w:r w:rsidR="00CA6EE5">
        <w:rPr>
          <w:rFonts w:cstheme="minorHAnsi"/>
        </w:rPr>
        <w:t>ve</w:t>
      </w:r>
      <w:r w:rsidR="00715806" w:rsidRPr="001F1E4F">
        <w:rPr>
          <w:rFonts w:cstheme="minorHAnsi"/>
        </w:rPr>
        <w:t xml:space="preserve"> the potential to exacerbate </w:t>
      </w:r>
      <w:r w:rsidR="00431156" w:rsidRPr="001F1E4F">
        <w:rPr>
          <w:rFonts w:cstheme="minorHAnsi"/>
        </w:rPr>
        <w:t>challenges in</w:t>
      </w:r>
      <w:r w:rsidR="00715806" w:rsidRPr="001F1E4F">
        <w:rPr>
          <w:rFonts w:cstheme="minorHAnsi"/>
        </w:rPr>
        <w:t xml:space="preserve"> retention/recruitment by increasing demand</w:t>
      </w:r>
      <w:r w:rsidR="00431156" w:rsidRPr="001F1E4F">
        <w:rPr>
          <w:rFonts w:cstheme="minorHAnsi"/>
        </w:rPr>
        <w:t>s</w:t>
      </w:r>
      <w:r w:rsidR="00715806" w:rsidRPr="001F1E4F">
        <w:rPr>
          <w:rFonts w:cstheme="minorHAnsi"/>
        </w:rPr>
        <w:t xml:space="preserve"> placed on individual practitioners, </w:t>
      </w:r>
      <w:r w:rsidR="001C6668" w:rsidRPr="001F1E4F">
        <w:rPr>
          <w:rFonts w:cstheme="minorHAnsi"/>
        </w:rPr>
        <w:t>thereby</w:t>
      </w:r>
      <w:r w:rsidR="00143B44" w:rsidRPr="001F1E4F">
        <w:rPr>
          <w:rFonts w:cstheme="minorHAnsi"/>
        </w:rPr>
        <w:t xml:space="preserve"> </w:t>
      </w:r>
      <w:r w:rsidR="00715806" w:rsidRPr="001F1E4F">
        <w:rPr>
          <w:rFonts w:cstheme="minorHAnsi"/>
        </w:rPr>
        <w:t>redu</w:t>
      </w:r>
      <w:r w:rsidR="00431156" w:rsidRPr="001F1E4F">
        <w:rPr>
          <w:rFonts w:cstheme="minorHAnsi"/>
        </w:rPr>
        <w:t>cing</w:t>
      </w:r>
      <w:r w:rsidR="00715806" w:rsidRPr="001F1E4F">
        <w:rPr>
          <w:rFonts w:cstheme="minorHAnsi"/>
        </w:rPr>
        <w:t xml:space="preserve"> the quality of provision provided to children (National Children’s Bureau 2022).</w:t>
      </w:r>
      <w:r w:rsidR="00A1336B" w:rsidRPr="001F1E4F">
        <w:rPr>
          <w:rFonts w:cstheme="minorHAnsi"/>
        </w:rPr>
        <w:t xml:space="preserve"> </w:t>
      </w:r>
    </w:p>
    <w:p w14:paraId="47C0BCF1" w14:textId="77777777" w:rsidR="002A7D27" w:rsidRPr="0073774C" w:rsidRDefault="002A7D27" w:rsidP="002A7D27">
      <w:pPr>
        <w:rPr>
          <w:rFonts w:cstheme="minorHAnsi"/>
          <w:sz w:val="22"/>
          <w:szCs w:val="22"/>
        </w:rPr>
      </w:pPr>
    </w:p>
    <w:p w14:paraId="2A1B76AA" w14:textId="77777777" w:rsidR="002A7D27" w:rsidRPr="0073774C" w:rsidRDefault="002A7D27" w:rsidP="00A10744">
      <w:pPr>
        <w:spacing w:line="276" w:lineRule="auto"/>
        <w:jc w:val="both"/>
        <w:rPr>
          <w:rFonts w:cstheme="minorHAnsi"/>
          <w:sz w:val="22"/>
          <w:szCs w:val="22"/>
        </w:rPr>
      </w:pPr>
    </w:p>
    <w:p w14:paraId="3D03964D" w14:textId="26C52D19" w:rsidR="00A31EF4" w:rsidRPr="001F1E4F" w:rsidRDefault="002A7D27" w:rsidP="00FD498D">
      <w:pPr>
        <w:spacing w:line="480" w:lineRule="auto"/>
        <w:ind w:firstLine="720"/>
        <w:jc w:val="both"/>
        <w:rPr>
          <w:rFonts w:cstheme="minorHAnsi"/>
        </w:rPr>
      </w:pPr>
      <w:r w:rsidRPr="001F1E4F">
        <w:rPr>
          <w:rFonts w:cstheme="minorHAnsi"/>
        </w:rPr>
        <w:t xml:space="preserve">Greater efforts to reduce the threats posed to educators globally </w:t>
      </w:r>
      <w:r w:rsidR="00A522A5" w:rsidRPr="001F1E4F">
        <w:rPr>
          <w:rFonts w:cstheme="minorHAnsi"/>
        </w:rPr>
        <w:t>have previously been</w:t>
      </w:r>
      <w:r w:rsidRPr="001F1E4F">
        <w:rPr>
          <w:rFonts w:cstheme="minorHAnsi"/>
        </w:rPr>
        <w:t xml:space="preserve"> called for </w:t>
      </w:r>
      <w:r w:rsidR="00A522A5" w:rsidRPr="001F1E4F">
        <w:rPr>
          <w:rFonts w:cstheme="minorHAnsi"/>
        </w:rPr>
        <w:t>(</w:t>
      </w:r>
      <w:r w:rsidRPr="001F1E4F">
        <w:rPr>
          <w:rFonts w:cstheme="minorHAnsi"/>
        </w:rPr>
        <w:t>Erick and Smith</w:t>
      </w:r>
      <w:r w:rsidR="00A522A5" w:rsidRPr="001F1E4F">
        <w:rPr>
          <w:rFonts w:cstheme="minorHAnsi"/>
        </w:rPr>
        <w:t xml:space="preserve">, </w:t>
      </w:r>
      <w:r w:rsidRPr="001F1E4F">
        <w:rPr>
          <w:rFonts w:cstheme="minorHAnsi"/>
        </w:rPr>
        <w:t>2013)</w:t>
      </w:r>
      <w:r w:rsidR="00A5001F">
        <w:rPr>
          <w:rFonts w:cstheme="minorHAnsi"/>
        </w:rPr>
        <w:t>,</w:t>
      </w:r>
      <w:r w:rsidRPr="001F1E4F">
        <w:rPr>
          <w:rFonts w:cstheme="minorHAnsi"/>
        </w:rPr>
        <w:t xml:space="preserve"> with research showing</w:t>
      </w:r>
      <w:r w:rsidR="00B22283" w:rsidRPr="001F1E4F">
        <w:rPr>
          <w:rFonts w:cstheme="minorHAnsi"/>
        </w:rPr>
        <w:t xml:space="preserve"> that</w:t>
      </w:r>
      <w:r w:rsidRPr="001F1E4F">
        <w:rPr>
          <w:rFonts w:cstheme="minorHAnsi"/>
        </w:rPr>
        <w:t xml:space="preserve"> evidence-based interventions focused on improving individuals</w:t>
      </w:r>
      <w:r w:rsidR="000D5BFD" w:rsidRPr="001F1E4F">
        <w:rPr>
          <w:rFonts w:cstheme="minorHAnsi"/>
        </w:rPr>
        <w:t>’</w:t>
      </w:r>
      <w:r w:rsidRPr="001F1E4F">
        <w:rPr>
          <w:rFonts w:cstheme="minorHAnsi"/>
        </w:rPr>
        <w:t xml:space="preserve"> moving and handling, </w:t>
      </w:r>
      <w:r w:rsidR="00543630" w:rsidRPr="001F1E4F">
        <w:rPr>
          <w:rFonts w:cstheme="minorHAnsi"/>
        </w:rPr>
        <w:t>and</w:t>
      </w:r>
      <w:r w:rsidRPr="001F1E4F">
        <w:rPr>
          <w:rFonts w:cstheme="minorHAnsi"/>
        </w:rPr>
        <w:t xml:space="preserve"> raising awareness of potential </w:t>
      </w:r>
      <w:r w:rsidRPr="001F1E4F">
        <w:rPr>
          <w:rFonts w:cstheme="minorHAnsi"/>
        </w:rPr>
        <w:lastRenderedPageBreak/>
        <w:t>risk</w:t>
      </w:r>
      <w:r w:rsidR="00A522A5" w:rsidRPr="001F1E4F">
        <w:rPr>
          <w:rFonts w:cstheme="minorHAnsi"/>
        </w:rPr>
        <w:t>,</w:t>
      </w:r>
      <w:r w:rsidRPr="001F1E4F">
        <w:rPr>
          <w:rFonts w:cstheme="minorHAnsi"/>
        </w:rPr>
        <w:t xml:space="preserve"> can yield positive improvement</w:t>
      </w:r>
      <w:r w:rsidR="00B22283" w:rsidRPr="001F1E4F">
        <w:rPr>
          <w:rFonts w:cstheme="minorHAnsi"/>
        </w:rPr>
        <w:t>,</w:t>
      </w:r>
      <w:r w:rsidRPr="001F1E4F">
        <w:rPr>
          <w:rFonts w:cstheme="minorHAnsi"/>
        </w:rPr>
        <w:t xml:space="preserve"> </w:t>
      </w:r>
      <w:r w:rsidR="00A522A5" w:rsidRPr="001F1E4F">
        <w:rPr>
          <w:rFonts w:cstheme="minorHAnsi"/>
        </w:rPr>
        <w:t xml:space="preserve">and reduce risk </w:t>
      </w:r>
      <w:r w:rsidRPr="001F1E4F">
        <w:rPr>
          <w:rFonts w:cstheme="minorHAnsi"/>
        </w:rPr>
        <w:t xml:space="preserve">in the mobility practices of teachers and practitioners (Shuai et al. 2014, Pillastrini et al., 2009). </w:t>
      </w:r>
      <w:r w:rsidR="00A522A5" w:rsidRPr="001F1E4F">
        <w:rPr>
          <w:rFonts w:cstheme="minorHAnsi"/>
        </w:rPr>
        <w:t>However</w:t>
      </w:r>
      <w:r w:rsidRPr="001F1E4F">
        <w:rPr>
          <w:rFonts w:cstheme="minorHAnsi"/>
        </w:rPr>
        <w:t xml:space="preserve">, Erick and Smith (2014) </w:t>
      </w:r>
      <w:r w:rsidR="00B22283" w:rsidRPr="001F1E4F">
        <w:rPr>
          <w:rFonts w:cstheme="minorHAnsi"/>
        </w:rPr>
        <w:t xml:space="preserve">also </w:t>
      </w:r>
      <w:r w:rsidRPr="001F1E4F">
        <w:rPr>
          <w:rFonts w:cstheme="minorHAnsi"/>
        </w:rPr>
        <w:t xml:space="preserve">note that intervention campaigns focused solely on behaviour change in educators are unlikely to be sufficient to enact </w:t>
      </w:r>
      <w:r w:rsidR="00A522A5" w:rsidRPr="001F1E4F">
        <w:rPr>
          <w:rFonts w:cstheme="minorHAnsi"/>
        </w:rPr>
        <w:t xml:space="preserve">the </w:t>
      </w:r>
      <w:r w:rsidRPr="001F1E4F">
        <w:rPr>
          <w:rFonts w:cstheme="minorHAnsi"/>
        </w:rPr>
        <w:t>significant positive change</w:t>
      </w:r>
      <w:r w:rsidR="00A522A5" w:rsidRPr="001F1E4F">
        <w:rPr>
          <w:rFonts w:cstheme="minorHAnsi"/>
        </w:rPr>
        <w:t xml:space="preserve"> </w:t>
      </w:r>
      <w:r w:rsidR="00B22283" w:rsidRPr="001F1E4F">
        <w:rPr>
          <w:rFonts w:cstheme="minorHAnsi"/>
        </w:rPr>
        <w:t>required</w:t>
      </w:r>
      <w:r w:rsidRPr="001F1E4F">
        <w:rPr>
          <w:rFonts w:cstheme="minorHAnsi"/>
        </w:rPr>
        <w:t xml:space="preserve">. </w:t>
      </w:r>
      <w:r w:rsidR="00E57BAA">
        <w:rPr>
          <w:rFonts w:cstheme="minorHAnsi"/>
        </w:rPr>
        <w:t xml:space="preserve">Evidence </w:t>
      </w:r>
      <w:r w:rsidR="0013498D">
        <w:rPr>
          <w:rFonts w:cstheme="minorHAnsi"/>
        </w:rPr>
        <w:t>infers</w:t>
      </w:r>
      <w:r w:rsidRPr="0013498D">
        <w:rPr>
          <w:rFonts w:cstheme="minorHAnsi"/>
        </w:rPr>
        <w:t xml:space="preserve">, these approaches </w:t>
      </w:r>
      <w:r w:rsidR="0013498D" w:rsidRPr="0013498D">
        <w:rPr>
          <w:rFonts w:cstheme="minorHAnsi"/>
        </w:rPr>
        <w:t>should</w:t>
      </w:r>
      <w:r w:rsidRPr="0013498D">
        <w:rPr>
          <w:rFonts w:cstheme="minorHAnsi"/>
        </w:rPr>
        <w:t xml:space="preserve"> be implemented in parallel with improvements to </w:t>
      </w:r>
      <w:r w:rsidR="000201C0" w:rsidRPr="0013498D">
        <w:rPr>
          <w:rFonts w:cstheme="minorHAnsi"/>
        </w:rPr>
        <w:t xml:space="preserve">the </w:t>
      </w:r>
      <w:r w:rsidRPr="0013498D">
        <w:rPr>
          <w:rFonts w:cstheme="minorHAnsi"/>
        </w:rPr>
        <w:t>ergonomic design of environment</w:t>
      </w:r>
      <w:r w:rsidR="000201C0" w:rsidRPr="0013498D">
        <w:rPr>
          <w:rFonts w:cstheme="minorHAnsi"/>
        </w:rPr>
        <w:t>s</w:t>
      </w:r>
      <w:r w:rsidRPr="0013498D">
        <w:rPr>
          <w:rFonts w:cstheme="minorHAnsi"/>
        </w:rPr>
        <w:t xml:space="preserve"> and consideration of specific role demands</w:t>
      </w:r>
      <w:r w:rsidR="000201C0" w:rsidRPr="0013498D">
        <w:rPr>
          <w:rFonts w:cstheme="minorHAnsi"/>
        </w:rPr>
        <w:t xml:space="preserve"> that have increased risk</w:t>
      </w:r>
      <w:r w:rsidRPr="0013498D">
        <w:rPr>
          <w:rFonts w:cstheme="minorHAnsi"/>
        </w:rPr>
        <w:t>.</w:t>
      </w:r>
      <w:r w:rsidRPr="001F1E4F">
        <w:rPr>
          <w:rFonts w:cstheme="minorHAnsi"/>
        </w:rPr>
        <w:t xml:space="preserve"> Cheng et al.</w:t>
      </w:r>
      <w:r w:rsidR="00456EA1" w:rsidRPr="001F1E4F">
        <w:rPr>
          <w:rFonts w:cstheme="minorHAnsi"/>
        </w:rPr>
        <w:t>,</w:t>
      </w:r>
      <w:r w:rsidRPr="001F1E4F">
        <w:rPr>
          <w:rFonts w:cstheme="minorHAnsi"/>
        </w:rPr>
        <w:t xml:space="preserve"> (2016) echo this</w:t>
      </w:r>
      <w:r w:rsidR="00456EA1" w:rsidRPr="001F1E4F">
        <w:rPr>
          <w:rFonts w:cstheme="minorHAnsi"/>
        </w:rPr>
        <w:t>,</w:t>
      </w:r>
      <w:r w:rsidRPr="001F1E4F">
        <w:rPr>
          <w:rFonts w:cstheme="minorHAnsi"/>
        </w:rPr>
        <w:t xml:space="preserve"> reporting that factors such as staff-student ratios, and the provision of enforced break times for staff help reduce musculoskeletal risk in education roles.  </w:t>
      </w:r>
      <w:r w:rsidR="00986056">
        <w:rPr>
          <w:rFonts w:cstheme="minorHAnsi"/>
        </w:rPr>
        <w:t>Even though</w:t>
      </w:r>
      <w:r w:rsidRPr="001F1E4F">
        <w:rPr>
          <w:rFonts w:cstheme="minorHAnsi"/>
        </w:rPr>
        <w:t xml:space="preserve"> guidance</w:t>
      </w:r>
      <w:r w:rsidR="00A522A5" w:rsidRPr="001F1E4F">
        <w:rPr>
          <w:rFonts w:cstheme="minorHAnsi"/>
        </w:rPr>
        <w:t xml:space="preserve"> exists</w:t>
      </w:r>
      <w:r w:rsidRPr="001F1E4F">
        <w:rPr>
          <w:rFonts w:cstheme="minorHAnsi"/>
        </w:rPr>
        <w:t xml:space="preserve"> </w:t>
      </w:r>
      <w:r w:rsidR="003B750B" w:rsidRPr="001F1E4F">
        <w:rPr>
          <w:rFonts w:cstheme="minorHAnsi"/>
        </w:rPr>
        <w:t>requiring</w:t>
      </w:r>
      <w:r w:rsidR="00A522A5" w:rsidRPr="001F1E4F">
        <w:rPr>
          <w:rFonts w:cstheme="minorHAnsi"/>
        </w:rPr>
        <w:t xml:space="preserve"> </w:t>
      </w:r>
      <w:r w:rsidRPr="001F1E4F">
        <w:rPr>
          <w:rFonts w:cstheme="minorHAnsi"/>
        </w:rPr>
        <w:t>risk assessments</w:t>
      </w:r>
      <w:r w:rsidR="00A522A5" w:rsidRPr="001F1E4F">
        <w:rPr>
          <w:rFonts w:cstheme="minorHAnsi"/>
        </w:rPr>
        <w:t xml:space="preserve"> for environment and furniture to be carried out in</w:t>
      </w:r>
      <w:r w:rsidRPr="001F1E4F">
        <w:rPr>
          <w:rFonts w:cstheme="minorHAnsi"/>
        </w:rPr>
        <w:t xml:space="preserve"> educational settings (HSE, 2011),</w:t>
      </w:r>
      <w:r w:rsidR="00826AD2" w:rsidRPr="00826AD2">
        <w:rPr>
          <w:rFonts w:cstheme="minorHAnsi"/>
        </w:rPr>
        <w:t xml:space="preserve"> </w:t>
      </w:r>
      <w:r w:rsidR="00826AD2" w:rsidRPr="001F1E4F">
        <w:rPr>
          <w:rFonts w:cstheme="minorHAnsi"/>
        </w:rPr>
        <w:t>high numbers of UK practitioners report</w:t>
      </w:r>
      <w:r w:rsidR="00826AD2">
        <w:rPr>
          <w:rFonts w:cstheme="minorHAnsi"/>
        </w:rPr>
        <w:t>ing</w:t>
      </w:r>
      <w:r w:rsidR="00826AD2" w:rsidRPr="001F1E4F">
        <w:rPr>
          <w:rFonts w:cstheme="minorHAnsi"/>
        </w:rPr>
        <w:t xml:space="preserve"> MSDs linked to work-related demands (Taylor, 2011)</w:t>
      </w:r>
      <w:r w:rsidR="00826AD2">
        <w:rPr>
          <w:rFonts w:cstheme="minorHAnsi"/>
        </w:rPr>
        <w:t>,</w:t>
      </w:r>
      <w:r w:rsidR="00826AD2" w:rsidRPr="001F1E4F">
        <w:rPr>
          <w:rFonts w:cstheme="minorHAnsi"/>
        </w:rPr>
        <w:t xml:space="preserve"> indicat</w:t>
      </w:r>
      <w:r w:rsidR="00A5001F">
        <w:rPr>
          <w:rFonts w:cstheme="minorHAnsi"/>
        </w:rPr>
        <w:t>es</w:t>
      </w:r>
      <w:r w:rsidR="00826AD2" w:rsidRPr="001F1E4F">
        <w:rPr>
          <w:rFonts w:cstheme="minorHAnsi"/>
        </w:rPr>
        <w:t xml:space="preserve"> that these approaches </w:t>
      </w:r>
      <w:r w:rsidR="00826AD2">
        <w:rPr>
          <w:rFonts w:cstheme="minorHAnsi"/>
        </w:rPr>
        <w:t>may be ineffective</w:t>
      </w:r>
      <w:r w:rsidR="00390D8B">
        <w:rPr>
          <w:rFonts w:cstheme="minorHAnsi"/>
        </w:rPr>
        <w:t xml:space="preserve"> (particularly </w:t>
      </w:r>
      <w:r w:rsidR="00A5001F">
        <w:rPr>
          <w:rFonts w:cstheme="minorHAnsi"/>
        </w:rPr>
        <w:t>regarding</w:t>
      </w:r>
      <w:r w:rsidR="00390D8B">
        <w:rPr>
          <w:rFonts w:cstheme="minorHAnsi"/>
        </w:rPr>
        <w:t xml:space="preserve"> working safely at </w:t>
      </w:r>
      <w:r w:rsidR="0069581D">
        <w:rPr>
          <w:rFonts w:cstheme="minorHAnsi"/>
        </w:rPr>
        <w:t>low heights</w:t>
      </w:r>
      <w:r w:rsidR="00390D8B">
        <w:rPr>
          <w:rFonts w:cstheme="minorHAnsi"/>
        </w:rPr>
        <w:t>, commonly found in E</w:t>
      </w:r>
      <w:r w:rsidR="005F2FFC">
        <w:rPr>
          <w:rFonts w:cstheme="minorHAnsi"/>
        </w:rPr>
        <w:t>C</w:t>
      </w:r>
      <w:r w:rsidR="00390D8B">
        <w:rPr>
          <w:rFonts w:cstheme="minorHAnsi"/>
        </w:rPr>
        <w:t>E environments)</w:t>
      </w:r>
      <w:r w:rsidR="00826AD2">
        <w:rPr>
          <w:rFonts w:cstheme="minorHAnsi"/>
        </w:rPr>
        <w:t>.</w:t>
      </w:r>
      <w:r w:rsidR="00826AD2" w:rsidRPr="001F1E4F">
        <w:rPr>
          <w:rFonts w:cstheme="minorHAnsi"/>
        </w:rPr>
        <w:t xml:space="preserve"> </w:t>
      </w:r>
    </w:p>
    <w:p w14:paraId="54BA2B8D" w14:textId="401B53C0" w:rsidR="00CC56C6" w:rsidRPr="001F1E4F" w:rsidRDefault="00715806" w:rsidP="00EE64D6">
      <w:pPr>
        <w:spacing w:line="480" w:lineRule="auto"/>
        <w:ind w:firstLine="720"/>
        <w:jc w:val="both"/>
        <w:rPr>
          <w:rFonts w:cstheme="minorHAnsi"/>
        </w:rPr>
      </w:pPr>
      <w:r w:rsidRPr="0081006A">
        <w:rPr>
          <w:rFonts w:cstheme="minorHAnsi"/>
        </w:rPr>
        <w:t xml:space="preserve">Both </w:t>
      </w:r>
      <w:r w:rsidR="0069581D">
        <w:rPr>
          <w:rFonts w:cstheme="minorHAnsi"/>
        </w:rPr>
        <w:t>q</w:t>
      </w:r>
      <w:r w:rsidRPr="0081006A">
        <w:rPr>
          <w:rFonts w:cstheme="minorHAnsi"/>
        </w:rPr>
        <w:t xml:space="preserve">uality and </w:t>
      </w:r>
      <w:r w:rsidR="0069581D">
        <w:rPr>
          <w:rFonts w:cstheme="minorHAnsi"/>
        </w:rPr>
        <w:t>q</w:t>
      </w:r>
      <w:r w:rsidRPr="0081006A">
        <w:rPr>
          <w:rFonts w:cstheme="minorHAnsi"/>
        </w:rPr>
        <w:t xml:space="preserve">uantity of </w:t>
      </w:r>
      <w:r w:rsidR="00263B5A" w:rsidRPr="0081006A">
        <w:rPr>
          <w:rFonts w:cstheme="minorHAnsi"/>
        </w:rPr>
        <w:t>E</w:t>
      </w:r>
      <w:r w:rsidR="005F2FFC">
        <w:rPr>
          <w:rFonts w:cstheme="minorHAnsi"/>
        </w:rPr>
        <w:t>C</w:t>
      </w:r>
      <w:r w:rsidR="00263B5A" w:rsidRPr="0081006A">
        <w:rPr>
          <w:rFonts w:cstheme="minorHAnsi"/>
        </w:rPr>
        <w:t>E</w:t>
      </w:r>
      <w:r w:rsidRPr="0081006A">
        <w:rPr>
          <w:rFonts w:cstheme="minorHAnsi"/>
        </w:rPr>
        <w:t xml:space="preserve"> provision are known to be among the most </w:t>
      </w:r>
      <w:r w:rsidR="00EE64D6" w:rsidRPr="0081006A">
        <w:rPr>
          <w:rFonts w:cstheme="minorHAnsi"/>
        </w:rPr>
        <w:t>important</w:t>
      </w:r>
      <w:r w:rsidRPr="0081006A">
        <w:rPr>
          <w:rFonts w:cstheme="minorHAnsi"/>
        </w:rPr>
        <w:t xml:space="preserve"> factors in determining good developmental outcomes for children, and so, failure to address the issues outlined </w:t>
      </w:r>
      <w:r w:rsidR="00EE64D6" w:rsidRPr="0081006A">
        <w:rPr>
          <w:rFonts w:cstheme="minorHAnsi"/>
        </w:rPr>
        <w:t xml:space="preserve">intrinsically </w:t>
      </w:r>
      <w:r w:rsidRPr="0081006A">
        <w:rPr>
          <w:rFonts w:cstheme="minorHAnsi"/>
        </w:rPr>
        <w:t xml:space="preserve">includes the </w:t>
      </w:r>
      <w:r w:rsidR="00EE64D6" w:rsidRPr="0081006A">
        <w:rPr>
          <w:rFonts w:cstheme="minorHAnsi"/>
        </w:rPr>
        <w:t>potential for</w:t>
      </w:r>
      <w:r w:rsidRPr="0081006A">
        <w:rPr>
          <w:rFonts w:cstheme="minorHAnsi"/>
        </w:rPr>
        <w:t xml:space="preserve"> significant </w:t>
      </w:r>
      <w:r w:rsidR="0056488A">
        <w:rPr>
          <w:rFonts w:cstheme="minorHAnsi"/>
        </w:rPr>
        <w:t xml:space="preserve">consequential </w:t>
      </w:r>
      <w:r w:rsidRPr="0081006A">
        <w:rPr>
          <w:rFonts w:cstheme="minorHAnsi"/>
        </w:rPr>
        <w:t>impact</w:t>
      </w:r>
      <w:r w:rsidR="00EE64D6" w:rsidRPr="0081006A">
        <w:rPr>
          <w:rFonts w:cstheme="minorHAnsi"/>
        </w:rPr>
        <w:t>s</w:t>
      </w:r>
      <w:r w:rsidRPr="0081006A">
        <w:rPr>
          <w:rFonts w:cstheme="minorHAnsi"/>
        </w:rPr>
        <w:t xml:space="preserve"> to </w:t>
      </w:r>
      <w:r w:rsidR="0056488A">
        <w:rPr>
          <w:rFonts w:cstheme="minorHAnsi"/>
        </w:rPr>
        <w:t>children</w:t>
      </w:r>
      <w:r w:rsidRPr="0081006A">
        <w:rPr>
          <w:rFonts w:cstheme="minorHAnsi"/>
        </w:rPr>
        <w:t xml:space="preserve"> and families using these services.</w:t>
      </w:r>
      <w:r w:rsidR="00CC56C6" w:rsidRPr="0081006A">
        <w:rPr>
          <w:rFonts w:cstheme="minorHAnsi"/>
        </w:rPr>
        <w:t xml:space="preserve"> </w:t>
      </w:r>
      <w:r w:rsidR="000B5577" w:rsidRPr="0081006A">
        <w:rPr>
          <w:rFonts w:cstheme="minorHAnsi"/>
        </w:rPr>
        <w:t>An absence of research in this area currently prevents meaningful progression towards addressing these factors, as well as preventing improvements in protecting the</w:t>
      </w:r>
      <w:r w:rsidR="000B5577">
        <w:rPr>
          <w:rFonts w:cstheme="minorHAnsi"/>
        </w:rPr>
        <w:t xml:space="preserve"> safety and</w:t>
      </w:r>
      <w:r w:rsidR="000B5577" w:rsidRPr="0081006A">
        <w:rPr>
          <w:rFonts w:cstheme="minorHAnsi"/>
        </w:rPr>
        <w:t xml:space="preserve"> health of E</w:t>
      </w:r>
      <w:r w:rsidR="005F2FFC">
        <w:rPr>
          <w:rFonts w:cstheme="minorHAnsi"/>
        </w:rPr>
        <w:t>C</w:t>
      </w:r>
      <w:r w:rsidR="000B5577" w:rsidRPr="0081006A">
        <w:rPr>
          <w:rFonts w:cstheme="minorHAnsi"/>
        </w:rPr>
        <w:t>E staff.</w:t>
      </w:r>
      <w:r w:rsidR="000B5577">
        <w:rPr>
          <w:rFonts w:cstheme="minorHAnsi"/>
        </w:rPr>
        <w:t xml:space="preserve"> </w:t>
      </w:r>
      <w:r w:rsidR="00CC56C6" w:rsidRPr="0081006A">
        <w:rPr>
          <w:rFonts w:cstheme="minorHAnsi"/>
        </w:rPr>
        <w:t>Accordingly,</w:t>
      </w:r>
      <w:r w:rsidR="00CC56C6" w:rsidRPr="001F1E4F">
        <w:rPr>
          <w:rFonts w:cstheme="minorHAnsi"/>
        </w:rPr>
        <w:t xml:space="preserve"> </w:t>
      </w:r>
      <w:r w:rsidR="0056488A">
        <w:rPr>
          <w:rFonts w:cstheme="minorHAnsi"/>
        </w:rPr>
        <w:t>this</w:t>
      </w:r>
      <w:r w:rsidR="00CC56C6" w:rsidRPr="001F1E4F">
        <w:rPr>
          <w:rFonts w:cstheme="minorHAnsi"/>
        </w:rPr>
        <w:t xml:space="preserve"> research will determine the prevalence and correlates of </w:t>
      </w:r>
      <w:r w:rsidR="00BA7414">
        <w:rPr>
          <w:rFonts w:cstheme="minorHAnsi"/>
        </w:rPr>
        <w:t>MSP</w:t>
      </w:r>
      <w:r w:rsidR="00CC56C6" w:rsidRPr="001F1E4F">
        <w:rPr>
          <w:rFonts w:cstheme="minorHAnsi"/>
        </w:rPr>
        <w:t xml:space="preserve"> in the UK </w:t>
      </w:r>
      <w:r w:rsidR="00263B5A">
        <w:rPr>
          <w:rFonts w:cstheme="minorHAnsi"/>
        </w:rPr>
        <w:t>E</w:t>
      </w:r>
      <w:r w:rsidR="005F2FFC">
        <w:rPr>
          <w:rFonts w:cstheme="minorHAnsi"/>
        </w:rPr>
        <w:t>C</w:t>
      </w:r>
      <w:r w:rsidR="00263B5A">
        <w:rPr>
          <w:rFonts w:cstheme="minorHAnsi"/>
        </w:rPr>
        <w:t>E</w:t>
      </w:r>
      <w:r w:rsidR="00CC56C6" w:rsidRPr="001F1E4F">
        <w:rPr>
          <w:rFonts w:cstheme="minorHAnsi"/>
        </w:rPr>
        <w:t xml:space="preserve"> workforce</w:t>
      </w:r>
      <w:r w:rsidR="004A6FA8">
        <w:rPr>
          <w:rFonts w:cstheme="minorHAnsi"/>
        </w:rPr>
        <w:t xml:space="preserve">, and </w:t>
      </w:r>
      <w:r w:rsidR="00372273">
        <w:rPr>
          <w:rFonts w:cstheme="minorHAnsi"/>
        </w:rPr>
        <w:t>wi</w:t>
      </w:r>
      <w:r w:rsidR="00E92329">
        <w:rPr>
          <w:rFonts w:cstheme="minorHAnsi"/>
        </w:rPr>
        <w:t>ll</w:t>
      </w:r>
      <w:r w:rsidR="00372273">
        <w:rPr>
          <w:rFonts w:cstheme="minorHAnsi"/>
        </w:rPr>
        <w:t xml:space="preserve"> investigate</w:t>
      </w:r>
      <w:r w:rsidR="00CC56C6" w:rsidRPr="001F1E4F">
        <w:rPr>
          <w:rFonts w:cstheme="minorHAnsi"/>
        </w:rPr>
        <w:t>:</w:t>
      </w:r>
    </w:p>
    <w:p w14:paraId="0324C0A5" w14:textId="5FD6AED1" w:rsidR="00CC56C6" w:rsidRPr="001F1E4F" w:rsidRDefault="00631364" w:rsidP="00CC56C6">
      <w:pPr>
        <w:pStyle w:val="ListParagraph"/>
        <w:numPr>
          <w:ilvl w:val="0"/>
          <w:numId w:val="1"/>
        </w:numPr>
        <w:spacing w:line="480" w:lineRule="auto"/>
        <w:jc w:val="both"/>
        <w:rPr>
          <w:rFonts w:cstheme="minorHAnsi"/>
        </w:rPr>
      </w:pPr>
      <w:r>
        <w:rPr>
          <w:rFonts w:cstheme="minorHAnsi"/>
        </w:rPr>
        <w:t>P</w:t>
      </w:r>
      <w:r w:rsidR="00CC56C6" w:rsidRPr="001F1E4F">
        <w:rPr>
          <w:rFonts w:cstheme="minorHAnsi"/>
        </w:rPr>
        <w:t xml:space="preserve">revalence, </w:t>
      </w:r>
      <w:r w:rsidR="00E03777" w:rsidRPr="001F1E4F">
        <w:rPr>
          <w:rFonts w:cstheme="minorHAnsi"/>
        </w:rPr>
        <w:t xml:space="preserve">onset, intensity, </w:t>
      </w:r>
      <w:r w:rsidR="00CC56C6" w:rsidRPr="001F1E4F">
        <w:rPr>
          <w:rFonts w:cstheme="minorHAnsi"/>
        </w:rPr>
        <w:t xml:space="preserve">frequency, and duration of </w:t>
      </w:r>
      <w:r w:rsidR="00E05311">
        <w:rPr>
          <w:rFonts w:cstheme="minorHAnsi"/>
        </w:rPr>
        <w:t>MSP</w:t>
      </w:r>
      <w:r w:rsidR="00BA7414">
        <w:rPr>
          <w:rFonts w:cstheme="minorHAnsi"/>
        </w:rPr>
        <w:t>.</w:t>
      </w:r>
    </w:p>
    <w:p w14:paraId="0C6C8A56" w14:textId="755FDD03" w:rsidR="00CC56C6" w:rsidRPr="001F1E4F" w:rsidRDefault="00631364" w:rsidP="00CC56C6">
      <w:pPr>
        <w:pStyle w:val="ListParagraph"/>
        <w:numPr>
          <w:ilvl w:val="0"/>
          <w:numId w:val="1"/>
        </w:numPr>
        <w:spacing w:line="480" w:lineRule="auto"/>
        <w:jc w:val="both"/>
        <w:rPr>
          <w:rFonts w:cstheme="minorHAnsi"/>
        </w:rPr>
      </w:pPr>
      <w:r>
        <w:rPr>
          <w:rFonts w:cstheme="minorHAnsi"/>
        </w:rPr>
        <w:t>P</w:t>
      </w:r>
      <w:r w:rsidR="00E03777" w:rsidRPr="001F1E4F">
        <w:rPr>
          <w:rFonts w:cstheme="minorHAnsi"/>
        </w:rPr>
        <w:t xml:space="preserve">hysical role demands on </w:t>
      </w:r>
      <w:r w:rsidR="00263B5A">
        <w:rPr>
          <w:rFonts w:cstheme="minorHAnsi"/>
        </w:rPr>
        <w:t>E</w:t>
      </w:r>
      <w:r w:rsidR="005F2FFC">
        <w:rPr>
          <w:rFonts w:cstheme="minorHAnsi"/>
        </w:rPr>
        <w:t>C</w:t>
      </w:r>
      <w:r w:rsidR="00263B5A">
        <w:rPr>
          <w:rFonts w:cstheme="minorHAnsi"/>
        </w:rPr>
        <w:t>E</w:t>
      </w:r>
      <w:r w:rsidR="00E03777" w:rsidRPr="001F1E4F">
        <w:rPr>
          <w:rFonts w:cstheme="minorHAnsi"/>
        </w:rPr>
        <w:t xml:space="preserve"> workers and how t</w:t>
      </w:r>
      <w:r>
        <w:rPr>
          <w:rFonts w:cstheme="minorHAnsi"/>
        </w:rPr>
        <w:t>hey</w:t>
      </w:r>
      <w:r w:rsidR="00E03777" w:rsidRPr="001F1E4F">
        <w:rPr>
          <w:rFonts w:cstheme="minorHAnsi"/>
        </w:rPr>
        <w:t xml:space="preserve"> relate to </w:t>
      </w:r>
      <w:r w:rsidR="00E05311">
        <w:rPr>
          <w:rFonts w:cstheme="minorHAnsi"/>
        </w:rPr>
        <w:t>MSP</w:t>
      </w:r>
      <w:r w:rsidR="00BA7414">
        <w:rPr>
          <w:rFonts w:cstheme="minorHAnsi"/>
        </w:rPr>
        <w:t>.</w:t>
      </w:r>
    </w:p>
    <w:p w14:paraId="77E32A2D" w14:textId="4FA86F67" w:rsidR="00CC56C6" w:rsidRPr="001F1E4F" w:rsidRDefault="00631364" w:rsidP="00CC56C6">
      <w:pPr>
        <w:pStyle w:val="ListParagraph"/>
        <w:numPr>
          <w:ilvl w:val="0"/>
          <w:numId w:val="1"/>
        </w:numPr>
        <w:spacing w:line="480" w:lineRule="auto"/>
        <w:jc w:val="both"/>
        <w:rPr>
          <w:rFonts w:cstheme="minorHAnsi"/>
        </w:rPr>
      </w:pPr>
      <w:r>
        <w:rPr>
          <w:rFonts w:cstheme="minorHAnsi"/>
        </w:rPr>
        <w:t>E</w:t>
      </w:r>
      <w:r w:rsidR="00E03777" w:rsidRPr="001F1E4F">
        <w:rPr>
          <w:rFonts w:cstheme="minorHAnsi"/>
        </w:rPr>
        <w:t>nvironmental risk</w:t>
      </w:r>
      <w:r w:rsidR="0012112E" w:rsidRPr="001B7AAB">
        <w:rPr>
          <w:rFonts w:cstheme="minorHAnsi"/>
        </w:rPr>
        <w:t>s</w:t>
      </w:r>
      <w:r w:rsidR="00E03777" w:rsidRPr="001F1E4F">
        <w:rPr>
          <w:rFonts w:cstheme="minorHAnsi"/>
        </w:rPr>
        <w:t xml:space="preserve"> and protective factors and</w:t>
      </w:r>
      <w:r>
        <w:rPr>
          <w:rFonts w:cstheme="minorHAnsi"/>
        </w:rPr>
        <w:t xml:space="preserve"> their </w:t>
      </w:r>
      <w:r w:rsidR="00E03777" w:rsidRPr="001F1E4F">
        <w:rPr>
          <w:rFonts w:cstheme="minorHAnsi"/>
        </w:rPr>
        <w:t>relat</w:t>
      </w:r>
      <w:r>
        <w:rPr>
          <w:rFonts w:cstheme="minorHAnsi"/>
        </w:rPr>
        <w:t>ion</w:t>
      </w:r>
      <w:r w:rsidR="00E03777" w:rsidRPr="001F1E4F">
        <w:rPr>
          <w:rFonts w:cstheme="minorHAnsi"/>
        </w:rPr>
        <w:t xml:space="preserve"> to </w:t>
      </w:r>
      <w:r w:rsidR="00E05311">
        <w:rPr>
          <w:rFonts w:cstheme="minorHAnsi"/>
        </w:rPr>
        <w:t>MSP</w:t>
      </w:r>
      <w:r>
        <w:rPr>
          <w:rFonts w:cstheme="minorHAnsi"/>
        </w:rPr>
        <w:t>.</w:t>
      </w:r>
    </w:p>
    <w:p w14:paraId="1C6CC5B2" w14:textId="74A3DFB2" w:rsidR="00E03777" w:rsidRPr="001F1E4F" w:rsidRDefault="00631364" w:rsidP="00CC56C6">
      <w:pPr>
        <w:pStyle w:val="ListParagraph"/>
        <w:numPr>
          <w:ilvl w:val="0"/>
          <w:numId w:val="1"/>
        </w:numPr>
        <w:spacing w:line="480" w:lineRule="auto"/>
        <w:jc w:val="both"/>
        <w:rPr>
          <w:rFonts w:cstheme="minorHAnsi"/>
        </w:rPr>
      </w:pPr>
      <w:r>
        <w:rPr>
          <w:rFonts w:cstheme="minorHAnsi"/>
        </w:rPr>
        <w:t>S</w:t>
      </w:r>
      <w:r w:rsidR="00E03777" w:rsidRPr="001F1E4F">
        <w:rPr>
          <w:rFonts w:cstheme="minorHAnsi"/>
        </w:rPr>
        <w:t>ickness absence</w:t>
      </w:r>
      <w:r>
        <w:rPr>
          <w:rFonts w:cstheme="minorHAnsi"/>
        </w:rPr>
        <w:t xml:space="preserve"> related to MSP</w:t>
      </w:r>
      <w:r w:rsidR="00E03777" w:rsidRPr="001F1E4F">
        <w:rPr>
          <w:rFonts w:cstheme="minorHAnsi"/>
        </w:rPr>
        <w:t xml:space="preserve"> and </w:t>
      </w:r>
      <w:r w:rsidR="0056488A">
        <w:rPr>
          <w:rFonts w:cstheme="minorHAnsi"/>
        </w:rPr>
        <w:t>workforce retention</w:t>
      </w:r>
      <w:r>
        <w:rPr>
          <w:rFonts w:cstheme="minorHAnsi"/>
        </w:rPr>
        <w:t>.</w:t>
      </w:r>
    </w:p>
    <w:p w14:paraId="631170EB" w14:textId="62E78F1C" w:rsidR="00E03777" w:rsidRPr="001F1E4F" w:rsidRDefault="00631364" w:rsidP="00597371">
      <w:pPr>
        <w:pStyle w:val="ListParagraph"/>
        <w:numPr>
          <w:ilvl w:val="0"/>
          <w:numId w:val="1"/>
        </w:numPr>
        <w:spacing w:line="480" w:lineRule="auto"/>
        <w:jc w:val="both"/>
        <w:rPr>
          <w:rFonts w:cstheme="minorHAnsi"/>
        </w:rPr>
      </w:pPr>
      <w:r>
        <w:rPr>
          <w:rFonts w:cstheme="minorHAnsi"/>
        </w:rPr>
        <w:lastRenderedPageBreak/>
        <w:t xml:space="preserve">Differences between </w:t>
      </w:r>
      <w:r w:rsidR="0056488A">
        <w:rPr>
          <w:rFonts w:cstheme="minorHAnsi"/>
        </w:rPr>
        <w:t>those working</w:t>
      </w:r>
      <w:r w:rsidR="00E03777" w:rsidRPr="001F1E4F">
        <w:rPr>
          <w:rFonts w:cstheme="minorHAnsi"/>
        </w:rPr>
        <w:t xml:space="preserve"> </w:t>
      </w:r>
      <w:r w:rsidR="002822DF" w:rsidRPr="001F1E4F">
        <w:rPr>
          <w:rFonts w:cstheme="minorHAnsi"/>
        </w:rPr>
        <w:t>in</w:t>
      </w:r>
      <w:r w:rsidR="00E03777" w:rsidRPr="001F1E4F">
        <w:rPr>
          <w:rFonts w:cstheme="minorHAnsi"/>
        </w:rPr>
        <w:t xml:space="preserve"> </w:t>
      </w:r>
      <w:r w:rsidR="00BA7414" w:rsidRPr="001F1E4F">
        <w:rPr>
          <w:rFonts w:cstheme="minorHAnsi"/>
        </w:rPr>
        <w:t>practitioner</w:t>
      </w:r>
      <w:r w:rsidR="00BA7414">
        <w:rPr>
          <w:rFonts w:cstheme="minorHAnsi"/>
        </w:rPr>
        <w:t xml:space="preserve">s’ </w:t>
      </w:r>
      <w:r w:rsidR="00D46277">
        <w:rPr>
          <w:rFonts w:cstheme="minorHAnsi"/>
        </w:rPr>
        <w:t xml:space="preserve">roles </w:t>
      </w:r>
      <w:r w:rsidR="0056488A">
        <w:rPr>
          <w:rFonts w:cstheme="minorHAnsi"/>
        </w:rPr>
        <w:t>or</w:t>
      </w:r>
      <w:r w:rsidR="00D46277">
        <w:rPr>
          <w:rFonts w:cstheme="minorHAnsi"/>
        </w:rPr>
        <w:t xml:space="preserve"> in</w:t>
      </w:r>
      <w:r w:rsidR="00E03777" w:rsidRPr="001F1E4F">
        <w:rPr>
          <w:rFonts w:cstheme="minorHAnsi"/>
        </w:rPr>
        <w:t xml:space="preserve"> leader</w:t>
      </w:r>
      <w:r w:rsidR="00D46277">
        <w:rPr>
          <w:rFonts w:cstheme="minorHAnsi"/>
        </w:rPr>
        <w:t>ship</w:t>
      </w:r>
      <w:r w:rsidR="0056488A">
        <w:rPr>
          <w:rFonts w:cstheme="minorHAnsi"/>
        </w:rPr>
        <w:t>/</w:t>
      </w:r>
      <w:r w:rsidR="00D46277">
        <w:rPr>
          <w:rFonts w:cstheme="minorHAnsi"/>
        </w:rPr>
        <w:t xml:space="preserve"> </w:t>
      </w:r>
      <w:r w:rsidR="00E03777" w:rsidRPr="001F1E4F">
        <w:rPr>
          <w:rFonts w:cstheme="minorHAnsi"/>
        </w:rPr>
        <w:t>manage</w:t>
      </w:r>
      <w:r w:rsidR="00D46277">
        <w:rPr>
          <w:rFonts w:cstheme="minorHAnsi"/>
        </w:rPr>
        <w:t>ment</w:t>
      </w:r>
      <w:r w:rsidR="0056488A">
        <w:rPr>
          <w:rFonts w:cstheme="minorHAnsi"/>
        </w:rPr>
        <w:t xml:space="preserve"> roles</w:t>
      </w:r>
      <w:r w:rsidR="00D46277">
        <w:rPr>
          <w:rFonts w:cstheme="minorHAnsi"/>
        </w:rPr>
        <w:t>.</w:t>
      </w:r>
    </w:p>
    <w:p w14:paraId="2ACF77DE" w14:textId="77777777" w:rsidR="001D0DFF" w:rsidRDefault="001D0DFF" w:rsidP="00B10859">
      <w:pPr>
        <w:spacing w:line="480" w:lineRule="auto"/>
        <w:jc w:val="both"/>
        <w:rPr>
          <w:rFonts w:cstheme="minorHAnsi"/>
          <w:sz w:val="22"/>
          <w:szCs w:val="22"/>
        </w:rPr>
      </w:pPr>
    </w:p>
    <w:p w14:paraId="0B44F69D" w14:textId="77777777" w:rsidR="00FD498D" w:rsidRPr="0073774C" w:rsidRDefault="00FD498D" w:rsidP="00B0693A">
      <w:pPr>
        <w:spacing w:line="480" w:lineRule="auto"/>
        <w:jc w:val="both"/>
        <w:rPr>
          <w:rFonts w:cstheme="minorHAnsi"/>
          <w:sz w:val="22"/>
          <w:szCs w:val="22"/>
        </w:rPr>
      </w:pPr>
    </w:p>
    <w:p w14:paraId="087EF2DE" w14:textId="77777777" w:rsidR="002A7D27" w:rsidRPr="00F22AC7" w:rsidRDefault="002A7D27" w:rsidP="00F22AC7">
      <w:pPr>
        <w:jc w:val="center"/>
        <w:rPr>
          <w:b/>
          <w:bCs/>
        </w:rPr>
      </w:pPr>
      <w:r w:rsidRPr="00F22AC7">
        <w:rPr>
          <w:b/>
          <w:bCs/>
        </w:rPr>
        <w:t>Method</w:t>
      </w:r>
    </w:p>
    <w:p w14:paraId="0937ED4B" w14:textId="77777777" w:rsidR="002A7D27" w:rsidRPr="0073774C" w:rsidRDefault="002A7D27" w:rsidP="002A7D27">
      <w:pPr>
        <w:spacing w:line="480" w:lineRule="auto"/>
        <w:rPr>
          <w:rFonts w:cstheme="minorHAnsi"/>
          <w:sz w:val="22"/>
          <w:szCs w:val="22"/>
        </w:rPr>
      </w:pPr>
    </w:p>
    <w:p w14:paraId="41970407" w14:textId="77777777" w:rsidR="002A7D27" w:rsidRPr="001F1E4F" w:rsidRDefault="002A7D27" w:rsidP="002A7D27">
      <w:pPr>
        <w:spacing w:line="480" w:lineRule="auto"/>
        <w:rPr>
          <w:rFonts w:cstheme="minorHAnsi"/>
          <w:b/>
          <w:bCs/>
        </w:rPr>
      </w:pPr>
      <w:r w:rsidRPr="001F1E4F">
        <w:rPr>
          <w:rFonts w:cstheme="minorHAnsi"/>
          <w:b/>
          <w:bCs/>
        </w:rPr>
        <w:t>Sample and Procedure</w:t>
      </w:r>
    </w:p>
    <w:p w14:paraId="598259B5" w14:textId="77777777" w:rsidR="002A7D27" w:rsidRPr="0073774C" w:rsidRDefault="002A7D27" w:rsidP="002A7D27">
      <w:pPr>
        <w:spacing w:line="480" w:lineRule="auto"/>
        <w:rPr>
          <w:rFonts w:cstheme="minorHAnsi"/>
          <w:sz w:val="22"/>
          <w:szCs w:val="22"/>
        </w:rPr>
      </w:pPr>
    </w:p>
    <w:p w14:paraId="40119CA2" w14:textId="258F1C51" w:rsidR="00901B51" w:rsidRDefault="002A7D27" w:rsidP="00440530">
      <w:pPr>
        <w:spacing w:line="480" w:lineRule="auto"/>
        <w:ind w:firstLine="720"/>
        <w:jc w:val="both"/>
        <w:rPr>
          <w:rFonts w:cstheme="minorHAnsi"/>
        </w:rPr>
      </w:pPr>
      <w:r w:rsidRPr="004A0427">
        <w:rPr>
          <w:rFonts w:cstheme="minorHAnsi"/>
        </w:rPr>
        <w:t>This study was approved by the</w:t>
      </w:r>
      <w:r w:rsidR="000D7833">
        <w:rPr>
          <w:rFonts w:cstheme="minorHAnsi"/>
        </w:rPr>
        <w:t xml:space="preserve"> </w:t>
      </w:r>
      <w:r w:rsidR="00E20275">
        <w:rPr>
          <w:rFonts w:cstheme="minorHAnsi"/>
        </w:rPr>
        <w:t>U</w:t>
      </w:r>
      <w:r w:rsidR="000D7833">
        <w:rPr>
          <w:rFonts w:cstheme="minorHAnsi"/>
        </w:rPr>
        <w:t>niversity</w:t>
      </w:r>
      <w:r w:rsidR="00E20275">
        <w:rPr>
          <w:rFonts w:cstheme="minorHAnsi"/>
        </w:rPr>
        <w:t xml:space="preserve"> of Derby</w:t>
      </w:r>
      <w:r w:rsidRPr="004A0427">
        <w:rPr>
          <w:rFonts w:cstheme="minorHAnsi"/>
        </w:rPr>
        <w:t xml:space="preserve"> ethic</w:t>
      </w:r>
      <w:r w:rsidR="00FB4718" w:rsidRPr="004A0427">
        <w:rPr>
          <w:rFonts w:cstheme="minorHAnsi"/>
        </w:rPr>
        <w:t>s</w:t>
      </w:r>
      <w:r w:rsidRPr="004A0427">
        <w:rPr>
          <w:rFonts w:cstheme="minorHAnsi"/>
        </w:rPr>
        <w:t xml:space="preserve"> </w:t>
      </w:r>
      <w:r w:rsidRPr="00A201DE">
        <w:rPr>
          <w:rFonts w:cstheme="minorHAnsi"/>
        </w:rPr>
        <w:t>committee</w:t>
      </w:r>
      <w:r w:rsidR="00A201DE" w:rsidRPr="00A201DE">
        <w:rPr>
          <w:rFonts w:cstheme="minorHAnsi"/>
        </w:rPr>
        <w:t xml:space="preserve"> (</w:t>
      </w:r>
      <w:r w:rsidR="00A201DE" w:rsidRPr="00A201DE">
        <w:t>ETH2021-0072)</w:t>
      </w:r>
      <w:r w:rsidRPr="00A201DE">
        <w:rPr>
          <w:rFonts w:cstheme="minorHAnsi"/>
        </w:rPr>
        <w:t>. Participants were r</w:t>
      </w:r>
      <w:r w:rsidRPr="004A0427">
        <w:rPr>
          <w:rFonts w:cstheme="minorHAnsi"/>
        </w:rPr>
        <w:t xml:space="preserve">ecruited online via social media and personal-professional networks, as well as via relevant member organisations for people working in the </w:t>
      </w:r>
      <w:r w:rsidR="009A14BB">
        <w:rPr>
          <w:rFonts w:cstheme="minorHAnsi"/>
        </w:rPr>
        <w:t>e</w:t>
      </w:r>
      <w:r w:rsidRPr="004A0427">
        <w:rPr>
          <w:rFonts w:cstheme="minorHAnsi"/>
        </w:rPr>
        <w:t xml:space="preserve">arly </w:t>
      </w:r>
      <w:r w:rsidR="009A14BB">
        <w:rPr>
          <w:rFonts w:cstheme="minorHAnsi"/>
        </w:rPr>
        <w:t>education</w:t>
      </w:r>
      <w:r w:rsidRPr="004A0427">
        <w:rPr>
          <w:rFonts w:cstheme="minorHAnsi"/>
        </w:rPr>
        <w:t xml:space="preserve"> sector (</w:t>
      </w:r>
      <w:r w:rsidR="00B64090" w:rsidRPr="004A0427">
        <w:rPr>
          <w:rFonts w:cstheme="minorHAnsi"/>
        </w:rPr>
        <w:t xml:space="preserve">in particular, </w:t>
      </w:r>
      <w:r w:rsidRPr="004A0427">
        <w:rPr>
          <w:rFonts w:cstheme="minorHAnsi"/>
        </w:rPr>
        <w:t>Early Years Alliance</w:t>
      </w:r>
      <w:r w:rsidR="002C45AF" w:rsidRPr="004A0427">
        <w:rPr>
          <w:rFonts w:cstheme="minorHAnsi"/>
        </w:rPr>
        <w:t xml:space="preserve"> with 14,000 </w:t>
      </w:r>
      <w:r w:rsidR="00350410" w:rsidRPr="004A0427">
        <w:rPr>
          <w:rFonts w:cstheme="minorHAnsi"/>
        </w:rPr>
        <w:t>members</w:t>
      </w:r>
      <w:r w:rsidRPr="004A0427">
        <w:rPr>
          <w:rFonts w:cstheme="minorHAnsi"/>
        </w:rPr>
        <w:t>). Data were collected via an online surv</w:t>
      </w:r>
      <w:r w:rsidR="002139F1">
        <w:rPr>
          <w:rFonts w:cstheme="minorHAnsi"/>
        </w:rPr>
        <w:t>ey</w:t>
      </w:r>
      <w:r w:rsidRPr="004A0427">
        <w:rPr>
          <w:rFonts w:cstheme="minorHAnsi"/>
        </w:rPr>
        <w:t xml:space="preserve"> hosted on </w:t>
      </w:r>
      <w:hyperlink r:id="rId8" w:history="1">
        <w:r w:rsidRPr="004A0427">
          <w:rPr>
            <w:rStyle w:val="Hyperlink"/>
            <w:rFonts w:cstheme="minorHAnsi"/>
          </w:rPr>
          <w:t>www.qualtrics.com</w:t>
        </w:r>
      </w:hyperlink>
      <w:r w:rsidRPr="004A0427">
        <w:rPr>
          <w:rFonts w:cstheme="minorHAnsi"/>
        </w:rPr>
        <w:t>, with completion taking on average 20 minutes</w:t>
      </w:r>
      <w:r w:rsidR="00133A78">
        <w:rPr>
          <w:rFonts w:cstheme="minorHAnsi"/>
        </w:rPr>
        <w:t>.</w:t>
      </w:r>
      <w:r w:rsidRPr="004A0427">
        <w:rPr>
          <w:rFonts w:cstheme="minorHAnsi"/>
        </w:rPr>
        <w:t xml:space="preserve"> </w:t>
      </w:r>
      <w:r w:rsidR="00133A78">
        <w:rPr>
          <w:rFonts w:cstheme="minorHAnsi"/>
        </w:rPr>
        <w:t>T</w:t>
      </w:r>
      <w:r w:rsidRPr="004A0427">
        <w:rPr>
          <w:rFonts w:cstheme="minorHAnsi"/>
        </w:rPr>
        <w:t>he number of items on the surv</w:t>
      </w:r>
      <w:r w:rsidR="002139F1">
        <w:rPr>
          <w:rFonts w:cstheme="minorHAnsi"/>
        </w:rPr>
        <w:t>ey</w:t>
      </w:r>
      <w:r w:rsidRPr="004A0427">
        <w:rPr>
          <w:rFonts w:cstheme="minorHAnsi"/>
        </w:rPr>
        <w:t xml:space="preserve"> was dynamic, offering branched options containing follow-up questions when participants answered ‘yes’ to specific items related to their pain experiences (outlined further below). </w:t>
      </w:r>
    </w:p>
    <w:p w14:paraId="78B8546F" w14:textId="61C6D562" w:rsidR="002A7D27" w:rsidRPr="004A0427" w:rsidRDefault="002C45AF" w:rsidP="002A7D27">
      <w:pPr>
        <w:spacing w:line="480" w:lineRule="auto"/>
        <w:ind w:firstLine="720"/>
        <w:jc w:val="both"/>
        <w:rPr>
          <w:rFonts w:cstheme="minorHAnsi"/>
        </w:rPr>
      </w:pPr>
      <w:r w:rsidRPr="004A0427">
        <w:rPr>
          <w:rFonts w:cstheme="minorHAnsi"/>
        </w:rPr>
        <w:t>T</w:t>
      </w:r>
      <w:r w:rsidR="00715FA5" w:rsidRPr="004A0427">
        <w:rPr>
          <w:rFonts w:cstheme="minorHAnsi"/>
        </w:rPr>
        <w:t>he surv</w:t>
      </w:r>
      <w:r w:rsidR="002139F1">
        <w:rPr>
          <w:rFonts w:cstheme="minorHAnsi"/>
        </w:rPr>
        <w:t>ey</w:t>
      </w:r>
      <w:r w:rsidR="00715FA5" w:rsidRPr="004A0427">
        <w:rPr>
          <w:rFonts w:cstheme="minorHAnsi"/>
        </w:rPr>
        <w:t xml:space="preserve"> was accessed 360 times</w:t>
      </w:r>
      <w:r w:rsidR="003F4BB0">
        <w:rPr>
          <w:rFonts w:cstheme="minorHAnsi"/>
        </w:rPr>
        <w:t>,</w:t>
      </w:r>
      <w:r w:rsidRPr="004A0427">
        <w:rPr>
          <w:rFonts w:cstheme="minorHAnsi"/>
        </w:rPr>
        <w:t xml:space="preserve"> but </w:t>
      </w:r>
      <w:r w:rsidR="00715FA5" w:rsidRPr="004A0427">
        <w:rPr>
          <w:rFonts w:cstheme="minorHAnsi"/>
        </w:rPr>
        <w:t xml:space="preserve">on </w:t>
      </w:r>
      <w:r w:rsidRPr="004A0427">
        <w:rPr>
          <w:rFonts w:cstheme="minorHAnsi"/>
        </w:rPr>
        <w:t xml:space="preserve">148 </w:t>
      </w:r>
      <w:r w:rsidR="00715FA5" w:rsidRPr="004A0427">
        <w:rPr>
          <w:rFonts w:cstheme="minorHAnsi"/>
        </w:rPr>
        <w:t xml:space="preserve">occasions people </w:t>
      </w:r>
      <w:r w:rsidRPr="004A0427">
        <w:rPr>
          <w:rFonts w:cstheme="minorHAnsi"/>
        </w:rPr>
        <w:t xml:space="preserve">did not </w:t>
      </w:r>
      <w:r w:rsidR="005561C6" w:rsidRPr="004A0427">
        <w:rPr>
          <w:rFonts w:cstheme="minorHAnsi"/>
        </w:rPr>
        <w:t xml:space="preserve">progress to </w:t>
      </w:r>
      <w:r w:rsidRPr="004A0427">
        <w:rPr>
          <w:rFonts w:cstheme="minorHAnsi"/>
        </w:rPr>
        <w:t>consent. Of the 212 participants</w:t>
      </w:r>
      <w:r w:rsidR="005561C6" w:rsidRPr="004A0427">
        <w:rPr>
          <w:rFonts w:cstheme="minorHAnsi"/>
        </w:rPr>
        <w:t xml:space="preserve"> who consented</w:t>
      </w:r>
      <w:r w:rsidRPr="004A0427">
        <w:rPr>
          <w:rFonts w:cstheme="minorHAnsi"/>
        </w:rPr>
        <w:t>, 16 did not complete the surv</w:t>
      </w:r>
      <w:r w:rsidR="00F633FE">
        <w:rPr>
          <w:rFonts w:cstheme="minorHAnsi"/>
        </w:rPr>
        <w:t>ey</w:t>
      </w:r>
      <w:r w:rsidRPr="004A0427">
        <w:rPr>
          <w:rFonts w:cstheme="minorHAnsi"/>
        </w:rPr>
        <w:t xml:space="preserve">. The </w:t>
      </w:r>
      <w:r w:rsidR="005561C6" w:rsidRPr="004A0427">
        <w:rPr>
          <w:rFonts w:cstheme="minorHAnsi"/>
        </w:rPr>
        <w:t xml:space="preserve">remaining </w:t>
      </w:r>
      <w:r w:rsidR="005561C6" w:rsidRPr="001B7AAB">
        <w:rPr>
          <w:rFonts w:cstheme="minorHAnsi"/>
        </w:rPr>
        <w:t>196 participants</w:t>
      </w:r>
      <w:r w:rsidR="005561C6" w:rsidRPr="004A0427">
        <w:rPr>
          <w:rFonts w:cstheme="minorHAnsi"/>
        </w:rPr>
        <w:t xml:space="preserve"> completed the surv</w:t>
      </w:r>
      <w:r w:rsidR="009E7446">
        <w:rPr>
          <w:rFonts w:cstheme="minorHAnsi"/>
        </w:rPr>
        <w:t>ey</w:t>
      </w:r>
      <w:r w:rsidR="002A7D27" w:rsidRPr="004A0427">
        <w:rPr>
          <w:rFonts w:cstheme="minorHAnsi"/>
        </w:rPr>
        <w:t xml:space="preserve">, with all participants either current, or recently retired </w:t>
      </w:r>
      <w:r w:rsidR="00263B5A">
        <w:rPr>
          <w:rFonts w:cstheme="minorHAnsi"/>
        </w:rPr>
        <w:t>E</w:t>
      </w:r>
      <w:r w:rsidR="00B82431">
        <w:rPr>
          <w:rFonts w:cstheme="minorHAnsi"/>
        </w:rPr>
        <w:t>C</w:t>
      </w:r>
      <w:r w:rsidR="00263B5A">
        <w:rPr>
          <w:rFonts w:cstheme="minorHAnsi"/>
        </w:rPr>
        <w:t>E</w:t>
      </w:r>
      <w:r w:rsidR="002A7D27" w:rsidRPr="004A0427">
        <w:rPr>
          <w:rFonts w:cstheme="minorHAnsi"/>
        </w:rPr>
        <w:t xml:space="preserve"> </w:t>
      </w:r>
      <w:r w:rsidR="009A14BB">
        <w:rPr>
          <w:rFonts w:cstheme="minorHAnsi"/>
        </w:rPr>
        <w:t>workforce</w:t>
      </w:r>
      <w:r w:rsidR="002A7D27" w:rsidRPr="004A0427">
        <w:rPr>
          <w:rFonts w:cstheme="minorHAnsi"/>
        </w:rPr>
        <w:t xml:space="preserve"> working in England or Wales</w:t>
      </w:r>
      <w:r w:rsidR="00016F7B" w:rsidRPr="004A0427">
        <w:rPr>
          <w:rFonts w:cstheme="minorHAnsi"/>
        </w:rPr>
        <w:t>.</w:t>
      </w:r>
      <w:r w:rsidR="002A7D27" w:rsidRPr="004A0427">
        <w:rPr>
          <w:rFonts w:cstheme="minorHAnsi"/>
        </w:rPr>
        <w:t xml:space="preserve"> </w:t>
      </w:r>
      <w:r w:rsidR="0020635B">
        <w:rPr>
          <w:rFonts w:cstheme="minorHAnsi"/>
        </w:rPr>
        <w:t xml:space="preserve">Sociodemographic </w:t>
      </w:r>
      <w:r w:rsidR="00CD4822">
        <w:rPr>
          <w:rFonts w:cstheme="minorHAnsi"/>
        </w:rPr>
        <w:t xml:space="preserve">characteristics </w:t>
      </w:r>
      <w:r w:rsidR="0020635B">
        <w:rPr>
          <w:rFonts w:cstheme="minorHAnsi"/>
        </w:rPr>
        <w:t xml:space="preserve">for the study sample can be found in </w:t>
      </w:r>
      <w:r w:rsidR="00277774" w:rsidRPr="000E3420">
        <w:rPr>
          <w:rFonts w:cstheme="minorHAnsi"/>
        </w:rPr>
        <w:t>T</w:t>
      </w:r>
      <w:r w:rsidR="0020635B">
        <w:rPr>
          <w:rFonts w:cstheme="minorHAnsi"/>
        </w:rPr>
        <w:t>able 1.</w:t>
      </w:r>
      <w:r w:rsidR="002A7D27" w:rsidRPr="004A0427">
        <w:rPr>
          <w:rFonts w:cstheme="minorHAnsi"/>
        </w:rPr>
        <w:t xml:space="preserve"> </w:t>
      </w:r>
    </w:p>
    <w:p w14:paraId="7282A1F0" w14:textId="77777777" w:rsidR="00440530" w:rsidRPr="00BA4952" w:rsidRDefault="00440530" w:rsidP="00440530">
      <w:pPr>
        <w:spacing w:line="480" w:lineRule="auto"/>
        <w:jc w:val="both"/>
        <w:rPr>
          <w:rFonts w:cstheme="minorHAnsi"/>
          <w:b/>
          <w:bCs/>
        </w:rPr>
      </w:pPr>
    </w:p>
    <w:p w14:paraId="6B45F99F" w14:textId="74BC2FCC" w:rsidR="00440530" w:rsidRPr="00BA4952" w:rsidRDefault="00440530" w:rsidP="00440530">
      <w:pPr>
        <w:spacing w:line="480" w:lineRule="auto"/>
        <w:jc w:val="both"/>
        <w:rPr>
          <w:rFonts w:cstheme="minorHAnsi"/>
          <w:b/>
          <w:bCs/>
        </w:rPr>
      </w:pPr>
      <w:r w:rsidRPr="00BA4952">
        <w:rPr>
          <w:rFonts w:cstheme="minorHAnsi"/>
          <w:b/>
          <w:bCs/>
        </w:rPr>
        <w:t>Exclusion criterion</w:t>
      </w:r>
    </w:p>
    <w:p w14:paraId="7686473D" w14:textId="399D2E7D" w:rsidR="00440530" w:rsidRDefault="00440530" w:rsidP="00440530">
      <w:pPr>
        <w:spacing w:line="480" w:lineRule="auto"/>
        <w:ind w:firstLine="720"/>
        <w:jc w:val="both"/>
        <w:rPr>
          <w:rFonts w:cstheme="minorHAnsi"/>
        </w:rPr>
      </w:pPr>
      <w:r w:rsidRPr="00922E2B">
        <w:rPr>
          <w:rFonts w:cstheme="minorHAnsi"/>
        </w:rPr>
        <w:t xml:space="preserve">Participants were asked to report any formal </w:t>
      </w:r>
      <w:r w:rsidR="00350410" w:rsidRPr="00922E2B">
        <w:rPr>
          <w:rFonts w:cstheme="minorHAnsi"/>
        </w:rPr>
        <w:t>diagnoses</w:t>
      </w:r>
      <w:r w:rsidRPr="00922E2B">
        <w:rPr>
          <w:rFonts w:cstheme="minorHAnsi"/>
        </w:rPr>
        <w:t xml:space="preserve"> for </w:t>
      </w:r>
      <w:r w:rsidR="007E5C06" w:rsidRPr="00922E2B">
        <w:rPr>
          <w:rFonts w:cstheme="minorHAnsi"/>
        </w:rPr>
        <w:t>their reported</w:t>
      </w:r>
      <w:r w:rsidRPr="00922E2B">
        <w:rPr>
          <w:rFonts w:cstheme="minorHAnsi"/>
        </w:rPr>
        <w:t xml:space="preserve"> musculoskeletal pain. </w:t>
      </w:r>
      <w:r w:rsidR="00B92943">
        <w:rPr>
          <w:rFonts w:cstheme="minorHAnsi"/>
        </w:rPr>
        <w:t xml:space="preserve">In cases where a </w:t>
      </w:r>
      <w:r w:rsidR="007904CC">
        <w:rPr>
          <w:rFonts w:cstheme="minorHAnsi"/>
        </w:rPr>
        <w:t xml:space="preserve">respondent </w:t>
      </w:r>
      <w:r w:rsidR="00B92943">
        <w:rPr>
          <w:rFonts w:cstheme="minorHAnsi"/>
        </w:rPr>
        <w:t xml:space="preserve">indicated </w:t>
      </w:r>
      <w:r w:rsidR="007E5C06">
        <w:rPr>
          <w:rFonts w:cstheme="minorHAnsi"/>
        </w:rPr>
        <w:t>they did have a diagnosis</w:t>
      </w:r>
      <w:r w:rsidR="00B92943">
        <w:rPr>
          <w:rFonts w:cstheme="minorHAnsi"/>
        </w:rPr>
        <w:t xml:space="preserve">, their </w:t>
      </w:r>
      <w:r w:rsidR="007E5C06">
        <w:rPr>
          <w:rFonts w:cstheme="minorHAnsi"/>
        </w:rPr>
        <w:t xml:space="preserve">further </w:t>
      </w:r>
      <w:r w:rsidR="00B92943">
        <w:rPr>
          <w:rFonts w:cstheme="minorHAnsi"/>
        </w:rPr>
        <w:t xml:space="preserve">responses to </w:t>
      </w:r>
      <w:r w:rsidR="000B2426">
        <w:rPr>
          <w:rFonts w:cstheme="minorHAnsi"/>
        </w:rPr>
        <w:t xml:space="preserve">questions </w:t>
      </w:r>
      <w:r w:rsidR="00350410">
        <w:rPr>
          <w:rFonts w:cstheme="minorHAnsi"/>
        </w:rPr>
        <w:t>regarding</w:t>
      </w:r>
      <w:r w:rsidR="000B2426">
        <w:rPr>
          <w:rFonts w:cstheme="minorHAnsi"/>
        </w:rPr>
        <w:t xml:space="preserve"> pain </w:t>
      </w:r>
      <w:r w:rsidR="007E5C06">
        <w:rPr>
          <w:rFonts w:cstheme="minorHAnsi"/>
        </w:rPr>
        <w:t>encountered</w:t>
      </w:r>
      <w:r w:rsidR="000B2426">
        <w:rPr>
          <w:rFonts w:cstheme="minorHAnsi"/>
        </w:rPr>
        <w:t xml:space="preserve"> while carrying out specific work-</w:t>
      </w:r>
      <w:r w:rsidR="000B2426">
        <w:rPr>
          <w:rFonts w:cstheme="minorHAnsi"/>
        </w:rPr>
        <w:lastRenderedPageBreak/>
        <w:t>related roles w</w:t>
      </w:r>
      <w:r w:rsidR="007904CC">
        <w:rPr>
          <w:rFonts w:cstheme="minorHAnsi"/>
        </w:rPr>
        <w:t>ere</w:t>
      </w:r>
      <w:r w:rsidR="000B2426">
        <w:rPr>
          <w:rFonts w:cstheme="minorHAnsi"/>
        </w:rPr>
        <w:t xml:space="preserve"> </w:t>
      </w:r>
      <w:r w:rsidR="0097326E">
        <w:rPr>
          <w:rFonts w:cstheme="minorHAnsi"/>
        </w:rPr>
        <w:t>also reviewed.</w:t>
      </w:r>
      <w:r w:rsidR="00BA4952">
        <w:rPr>
          <w:rFonts w:cstheme="minorHAnsi"/>
        </w:rPr>
        <w:t xml:space="preserve"> Responses would</w:t>
      </w:r>
      <w:r w:rsidR="007904CC">
        <w:rPr>
          <w:rFonts w:cstheme="minorHAnsi"/>
        </w:rPr>
        <w:t xml:space="preserve"> have</w:t>
      </w:r>
      <w:r w:rsidR="00BA4952">
        <w:rPr>
          <w:rFonts w:cstheme="minorHAnsi"/>
        </w:rPr>
        <w:t xml:space="preserve"> be excluded i</w:t>
      </w:r>
      <w:r w:rsidR="0097326E">
        <w:rPr>
          <w:rFonts w:cstheme="minorHAnsi"/>
        </w:rPr>
        <w:t>n cases where an individual reported</w:t>
      </w:r>
      <w:r w:rsidR="007E5C06">
        <w:rPr>
          <w:rFonts w:cstheme="minorHAnsi"/>
        </w:rPr>
        <w:t xml:space="preserve"> a formal diagnosis,</w:t>
      </w:r>
      <w:r w:rsidR="0097326E">
        <w:rPr>
          <w:rFonts w:cstheme="minorHAnsi"/>
        </w:rPr>
        <w:t xml:space="preserve"> </w:t>
      </w:r>
      <w:r w:rsidR="00922E2B">
        <w:rPr>
          <w:rFonts w:cstheme="minorHAnsi"/>
        </w:rPr>
        <w:t xml:space="preserve">but </w:t>
      </w:r>
      <w:r w:rsidR="0097326E">
        <w:rPr>
          <w:rFonts w:cstheme="minorHAnsi"/>
        </w:rPr>
        <w:t>no pain carrying out these tasks</w:t>
      </w:r>
      <w:r w:rsidR="00BA4952">
        <w:rPr>
          <w:rFonts w:cstheme="minorHAnsi"/>
        </w:rPr>
        <w:t xml:space="preserve">. There were no instances of this in the sample for the current study. </w:t>
      </w:r>
    </w:p>
    <w:p w14:paraId="220CB866" w14:textId="77777777" w:rsidR="00F668C1" w:rsidRDefault="00F668C1" w:rsidP="002A7D27">
      <w:pPr>
        <w:spacing w:line="480" w:lineRule="auto"/>
        <w:rPr>
          <w:rFonts w:cstheme="minorHAnsi"/>
        </w:rPr>
      </w:pPr>
    </w:p>
    <w:p w14:paraId="60B1324B" w14:textId="77777777" w:rsidR="00700736" w:rsidRDefault="00700736" w:rsidP="002A7D27">
      <w:pPr>
        <w:spacing w:line="480" w:lineRule="auto"/>
        <w:rPr>
          <w:rFonts w:cstheme="minorHAnsi"/>
        </w:rPr>
      </w:pPr>
    </w:p>
    <w:p w14:paraId="1C2FEEF4" w14:textId="77777777" w:rsidR="00700736" w:rsidRPr="004A0427" w:rsidRDefault="00700736" w:rsidP="002A7D27">
      <w:pPr>
        <w:spacing w:line="480" w:lineRule="auto"/>
        <w:rPr>
          <w:rFonts w:cstheme="minorHAnsi"/>
        </w:rPr>
      </w:pPr>
    </w:p>
    <w:p w14:paraId="197FBE94" w14:textId="1091998B" w:rsidR="002A7D27" w:rsidRPr="004A0427" w:rsidRDefault="002A7D27" w:rsidP="002A7D27">
      <w:pPr>
        <w:spacing w:line="480" w:lineRule="auto"/>
        <w:rPr>
          <w:rFonts w:cstheme="minorHAnsi"/>
        </w:rPr>
      </w:pPr>
      <w:r w:rsidRPr="004A0427">
        <w:rPr>
          <w:b/>
          <w:bCs/>
        </w:rPr>
        <w:t>Measures</w:t>
      </w:r>
    </w:p>
    <w:p w14:paraId="54BEEF7C" w14:textId="75037214" w:rsidR="002A7D27" w:rsidRPr="004A0427" w:rsidRDefault="002A7D27" w:rsidP="00866259">
      <w:pPr>
        <w:spacing w:line="480" w:lineRule="auto"/>
        <w:ind w:firstLine="720"/>
        <w:jc w:val="both"/>
        <w:rPr>
          <w:rFonts w:cstheme="minorHAnsi"/>
        </w:rPr>
      </w:pPr>
      <w:r w:rsidRPr="004A0427">
        <w:rPr>
          <w:rFonts w:cstheme="minorHAnsi"/>
        </w:rPr>
        <w:t>Participants answered demographic questions on sex, gender, relationship status, number of children, and education level. Other questions in this section included items on frequency of work, years of experience, and proportion of role which was practical in nature</w:t>
      </w:r>
      <w:r w:rsidR="00922E2B">
        <w:rPr>
          <w:rFonts w:cstheme="minorHAnsi"/>
        </w:rPr>
        <w:t xml:space="preserve"> (balance between practical child-f</w:t>
      </w:r>
      <w:r w:rsidR="00350410">
        <w:rPr>
          <w:rFonts w:cstheme="minorHAnsi"/>
        </w:rPr>
        <w:t>a</w:t>
      </w:r>
      <w:r w:rsidR="00922E2B">
        <w:rPr>
          <w:rFonts w:cstheme="minorHAnsi"/>
        </w:rPr>
        <w:t xml:space="preserve">cing roles, and </w:t>
      </w:r>
      <w:r w:rsidR="00350410">
        <w:rPr>
          <w:rFonts w:cstheme="minorHAnsi"/>
        </w:rPr>
        <w:t>more desk based administrative duties)</w:t>
      </w:r>
      <w:r w:rsidRPr="004A0427">
        <w:rPr>
          <w:rFonts w:cstheme="minorHAnsi"/>
        </w:rPr>
        <w:t xml:space="preserve">. </w:t>
      </w:r>
      <w:r w:rsidR="0000197D" w:rsidRPr="004A0427">
        <w:rPr>
          <w:rFonts w:cstheme="minorHAnsi"/>
        </w:rPr>
        <w:t>Initial drafting and development of questions for the current study</w:t>
      </w:r>
      <w:r w:rsidR="00481BED" w:rsidRPr="004A0427">
        <w:rPr>
          <w:rFonts w:cstheme="minorHAnsi"/>
        </w:rPr>
        <w:t xml:space="preserve"> was</w:t>
      </w:r>
      <w:r w:rsidR="00F125BC" w:rsidRPr="004A0427">
        <w:rPr>
          <w:rFonts w:cstheme="minorHAnsi"/>
        </w:rPr>
        <w:t xml:space="preserve"> undertaken by the lead author and</w:t>
      </w:r>
      <w:r w:rsidR="00481BED" w:rsidRPr="004A0427">
        <w:rPr>
          <w:rFonts w:cstheme="minorHAnsi"/>
        </w:rPr>
        <w:t xml:space="preserve"> </w:t>
      </w:r>
      <w:r w:rsidR="00683862" w:rsidRPr="004A0427">
        <w:rPr>
          <w:rFonts w:cstheme="minorHAnsi"/>
        </w:rPr>
        <w:t xml:space="preserve">based on previous </w:t>
      </w:r>
      <w:r w:rsidR="00EF4E72" w:rsidRPr="004A0427">
        <w:rPr>
          <w:rFonts w:cstheme="minorHAnsi"/>
        </w:rPr>
        <w:t>research</w:t>
      </w:r>
      <w:r w:rsidR="00683862" w:rsidRPr="004A0427">
        <w:rPr>
          <w:rFonts w:cstheme="minorHAnsi"/>
        </w:rPr>
        <w:t xml:space="preserve"> </w:t>
      </w:r>
      <w:r w:rsidR="00EF4E72" w:rsidRPr="004A0427">
        <w:rPr>
          <w:rFonts w:cstheme="minorHAnsi"/>
        </w:rPr>
        <w:t>from</w:t>
      </w:r>
      <w:r w:rsidR="00683862" w:rsidRPr="004A0427">
        <w:rPr>
          <w:rFonts w:cstheme="minorHAnsi"/>
        </w:rPr>
        <w:t xml:space="preserve"> Cheng et al. (2016)</w:t>
      </w:r>
      <w:r w:rsidR="00642C9D" w:rsidRPr="004A0427">
        <w:rPr>
          <w:rFonts w:cstheme="minorHAnsi"/>
        </w:rPr>
        <w:t>. The</w:t>
      </w:r>
      <w:r w:rsidR="00653F13" w:rsidRPr="004A0427">
        <w:rPr>
          <w:rFonts w:cstheme="minorHAnsi"/>
        </w:rPr>
        <w:t xml:space="preserve">se were </w:t>
      </w:r>
      <w:r w:rsidR="00F125BC" w:rsidRPr="004A0427">
        <w:rPr>
          <w:rFonts w:cstheme="minorHAnsi"/>
        </w:rPr>
        <w:t xml:space="preserve">then </w:t>
      </w:r>
      <w:r w:rsidR="00653F13" w:rsidRPr="004A0427">
        <w:rPr>
          <w:rFonts w:cstheme="minorHAnsi"/>
        </w:rPr>
        <w:t xml:space="preserve">reviewed </w:t>
      </w:r>
      <w:r w:rsidR="003E0D72" w:rsidRPr="004A0427">
        <w:rPr>
          <w:rFonts w:cstheme="minorHAnsi"/>
        </w:rPr>
        <w:t xml:space="preserve">by and </w:t>
      </w:r>
      <w:r w:rsidR="00FC4D86" w:rsidRPr="004A0427">
        <w:rPr>
          <w:rFonts w:cstheme="minorHAnsi"/>
        </w:rPr>
        <w:t>discussed</w:t>
      </w:r>
      <w:r w:rsidR="003E0D72" w:rsidRPr="004A0427">
        <w:rPr>
          <w:rFonts w:cstheme="minorHAnsi"/>
        </w:rPr>
        <w:t xml:space="preserve"> with the other authors, with specialist physiotherapeutic knowledge </w:t>
      </w:r>
      <w:r w:rsidR="002C54A1" w:rsidRPr="004A0427">
        <w:rPr>
          <w:rFonts w:cstheme="minorHAnsi"/>
        </w:rPr>
        <w:t xml:space="preserve">and input </w:t>
      </w:r>
      <w:r w:rsidR="00982CC7" w:rsidRPr="004A0427">
        <w:rPr>
          <w:rFonts w:cstheme="minorHAnsi"/>
        </w:rPr>
        <w:t>from</w:t>
      </w:r>
      <w:r w:rsidR="00982CC7">
        <w:rPr>
          <w:rFonts w:cstheme="minorHAnsi"/>
        </w:rPr>
        <w:t xml:space="preserve"> </w:t>
      </w:r>
      <w:r w:rsidR="00982CC7" w:rsidRPr="004A0427">
        <w:rPr>
          <w:rFonts w:cstheme="minorHAnsi"/>
        </w:rPr>
        <w:t>Lorna</w:t>
      </w:r>
      <w:r w:rsidR="009E1925" w:rsidRPr="00982CC7">
        <w:rPr>
          <w:rFonts w:cstheme="minorHAnsi"/>
        </w:rPr>
        <w:t xml:space="preserve"> </w:t>
      </w:r>
      <w:r w:rsidR="002C54A1" w:rsidRPr="00982CC7">
        <w:rPr>
          <w:rFonts w:cstheme="minorHAnsi"/>
        </w:rPr>
        <w:t>T</w:t>
      </w:r>
      <w:r w:rsidR="004D239C">
        <w:rPr>
          <w:rFonts w:cstheme="minorHAnsi"/>
        </w:rPr>
        <w:t>a</w:t>
      </w:r>
      <w:r w:rsidR="009E1925" w:rsidRPr="00982CC7">
        <w:rPr>
          <w:rFonts w:cstheme="minorHAnsi"/>
        </w:rPr>
        <w:t>ylor</w:t>
      </w:r>
      <w:r w:rsidR="002C54A1" w:rsidRPr="004A0427">
        <w:rPr>
          <w:rFonts w:cstheme="minorHAnsi"/>
        </w:rPr>
        <w:t xml:space="preserve"> and </w:t>
      </w:r>
      <w:r w:rsidR="00FC2D50" w:rsidRPr="004A0427">
        <w:rPr>
          <w:rFonts w:cstheme="minorHAnsi"/>
        </w:rPr>
        <w:t>p</w:t>
      </w:r>
      <w:r w:rsidR="007C1333" w:rsidRPr="004A0427">
        <w:rPr>
          <w:rFonts w:cstheme="minorHAnsi"/>
        </w:rPr>
        <w:t xml:space="preserve">ain and </w:t>
      </w:r>
      <w:r w:rsidR="00350410" w:rsidRPr="004A0427">
        <w:rPr>
          <w:rFonts w:cstheme="minorHAnsi"/>
        </w:rPr>
        <w:t>health</w:t>
      </w:r>
      <w:r w:rsidR="007C1333" w:rsidRPr="004A0427">
        <w:rPr>
          <w:rFonts w:cstheme="minorHAnsi"/>
        </w:rPr>
        <w:t xml:space="preserve"> </w:t>
      </w:r>
      <w:r w:rsidR="00FC2D50" w:rsidRPr="004A0427">
        <w:rPr>
          <w:rFonts w:cstheme="minorHAnsi"/>
        </w:rPr>
        <w:t>p</w:t>
      </w:r>
      <w:r w:rsidR="007C1333" w:rsidRPr="004A0427">
        <w:rPr>
          <w:rFonts w:cstheme="minorHAnsi"/>
        </w:rPr>
        <w:t>sychology</w:t>
      </w:r>
      <w:r w:rsidR="002C54A1" w:rsidRPr="004A0427">
        <w:rPr>
          <w:rFonts w:cstheme="minorHAnsi"/>
        </w:rPr>
        <w:t xml:space="preserve"> </w:t>
      </w:r>
      <w:r w:rsidR="004D239C">
        <w:t xml:space="preserve">expertise </w:t>
      </w:r>
      <w:r w:rsidR="002C54A1" w:rsidRPr="004A0427">
        <w:rPr>
          <w:rFonts w:cstheme="minorHAnsi"/>
        </w:rPr>
        <w:t xml:space="preserve">from </w:t>
      </w:r>
      <w:r w:rsidR="004D239C">
        <w:rPr>
          <w:rFonts w:cstheme="minorHAnsi"/>
        </w:rPr>
        <w:t xml:space="preserve">Prof. </w:t>
      </w:r>
      <w:r w:rsidR="002C54A1" w:rsidRPr="00982CC7">
        <w:rPr>
          <w:rFonts w:cstheme="minorHAnsi"/>
        </w:rPr>
        <w:t>D</w:t>
      </w:r>
      <w:r w:rsidR="009E1925" w:rsidRPr="00982CC7">
        <w:rPr>
          <w:rFonts w:cstheme="minorHAnsi"/>
        </w:rPr>
        <w:t xml:space="preserve">avid </w:t>
      </w:r>
      <w:r w:rsidR="00DE3C7A" w:rsidRPr="00982CC7">
        <w:rPr>
          <w:rFonts w:cstheme="minorHAnsi"/>
        </w:rPr>
        <w:t>S</w:t>
      </w:r>
      <w:r w:rsidR="009E1925">
        <w:rPr>
          <w:rFonts w:cstheme="minorHAnsi"/>
        </w:rPr>
        <w:t>heffield</w:t>
      </w:r>
      <w:r w:rsidR="00F60C1A" w:rsidRPr="004A0427">
        <w:rPr>
          <w:rFonts w:cstheme="minorHAnsi"/>
        </w:rPr>
        <w:t>.</w:t>
      </w:r>
      <w:r w:rsidR="008A7A8D" w:rsidRPr="004A0427">
        <w:rPr>
          <w:rFonts w:cstheme="minorHAnsi"/>
        </w:rPr>
        <w:t xml:space="preserve"> </w:t>
      </w:r>
      <w:r w:rsidR="00866259" w:rsidRPr="004A0427">
        <w:rPr>
          <w:rFonts w:cstheme="minorHAnsi"/>
        </w:rPr>
        <w:t>These items were then subjected to p</w:t>
      </w:r>
      <w:r w:rsidR="008A7A8D" w:rsidRPr="004A0427">
        <w:rPr>
          <w:rFonts w:cstheme="minorHAnsi"/>
        </w:rPr>
        <w:t>ilot testing via the authors</w:t>
      </w:r>
      <w:r w:rsidR="001F732C" w:rsidRPr="004A0427">
        <w:rPr>
          <w:rFonts w:cstheme="minorHAnsi"/>
        </w:rPr>
        <w:t>’</w:t>
      </w:r>
      <w:r w:rsidR="008A7A8D" w:rsidRPr="004A0427">
        <w:rPr>
          <w:rFonts w:cstheme="minorHAnsi"/>
        </w:rPr>
        <w:t xml:space="preserve"> personal networks, </w:t>
      </w:r>
      <w:r w:rsidR="00FC4D86" w:rsidRPr="004A0427">
        <w:rPr>
          <w:rFonts w:cstheme="minorHAnsi"/>
        </w:rPr>
        <w:t>allowing final updates to be made</w:t>
      </w:r>
      <w:r w:rsidR="00866259" w:rsidRPr="004A0427">
        <w:rPr>
          <w:rFonts w:cstheme="minorHAnsi"/>
        </w:rPr>
        <w:t>.</w:t>
      </w:r>
    </w:p>
    <w:p w14:paraId="3BF638F8" w14:textId="77777777" w:rsidR="002A7D27" w:rsidRPr="004A0427" w:rsidRDefault="002A7D27" w:rsidP="002A7D27">
      <w:pPr>
        <w:spacing w:line="480" w:lineRule="auto"/>
        <w:ind w:firstLine="720"/>
        <w:jc w:val="both"/>
        <w:rPr>
          <w:rFonts w:cstheme="minorHAnsi"/>
        </w:rPr>
      </w:pPr>
    </w:p>
    <w:p w14:paraId="6FF46286" w14:textId="77777777" w:rsidR="002A7D27" w:rsidRPr="004A0427" w:rsidRDefault="002A7D27" w:rsidP="00F22AC7">
      <w:pPr>
        <w:rPr>
          <w:b/>
          <w:bCs/>
          <w:i/>
          <w:iCs/>
        </w:rPr>
      </w:pPr>
      <w:r w:rsidRPr="004A0427">
        <w:rPr>
          <w:b/>
          <w:bCs/>
          <w:i/>
          <w:iCs/>
        </w:rPr>
        <w:t>MSK Pain Experiences</w:t>
      </w:r>
    </w:p>
    <w:p w14:paraId="4667A0D3" w14:textId="77777777" w:rsidR="0076514E" w:rsidRPr="004A0427" w:rsidRDefault="0076514E" w:rsidP="00F22AC7">
      <w:pPr>
        <w:rPr>
          <w:b/>
          <w:bCs/>
        </w:rPr>
      </w:pPr>
    </w:p>
    <w:p w14:paraId="0D74A61E" w14:textId="7B588A9B" w:rsidR="002A7D27" w:rsidRDefault="002A7D27" w:rsidP="002A7D27">
      <w:pPr>
        <w:spacing w:line="480" w:lineRule="auto"/>
        <w:ind w:firstLine="720"/>
        <w:jc w:val="both"/>
        <w:rPr>
          <w:rStyle w:val="normaltextrun"/>
          <w:rFonts w:eastAsiaTheme="majorEastAsia"/>
          <w:color w:val="000000"/>
          <w:bdr w:val="none" w:sz="0" w:space="0" w:color="auto" w:frame="1"/>
        </w:rPr>
      </w:pPr>
      <w:r w:rsidRPr="004A0427">
        <w:rPr>
          <w:rFonts w:cstheme="minorHAnsi"/>
        </w:rPr>
        <w:t>To better understand the MSK health of the sample, participants were asked if th</w:t>
      </w:r>
      <w:r w:rsidR="0074263B">
        <w:rPr>
          <w:rFonts w:cstheme="minorHAnsi"/>
        </w:rPr>
        <w:t>ey</w:t>
      </w:r>
      <w:r w:rsidRPr="004A0427">
        <w:rPr>
          <w:rFonts w:cstheme="minorHAnsi"/>
        </w:rPr>
        <w:t xml:space="preserve"> had experienced MSK pain in any of 11 different bodily locations (Neck</w:t>
      </w:r>
      <w:r w:rsidR="00955FBC" w:rsidRPr="004A0427">
        <w:rPr>
          <w:rFonts w:cstheme="minorHAnsi"/>
        </w:rPr>
        <w:t>,</w:t>
      </w:r>
      <w:r w:rsidRPr="004A0427">
        <w:rPr>
          <w:rFonts w:cstheme="minorHAnsi"/>
        </w:rPr>
        <w:t xml:space="preserve"> Shoulder(s), Upper Back, Lower Back, Elbow(s), Hand(s), Wrist(s), Hip(s), Knee(s), Foot/feet</w:t>
      </w:r>
      <w:r w:rsidR="00955FBC" w:rsidRPr="004A0427">
        <w:rPr>
          <w:rFonts w:cstheme="minorHAnsi"/>
        </w:rPr>
        <w:t>,</w:t>
      </w:r>
      <w:r w:rsidRPr="004A0427">
        <w:rPr>
          <w:rFonts w:cstheme="minorHAnsi"/>
        </w:rPr>
        <w:t xml:space="preserve"> Ankle(s))</w:t>
      </w:r>
      <w:r w:rsidR="00984012" w:rsidRPr="004A0427">
        <w:rPr>
          <w:rFonts w:cstheme="minorHAnsi"/>
        </w:rPr>
        <w:t>;</w:t>
      </w:r>
      <w:r w:rsidRPr="004A0427">
        <w:rPr>
          <w:rFonts w:cstheme="minorHAnsi"/>
        </w:rPr>
        <w:t xml:space="preserve"> if th</w:t>
      </w:r>
      <w:r w:rsidR="00ED6217">
        <w:rPr>
          <w:rFonts w:cstheme="minorHAnsi"/>
        </w:rPr>
        <w:t>ey</w:t>
      </w:r>
      <w:r w:rsidRPr="004A0427">
        <w:rPr>
          <w:rFonts w:cstheme="minorHAnsi"/>
        </w:rPr>
        <w:t xml:space="preserve"> responded ‘</w:t>
      </w:r>
      <w:r w:rsidRPr="004A0427">
        <w:rPr>
          <w:rFonts w:cstheme="minorHAnsi"/>
          <w:i/>
          <w:iCs/>
        </w:rPr>
        <w:t>yes</w:t>
      </w:r>
      <w:r w:rsidRPr="004A0427">
        <w:rPr>
          <w:rFonts w:cstheme="minorHAnsi"/>
        </w:rPr>
        <w:t>’ to any of these areas, th</w:t>
      </w:r>
      <w:r w:rsidR="009E7446">
        <w:rPr>
          <w:rFonts w:cstheme="minorHAnsi"/>
        </w:rPr>
        <w:t>ey</w:t>
      </w:r>
      <w:r w:rsidRPr="004A0427">
        <w:rPr>
          <w:rFonts w:cstheme="minorHAnsi"/>
        </w:rPr>
        <w:t xml:space="preserve"> were then presented with </w:t>
      </w:r>
      <w:r w:rsidR="00984012" w:rsidRPr="004A0427">
        <w:rPr>
          <w:rFonts w:cstheme="minorHAnsi"/>
        </w:rPr>
        <w:t>four</w:t>
      </w:r>
      <w:r w:rsidRPr="004A0427">
        <w:rPr>
          <w:rFonts w:cstheme="minorHAnsi"/>
        </w:rPr>
        <w:t xml:space="preserve"> follow</w:t>
      </w:r>
      <w:r w:rsidR="00984012" w:rsidRPr="004A0427">
        <w:rPr>
          <w:rFonts w:cstheme="minorHAnsi"/>
        </w:rPr>
        <w:t>-</w:t>
      </w:r>
      <w:r w:rsidRPr="004A0427">
        <w:rPr>
          <w:rFonts w:cstheme="minorHAnsi"/>
        </w:rPr>
        <w:t xml:space="preserve">up questions on their pain experiences in that location. Questions about pain intensity, time since initial pain onset, frequency of pain experiences in the specific location, and duration of pain experiences </w:t>
      </w:r>
      <w:r w:rsidRPr="004A0427">
        <w:rPr>
          <w:rFonts w:cstheme="minorHAnsi"/>
        </w:rPr>
        <w:lastRenderedPageBreak/>
        <w:t>when th</w:t>
      </w:r>
      <w:r w:rsidR="009E7446">
        <w:rPr>
          <w:rFonts w:cstheme="minorHAnsi"/>
        </w:rPr>
        <w:t>ey</w:t>
      </w:r>
      <w:r w:rsidRPr="004A0427">
        <w:rPr>
          <w:rFonts w:cstheme="minorHAnsi"/>
        </w:rPr>
        <w:t xml:space="preserve"> occur. All these questions were answered via 5-point Likert scale, except for the final item on duration which was a 6-point scale. </w:t>
      </w:r>
      <w:r w:rsidR="00350410">
        <w:rPr>
          <w:rFonts w:cstheme="minorHAnsi"/>
        </w:rPr>
        <w:t>Participants</w:t>
      </w:r>
      <w:r w:rsidR="009E7446">
        <w:rPr>
          <w:rFonts w:cstheme="minorHAnsi"/>
        </w:rPr>
        <w:t xml:space="preserve"> were also asked to score the </w:t>
      </w:r>
      <w:r w:rsidR="006B50C0">
        <w:rPr>
          <w:rFonts w:cstheme="minorHAnsi"/>
        </w:rPr>
        <w:t>‘bothersomeness’ of their pain</w:t>
      </w:r>
      <w:r w:rsidR="003F5014">
        <w:rPr>
          <w:rFonts w:cstheme="minorHAnsi"/>
        </w:rPr>
        <w:t>.</w:t>
      </w:r>
      <w:r w:rsidR="005D70DF">
        <w:rPr>
          <w:rFonts w:cstheme="minorHAnsi"/>
        </w:rPr>
        <w:t xml:space="preserve"> </w:t>
      </w:r>
      <w:r w:rsidR="005D70DF">
        <w:rPr>
          <w:rStyle w:val="normaltextrun"/>
          <w:rFonts w:eastAsiaTheme="majorEastAsia"/>
          <w:color w:val="000000"/>
        </w:rPr>
        <w:t>Bothersomeness has been explored extensively in relation to conditions like sciatica and low back pain, and it is considered a valid measure of pain severity, particularly in the context of their impact on a person's life</w:t>
      </w:r>
      <w:r w:rsidR="00C31F23">
        <w:rPr>
          <w:rStyle w:val="normaltextrun"/>
          <w:rFonts w:eastAsiaTheme="majorEastAsia"/>
          <w:color w:val="000000"/>
        </w:rPr>
        <w:t xml:space="preserve"> (</w:t>
      </w:r>
      <w:r w:rsidR="00C31F23">
        <w:rPr>
          <w:rStyle w:val="normaltextrun"/>
          <w:rFonts w:eastAsiaTheme="majorEastAsia"/>
          <w:color w:val="000000"/>
          <w:bdr w:val="none" w:sz="0" w:space="0" w:color="auto" w:frame="1"/>
        </w:rPr>
        <w:t>Parsons et al., 200</w:t>
      </w:r>
      <w:r w:rsidR="004D239C">
        <w:rPr>
          <w:rStyle w:val="normaltextrun"/>
          <w:rFonts w:eastAsiaTheme="majorEastAsia"/>
          <w:color w:val="000000"/>
          <w:bdr w:val="none" w:sz="0" w:space="0" w:color="auto" w:frame="1"/>
        </w:rPr>
        <w:t>7</w:t>
      </w:r>
      <w:r w:rsidR="00C31F23">
        <w:rPr>
          <w:rStyle w:val="normaltextrun"/>
          <w:rFonts w:eastAsiaTheme="majorEastAsia"/>
          <w:color w:val="000000"/>
          <w:bdr w:val="none" w:sz="0" w:space="0" w:color="auto" w:frame="1"/>
        </w:rPr>
        <w:t>)</w:t>
      </w:r>
      <w:r w:rsidR="00456084">
        <w:rPr>
          <w:rStyle w:val="normaltextrun"/>
          <w:rFonts w:eastAsiaTheme="majorEastAsia"/>
          <w:color w:val="000000"/>
          <w:bdr w:val="none" w:sz="0" w:space="0" w:color="auto" w:frame="1"/>
        </w:rPr>
        <w:t>.</w:t>
      </w:r>
    </w:p>
    <w:p w14:paraId="05B32F1A" w14:textId="77777777" w:rsidR="00456084" w:rsidRPr="004A0427" w:rsidRDefault="00456084" w:rsidP="002A7D27">
      <w:pPr>
        <w:spacing w:line="480" w:lineRule="auto"/>
        <w:ind w:firstLine="720"/>
        <w:jc w:val="both"/>
        <w:rPr>
          <w:rFonts w:cstheme="minorHAnsi"/>
        </w:rPr>
      </w:pPr>
    </w:p>
    <w:p w14:paraId="4F15950E" w14:textId="01085BF1" w:rsidR="002A7D27" w:rsidRPr="004A0427" w:rsidRDefault="002A7D27" w:rsidP="002A7D27">
      <w:pPr>
        <w:spacing w:line="480" w:lineRule="auto"/>
        <w:jc w:val="both"/>
        <w:rPr>
          <w:rFonts w:cstheme="minorHAnsi"/>
          <w:b/>
          <w:bCs/>
          <w:i/>
          <w:iCs/>
        </w:rPr>
      </w:pPr>
      <w:r w:rsidRPr="004A0427">
        <w:rPr>
          <w:rFonts w:cstheme="minorHAnsi"/>
          <w:b/>
          <w:bCs/>
          <w:i/>
          <w:iCs/>
        </w:rPr>
        <w:t xml:space="preserve">Consequences </w:t>
      </w:r>
      <w:r w:rsidR="00DE2C9A" w:rsidRPr="004A0427">
        <w:rPr>
          <w:rFonts w:cstheme="minorHAnsi"/>
          <w:b/>
          <w:bCs/>
          <w:i/>
          <w:iCs/>
        </w:rPr>
        <w:t>Of Pain Experiences</w:t>
      </w:r>
    </w:p>
    <w:p w14:paraId="0A0410DB" w14:textId="011BC6C5" w:rsidR="002A7D27" w:rsidRPr="004A0427" w:rsidRDefault="002A7D27" w:rsidP="002A7D27">
      <w:pPr>
        <w:spacing w:line="480" w:lineRule="auto"/>
        <w:jc w:val="both"/>
        <w:rPr>
          <w:rFonts w:cstheme="minorHAnsi"/>
        </w:rPr>
      </w:pPr>
      <w:r w:rsidRPr="004A0427">
        <w:rPr>
          <w:rFonts w:cstheme="minorHAnsi"/>
        </w:rPr>
        <w:tab/>
      </w:r>
      <w:r w:rsidR="00445F4E" w:rsidRPr="004A0427">
        <w:rPr>
          <w:rFonts w:cstheme="minorHAnsi"/>
        </w:rPr>
        <w:t>Participants were asked if actions had taken place as a result of their pain experiences, specifically: if th</w:t>
      </w:r>
      <w:r w:rsidR="00350410">
        <w:rPr>
          <w:rFonts w:cstheme="minorHAnsi"/>
        </w:rPr>
        <w:t>ey</w:t>
      </w:r>
      <w:r w:rsidR="00445F4E" w:rsidRPr="004A0427">
        <w:rPr>
          <w:rFonts w:cstheme="minorHAnsi"/>
        </w:rPr>
        <w:t xml:space="preserve"> had sought professional help for their pain (and if so</w:t>
      </w:r>
      <w:r w:rsidR="00B46C47">
        <w:rPr>
          <w:rFonts w:cstheme="minorHAnsi"/>
        </w:rPr>
        <w:t>,</w:t>
      </w:r>
      <w:r w:rsidR="00445F4E" w:rsidRPr="004A0427">
        <w:rPr>
          <w:rFonts w:cstheme="minorHAnsi"/>
        </w:rPr>
        <w:t xml:space="preserve"> what the outcomes were); if th</w:t>
      </w:r>
      <w:r w:rsidR="00445F4E">
        <w:rPr>
          <w:rFonts w:cstheme="minorHAnsi"/>
        </w:rPr>
        <w:t>ey</w:t>
      </w:r>
      <w:r w:rsidR="00445F4E" w:rsidRPr="004A0427">
        <w:rPr>
          <w:rFonts w:cstheme="minorHAnsi"/>
        </w:rPr>
        <w:t xml:space="preserve"> had reported it to a manager or leader at their place of work (and if so</w:t>
      </w:r>
      <w:r w:rsidR="00B46C47">
        <w:rPr>
          <w:rFonts w:cstheme="minorHAnsi"/>
        </w:rPr>
        <w:t>,</w:t>
      </w:r>
      <w:r w:rsidR="00445F4E" w:rsidRPr="004A0427">
        <w:rPr>
          <w:rFonts w:cstheme="minorHAnsi"/>
        </w:rPr>
        <w:t xml:space="preserve"> what the outcomes were); if MSK pain had caused them to take sick leave from work, and; if MSK pain had made them consider changing jobs.</w:t>
      </w:r>
    </w:p>
    <w:p w14:paraId="5AEDE787" w14:textId="77777777" w:rsidR="001003C9" w:rsidRDefault="001003C9" w:rsidP="002A7D27">
      <w:pPr>
        <w:spacing w:line="480" w:lineRule="auto"/>
        <w:jc w:val="both"/>
        <w:rPr>
          <w:rFonts w:cstheme="minorHAnsi"/>
          <w:b/>
          <w:bCs/>
          <w:i/>
          <w:iCs/>
        </w:rPr>
      </w:pPr>
    </w:p>
    <w:p w14:paraId="45265D3C" w14:textId="77777777" w:rsidR="001003C9" w:rsidRDefault="001003C9" w:rsidP="002A7D27">
      <w:pPr>
        <w:spacing w:line="480" w:lineRule="auto"/>
        <w:jc w:val="both"/>
        <w:rPr>
          <w:rFonts w:cstheme="minorHAnsi"/>
          <w:b/>
          <w:bCs/>
          <w:i/>
          <w:iCs/>
        </w:rPr>
      </w:pPr>
    </w:p>
    <w:p w14:paraId="59076212" w14:textId="73D81EE6" w:rsidR="002A7D27" w:rsidRPr="004A0427" w:rsidRDefault="002A7D27" w:rsidP="002A7D27">
      <w:pPr>
        <w:spacing w:line="480" w:lineRule="auto"/>
        <w:jc w:val="both"/>
        <w:rPr>
          <w:rFonts w:cstheme="minorHAnsi"/>
          <w:b/>
          <w:bCs/>
          <w:i/>
          <w:iCs/>
        </w:rPr>
      </w:pPr>
      <w:r w:rsidRPr="004A0427">
        <w:rPr>
          <w:rFonts w:cstheme="minorHAnsi"/>
          <w:b/>
          <w:bCs/>
          <w:i/>
          <w:iCs/>
        </w:rPr>
        <w:t xml:space="preserve">Work </w:t>
      </w:r>
      <w:r w:rsidR="00DE2C9A" w:rsidRPr="004A0427">
        <w:rPr>
          <w:rFonts w:cstheme="minorHAnsi"/>
          <w:b/>
          <w:bCs/>
          <w:i/>
          <w:iCs/>
        </w:rPr>
        <w:t xml:space="preserve">Roles </w:t>
      </w:r>
      <w:r w:rsidR="0076514E" w:rsidRPr="004A0427">
        <w:rPr>
          <w:rFonts w:cstheme="minorHAnsi"/>
          <w:b/>
          <w:bCs/>
          <w:i/>
          <w:iCs/>
        </w:rPr>
        <w:t>and</w:t>
      </w:r>
      <w:r w:rsidR="00DE2C9A" w:rsidRPr="004A0427">
        <w:rPr>
          <w:rFonts w:cstheme="minorHAnsi"/>
          <w:b/>
          <w:bCs/>
          <w:i/>
          <w:iCs/>
        </w:rPr>
        <w:t xml:space="preserve"> Environment</w:t>
      </w:r>
    </w:p>
    <w:p w14:paraId="0B4A3571" w14:textId="2FEB74F6" w:rsidR="002A7D27" w:rsidRDefault="002A7D27" w:rsidP="002A7D27">
      <w:pPr>
        <w:spacing w:line="480" w:lineRule="auto"/>
        <w:jc w:val="both"/>
        <w:rPr>
          <w:rFonts w:cstheme="minorHAnsi"/>
        </w:rPr>
      </w:pPr>
      <w:r w:rsidRPr="004A0427">
        <w:rPr>
          <w:rFonts w:cstheme="minorHAnsi"/>
        </w:rPr>
        <w:tab/>
      </w:r>
      <w:r w:rsidR="008F695E" w:rsidRPr="004A0427">
        <w:rPr>
          <w:rFonts w:cstheme="minorHAnsi"/>
        </w:rPr>
        <w:t>We also asked about t</w:t>
      </w:r>
      <w:r w:rsidR="00870B7B" w:rsidRPr="004A0427">
        <w:rPr>
          <w:rFonts w:cstheme="minorHAnsi"/>
        </w:rPr>
        <w:t>he f</w:t>
      </w:r>
      <w:r w:rsidRPr="004A0427">
        <w:rPr>
          <w:rFonts w:cstheme="minorHAnsi"/>
        </w:rPr>
        <w:t xml:space="preserve">requency of working in certain scenarios/environments and carrying out certain </w:t>
      </w:r>
      <w:r w:rsidR="00456084">
        <w:rPr>
          <w:rFonts w:cstheme="minorHAnsi"/>
        </w:rPr>
        <w:t>roles/</w:t>
      </w:r>
      <w:r w:rsidRPr="004A0427">
        <w:rPr>
          <w:rFonts w:cstheme="minorHAnsi"/>
        </w:rPr>
        <w:t>actions which</w:t>
      </w:r>
      <w:r w:rsidR="001003C9">
        <w:rPr>
          <w:rFonts w:cstheme="minorHAnsi"/>
        </w:rPr>
        <w:t xml:space="preserve"> pose greater risk to MSK health </w:t>
      </w:r>
      <w:r w:rsidRPr="004A0427">
        <w:rPr>
          <w:rFonts w:cstheme="minorHAnsi"/>
        </w:rPr>
        <w:t>(</w:t>
      </w:r>
      <w:r w:rsidR="001003C9">
        <w:rPr>
          <w:rFonts w:cstheme="minorHAnsi"/>
        </w:rPr>
        <w:t xml:space="preserve">e.g. </w:t>
      </w:r>
      <w:r w:rsidRPr="004A0427">
        <w:rPr>
          <w:rFonts w:cstheme="minorHAnsi"/>
        </w:rPr>
        <w:t>working at low sinks and low tables, sitting on floor and/or low chairs, changing nappies, lifting children, feeding children at mealtimes, moving furniture)</w:t>
      </w:r>
      <w:r w:rsidR="001003C9">
        <w:rPr>
          <w:rFonts w:cstheme="minorHAnsi"/>
        </w:rPr>
        <w:t xml:space="preserve">, these are referred to in the </w:t>
      </w:r>
      <w:r w:rsidR="00AA66CC">
        <w:rPr>
          <w:rFonts w:cstheme="minorHAnsi"/>
        </w:rPr>
        <w:t>analyses as ‘</w:t>
      </w:r>
      <w:r w:rsidR="00AA66CC" w:rsidRPr="008F165C">
        <w:rPr>
          <w:rFonts w:cstheme="minorHAnsi"/>
          <w:i/>
          <w:iCs/>
        </w:rPr>
        <w:t xml:space="preserve">MSK risk </w:t>
      </w:r>
      <w:r w:rsidR="00456084" w:rsidRPr="008F165C">
        <w:rPr>
          <w:rFonts w:cstheme="minorHAnsi"/>
          <w:i/>
          <w:iCs/>
        </w:rPr>
        <w:t>roles</w:t>
      </w:r>
      <w:r w:rsidR="00456084">
        <w:rPr>
          <w:rFonts w:cstheme="minorHAnsi"/>
          <w:i/>
          <w:iCs/>
        </w:rPr>
        <w:t>/actions’</w:t>
      </w:r>
      <w:r w:rsidRPr="004A0427">
        <w:rPr>
          <w:rFonts w:cstheme="minorHAnsi"/>
        </w:rPr>
        <w:t>. If participants reported their role to include a specific MSK risk</w:t>
      </w:r>
      <w:r w:rsidR="00456084">
        <w:rPr>
          <w:rFonts w:cstheme="minorHAnsi"/>
        </w:rPr>
        <w:t>,</w:t>
      </w:r>
      <w:r w:rsidRPr="004A0427">
        <w:rPr>
          <w:rFonts w:cstheme="minorHAnsi"/>
        </w:rPr>
        <w:t xml:space="preserve"> follow up questions asked if this action ever resulted in pain and if so in what</w:t>
      </w:r>
      <w:r w:rsidR="003A334A" w:rsidRPr="004A0427">
        <w:rPr>
          <w:rFonts w:cstheme="minorHAnsi"/>
        </w:rPr>
        <w:t xml:space="preserve"> body</w:t>
      </w:r>
      <w:r w:rsidRPr="004A0427">
        <w:rPr>
          <w:rFonts w:cstheme="minorHAnsi"/>
        </w:rPr>
        <w:t xml:space="preserve"> location. </w:t>
      </w:r>
    </w:p>
    <w:p w14:paraId="5C5D829B" w14:textId="77777777" w:rsidR="00456084" w:rsidRPr="004A0427" w:rsidRDefault="00456084" w:rsidP="002A7D27">
      <w:pPr>
        <w:spacing w:line="480" w:lineRule="auto"/>
        <w:jc w:val="both"/>
        <w:rPr>
          <w:rFonts w:cstheme="minorHAnsi"/>
        </w:rPr>
      </w:pPr>
    </w:p>
    <w:p w14:paraId="38F0EEEB" w14:textId="6BB60908" w:rsidR="002A7D27" w:rsidRPr="004A0427" w:rsidRDefault="002A7D27" w:rsidP="002A7D27">
      <w:pPr>
        <w:spacing w:line="480" w:lineRule="auto"/>
        <w:rPr>
          <w:rFonts w:cstheme="minorHAnsi"/>
          <w:b/>
          <w:bCs/>
          <w:i/>
          <w:iCs/>
        </w:rPr>
      </w:pPr>
      <w:r w:rsidRPr="004A0427">
        <w:rPr>
          <w:rFonts w:cstheme="minorHAnsi"/>
          <w:b/>
          <w:bCs/>
          <w:i/>
          <w:iCs/>
        </w:rPr>
        <w:t xml:space="preserve">MSK </w:t>
      </w:r>
      <w:r w:rsidR="00DE2C9A" w:rsidRPr="004A0427">
        <w:rPr>
          <w:rFonts w:cstheme="minorHAnsi"/>
          <w:b/>
          <w:bCs/>
          <w:i/>
          <w:iCs/>
        </w:rPr>
        <w:t>Protective Factors</w:t>
      </w:r>
    </w:p>
    <w:p w14:paraId="7637C40E" w14:textId="4FF66A58" w:rsidR="002A7D27" w:rsidRDefault="002A7D27" w:rsidP="002A7D27">
      <w:pPr>
        <w:spacing w:line="480" w:lineRule="auto"/>
        <w:jc w:val="both"/>
        <w:rPr>
          <w:rFonts w:cstheme="minorHAnsi"/>
        </w:rPr>
      </w:pPr>
      <w:r w:rsidRPr="004A0427">
        <w:rPr>
          <w:rFonts w:cstheme="minorHAnsi"/>
        </w:rPr>
        <w:tab/>
        <w:t xml:space="preserve">Finally, participants answered questions about the provision of equipment or information which can act in a protective capacity against potential MSK injury. Specifically, </w:t>
      </w:r>
      <w:r w:rsidRPr="004A0427">
        <w:rPr>
          <w:rFonts w:cstheme="minorHAnsi"/>
        </w:rPr>
        <w:lastRenderedPageBreak/>
        <w:t>if settings provided; specialist furniture for working safely at low heights, moving and handling training, information about protective devices (e.g., lumbar supports), sufficient break/recovery time. In each of the mentioned examples, participants were also asked if th</w:t>
      </w:r>
      <w:r w:rsidR="00456084">
        <w:rPr>
          <w:rFonts w:cstheme="minorHAnsi"/>
        </w:rPr>
        <w:t>ey</w:t>
      </w:r>
      <w:r w:rsidRPr="004A0427">
        <w:rPr>
          <w:rFonts w:cstheme="minorHAnsi"/>
        </w:rPr>
        <w:t xml:space="preserve"> thought their setting should provide improved access to the resource or information in question. </w:t>
      </w:r>
    </w:p>
    <w:p w14:paraId="1A81BA96" w14:textId="77777777" w:rsidR="00456084" w:rsidRPr="004A0427" w:rsidRDefault="00456084" w:rsidP="002A7D27">
      <w:pPr>
        <w:spacing w:line="480" w:lineRule="auto"/>
        <w:jc w:val="both"/>
        <w:rPr>
          <w:rFonts w:cstheme="minorHAnsi"/>
        </w:rPr>
      </w:pPr>
    </w:p>
    <w:p w14:paraId="54694100" w14:textId="2EA653BF" w:rsidR="002A7D27" w:rsidRPr="004A0427" w:rsidRDefault="002A7D27" w:rsidP="002A7D27">
      <w:pPr>
        <w:spacing w:line="480" w:lineRule="auto"/>
        <w:rPr>
          <w:rFonts w:cstheme="minorHAnsi"/>
          <w:b/>
          <w:bCs/>
        </w:rPr>
      </w:pPr>
      <w:r w:rsidRPr="004A0427">
        <w:rPr>
          <w:rFonts w:cstheme="minorHAnsi"/>
          <w:b/>
          <w:bCs/>
        </w:rPr>
        <w:t>Analytic Approach:</w:t>
      </w:r>
    </w:p>
    <w:p w14:paraId="64EF76D6" w14:textId="11CF2FE6" w:rsidR="002A7D27" w:rsidRPr="004A0427" w:rsidRDefault="002A7D27" w:rsidP="002A7D27">
      <w:pPr>
        <w:spacing w:line="480" w:lineRule="auto"/>
        <w:ind w:firstLine="720"/>
        <w:jc w:val="both"/>
        <w:rPr>
          <w:rFonts w:cstheme="minorHAnsi"/>
        </w:rPr>
      </w:pPr>
      <w:r w:rsidRPr="004A0427">
        <w:rPr>
          <w:rFonts w:cstheme="minorHAnsi"/>
        </w:rPr>
        <w:t xml:space="preserve">Checking of assumptions prior to execution of </w:t>
      </w:r>
      <w:r w:rsidR="00C53298" w:rsidRPr="004A0427">
        <w:rPr>
          <w:rFonts w:cstheme="minorHAnsi"/>
        </w:rPr>
        <w:t xml:space="preserve">planned </w:t>
      </w:r>
      <w:r w:rsidRPr="004A0427">
        <w:rPr>
          <w:rFonts w:cstheme="minorHAnsi"/>
        </w:rPr>
        <w:t>analys</w:t>
      </w:r>
      <w:r w:rsidR="00C53298" w:rsidRPr="004A0427">
        <w:rPr>
          <w:rFonts w:cstheme="minorHAnsi"/>
        </w:rPr>
        <w:t>e</w:t>
      </w:r>
      <w:r w:rsidRPr="004A0427">
        <w:rPr>
          <w:rFonts w:cstheme="minorHAnsi"/>
        </w:rPr>
        <w:t>s found no concern regarding linearity, multicollinearity, outliers or leverage points in the data. Minor deviations from normality</w:t>
      </w:r>
      <w:r w:rsidR="00345033">
        <w:rPr>
          <w:rFonts w:cstheme="minorHAnsi"/>
        </w:rPr>
        <w:t>,</w:t>
      </w:r>
      <w:r w:rsidRPr="004A0427">
        <w:rPr>
          <w:rFonts w:cstheme="minorHAnsi"/>
        </w:rPr>
        <w:t xml:space="preserve"> and/or marginal </w:t>
      </w:r>
      <w:r w:rsidR="00E802FB">
        <w:rPr>
          <w:rStyle w:val="hgkelc"/>
          <w:rFonts w:cstheme="minorHAnsi"/>
          <w:lang w:val="en"/>
        </w:rPr>
        <w:t>h</w:t>
      </w:r>
      <w:r w:rsidRPr="004A0427">
        <w:rPr>
          <w:rStyle w:val="hgkelc"/>
          <w:rFonts w:cstheme="minorHAnsi"/>
          <w:lang w:val="en"/>
        </w:rPr>
        <w:t>eteroscedasticity</w:t>
      </w:r>
      <w:r w:rsidRPr="004A0427">
        <w:rPr>
          <w:rFonts w:cstheme="minorHAnsi"/>
        </w:rPr>
        <w:t xml:space="preserve"> </w:t>
      </w:r>
      <w:r w:rsidR="000E510C">
        <w:rPr>
          <w:rFonts w:cstheme="minorHAnsi"/>
        </w:rPr>
        <w:t>were</w:t>
      </w:r>
      <w:r w:rsidRPr="004A0427">
        <w:rPr>
          <w:rFonts w:cstheme="minorHAnsi"/>
        </w:rPr>
        <w:t xml:space="preserve"> identified in each of the multiple regression models</w:t>
      </w:r>
      <w:r w:rsidR="004700DE">
        <w:rPr>
          <w:rFonts w:cstheme="minorHAnsi"/>
        </w:rPr>
        <w:t>.</w:t>
      </w:r>
      <w:r w:rsidRPr="004A0427">
        <w:rPr>
          <w:rFonts w:cstheme="minorHAnsi"/>
        </w:rPr>
        <w:t xml:space="preserve"> </w:t>
      </w:r>
      <w:r w:rsidR="004700DE">
        <w:rPr>
          <w:rFonts w:cstheme="minorHAnsi"/>
        </w:rPr>
        <w:t>I</w:t>
      </w:r>
      <w:r w:rsidRPr="004A0427">
        <w:rPr>
          <w:rFonts w:cstheme="minorHAnsi"/>
        </w:rPr>
        <w:t xml:space="preserve">n response to this, bootstrapping was applied in </w:t>
      </w:r>
      <w:r w:rsidR="00696347" w:rsidRPr="004A0427">
        <w:rPr>
          <w:rFonts w:cstheme="minorHAnsi"/>
        </w:rPr>
        <w:t>all</w:t>
      </w:r>
      <w:r w:rsidRPr="004A0427">
        <w:rPr>
          <w:rFonts w:cstheme="minorHAnsi"/>
        </w:rPr>
        <w:t xml:space="preserve"> these instances (n=2000 samples). </w:t>
      </w:r>
      <w:r w:rsidR="00863409" w:rsidRPr="004A0427">
        <w:rPr>
          <w:rFonts w:cstheme="minorHAnsi"/>
        </w:rPr>
        <w:t>Also, n</w:t>
      </w:r>
      <w:r w:rsidRPr="004A0427">
        <w:rPr>
          <w:rFonts w:cstheme="minorHAnsi"/>
        </w:rPr>
        <w:t xml:space="preserve">on-parametric analysis was selected for comparison between groups due to this. </w:t>
      </w:r>
      <w:r w:rsidR="005D6405">
        <w:rPr>
          <w:rFonts w:cstheme="minorHAnsi"/>
        </w:rPr>
        <w:t>All analys</w:t>
      </w:r>
      <w:r w:rsidR="0046704A">
        <w:rPr>
          <w:rFonts w:cstheme="minorHAnsi"/>
        </w:rPr>
        <w:t>e</w:t>
      </w:r>
      <w:r w:rsidR="005D6405">
        <w:rPr>
          <w:rFonts w:cstheme="minorHAnsi"/>
        </w:rPr>
        <w:t xml:space="preserve">s reported </w:t>
      </w:r>
      <w:r w:rsidR="0046704A">
        <w:rPr>
          <w:rFonts w:cstheme="minorHAnsi"/>
        </w:rPr>
        <w:t>here have been conducted using IBM SPSS 28.</w:t>
      </w:r>
    </w:p>
    <w:p w14:paraId="51AEE7C7" w14:textId="7DA745DA" w:rsidR="002A7D27" w:rsidRPr="004A0427" w:rsidRDefault="002A7D27" w:rsidP="002A7D27">
      <w:pPr>
        <w:spacing w:line="480" w:lineRule="auto"/>
        <w:ind w:firstLine="720"/>
        <w:jc w:val="both"/>
        <w:rPr>
          <w:rFonts w:cstheme="minorHAnsi"/>
        </w:rPr>
      </w:pPr>
      <w:r w:rsidRPr="004A0427">
        <w:rPr>
          <w:rFonts w:cstheme="minorHAnsi"/>
        </w:rPr>
        <w:t xml:space="preserve">Hierarchal multiple regression </w:t>
      </w:r>
      <w:r w:rsidR="00696347">
        <w:rPr>
          <w:rFonts w:cstheme="minorHAnsi"/>
        </w:rPr>
        <w:t>was</w:t>
      </w:r>
      <w:r w:rsidRPr="004A0427">
        <w:rPr>
          <w:rFonts w:cstheme="minorHAnsi"/>
        </w:rPr>
        <w:t xml:space="preserve"> used to establish if the </w:t>
      </w:r>
      <w:r w:rsidR="00863409" w:rsidRPr="004A0427">
        <w:rPr>
          <w:rFonts w:cstheme="minorHAnsi"/>
        </w:rPr>
        <w:t>predictor</w:t>
      </w:r>
      <w:r w:rsidRPr="004A0427">
        <w:rPr>
          <w:rFonts w:cstheme="minorHAnsi"/>
        </w:rPr>
        <w:t xml:space="preserve">s </w:t>
      </w:r>
      <w:r w:rsidR="00863409" w:rsidRPr="004A0427">
        <w:rPr>
          <w:rFonts w:cstheme="minorHAnsi"/>
        </w:rPr>
        <w:t>(</w:t>
      </w:r>
      <w:r w:rsidR="00696347">
        <w:rPr>
          <w:rFonts w:cstheme="minorHAnsi"/>
        </w:rPr>
        <w:t>a</w:t>
      </w:r>
      <w:r w:rsidRPr="004A0427">
        <w:rPr>
          <w:rFonts w:cstheme="minorHAnsi"/>
        </w:rPr>
        <w:t xml:space="preserve">verage frequency of MSK </w:t>
      </w:r>
      <w:r w:rsidR="00A156CB" w:rsidRPr="004A0427">
        <w:rPr>
          <w:rFonts w:cstheme="minorHAnsi"/>
        </w:rPr>
        <w:t xml:space="preserve">risk </w:t>
      </w:r>
      <w:r w:rsidRPr="004A0427">
        <w:rPr>
          <w:rFonts w:cstheme="minorHAnsi"/>
        </w:rPr>
        <w:t xml:space="preserve">role activities, and </w:t>
      </w:r>
      <w:r w:rsidR="00696347">
        <w:rPr>
          <w:rFonts w:cstheme="minorHAnsi"/>
        </w:rPr>
        <w:t>p</w:t>
      </w:r>
      <w:r w:rsidRPr="004A0427">
        <w:rPr>
          <w:rFonts w:cstheme="minorHAnsi"/>
        </w:rPr>
        <w:t xml:space="preserve">rovision of MSK protective </w:t>
      </w:r>
      <w:r w:rsidR="00696347">
        <w:rPr>
          <w:rFonts w:cstheme="minorHAnsi"/>
        </w:rPr>
        <w:t>f</w:t>
      </w:r>
      <w:r w:rsidRPr="004A0427">
        <w:rPr>
          <w:rFonts w:cstheme="minorHAnsi"/>
        </w:rPr>
        <w:t>actors</w:t>
      </w:r>
      <w:r w:rsidR="00863409" w:rsidRPr="004A0427">
        <w:rPr>
          <w:rFonts w:cstheme="minorHAnsi"/>
        </w:rPr>
        <w:t>)</w:t>
      </w:r>
      <w:r w:rsidRPr="004A0427">
        <w:rPr>
          <w:rFonts w:cstheme="minorHAnsi"/>
        </w:rPr>
        <w:t xml:space="preserve"> significantly predict the composite scores generated from </w:t>
      </w:r>
      <w:r w:rsidR="00696347">
        <w:rPr>
          <w:rFonts w:cstheme="minorHAnsi"/>
        </w:rPr>
        <w:t>n</w:t>
      </w:r>
      <w:r w:rsidRPr="004A0427">
        <w:rPr>
          <w:rFonts w:cstheme="minorHAnsi"/>
        </w:rPr>
        <w:t xml:space="preserve">umber of </w:t>
      </w:r>
      <w:r w:rsidR="00696347">
        <w:rPr>
          <w:rFonts w:cstheme="minorHAnsi"/>
        </w:rPr>
        <w:t>p</w:t>
      </w:r>
      <w:r w:rsidRPr="004A0427">
        <w:rPr>
          <w:rFonts w:cstheme="minorHAnsi"/>
        </w:rPr>
        <w:t xml:space="preserve">ain </w:t>
      </w:r>
      <w:r w:rsidR="00696347">
        <w:rPr>
          <w:rFonts w:cstheme="minorHAnsi"/>
        </w:rPr>
        <w:t>l</w:t>
      </w:r>
      <w:r w:rsidRPr="004A0427">
        <w:rPr>
          <w:rFonts w:cstheme="minorHAnsi"/>
        </w:rPr>
        <w:t>ocations, and mean scores for pain</w:t>
      </w:r>
      <w:r w:rsidR="00863409" w:rsidRPr="004A0427">
        <w:rPr>
          <w:rFonts w:cstheme="minorHAnsi"/>
        </w:rPr>
        <w:t>,</w:t>
      </w:r>
      <w:r w:rsidRPr="004A0427">
        <w:rPr>
          <w:rFonts w:cstheme="minorHAnsi"/>
        </w:rPr>
        <w:t xml:space="preserve"> intensity</w:t>
      </w:r>
      <w:r w:rsidR="00863409" w:rsidRPr="004A0427">
        <w:rPr>
          <w:rFonts w:cstheme="minorHAnsi"/>
        </w:rPr>
        <w:t>,</w:t>
      </w:r>
      <w:r w:rsidRPr="004A0427">
        <w:rPr>
          <w:rFonts w:cstheme="minorHAnsi"/>
        </w:rPr>
        <w:t xml:space="preserve"> onset</w:t>
      </w:r>
      <w:r w:rsidR="00863409" w:rsidRPr="004A0427">
        <w:rPr>
          <w:rFonts w:cstheme="minorHAnsi"/>
        </w:rPr>
        <w:t>,</w:t>
      </w:r>
      <w:r w:rsidRPr="004A0427">
        <w:rPr>
          <w:rFonts w:cstheme="minorHAnsi"/>
        </w:rPr>
        <w:t xml:space="preserve"> frequency</w:t>
      </w:r>
      <w:r w:rsidR="00863409" w:rsidRPr="004A0427">
        <w:rPr>
          <w:rFonts w:cstheme="minorHAnsi"/>
        </w:rPr>
        <w:t>,</w:t>
      </w:r>
      <w:r w:rsidRPr="004A0427">
        <w:rPr>
          <w:rFonts w:cstheme="minorHAnsi"/>
        </w:rPr>
        <w:t xml:space="preserve"> and duration</w:t>
      </w:r>
      <w:r w:rsidR="00863409" w:rsidRPr="004A0427">
        <w:rPr>
          <w:rFonts w:cstheme="minorHAnsi"/>
        </w:rPr>
        <w:t xml:space="preserve">. Models </w:t>
      </w:r>
      <w:r w:rsidR="000D6486" w:rsidRPr="004A0427">
        <w:rPr>
          <w:rFonts w:cstheme="minorHAnsi"/>
        </w:rPr>
        <w:t xml:space="preserve">cumulatively </w:t>
      </w:r>
      <w:r w:rsidR="00863409" w:rsidRPr="004A0427">
        <w:rPr>
          <w:rFonts w:cstheme="minorHAnsi"/>
        </w:rPr>
        <w:t>corrected for</w:t>
      </w:r>
      <w:r w:rsidRPr="004A0427">
        <w:rPr>
          <w:rFonts w:cstheme="minorHAnsi"/>
        </w:rPr>
        <w:t xml:space="preserve"> </w:t>
      </w:r>
      <w:r w:rsidR="00863409" w:rsidRPr="004A0427">
        <w:rPr>
          <w:rFonts w:cstheme="minorHAnsi"/>
        </w:rPr>
        <w:t>a</w:t>
      </w:r>
      <w:r w:rsidRPr="004A0427">
        <w:rPr>
          <w:rFonts w:cstheme="minorHAnsi"/>
        </w:rPr>
        <w:t xml:space="preserve">ge, </w:t>
      </w:r>
      <w:r w:rsidR="00863409" w:rsidRPr="004A0427">
        <w:rPr>
          <w:rFonts w:cstheme="minorHAnsi"/>
        </w:rPr>
        <w:t>number</w:t>
      </w:r>
      <w:r w:rsidRPr="004A0427">
        <w:rPr>
          <w:rFonts w:cstheme="minorHAnsi"/>
        </w:rPr>
        <w:t xml:space="preserve"> of children, </w:t>
      </w:r>
      <w:r w:rsidR="00863409" w:rsidRPr="004A0427">
        <w:rPr>
          <w:rFonts w:cstheme="minorHAnsi"/>
        </w:rPr>
        <w:t>and e</w:t>
      </w:r>
      <w:r w:rsidRPr="004A0427">
        <w:rPr>
          <w:rFonts w:cstheme="minorHAnsi"/>
        </w:rPr>
        <w:t>ducation level [model 1]</w:t>
      </w:r>
      <w:r w:rsidR="00863409" w:rsidRPr="004A0427">
        <w:rPr>
          <w:rFonts w:cstheme="minorHAnsi"/>
        </w:rPr>
        <w:t>,</w:t>
      </w:r>
      <w:r w:rsidRPr="004A0427">
        <w:rPr>
          <w:rFonts w:cstheme="minorHAnsi"/>
        </w:rPr>
        <w:t xml:space="preserve"> and </w:t>
      </w:r>
      <w:r w:rsidR="00863409" w:rsidRPr="004A0427">
        <w:rPr>
          <w:rFonts w:cstheme="minorHAnsi"/>
        </w:rPr>
        <w:t>additionally h</w:t>
      </w:r>
      <w:r w:rsidRPr="004A0427">
        <w:rPr>
          <w:rFonts w:cstheme="minorHAnsi"/>
        </w:rPr>
        <w:t>ours per week</w:t>
      </w:r>
      <w:r w:rsidR="00863409" w:rsidRPr="004A0427">
        <w:rPr>
          <w:rFonts w:cstheme="minorHAnsi"/>
        </w:rPr>
        <w:t xml:space="preserve"> worked</w:t>
      </w:r>
      <w:r w:rsidRPr="004A0427">
        <w:rPr>
          <w:rFonts w:cstheme="minorHAnsi"/>
        </w:rPr>
        <w:t xml:space="preserve">, </w:t>
      </w:r>
      <w:r w:rsidR="00863409" w:rsidRPr="004A0427">
        <w:rPr>
          <w:rFonts w:cstheme="minorHAnsi"/>
        </w:rPr>
        <w:t>d</w:t>
      </w:r>
      <w:r w:rsidRPr="004A0427">
        <w:rPr>
          <w:rFonts w:cstheme="minorHAnsi"/>
        </w:rPr>
        <w:t>ays per week</w:t>
      </w:r>
      <w:r w:rsidR="00863409" w:rsidRPr="004A0427">
        <w:rPr>
          <w:rFonts w:cstheme="minorHAnsi"/>
        </w:rPr>
        <w:t xml:space="preserve"> worked</w:t>
      </w:r>
      <w:r w:rsidRPr="004A0427">
        <w:rPr>
          <w:rFonts w:cstheme="minorHAnsi"/>
        </w:rPr>
        <w:t xml:space="preserve">, </w:t>
      </w:r>
      <w:r w:rsidR="00863409" w:rsidRPr="004A0427">
        <w:rPr>
          <w:rFonts w:cstheme="minorHAnsi"/>
        </w:rPr>
        <w:t>y</w:t>
      </w:r>
      <w:r w:rsidRPr="004A0427">
        <w:rPr>
          <w:rFonts w:cstheme="minorHAnsi"/>
        </w:rPr>
        <w:t xml:space="preserve">ears of service, </w:t>
      </w:r>
      <w:r w:rsidR="00863409" w:rsidRPr="004A0427">
        <w:rPr>
          <w:rFonts w:cstheme="minorHAnsi"/>
        </w:rPr>
        <w:t>and p</w:t>
      </w:r>
      <w:r w:rsidRPr="004A0427">
        <w:rPr>
          <w:rFonts w:cstheme="minorHAnsi"/>
        </w:rPr>
        <w:t>ercentage of practical work in role [model 2].</w:t>
      </w:r>
    </w:p>
    <w:p w14:paraId="3DFE96AF" w14:textId="5D334257" w:rsidR="002A7D27" w:rsidRPr="004A0427" w:rsidRDefault="00164341" w:rsidP="002A7D27">
      <w:pPr>
        <w:spacing w:line="480" w:lineRule="auto"/>
        <w:ind w:firstLine="720"/>
        <w:jc w:val="both"/>
        <w:rPr>
          <w:rFonts w:cstheme="minorHAnsi"/>
        </w:rPr>
      </w:pPr>
      <w:r w:rsidRPr="004A0427">
        <w:rPr>
          <w:rFonts w:cstheme="minorHAnsi"/>
        </w:rPr>
        <w:t xml:space="preserve">In addition, </w:t>
      </w:r>
      <w:r w:rsidR="00095D4B">
        <w:rPr>
          <w:rFonts w:cstheme="minorHAnsi"/>
        </w:rPr>
        <w:t>h</w:t>
      </w:r>
      <w:r w:rsidR="002A7D27" w:rsidRPr="004A0427">
        <w:rPr>
          <w:rFonts w:cstheme="minorHAnsi"/>
        </w:rPr>
        <w:t xml:space="preserve">ierarchal </w:t>
      </w:r>
      <w:r w:rsidR="00095D4B">
        <w:rPr>
          <w:rFonts w:cstheme="minorHAnsi"/>
        </w:rPr>
        <w:t>b</w:t>
      </w:r>
      <w:r w:rsidR="002A7D27" w:rsidRPr="004A0427">
        <w:rPr>
          <w:rFonts w:cstheme="minorHAnsi"/>
        </w:rPr>
        <w:t xml:space="preserve">inomial </w:t>
      </w:r>
      <w:r w:rsidR="00095D4B">
        <w:rPr>
          <w:rFonts w:cstheme="minorHAnsi"/>
        </w:rPr>
        <w:t>l</w:t>
      </w:r>
      <w:r w:rsidR="002A7D27" w:rsidRPr="004A0427">
        <w:rPr>
          <w:rFonts w:cstheme="minorHAnsi"/>
        </w:rPr>
        <w:t xml:space="preserve">ogistic </w:t>
      </w:r>
      <w:r w:rsidR="00095D4B">
        <w:rPr>
          <w:rFonts w:cstheme="minorHAnsi"/>
        </w:rPr>
        <w:t>r</w:t>
      </w:r>
      <w:r w:rsidR="002A7D27" w:rsidRPr="004A0427">
        <w:rPr>
          <w:rFonts w:cstheme="minorHAnsi"/>
        </w:rPr>
        <w:t xml:space="preserve">egression </w:t>
      </w:r>
      <w:r w:rsidR="00B730A1" w:rsidRPr="004A0427">
        <w:rPr>
          <w:rFonts w:cstheme="minorHAnsi"/>
        </w:rPr>
        <w:t>is</w:t>
      </w:r>
      <w:r w:rsidR="002A7D27" w:rsidRPr="004A0427">
        <w:rPr>
          <w:rFonts w:cstheme="minorHAnsi"/>
        </w:rPr>
        <w:t xml:space="preserve"> applied to establish if </w:t>
      </w:r>
      <w:r w:rsidRPr="004A0427">
        <w:rPr>
          <w:rFonts w:cstheme="minorHAnsi"/>
        </w:rPr>
        <w:t>m</w:t>
      </w:r>
      <w:r w:rsidR="002A7D27" w:rsidRPr="004A0427">
        <w:rPr>
          <w:rFonts w:cstheme="minorHAnsi"/>
        </w:rPr>
        <w:t>ean frequency of MSK risk</w:t>
      </w:r>
      <w:r w:rsidR="00ED6AB5" w:rsidRPr="00ED6AB5">
        <w:rPr>
          <w:rFonts w:cstheme="minorHAnsi"/>
        </w:rPr>
        <w:t xml:space="preserve"> </w:t>
      </w:r>
      <w:r w:rsidR="00ED6AB5" w:rsidRPr="004A0427">
        <w:rPr>
          <w:rFonts w:cstheme="minorHAnsi"/>
        </w:rPr>
        <w:t>role</w:t>
      </w:r>
      <w:r w:rsidR="002A7D27" w:rsidRPr="004A0427">
        <w:rPr>
          <w:rFonts w:cstheme="minorHAnsi"/>
        </w:rPr>
        <w:t xml:space="preserve"> activities, </w:t>
      </w:r>
      <w:r w:rsidRPr="004A0427">
        <w:rPr>
          <w:rFonts w:cstheme="minorHAnsi"/>
        </w:rPr>
        <w:t>a</w:t>
      </w:r>
      <w:r w:rsidR="002A7D27" w:rsidRPr="004A0427">
        <w:rPr>
          <w:rFonts w:cstheme="minorHAnsi"/>
        </w:rPr>
        <w:t xml:space="preserve">verage frequency of pain caused by MSK risk roles, and </w:t>
      </w:r>
      <w:r w:rsidRPr="004A0427">
        <w:rPr>
          <w:rFonts w:cstheme="minorHAnsi"/>
        </w:rPr>
        <w:t>p</w:t>
      </w:r>
      <w:r w:rsidR="002A7D27" w:rsidRPr="004A0427">
        <w:rPr>
          <w:rFonts w:cstheme="minorHAnsi"/>
        </w:rPr>
        <w:t>rovision of MSK protective factors predict</w:t>
      </w:r>
      <w:r w:rsidR="004700DE">
        <w:rPr>
          <w:rFonts w:cstheme="minorHAnsi"/>
        </w:rPr>
        <w:t>ed</w:t>
      </w:r>
      <w:r w:rsidR="002A7D27" w:rsidRPr="004A0427">
        <w:rPr>
          <w:rFonts w:cstheme="minorHAnsi"/>
        </w:rPr>
        <w:t xml:space="preserve"> either </w:t>
      </w:r>
      <w:r w:rsidR="002A0412" w:rsidRPr="004A0427">
        <w:rPr>
          <w:rFonts w:cstheme="minorHAnsi"/>
        </w:rPr>
        <w:t>l</w:t>
      </w:r>
      <w:r w:rsidR="002A7D27" w:rsidRPr="004A0427">
        <w:rPr>
          <w:rFonts w:cstheme="minorHAnsi"/>
        </w:rPr>
        <w:t xml:space="preserve">ikelihood of taking time off work due to MSK pain or </w:t>
      </w:r>
      <w:r w:rsidR="002A0412" w:rsidRPr="004A0427">
        <w:rPr>
          <w:rFonts w:cstheme="minorHAnsi"/>
        </w:rPr>
        <w:t>l</w:t>
      </w:r>
      <w:r w:rsidR="002A7D27" w:rsidRPr="004A0427">
        <w:rPr>
          <w:rFonts w:cstheme="minorHAnsi"/>
        </w:rPr>
        <w:t>ikelihood of considering changing jobs</w:t>
      </w:r>
      <w:r w:rsidR="000D6486" w:rsidRPr="004A0427">
        <w:rPr>
          <w:rFonts w:cstheme="minorHAnsi"/>
        </w:rPr>
        <w:t>. Models cumulatively corrected for</w:t>
      </w:r>
      <w:r w:rsidR="002A7D27" w:rsidRPr="004A0427">
        <w:rPr>
          <w:rFonts w:cstheme="minorHAnsi"/>
        </w:rPr>
        <w:t xml:space="preserve"> </w:t>
      </w:r>
      <w:r w:rsidR="000D6486" w:rsidRPr="004A0427">
        <w:rPr>
          <w:rFonts w:cstheme="minorHAnsi"/>
        </w:rPr>
        <w:t>a</w:t>
      </w:r>
      <w:r w:rsidR="002A7D27" w:rsidRPr="004A0427">
        <w:rPr>
          <w:rFonts w:cstheme="minorHAnsi"/>
        </w:rPr>
        <w:t xml:space="preserve">ge, </w:t>
      </w:r>
      <w:r w:rsidR="000D6486" w:rsidRPr="004A0427">
        <w:rPr>
          <w:rFonts w:cstheme="minorHAnsi"/>
        </w:rPr>
        <w:t>number</w:t>
      </w:r>
      <w:r w:rsidR="002A7D27" w:rsidRPr="004A0427">
        <w:rPr>
          <w:rFonts w:cstheme="minorHAnsi"/>
        </w:rPr>
        <w:t xml:space="preserve"> of children, </w:t>
      </w:r>
      <w:r w:rsidR="000D6486" w:rsidRPr="004A0427">
        <w:rPr>
          <w:rFonts w:cstheme="minorHAnsi"/>
        </w:rPr>
        <w:t>e</w:t>
      </w:r>
      <w:r w:rsidR="002A7D27" w:rsidRPr="004A0427">
        <w:rPr>
          <w:rFonts w:cstheme="minorHAnsi"/>
        </w:rPr>
        <w:t xml:space="preserve">ducation level </w:t>
      </w:r>
      <w:r w:rsidR="00ED6AB5">
        <w:rPr>
          <w:rFonts w:cstheme="minorHAnsi"/>
        </w:rPr>
        <w:t>[</w:t>
      </w:r>
      <w:r w:rsidR="002A7D27" w:rsidRPr="004A0427">
        <w:rPr>
          <w:rFonts w:cstheme="minorHAnsi"/>
        </w:rPr>
        <w:t>model 1</w:t>
      </w:r>
      <w:r w:rsidR="00ED6AB5">
        <w:rPr>
          <w:rFonts w:cstheme="minorHAnsi"/>
        </w:rPr>
        <w:t>]</w:t>
      </w:r>
      <w:r w:rsidR="002A7D27" w:rsidRPr="004A0427">
        <w:rPr>
          <w:rFonts w:cstheme="minorHAnsi"/>
        </w:rPr>
        <w:t xml:space="preserve">, </w:t>
      </w:r>
      <w:r w:rsidR="000D6486" w:rsidRPr="004A0427">
        <w:rPr>
          <w:rFonts w:cstheme="minorHAnsi"/>
        </w:rPr>
        <w:t>h</w:t>
      </w:r>
      <w:r w:rsidR="002A7D27" w:rsidRPr="004A0427">
        <w:rPr>
          <w:rFonts w:cstheme="minorHAnsi"/>
        </w:rPr>
        <w:t xml:space="preserve">ours </w:t>
      </w:r>
      <w:r w:rsidR="000D6486" w:rsidRPr="004A0427">
        <w:rPr>
          <w:rFonts w:cstheme="minorHAnsi"/>
        </w:rPr>
        <w:t xml:space="preserve">worked </w:t>
      </w:r>
      <w:r w:rsidR="002A7D27" w:rsidRPr="004A0427">
        <w:rPr>
          <w:rFonts w:cstheme="minorHAnsi"/>
        </w:rPr>
        <w:t xml:space="preserve">per week, </w:t>
      </w:r>
      <w:r w:rsidR="000D6486" w:rsidRPr="004A0427">
        <w:rPr>
          <w:rFonts w:cstheme="minorHAnsi"/>
        </w:rPr>
        <w:t>d</w:t>
      </w:r>
      <w:r w:rsidR="002A7D27" w:rsidRPr="004A0427">
        <w:rPr>
          <w:rFonts w:cstheme="minorHAnsi"/>
        </w:rPr>
        <w:t>ays</w:t>
      </w:r>
      <w:r w:rsidR="000D6486" w:rsidRPr="004A0427">
        <w:rPr>
          <w:rFonts w:cstheme="minorHAnsi"/>
        </w:rPr>
        <w:t xml:space="preserve"> worked</w:t>
      </w:r>
      <w:r w:rsidR="002A7D27" w:rsidRPr="004A0427">
        <w:rPr>
          <w:rFonts w:cstheme="minorHAnsi"/>
        </w:rPr>
        <w:t xml:space="preserve"> per week, </w:t>
      </w:r>
      <w:r w:rsidR="000D6486" w:rsidRPr="004A0427">
        <w:rPr>
          <w:rFonts w:cstheme="minorHAnsi"/>
        </w:rPr>
        <w:t>y</w:t>
      </w:r>
      <w:r w:rsidR="002A7D27" w:rsidRPr="004A0427">
        <w:rPr>
          <w:rFonts w:cstheme="minorHAnsi"/>
        </w:rPr>
        <w:t xml:space="preserve">ears of service, </w:t>
      </w:r>
      <w:r w:rsidR="000D6486" w:rsidRPr="004A0427">
        <w:rPr>
          <w:rFonts w:cstheme="minorHAnsi"/>
        </w:rPr>
        <w:t>p</w:t>
      </w:r>
      <w:r w:rsidR="002A7D27" w:rsidRPr="004A0427">
        <w:rPr>
          <w:rFonts w:cstheme="minorHAnsi"/>
        </w:rPr>
        <w:t xml:space="preserve">ercentage of practical work in role </w:t>
      </w:r>
      <w:r w:rsidR="00ED6AB5">
        <w:rPr>
          <w:rFonts w:cstheme="minorHAnsi"/>
        </w:rPr>
        <w:t>[</w:t>
      </w:r>
      <w:r w:rsidR="002A7D27" w:rsidRPr="004A0427">
        <w:rPr>
          <w:rFonts w:cstheme="minorHAnsi"/>
        </w:rPr>
        <w:t>model 2</w:t>
      </w:r>
      <w:r w:rsidR="00ED6AB5">
        <w:rPr>
          <w:rFonts w:cstheme="minorHAnsi"/>
        </w:rPr>
        <w:t>]</w:t>
      </w:r>
      <w:r w:rsidR="002A7D27" w:rsidRPr="004A0427">
        <w:rPr>
          <w:rFonts w:cstheme="minorHAnsi"/>
        </w:rPr>
        <w:t xml:space="preserve">, and </w:t>
      </w:r>
      <w:r w:rsidR="000D6486" w:rsidRPr="004A0427">
        <w:rPr>
          <w:rFonts w:cstheme="minorHAnsi"/>
        </w:rPr>
        <w:t>b</w:t>
      </w:r>
      <w:r w:rsidR="002A7D27" w:rsidRPr="004A0427">
        <w:rPr>
          <w:rFonts w:cstheme="minorHAnsi"/>
        </w:rPr>
        <w:t xml:space="preserve">othersomeness, </w:t>
      </w:r>
      <w:r w:rsidR="000D6486" w:rsidRPr="004A0427">
        <w:rPr>
          <w:rFonts w:cstheme="minorHAnsi"/>
        </w:rPr>
        <w:lastRenderedPageBreak/>
        <w:t>n</w:t>
      </w:r>
      <w:r w:rsidR="002A7D27" w:rsidRPr="004A0427">
        <w:rPr>
          <w:rFonts w:cstheme="minorHAnsi"/>
        </w:rPr>
        <w:t xml:space="preserve">umber of pain locations, </w:t>
      </w:r>
      <w:r w:rsidR="000D6486" w:rsidRPr="004A0427">
        <w:rPr>
          <w:rFonts w:cstheme="minorHAnsi"/>
        </w:rPr>
        <w:t>a</w:t>
      </w:r>
      <w:r w:rsidR="002A7D27" w:rsidRPr="004A0427">
        <w:rPr>
          <w:rFonts w:cstheme="minorHAnsi"/>
        </w:rPr>
        <w:t xml:space="preserve">verage pain intensity, </w:t>
      </w:r>
      <w:r w:rsidR="000D6486" w:rsidRPr="004A0427">
        <w:rPr>
          <w:rFonts w:cstheme="minorHAnsi"/>
        </w:rPr>
        <w:t>a</w:t>
      </w:r>
      <w:r w:rsidR="002A7D27" w:rsidRPr="004A0427">
        <w:rPr>
          <w:rFonts w:cstheme="minorHAnsi"/>
        </w:rPr>
        <w:t xml:space="preserve">verage time since onset, </w:t>
      </w:r>
      <w:r w:rsidR="000D6486" w:rsidRPr="004A0427">
        <w:rPr>
          <w:rFonts w:cstheme="minorHAnsi"/>
        </w:rPr>
        <w:t>a</w:t>
      </w:r>
      <w:r w:rsidR="002A7D27" w:rsidRPr="004A0427">
        <w:rPr>
          <w:rFonts w:cstheme="minorHAnsi"/>
        </w:rPr>
        <w:t xml:space="preserve">verage </w:t>
      </w:r>
      <w:r w:rsidR="000D6486" w:rsidRPr="004A0427">
        <w:rPr>
          <w:rFonts w:cstheme="minorHAnsi"/>
        </w:rPr>
        <w:t>p</w:t>
      </w:r>
      <w:r w:rsidR="002A7D27" w:rsidRPr="004A0427">
        <w:rPr>
          <w:rFonts w:cstheme="minorHAnsi"/>
        </w:rPr>
        <w:t xml:space="preserve">ain frequency, </w:t>
      </w:r>
      <w:r w:rsidR="000D6486" w:rsidRPr="004A0427">
        <w:rPr>
          <w:rFonts w:cstheme="minorHAnsi"/>
        </w:rPr>
        <w:t>and a</w:t>
      </w:r>
      <w:r w:rsidR="002A7D27" w:rsidRPr="004A0427">
        <w:rPr>
          <w:rFonts w:cstheme="minorHAnsi"/>
        </w:rPr>
        <w:t xml:space="preserve">verage </w:t>
      </w:r>
      <w:r w:rsidR="000D6486" w:rsidRPr="004A0427">
        <w:rPr>
          <w:rFonts w:cstheme="minorHAnsi"/>
        </w:rPr>
        <w:t>p</w:t>
      </w:r>
      <w:r w:rsidR="002A7D27" w:rsidRPr="004A0427">
        <w:rPr>
          <w:rFonts w:cstheme="minorHAnsi"/>
        </w:rPr>
        <w:t xml:space="preserve">ain </w:t>
      </w:r>
      <w:r w:rsidR="000D6486" w:rsidRPr="004A0427">
        <w:rPr>
          <w:rFonts w:cstheme="minorHAnsi"/>
        </w:rPr>
        <w:t>d</w:t>
      </w:r>
      <w:r w:rsidR="002A7D27" w:rsidRPr="004A0427">
        <w:rPr>
          <w:rFonts w:cstheme="minorHAnsi"/>
        </w:rPr>
        <w:t xml:space="preserve">uration </w:t>
      </w:r>
      <w:r w:rsidR="00ED6AB5">
        <w:rPr>
          <w:rFonts w:cstheme="minorHAnsi"/>
        </w:rPr>
        <w:t>[</w:t>
      </w:r>
      <w:r w:rsidR="002A7D27" w:rsidRPr="004A0427">
        <w:rPr>
          <w:rFonts w:cstheme="minorHAnsi"/>
        </w:rPr>
        <w:t>model 3</w:t>
      </w:r>
      <w:r w:rsidR="00ED6AB5">
        <w:rPr>
          <w:rFonts w:cstheme="minorHAnsi"/>
        </w:rPr>
        <w:t>]</w:t>
      </w:r>
      <w:r w:rsidR="002A7D27" w:rsidRPr="004A0427">
        <w:rPr>
          <w:rFonts w:cstheme="minorHAnsi"/>
        </w:rPr>
        <w:t>.</w:t>
      </w:r>
    </w:p>
    <w:p w14:paraId="7E0EE937" w14:textId="380003D2" w:rsidR="002A7D27" w:rsidRPr="004A0427" w:rsidRDefault="002A7D27" w:rsidP="002A7D27">
      <w:pPr>
        <w:spacing w:line="480" w:lineRule="auto"/>
        <w:ind w:firstLine="720"/>
        <w:jc w:val="both"/>
        <w:rPr>
          <w:rFonts w:cstheme="minorHAnsi"/>
        </w:rPr>
      </w:pPr>
      <w:r w:rsidRPr="004A0427">
        <w:rPr>
          <w:rFonts w:cstheme="minorHAnsi"/>
        </w:rPr>
        <w:t>Finally, Mann-Whitn</w:t>
      </w:r>
      <w:r w:rsidR="002139F1">
        <w:rPr>
          <w:rFonts w:cstheme="minorHAnsi"/>
        </w:rPr>
        <w:t>ey</w:t>
      </w:r>
      <w:r w:rsidRPr="004A0427">
        <w:rPr>
          <w:rFonts w:cstheme="minorHAnsi"/>
        </w:rPr>
        <w:t xml:space="preserve"> U tests </w:t>
      </w:r>
      <w:r w:rsidR="004700DE">
        <w:rPr>
          <w:rFonts w:cstheme="minorHAnsi"/>
        </w:rPr>
        <w:t>were</w:t>
      </w:r>
      <w:r w:rsidRPr="004A0427">
        <w:rPr>
          <w:rFonts w:cstheme="minorHAnsi"/>
        </w:rPr>
        <w:t xml:space="preserve"> used to evaluate differences between participants identifying as either </w:t>
      </w:r>
      <w:r w:rsidR="0065330A" w:rsidRPr="004A0427">
        <w:rPr>
          <w:rFonts w:cstheme="minorHAnsi"/>
        </w:rPr>
        <w:t>leaders</w:t>
      </w:r>
      <w:r w:rsidR="0065330A">
        <w:rPr>
          <w:rFonts w:cstheme="minorHAnsi"/>
        </w:rPr>
        <w:t>/</w:t>
      </w:r>
      <w:r w:rsidRPr="004A0427">
        <w:rPr>
          <w:rFonts w:cstheme="minorHAnsi"/>
        </w:rPr>
        <w:t>manager</w:t>
      </w:r>
      <w:r w:rsidR="0065330A">
        <w:rPr>
          <w:rFonts w:cstheme="minorHAnsi"/>
        </w:rPr>
        <w:t>s</w:t>
      </w:r>
      <w:r w:rsidRPr="004A0427">
        <w:rPr>
          <w:rFonts w:cstheme="minorHAnsi"/>
        </w:rPr>
        <w:t xml:space="preserve">, or practitioners/teachers on the measures of </w:t>
      </w:r>
      <w:r w:rsidR="00D74FA7" w:rsidRPr="004A0427">
        <w:rPr>
          <w:rFonts w:cstheme="minorHAnsi"/>
        </w:rPr>
        <w:t>a</w:t>
      </w:r>
      <w:r w:rsidRPr="004A0427">
        <w:rPr>
          <w:rFonts w:cstheme="minorHAnsi"/>
        </w:rPr>
        <w:t>ge, n</w:t>
      </w:r>
      <w:r w:rsidR="00D74FA7" w:rsidRPr="004A0427">
        <w:rPr>
          <w:rFonts w:cstheme="minorHAnsi"/>
        </w:rPr>
        <w:t>umber</w:t>
      </w:r>
      <w:r w:rsidRPr="004A0427">
        <w:rPr>
          <w:rFonts w:cstheme="minorHAnsi"/>
        </w:rPr>
        <w:t xml:space="preserve"> of children, </w:t>
      </w:r>
      <w:r w:rsidR="00FE7E01" w:rsidRPr="00F91D64">
        <w:t>education</w:t>
      </w:r>
      <w:r w:rsidR="00FE7E01" w:rsidRPr="004A0427">
        <w:rPr>
          <w:rFonts w:cstheme="minorHAnsi"/>
        </w:rPr>
        <w:t xml:space="preserve"> </w:t>
      </w:r>
      <w:r w:rsidR="00D74FA7" w:rsidRPr="004A0427">
        <w:rPr>
          <w:rFonts w:cstheme="minorHAnsi"/>
        </w:rPr>
        <w:t>l</w:t>
      </w:r>
      <w:r w:rsidRPr="004A0427">
        <w:rPr>
          <w:rFonts w:cstheme="minorHAnsi"/>
        </w:rPr>
        <w:t xml:space="preserve">evel, </w:t>
      </w:r>
      <w:r w:rsidR="00D74FA7" w:rsidRPr="004A0427">
        <w:rPr>
          <w:rFonts w:cstheme="minorHAnsi"/>
        </w:rPr>
        <w:t>h</w:t>
      </w:r>
      <w:r w:rsidRPr="004A0427">
        <w:rPr>
          <w:rFonts w:cstheme="minorHAnsi"/>
        </w:rPr>
        <w:t>ours</w:t>
      </w:r>
      <w:r w:rsidR="00D74FA7" w:rsidRPr="004A0427">
        <w:rPr>
          <w:rFonts w:cstheme="minorHAnsi"/>
        </w:rPr>
        <w:t xml:space="preserve"> worked</w:t>
      </w:r>
      <w:r w:rsidRPr="004A0427">
        <w:rPr>
          <w:rFonts w:cstheme="minorHAnsi"/>
        </w:rPr>
        <w:t xml:space="preserve"> per week, </w:t>
      </w:r>
      <w:r w:rsidR="00D74FA7" w:rsidRPr="004A0427">
        <w:rPr>
          <w:rFonts w:cstheme="minorHAnsi"/>
        </w:rPr>
        <w:t>d</w:t>
      </w:r>
      <w:r w:rsidRPr="004A0427">
        <w:rPr>
          <w:rFonts w:cstheme="minorHAnsi"/>
        </w:rPr>
        <w:t xml:space="preserve">ays </w:t>
      </w:r>
      <w:r w:rsidR="00D74FA7" w:rsidRPr="004A0427">
        <w:rPr>
          <w:rFonts w:cstheme="minorHAnsi"/>
        </w:rPr>
        <w:t xml:space="preserve">worked </w:t>
      </w:r>
      <w:r w:rsidRPr="004A0427">
        <w:rPr>
          <w:rFonts w:cstheme="minorHAnsi"/>
        </w:rPr>
        <w:t xml:space="preserve">per week, </w:t>
      </w:r>
      <w:r w:rsidR="00D74FA7" w:rsidRPr="004A0427">
        <w:rPr>
          <w:rFonts w:cstheme="minorHAnsi"/>
        </w:rPr>
        <w:t>y</w:t>
      </w:r>
      <w:r w:rsidRPr="004A0427">
        <w:rPr>
          <w:rFonts w:cstheme="minorHAnsi"/>
        </w:rPr>
        <w:t xml:space="preserve">ears of service, practical percentage of role, </w:t>
      </w:r>
      <w:r w:rsidR="00D74FA7" w:rsidRPr="004A0427">
        <w:rPr>
          <w:rFonts w:cstheme="minorHAnsi"/>
        </w:rPr>
        <w:t>pain b</w:t>
      </w:r>
      <w:r w:rsidRPr="004A0427">
        <w:rPr>
          <w:rFonts w:cstheme="minorHAnsi"/>
        </w:rPr>
        <w:t xml:space="preserve">othersomeness, </w:t>
      </w:r>
      <w:r w:rsidR="00D74FA7" w:rsidRPr="004A0427">
        <w:rPr>
          <w:rFonts w:cstheme="minorHAnsi"/>
        </w:rPr>
        <w:t>n</w:t>
      </w:r>
      <w:r w:rsidRPr="004A0427">
        <w:rPr>
          <w:rFonts w:cstheme="minorHAnsi"/>
        </w:rPr>
        <w:t>umber of pain locations, average pain intensity, average pain duration, average time since onset of pain, average pain frequency, average frequency of MSK risk</w:t>
      </w:r>
      <w:r w:rsidR="00F824D7">
        <w:rPr>
          <w:rFonts w:cstheme="minorHAnsi"/>
        </w:rPr>
        <w:t xml:space="preserve"> </w:t>
      </w:r>
      <w:r w:rsidRPr="004A0427">
        <w:rPr>
          <w:rFonts w:cstheme="minorHAnsi"/>
        </w:rPr>
        <w:t>roles, average pain caused by MSK risk</w:t>
      </w:r>
      <w:r w:rsidR="00F824D7">
        <w:rPr>
          <w:rFonts w:cstheme="minorHAnsi"/>
        </w:rPr>
        <w:t xml:space="preserve"> </w:t>
      </w:r>
      <w:r w:rsidRPr="004A0427">
        <w:rPr>
          <w:rFonts w:cstheme="minorHAnsi"/>
        </w:rPr>
        <w:t>roles, provision of MSK protective factors,</w:t>
      </w:r>
      <w:r w:rsidR="00326A14">
        <w:rPr>
          <w:rFonts w:cstheme="minorHAnsi"/>
        </w:rPr>
        <w:t xml:space="preserve"> and</w:t>
      </w:r>
      <w:r w:rsidRPr="004A0427">
        <w:rPr>
          <w:rFonts w:cstheme="minorHAnsi"/>
        </w:rPr>
        <w:t xml:space="preserve"> perceived need for greater provision of MSK protective factors.  </w:t>
      </w:r>
    </w:p>
    <w:p w14:paraId="09585E0A" w14:textId="2E211921" w:rsidR="002A7D27" w:rsidRPr="00DE2C9A" w:rsidRDefault="002A7D27" w:rsidP="00DE2C9A">
      <w:pPr>
        <w:jc w:val="center"/>
        <w:rPr>
          <w:b/>
          <w:bCs/>
        </w:rPr>
      </w:pPr>
      <w:r w:rsidRPr="00DE2C9A">
        <w:rPr>
          <w:b/>
          <w:bCs/>
        </w:rPr>
        <w:t>Results</w:t>
      </w:r>
    </w:p>
    <w:p w14:paraId="1E1C5CA2" w14:textId="77777777" w:rsidR="002A7D27" w:rsidRPr="0073774C" w:rsidRDefault="002A7D27" w:rsidP="002A7D27">
      <w:pPr>
        <w:rPr>
          <w:rFonts w:cstheme="minorHAnsi"/>
          <w:b/>
          <w:bCs/>
          <w:sz w:val="22"/>
          <w:szCs w:val="22"/>
        </w:rPr>
      </w:pPr>
    </w:p>
    <w:p w14:paraId="411A72C4" w14:textId="77777777" w:rsidR="002A7D27" w:rsidRPr="0073774C" w:rsidRDefault="002A7D27" w:rsidP="002A7D27">
      <w:pPr>
        <w:rPr>
          <w:rFonts w:cstheme="minorHAnsi"/>
          <w:b/>
          <w:bCs/>
          <w:sz w:val="22"/>
          <w:szCs w:val="22"/>
        </w:rPr>
      </w:pPr>
    </w:p>
    <w:p w14:paraId="2EB1A0B9" w14:textId="77777777" w:rsidR="002A7D27" w:rsidRDefault="002A7D27" w:rsidP="002A7D27">
      <w:pPr>
        <w:rPr>
          <w:rFonts w:cstheme="minorHAnsi"/>
          <w:b/>
          <w:bCs/>
        </w:rPr>
      </w:pPr>
      <w:r w:rsidRPr="008F165C">
        <w:rPr>
          <w:rFonts w:cstheme="minorHAnsi"/>
          <w:b/>
          <w:bCs/>
        </w:rPr>
        <w:t>Descriptive Statistics</w:t>
      </w:r>
    </w:p>
    <w:p w14:paraId="7AB946AE" w14:textId="77777777" w:rsidR="00CB4950" w:rsidRDefault="00CB4950" w:rsidP="002A7D27">
      <w:pPr>
        <w:rPr>
          <w:rFonts w:cstheme="minorHAnsi"/>
          <w:b/>
          <w:bCs/>
        </w:rPr>
      </w:pPr>
    </w:p>
    <w:p w14:paraId="0CD90A62" w14:textId="77777777" w:rsidR="00E10AA1" w:rsidRPr="008F165C" w:rsidRDefault="00E10AA1" w:rsidP="002A7D27">
      <w:pPr>
        <w:rPr>
          <w:rFonts w:cstheme="minorHAnsi"/>
          <w:b/>
          <w:bCs/>
        </w:rPr>
      </w:pPr>
    </w:p>
    <w:p w14:paraId="265ADCE7" w14:textId="3D6C8B1C" w:rsidR="002A7D27" w:rsidRPr="008F165C" w:rsidRDefault="002A7D27" w:rsidP="002A7D27">
      <w:pPr>
        <w:rPr>
          <w:rFonts w:cstheme="minorHAnsi"/>
          <w:b/>
          <w:bCs/>
          <w:i/>
          <w:iCs/>
        </w:rPr>
      </w:pPr>
      <w:r w:rsidRPr="008F165C">
        <w:rPr>
          <w:rFonts w:cstheme="minorHAnsi"/>
          <w:b/>
          <w:bCs/>
          <w:i/>
          <w:iCs/>
        </w:rPr>
        <w:t xml:space="preserve">Number </w:t>
      </w:r>
      <w:r w:rsidR="00D72820" w:rsidRPr="008F165C">
        <w:rPr>
          <w:rFonts w:cstheme="minorHAnsi"/>
          <w:b/>
          <w:bCs/>
          <w:i/>
          <w:iCs/>
        </w:rPr>
        <w:t xml:space="preserve">Of Pain Locations: </w:t>
      </w:r>
    </w:p>
    <w:p w14:paraId="06D94CAF" w14:textId="77777777" w:rsidR="002A7D27" w:rsidRPr="008F165C" w:rsidRDefault="002A7D27" w:rsidP="002A7D27">
      <w:pPr>
        <w:spacing w:line="480" w:lineRule="auto"/>
        <w:rPr>
          <w:rFonts w:cstheme="minorHAnsi"/>
        </w:rPr>
      </w:pPr>
    </w:p>
    <w:p w14:paraId="4030B3DF" w14:textId="7F99BDF6" w:rsidR="002A7D27" w:rsidRDefault="00D74FA7" w:rsidP="002A7D27">
      <w:pPr>
        <w:spacing w:line="480" w:lineRule="auto"/>
        <w:ind w:firstLine="720"/>
        <w:jc w:val="both"/>
        <w:rPr>
          <w:rFonts w:cstheme="minorHAnsi"/>
        </w:rPr>
      </w:pPr>
      <w:r w:rsidRPr="008F165C">
        <w:rPr>
          <w:rFonts w:cstheme="minorHAnsi"/>
        </w:rPr>
        <w:t>Three</w:t>
      </w:r>
      <w:r w:rsidR="002A7D27" w:rsidRPr="008F165C">
        <w:rPr>
          <w:rFonts w:cstheme="minorHAnsi"/>
        </w:rPr>
        <w:t xml:space="preserve"> participants (1.5%) in the sample reported having no pain in any of the</w:t>
      </w:r>
      <w:r w:rsidRPr="008F165C">
        <w:rPr>
          <w:rFonts w:cstheme="minorHAnsi"/>
        </w:rPr>
        <w:t xml:space="preserve"> body</w:t>
      </w:r>
      <w:r w:rsidR="002A7D27" w:rsidRPr="008F165C">
        <w:rPr>
          <w:rFonts w:cstheme="minorHAnsi"/>
        </w:rPr>
        <w:t xml:space="preserve"> locations. </w:t>
      </w:r>
      <w:r w:rsidR="00C915F0">
        <w:rPr>
          <w:rFonts w:cstheme="minorHAnsi"/>
        </w:rPr>
        <w:t>Fifty three</w:t>
      </w:r>
      <w:r w:rsidR="00A31AD8" w:rsidRPr="008F165C">
        <w:rPr>
          <w:rFonts w:cstheme="minorHAnsi"/>
        </w:rPr>
        <w:t xml:space="preserve"> (</w:t>
      </w:r>
      <w:r w:rsidR="002A7D27" w:rsidRPr="008F165C">
        <w:rPr>
          <w:rFonts w:cstheme="minorHAnsi"/>
        </w:rPr>
        <w:t>27%</w:t>
      </w:r>
      <w:r w:rsidR="00A31AD8" w:rsidRPr="008F165C">
        <w:rPr>
          <w:rFonts w:cstheme="minorHAnsi"/>
        </w:rPr>
        <w:t>)</w:t>
      </w:r>
      <w:r w:rsidR="002A7D27" w:rsidRPr="008F165C">
        <w:rPr>
          <w:rFonts w:cstheme="minorHAnsi"/>
        </w:rPr>
        <w:t xml:space="preserve"> reported between 1-3 locations, </w:t>
      </w:r>
      <w:r w:rsidR="005426C7" w:rsidRPr="008F165C">
        <w:rPr>
          <w:rFonts w:cstheme="minorHAnsi"/>
        </w:rPr>
        <w:t>ninety-two</w:t>
      </w:r>
      <w:r w:rsidR="00A31AD8" w:rsidRPr="008F165C">
        <w:rPr>
          <w:rFonts w:cstheme="minorHAnsi"/>
        </w:rPr>
        <w:t xml:space="preserve"> (</w:t>
      </w:r>
      <w:r w:rsidR="002A7D27" w:rsidRPr="008F165C">
        <w:rPr>
          <w:rFonts w:cstheme="minorHAnsi"/>
        </w:rPr>
        <w:t>47%</w:t>
      </w:r>
      <w:r w:rsidR="00A31AD8" w:rsidRPr="008F165C">
        <w:rPr>
          <w:rFonts w:cstheme="minorHAnsi"/>
        </w:rPr>
        <w:t>)</w:t>
      </w:r>
      <w:r w:rsidR="002A7D27" w:rsidRPr="008F165C">
        <w:rPr>
          <w:rFonts w:cstheme="minorHAnsi"/>
        </w:rPr>
        <w:t xml:space="preserve"> reported between 4-6 locations, </w:t>
      </w:r>
      <w:r w:rsidR="00473F86" w:rsidRPr="008F165C">
        <w:rPr>
          <w:rFonts w:cstheme="minorHAnsi"/>
        </w:rPr>
        <w:t>thir</w:t>
      </w:r>
      <w:r w:rsidR="00473F86">
        <w:rPr>
          <w:rFonts w:cstheme="minorHAnsi"/>
        </w:rPr>
        <w:t>t</w:t>
      </w:r>
      <w:r w:rsidR="00473F86" w:rsidRPr="008F165C">
        <w:rPr>
          <w:rFonts w:cstheme="minorHAnsi"/>
        </w:rPr>
        <w:t>y-nine</w:t>
      </w:r>
      <w:r w:rsidR="00296282" w:rsidRPr="008F165C">
        <w:rPr>
          <w:rFonts w:cstheme="minorHAnsi"/>
        </w:rPr>
        <w:t xml:space="preserve"> </w:t>
      </w:r>
      <w:r w:rsidR="00A31AD8" w:rsidRPr="008F165C">
        <w:rPr>
          <w:rFonts w:cstheme="minorHAnsi"/>
        </w:rPr>
        <w:t>(</w:t>
      </w:r>
      <w:r w:rsidR="002A7D27" w:rsidRPr="008F165C">
        <w:rPr>
          <w:rFonts w:cstheme="minorHAnsi"/>
        </w:rPr>
        <w:t>20%</w:t>
      </w:r>
      <w:r w:rsidR="00A31AD8" w:rsidRPr="008F165C">
        <w:rPr>
          <w:rFonts w:cstheme="minorHAnsi"/>
        </w:rPr>
        <w:t>)</w:t>
      </w:r>
      <w:r w:rsidR="002A7D27" w:rsidRPr="008F165C">
        <w:rPr>
          <w:rFonts w:cstheme="minorHAnsi"/>
        </w:rPr>
        <w:t xml:space="preserve"> reported between 7-9</w:t>
      </w:r>
      <w:r w:rsidR="00A31AD8" w:rsidRPr="008F165C">
        <w:rPr>
          <w:rFonts w:cstheme="minorHAnsi"/>
        </w:rPr>
        <w:t xml:space="preserve"> locations and</w:t>
      </w:r>
      <w:r w:rsidR="002A7D27" w:rsidRPr="008F165C">
        <w:rPr>
          <w:rFonts w:cstheme="minorHAnsi"/>
        </w:rPr>
        <w:t xml:space="preserve"> </w:t>
      </w:r>
      <w:r w:rsidR="00A31AD8" w:rsidRPr="008F165C">
        <w:rPr>
          <w:rFonts w:cstheme="minorHAnsi"/>
        </w:rPr>
        <w:t>t</w:t>
      </w:r>
      <w:r w:rsidR="002A7D27" w:rsidRPr="008F165C">
        <w:rPr>
          <w:rFonts w:cstheme="minorHAnsi"/>
        </w:rPr>
        <w:t xml:space="preserve">he remaining 4.5% </w:t>
      </w:r>
      <w:r w:rsidR="00296282" w:rsidRPr="008F165C">
        <w:rPr>
          <w:rFonts w:cstheme="minorHAnsi"/>
        </w:rPr>
        <w:t xml:space="preserve">(nine participants) </w:t>
      </w:r>
      <w:r w:rsidR="002A7D27" w:rsidRPr="008F165C">
        <w:rPr>
          <w:rFonts w:cstheme="minorHAnsi"/>
        </w:rPr>
        <w:t>reported 10 or 11 locations</w:t>
      </w:r>
      <w:r w:rsidR="00CB4950">
        <w:rPr>
          <w:rFonts w:cstheme="minorHAnsi"/>
        </w:rPr>
        <w:t>. Total sample N=198</w:t>
      </w:r>
      <w:r w:rsidR="002A7D27" w:rsidRPr="008F165C">
        <w:rPr>
          <w:rFonts w:cstheme="minorHAnsi"/>
        </w:rPr>
        <w:t xml:space="preserve"> (see Table </w:t>
      </w:r>
      <w:r w:rsidR="00597371" w:rsidRPr="008F165C">
        <w:rPr>
          <w:rFonts w:cstheme="minorHAnsi"/>
        </w:rPr>
        <w:t>2</w:t>
      </w:r>
      <w:r w:rsidR="002A7D27" w:rsidRPr="008F165C">
        <w:rPr>
          <w:rFonts w:cstheme="minorHAnsi"/>
        </w:rPr>
        <w:t xml:space="preserve"> for overview).</w:t>
      </w:r>
      <w:r w:rsidR="00D8779B">
        <w:rPr>
          <w:rFonts w:cstheme="minorHAnsi"/>
        </w:rPr>
        <w:t xml:space="preserve"> </w:t>
      </w:r>
    </w:p>
    <w:p w14:paraId="4E2DC0E5" w14:textId="77777777" w:rsidR="00D32D65" w:rsidRDefault="00D32D65" w:rsidP="002A7D27">
      <w:pPr>
        <w:spacing w:line="480" w:lineRule="auto"/>
        <w:ind w:firstLine="720"/>
        <w:jc w:val="both"/>
        <w:rPr>
          <w:rFonts w:cstheme="minorHAnsi"/>
        </w:rPr>
      </w:pPr>
    </w:p>
    <w:p w14:paraId="2A136BD2" w14:textId="77777777" w:rsidR="00475E19" w:rsidRPr="008F165C" w:rsidRDefault="00475E19" w:rsidP="002A7D27">
      <w:pPr>
        <w:spacing w:line="480" w:lineRule="auto"/>
        <w:ind w:firstLine="720"/>
        <w:jc w:val="both"/>
        <w:rPr>
          <w:rFonts w:cstheme="minorHAnsi"/>
        </w:rPr>
      </w:pPr>
    </w:p>
    <w:p w14:paraId="27713FF0" w14:textId="48198452" w:rsidR="002A7D27" w:rsidRPr="008F165C" w:rsidRDefault="002A7D27" w:rsidP="002A7D27">
      <w:pPr>
        <w:rPr>
          <w:rFonts w:cstheme="minorHAnsi"/>
          <w:i/>
          <w:iCs/>
        </w:rPr>
      </w:pPr>
      <w:r w:rsidRPr="00D32D65">
        <w:rPr>
          <w:rFonts w:cstheme="minorHAnsi"/>
          <w:b/>
          <w:bCs/>
          <w:i/>
          <w:iCs/>
        </w:rPr>
        <w:t>Pain</w:t>
      </w:r>
      <w:r w:rsidR="00D229FD">
        <w:rPr>
          <w:rFonts w:cstheme="minorHAnsi"/>
          <w:b/>
          <w:bCs/>
          <w:i/>
          <w:iCs/>
        </w:rPr>
        <w:t xml:space="preserve"> L</w:t>
      </w:r>
      <w:r w:rsidRPr="00D32D65">
        <w:rPr>
          <w:rFonts w:cstheme="minorHAnsi"/>
          <w:b/>
          <w:bCs/>
          <w:i/>
          <w:iCs/>
        </w:rPr>
        <w:t xml:space="preserve">ocations and </w:t>
      </w:r>
      <w:r w:rsidR="00D229FD">
        <w:rPr>
          <w:rFonts w:cstheme="minorHAnsi"/>
          <w:b/>
          <w:bCs/>
          <w:i/>
          <w:iCs/>
        </w:rPr>
        <w:t>E</w:t>
      </w:r>
      <w:r w:rsidRPr="00D32D65">
        <w:rPr>
          <w:rFonts w:cstheme="minorHAnsi"/>
          <w:b/>
          <w:bCs/>
          <w:i/>
          <w:iCs/>
        </w:rPr>
        <w:t>xperienc</w:t>
      </w:r>
      <w:r w:rsidRPr="006615D7">
        <w:rPr>
          <w:rFonts w:cstheme="minorHAnsi"/>
          <w:b/>
          <w:bCs/>
          <w:i/>
          <w:iCs/>
        </w:rPr>
        <w:t>es</w:t>
      </w:r>
      <w:r w:rsidR="00F669EA">
        <w:rPr>
          <w:rFonts w:cstheme="minorHAnsi"/>
          <w:i/>
          <w:iCs/>
        </w:rPr>
        <w:t>:</w:t>
      </w:r>
      <w:r w:rsidR="00F839E6">
        <w:rPr>
          <w:rFonts w:cstheme="minorHAnsi"/>
          <w:i/>
          <w:iCs/>
        </w:rPr>
        <w:t xml:space="preserve"> </w:t>
      </w:r>
    </w:p>
    <w:p w14:paraId="3EAEB06E" w14:textId="77777777" w:rsidR="002A7D27" w:rsidRPr="008F165C" w:rsidRDefault="002A7D27" w:rsidP="002A7D27">
      <w:pPr>
        <w:spacing w:line="480" w:lineRule="auto"/>
        <w:rPr>
          <w:rFonts w:cstheme="minorHAnsi"/>
          <w:u w:val="single"/>
        </w:rPr>
      </w:pPr>
    </w:p>
    <w:p w14:paraId="4EB3486C" w14:textId="1C914E13" w:rsidR="002A7D27" w:rsidRPr="008F165C" w:rsidRDefault="002A7D27" w:rsidP="002A7D27">
      <w:pPr>
        <w:spacing w:line="480" w:lineRule="auto"/>
        <w:ind w:firstLine="720"/>
        <w:jc w:val="both"/>
        <w:rPr>
          <w:rFonts w:cstheme="minorHAnsi"/>
        </w:rPr>
      </w:pPr>
      <w:r w:rsidRPr="008F165C">
        <w:rPr>
          <w:rFonts w:cstheme="minorHAnsi"/>
        </w:rPr>
        <w:t>Lower back was the most common pain location reported in 89% of the sample. Other locations reported in more than 50% of the sample included neck, knee, and shoulders. Lower back was also identified as having the highest average severity of all locations. However</w:t>
      </w:r>
      <w:r w:rsidR="00606914">
        <w:rPr>
          <w:rFonts w:cstheme="minorHAnsi"/>
        </w:rPr>
        <w:t>,</w:t>
      </w:r>
      <w:r w:rsidRPr="008F165C">
        <w:rPr>
          <w:rFonts w:cstheme="minorHAnsi"/>
        </w:rPr>
        <w:t xml:space="preserve"> other </w:t>
      </w:r>
      <w:r w:rsidRPr="008F165C">
        <w:rPr>
          <w:rFonts w:cstheme="minorHAnsi"/>
        </w:rPr>
        <w:lastRenderedPageBreak/>
        <w:t>locations were reported as the most frequently occurring on average (upper back), with ankles and feet being among the locations with the longest time since onset and longest pain experience durations</w:t>
      </w:r>
      <w:r w:rsidR="00A31AD8" w:rsidRPr="008F165C">
        <w:rPr>
          <w:rFonts w:cstheme="minorHAnsi"/>
        </w:rPr>
        <w:t>,</w:t>
      </w:r>
      <w:r w:rsidRPr="008F165C">
        <w:rPr>
          <w:rFonts w:cstheme="minorHAnsi"/>
        </w:rPr>
        <w:t xml:space="preserve"> respectively </w:t>
      </w:r>
      <w:r w:rsidRPr="00BB0D42">
        <w:rPr>
          <w:rFonts w:cstheme="minorHAnsi"/>
        </w:rPr>
        <w:t xml:space="preserve">(see </w:t>
      </w:r>
      <w:r w:rsidR="006E21F9">
        <w:rPr>
          <w:rFonts w:cstheme="minorHAnsi"/>
        </w:rPr>
        <w:t>T</w:t>
      </w:r>
      <w:r w:rsidRPr="00BB0D42">
        <w:rPr>
          <w:rFonts w:cstheme="minorHAnsi"/>
        </w:rPr>
        <w:t xml:space="preserve">able </w:t>
      </w:r>
      <w:r w:rsidR="00BB0D42" w:rsidRPr="00BB0D42">
        <w:rPr>
          <w:rFonts w:cstheme="minorHAnsi"/>
        </w:rPr>
        <w:t>2</w:t>
      </w:r>
      <w:r w:rsidRPr="00BB0D42">
        <w:rPr>
          <w:rFonts w:cstheme="minorHAnsi"/>
        </w:rPr>
        <w:t>).</w:t>
      </w:r>
      <w:r w:rsidRPr="008F165C">
        <w:rPr>
          <w:rFonts w:cstheme="minorHAnsi"/>
        </w:rPr>
        <w:t xml:space="preserve"> </w:t>
      </w:r>
      <w:r w:rsidR="00122F15" w:rsidRPr="008F165C">
        <w:rPr>
          <w:rFonts w:cstheme="minorHAnsi"/>
        </w:rPr>
        <w:t>No significant differences were found for pain experiences between participants who were or were not in a relationship.</w:t>
      </w:r>
      <w:r w:rsidR="00D32D65">
        <w:rPr>
          <w:rFonts w:cstheme="minorHAnsi"/>
        </w:rPr>
        <w:t xml:space="preserve"> </w:t>
      </w:r>
      <w:r w:rsidR="007E625C">
        <w:rPr>
          <w:rFonts w:cstheme="minorHAnsi"/>
        </w:rPr>
        <w:t xml:space="preserve">More than half of the sample indicated they had reported their MSP to a health professional, of these </w:t>
      </w:r>
      <w:r w:rsidR="00E6286A">
        <w:rPr>
          <w:rFonts w:cstheme="minorHAnsi"/>
        </w:rPr>
        <w:t>N</w:t>
      </w:r>
      <w:r w:rsidR="007E625C">
        <w:rPr>
          <w:rFonts w:cstheme="minorHAnsi"/>
        </w:rPr>
        <w:t xml:space="preserve">=73 </w:t>
      </w:r>
      <w:r w:rsidR="00B730A1">
        <w:rPr>
          <w:rFonts w:cstheme="minorHAnsi"/>
        </w:rPr>
        <w:t xml:space="preserve">(37%) </w:t>
      </w:r>
      <w:r w:rsidR="007E625C">
        <w:rPr>
          <w:rFonts w:cstheme="minorHAnsi"/>
        </w:rPr>
        <w:t>had received a formal diagnosis.</w:t>
      </w:r>
      <w:r w:rsidR="007F4AD9">
        <w:rPr>
          <w:rFonts w:cstheme="minorHAnsi"/>
        </w:rPr>
        <w:t xml:space="preserve"> Taking sick leave due to MSP was reported by </w:t>
      </w:r>
      <w:r w:rsidR="00E6286A">
        <w:rPr>
          <w:rFonts w:cstheme="minorHAnsi"/>
        </w:rPr>
        <w:t xml:space="preserve">N=56 </w:t>
      </w:r>
      <w:r w:rsidR="00B730A1">
        <w:rPr>
          <w:rFonts w:cstheme="minorHAnsi"/>
        </w:rPr>
        <w:t xml:space="preserve">(28%) </w:t>
      </w:r>
      <w:r w:rsidR="00E6286A">
        <w:rPr>
          <w:rFonts w:cstheme="minorHAnsi"/>
        </w:rPr>
        <w:t xml:space="preserve">participants. </w:t>
      </w:r>
    </w:p>
    <w:p w14:paraId="3F91131B" w14:textId="77777777" w:rsidR="008E5D4C" w:rsidRPr="008F165C" w:rsidRDefault="008E5D4C" w:rsidP="00CE15DE">
      <w:pPr>
        <w:spacing w:line="480" w:lineRule="auto"/>
        <w:jc w:val="both"/>
        <w:rPr>
          <w:rFonts w:cstheme="minorHAnsi"/>
          <w:b/>
          <w:bCs/>
        </w:rPr>
      </w:pPr>
    </w:p>
    <w:p w14:paraId="3F00B4BB" w14:textId="30DD0D44" w:rsidR="00444668" w:rsidRPr="008F165C" w:rsidRDefault="00894562" w:rsidP="00026FB0">
      <w:pPr>
        <w:spacing w:line="480" w:lineRule="auto"/>
        <w:jc w:val="center"/>
        <w:rPr>
          <w:rFonts w:cstheme="minorHAnsi"/>
          <w:b/>
          <w:bCs/>
        </w:rPr>
      </w:pPr>
      <w:r w:rsidRPr="008F165C">
        <w:rPr>
          <w:rFonts w:cstheme="minorHAnsi"/>
          <w:b/>
          <w:bCs/>
        </w:rPr>
        <w:t>Regression Analysis</w:t>
      </w:r>
    </w:p>
    <w:p w14:paraId="36A5372D" w14:textId="7457E0D2" w:rsidR="002A7D27" w:rsidRPr="008F165C" w:rsidRDefault="002A7D27" w:rsidP="00CE15DE">
      <w:pPr>
        <w:spacing w:line="480" w:lineRule="auto"/>
        <w:jc w:val="both"/>
        <w:rPr>
          <w:rFonts w:cstheme="minorHAnsi"/>
          <w:b/>
          <w:bCs/>
        </w:rPr>
      </w:pPr>
      <w:r w:rsidRPr="008F165C">
        <w:rPr>
          <w:rFonts w:cstheme="minorHAnsi"/>
          <w:b/>
          <w:bCs/>
        </w:rPr>
        <w:t xml:space="preserve">Pain </w:t>
      </w:r>
      <w:r w:rsidR="006E21F9">
        <w:rPr>
          <w:rFonts w:cstheme="minorHAnsi"/>
          <w:b/>
          <w:bCs/>
        </w:rPr>
        <w:t>E</w:t>
      </w:r>
      <w:r w:rsidRPr="008F165C">
        <w:rPr>
          <w:rFonts w:cstheme="minorHAnsi"/>
          <w:b/>
          <w:bCs/>
        </w:rPr>
        <w:t xml:space="preserve">xperiences </w:t>
      </w:r>
    </w:p>
    <w:p w14:paraId="14F768B3" w14:textId="78434FE5" w:rsidR="002A7D27" w:rsidRPr="008F165C" w:rsidRDefault="002A7D27" w:rsidP="002A7D27">
      <w:pPr>
        <w:spacing w:line="480" w:lineRule="auto"/>
        <w:ind w:firstLine="720"/>
        <w:jc w:val="both"/>
        <w:rPr>
          <w:rFonts w:cstheme="minorHAnsi"/>
        </w:rPr>
      </w:pPr>
      <w:r w:rsidRPr="008F165C">
        <w:rPr>
          <w:rFonts w:cstheme="minorHAnsi"/>
        </w:rPr>
        <w:t xml:space="preserve">Hierarchal Multiple Regression modelling significantly predicted reported number of individual pain locations; </w:t>
      </w:r>
      <w:r w:rsidRPr="008F165C">
        <w:rPr>
          <w:rStyle w:val="Emphasis"/>
          <w:rFonts w:cstheme="minorHAnsi"/>
          <w:i w:val="0"/>
          <w:iCs w:val="0"/>
        </w:rPr>
        <w:t>R</w:t>
      </w:r>
      <w:r w:rsidRPr="008F165C">
        <w:rPr>
          <w:rFonts w:cstheme="minorHAnsi"/>
          <w:vertAlign w:val="superscript"/>
        </w:rPr>
        <w:t>2</w:t>
      </w:r>
      <w:r w:rsidRPr="008F165C">
        <w:rPr>
          <w:rFonts w:cstheme="minorHAnsi"/>
        </w:rPr>
        <w:t xml:space="preserve"> = </w:t>
      </w:r>
      <w:r w:rsidR="006E21F9">
        <w:rPr>
          <w:rFonts w:cstheme="minorHAnsi"/>
        </w:rPr>
        <w:t>0</w:t>
      </w:r>
      <w:r w:rsidRPr="008F165C">
        <w:rPr>
          <w:rFonts w:cstheme="minorHAnsi"/>
        </w:rPr>
        <w:t xml:space="preserve">.10 </w:t>
      </w:r>
      <w:r w:rsidRPr="008F165C">
        <w:rPr>
          <w:rStyle w:val="Emphasis"/>
          <w:rFonts w:cstheme="minorHAnsi"/>
          <w:i w:val="0"/>
          <w:iCs w:val="0"/>
        </w:rPr>
        <w:t xml:space="preserve">F </w:t>
      </w:r>
      <w:r w:rsidRPr="008F165C">
        <w:rPr>
          <w:rFonts w:cstheme="minorHAnsi"/>
        </w:rPr>
        <w:t xml:space="preserve">(9, 178) = 2.239, </w:t>
      </w:r>
      <w:r w:rsidRPr="008F165C">
        <w:rPr>
          <w:rStyle w:val="Emphasis"/>
          <w:rFonts w:cstheme="minorHAnsi"/>
          <w:i w:val="0"/>
          <w:iCs w:val="0"/>
        </w:rPr>
        <w:t>p</w:t>
      </w:r>
      <w:r w:rsidRPr="008F165C">
        <w:rPr>
          <w:rFonts w:cstheme="minorHAnsi"/>
        </w:rPr>
        <w:t xml:space="preserve"> =</w:t>
      </w:r>
      <w:r w:rsidR="006E21F9">
        <w:rPr>
          <w:rFonts w:cstheme="minorHAnsi"/>
        </w:rPr>
        <w:t xml:space="preserve"> 0</w:t>
      </w:r>
      <w:r w:rsidRPr="008F165C">
        <w:rPr>
          <w:rFonts w:cstheme="minorHAnsi"/>
        </w:rPr>
        <w:t>.022</w:t>
      </w:r>
      <w:r w:rsidR="009B01FE" w:rsidRPr="008F165C">
        <w:rPr>
          <w:rFonts w:cstheme="minorHAnsi"/>
        </w:rPr>
        <w:t>,</w:t>
      </w:r>
      <w:r w:rsidRPr="008F165C">
        <w:rPr>
          <w:rFonts w:cstheme="minorHAnsi"/>
        </w:rPr>
        <w:t xml:space="preserve"> adjusted </w:t>
      </w:r>
      <w:r w:rsidRPr="008F165C">
        <w:rPr>
          <w:rStyle w:val="Emphasis"/>
          <w:rFonts w:cstheme="minorHAnsi"/>
          <w:i w:val="0"/>
          <w:iCs w:val="0"/>
        </w:rPr>
        <w:t>R</w:t>
      </w:r>
      <w:r w:rsidRPr="008F165C">
        <w:rPr>
          <w:rFonts w:cstheme="minorHAnsi"/>
          <w:vertAlign w:val="superscript"/>
        </w:rPr>
        <w:t>2</w:t>
      </w:r>
      <w:r w:rsidRPr="008F165C">
        <w:rPr>
          <w:rFonts w:cstheme="minorHAnsi"/>
        </w:rPr>
        <w:t xml:space="preserve"> = </w:t>
      </w:r>
      <w:r w:rsidR="006E21F9">
        <w:rPr>
          <w:rFonts w:cstheme="minorHAnsi"/>
        </w:rPr>
        <w:t>0</w:t>
      </w:r>
      <w:r w:rsidRPr="008F165C">
        <w:rPr>
          <w:rFonts w:cstheme="minorHAnsi"/>
        </w:rPr>
        <w:t>.0</w:t>
      </w:r>
      <w:r w:rsidR="00767C19" w:rsidRPr="008F165C">
        <w:rPr>
          <w:rFonts w:cstheme="minorHAnsi"/>
        </w:rPr>
        <w:t>6</w:t>
      </w:r>
      <w:r w:rsidRPr="008F165C">
        <w:rPr>
          <w:rFonts w:cstheme="minorHAnsi"/>
        </w:rPr>
        <w:t>, with years of service</w:t>
      </w:r>
      <w:r w:rsidR="00527837">
        <w:rPr>
          <w:rFonts w:cstheme="minorHAnsi"/>
        </w:rPr>
        <w:t>,</w:t>
      </w:r>
      <w:r w:rsidRPr="008F165C">
        <w:rPr>
          <w:rFonts w:cstheme="minorHAnsi"/>
        </w:rPr>
        <w:t xml:space="preserve"> and </w:t>
      </w:r>
      <w:r w:rsidR="002437D2">
        <w:rPr>
          <w:rFonts w:cstheme="minorHAnsi"/>
        </w:rPr>
        <w:t>e</w:t>
      </w:r>
      <w:r w:rsidRPr="008F165C">
        <w:rPr>
          <w:rFonts w:cstheme="minorHAnsi"/>
        </w:rPr>
        <w:t>ducation level as the two significant variables in the model. Duration of pain events was significantly predicted (</w:t>
      </w:r>
      <w:r w:rsidRPr="008F165C">
        <w:rPr>
          <w:rStyle w:val="Emphasis"/>
          <w:rFonts w:cstheme="minorHAnsi"/>
          <w:i w:val="0"/>
          <w:iCs w:val="0"/>
        </w:rPr>
        <w:t>R</w:t>
      </w:r>
      <w:r w:rsidRPr="008F165C">
        <w:rPr>
          <w:rFonts w:cstheme="minorHAnsi"/>
          <w:vertAlign w:val="superscript"/>
        </w:rPr>
        <w:t>2</w:t>
      </w:r>
      <w:r w:rsidRPr="008F165C">
        <w:rPr>
          <w:rFonts w:cstheme="minorHAnsi"/>
        </w:rPr>
        <w:t xml:space="preserve"> = </w:t>
      </w:r>
      <w:r w:rsidR="006E21F9">
        <w:rPr>
          <w:rFonts w:cstheme="minorHAnsi"/>
        </w:rPr>
        <w:t>0</w:t>
      </w:r>
      <w:r w:rsidRPr="008F165C">
        <w:rPr>
          <w:rFonts w:cstheme="minorHAnsi"/>
        </w:rPr>
        <w:t>.1</w:t>
      </w:r>
      <w:r w:rsidR="002B2113" w:rsidRPr="008F165C">
        <w:rPr>
          <w:rFonts w:cstheme="minorHAnsi"/>
        </w:rPr>
        <w:t>3</w:t>
      </w:r>
      <w:r w:rsidRPr="008F165C">
        <w:rPr>
          <w:rFonts w:cstheme="minorHAnsi"/>
        </w:rPr>
        <w:t xml:space="preserve">, </w:t>
      </w:r>
      <w:r w:rsidRPr="008F165C">
        <w:rPr>
          <w:rStyle w:val="Emphasis"/>
          <w:rFonts w:cstheme="minorHAnsi"/>
          <w:i w:val="0"/>
          <w:iCs w:val="0"/>
        </w:rPr>
        <w:t xml:space="preserve">F </w:t>
      </w:r>
      <w:r w:rsidRPr="008F165C">
        <w:rPr>
          <w:rFonts w:cstheme="minorHAnsi"/>
        </w:rPr>
        <w:t xml:space="preserve">(9, 178) = 2.89, </w:t>
      </w:r>
      <w:r w:rsidRPr="008F165C">
        <w:rPr>
          <w:rStyle w:val="Emphasis"/>
          <w:rFonts w:cstheme="minorHAnsi"/>
          <w:i w:val="0"/>
          <w:iCs w:val="0"/>
        </w:rPr>
        <w:t>p</w:t>
      </w:r>
      <w:r w:rsidRPr="008F165C">
        <w:rPr>
          <w:rFonts w:cstheme="minorHAnsi"/>
        </w:rPr>
        <w:t xml:space="preserve"> = </w:t>
      </w:r>
      <w:r w:rsidR="006E21F9">
        <w:rPr>
          <w:rFonts w:cstheme="minorHAnsi"/>
        </w:rPr>
        <w:t>0</w:t>
      </w:r>
      <w:r w:rsidRPr="008F165C">
        <w:rPr>
          <w:rFonts w:cstheme="minorHAnsi"/>
        </w:rPr>
        <w:t xml:space="preserve">.004 adjusted </w:t>
      </w:r>
      <w:r w:rsidRPr="008F165C">
        <w:rPr>
          <w:rStyle w:val="Emphasis"/>
          <w:rFonts w:cstheme="minorHAnsi"/>
          <w:i w:val="0"/>
          <w:iCs w:val="0"/>
        </w:rPr>
        <w:t>R</w:t>
      </w:r>
      <w:r w:rsidRPr="008F165C">
        <w:rPr>
          <w:rFonts w:cstheme="minorHAnsi"/>
          <w:vertAlign w:val="superscript"/>
        </w:rPr>
        <w:t>2</w:t>
      </w:r>
      <w:r w:rsidRPr="008F165C">
        <w:rPr>
          <w:rFonts w:cstheme="minorHAnsi"/>
        </w:rPr>
        <w:t xml:space="preserve"> = </w:t>
      </w:r>
      <w:r w:rsidR="006E21F9">
        <w:rPr>
          <w:rFonts w:cstheme="minorHAnsi"/>
        </w:rPr>
        <w:t>0</w:t>
      </w:r>
      <w:r w:rsidRPr="008F165C">
        <w:rPr>
          <w:rFonts w:cstheme="minorHAnsi"/>
        </w:rPr>
        <w:t xml:space="preserve">.08) by </w:t>
      </w:r>
      <w:r w:rsidR="008D53D1" w:rsidRPr="008F165C">
        <w:rPr>
          <w:rFonts w:cstheme="minorHAnsi"/>
        </w:rPr>
        <w:t>a</w:t>
      </w:r>
      <w:r w:rsidRPr="008F165C">
        <w:rPr>
          <w:rFonts w:cstheme="minorHAnsi"/>
        </w:rPr>
        <w:t xml:space="preserve">ge in a separate model. The </w:t>
      </w:r>
      <w:r w:rsidR="008D53D1" w:rsidRPr="008F165C">
        <w:rPr>
          <w:rFonts w:cstheme="minorHAnsi"/>
        </w:rPr>
        <w:t>average</w:t>
      </w:r>
      <w:r w:rsidRPr="008F165C">
        <w:rPr>
          <w:rFonts w:cstheme="minorHAnsi"/>
        </w:rPr>
        <w:t xml:space="preserve"> freq</w:t>
      </w:r>
      <w:r w:rsidR="008D53D1" w:rsidRPr="008F165C">
        <w:rPr>
          <w:rFonts w:cstheme="minorHAnsi"/>
        </w:rPr>
        <w:t>uency</w:t>
      </w:r>
      <w:r w:rsidRPr="008F165C">
        <w:rPr>
          <w:rFonts w:cstheme="minorHAnsi"/>
        </w:rPr>
        <w:t xml:space="preserve"> of MSK risk roles was a significant predictor of </w:t>
      </w:r>
      <w:r w:rsidR="008D53D1" w:rsidRPr="008F165C">
        <w:rPr>
          <w:rFonts w:cstheme="minorHAnsi"/>
        </w:rPr>
        <w:t>average</w:t>
      </w:r>
      <w:r w:rsidRPr="008F165C">
        <w:rPr>
          <w:rFonts w:cstheme="minorHAnsi"/>
        </w:rPr>
        <w:t xml:space="preserve"> time since first onset of pain (</w:t>
      </w:r>
      <w:r w:rsidRPr="008F165C">
        <w:rPr>
          <w:rStyle w:val="Emphasis"/>
          <w:rFonts w:cstheme="minorHAnsi"/>
          <w:i w:val="0"/>
          <w:iCs w:val="0"/>
        </w:rPr>
        <w:t>R</w:t>
      </w:r>
      <w:r w:rsidRPr="008F165C">
        <w:rPr>
          <w:rFonts w:cstheme="minorHAnsi"/>
          <w:vertAlign w:val="superscript"/>
        </w:rPr>
        <w:t>2</w:t>
      </w:r>
      <w:r w:rsidRPr="008F165C">
        <w:rPr>
          <w:rFonts w:cstheme="minorHAnsi"/>
        </w:rPr>
        <w:t xml:space="preserve"> = </w:t>
      </w:r>
      <w:r w:rsidR="006E21F9">
        <w:rPr>
          <w:rFonts w:cstheme="minorHAnsi"/>
        </w:rPr>
        <w:t>0</w:t>
      </w:r>
      <w:r w:rsidRPr="008F165C">
        <w:rPr>
          <w:rFonts w:cstheme="minorHAnsi"/>
        </w:rPr>
        <w:t>.1</w:t>
      </w:r>
      <w:r w:rsidR="008D53D1" w:rsidRPr="008F165C">
        <w:rPr>
          <w:rFonts w:cstheme="minorHAnsi"/>
        </w:rPr>
        <w:t>4</w:t>
      </w:r>
      <w:r w:rsidRPr="008F165C">
        <w:rPr>
          <w:rFonts w:cstheme="minorHAnsi"/>
        </w:rPr>
        <w:t xml:space="preserve">, </w:t>
      </w:r>
      <w:r w:rsidRPr="008F165C">
        <w:rPr>
          <w:rStyle w:val="Emphasis"/>
          <w:rFonts w:cstheme="minorHAnsi"/>
          <w:i w:val="0"/>
          <w:iCs w:val="0"/>
        </w:rPr>
        <w:t>F</w:t>
      </w:r>
      <w:r w:rsidRPr="008F165C">
        <w:rPr>
          <w:rFonts w:cstheme="minorHAnsi"/>
        </w:rPr>
        <w:t xml:space="preserve"> (9, 178) = 3.1</w:t>
      </w:r>
      <w:r w:rsidR="008D53D1" w:rsidRPr="008F165C">
        <w:rPr>
          <w:rFonts w:cstheme="minorHAnsi"/>
        </w:rPr>
        <w:t>3</w:t>
      </w:r>
      <w:r w:rsidRPr="008F165C">
        <w:rPr>
          <w:rFonts w:cstheme="minorHAnsi"/>
        </w:rPr>
        <w:t xml:space="preserve">, </w:t>
      </w:r>
      <w:r w:rsidRPr="008F165C">
        <w:rPr>
          <w:rStyle w:val="Emphasis"/>
          <w:rFonts w:cstheme="minorHAnsi"/>
          <w:i w:val="0"/>
          <w:iCs w:val="0"/>
        </w:rPr>
        <w:t>p</w:t>
      </w:r>
      <w:r w:rsidRPr="008F165C">
        <w:rPr>
          <w:rFonts w:cstheme="minorHAnsi"/>
        </w:rPr>
        <w:t xml:space="preserve">= </w:t>
      </w:r>
      <w:r w:rsidR="006E21F9">
        <w:rPr>
          <w:rFonts w:cstheme="minorHAnsi"/>
        </w:rPr>
        <w:t>0</w:t>
      </w:r>
      <w:r w:rsidRPr="008F165C">
        <w:rPr>
          <w:rFonts w:cstheme="minorHAnsi"/>
        </w:rPr>
        <w:t xml:space="preserve">.002; adjusted </w:t>
      </w:r>
      <w:r w:rsidRPr="008F165C">
        <w:rPr>
          <w:rStyle w:val="Emphasis"/>
          <w:rFonts w:cstheme="minorHAnsi"/>
          <w:i w:val="0"/>
          <w:iCs w:val="0"/>
        </w:rPr>
        <w:t>R</w:t>
      </w:r>
      <w:r w:rsidRPr="008F165C">
        <w:rPr>
          <w:rFonts w:cstheme="minorHAnsi"/>
          <w:vertAlign w:val="superscript"/>
        </w:rPr>
        <w:t>2</w:t>
      </w:r>
      <w:r w:rsidRPr="008F165C">
        <w:rPr>
          <w:rFonts w:cstheme="minorHAnsi"/>
        </w:rPr>
        <w:t xml:space="preserve"> = </w:t>
      </w:r>
      <w:r w:rsidR="006E21F9">
        <w:rPr>
          <w:rFonts w:cstheme="minorHAnsi"/>
        </w:rPr>
        <w:t>0</w:t>
      </w:r>
      <w:r w:rsidRPr="008F165C">
        <w:rPr>
          <w:rFonts w:cstheme="minorHAnsi"/>
        </w:rPr>
        <w:t xml:space="preserve">.09), and </w:t>
      </w:r>
      <w:r w:rsidR="00FB34FF">
        <w:rPr>
          <w:rFonts w:cstheme="minorHAnsi"/>
        </w:rPr>
        <w:t>p</w:t>
      </w:r>
      <w:r w:rsidRPr="008F165C">
        <w:rPr>
          <w:rFonts w:cstheme="minorHAnsi"/>
        </w:rPr>
        <w:t xml:space="preserve">ain </w:t>
      </w:r>
      <w:r w:rsidR="00FB34FF">
        <w:rPr>
          <w:rFonts w:cstheme="minorHAnsi"/>
        </w:rPr>
        <w:t>f</w:t>
      </w:r>
      <w:r w:rsidRPr="008F165C">
        <w:rPr>
          <w:rFonts w:cstheme="minorHAnsi"/>
        </w:rPr>
        <w:t>requency (</w:t>
      </w:r>
      <w:r w:rsidRPr="008F165C">
        <w:rPr>
          <w:rStyle w:val="Emphasis"/>
          <w:rFonts w:cstheme="minorHAnsi"/>
          <w:i w:val="0"/>
          <w:iCs w:val="0"/>
        </w:rPr>
        <w:t>R</w:t>
      </w:r>
      <w:r w:rsidRPr="008F165C">
        <w:rPr>
          <w:rFonts w:cstheme="minorHAnsi"/>
          <w:vertAlign w:val="superscript"/>
        </w:rPr>
        <w:t>2</w:t>
      </w:r>
      <w:r w:rsidRPr="008F165C">
        <w:rPr>
          <w:rFonts w:cstheme="minorHAnsi"/>
        </w:rPr>
        <w:t xml:space="preserve"> = </w:t>
      </w:r>
      <w:r w:rsidR="00006BDC">
        <w:rPr>
          <w:rFonts w:cstheme="minorHAnsi"/>
        </w:rPr>
        <w:t>0</w:t>
      </w:r>
      <w:r w:rsidRPr="008F165C">
        <w:rPr>
          <w:rFonts w:cstheme="minorHAnsi"/>
        </w:rPr>
        <w:t>.1</w:t>
      </w:r>
      <w:r w:rsidR="008D53D1" w:rsidRPr="008F165C">
        <w:rPr>
          <w:rFonts w:cstheme="minorHAnsi"/>
        </w:rPr>
        <w:t>4</w:t>
      </w:r>
      <w:r w:rsidRPr="008F165C">
        <w:rPr>
          <w:rFonts w:cstheme="minorHAnsi"/>
        </w:rPr>
        <w:t xml:space="preserve">, </w:t>
      </w:r>
      <w:r w:rsidRPr="008F165C">
        <w:rPr>
          <w:rStyle w:val="Emphasis"/>
          <w:rFonts w:cstheme="minorHAnsi"/>
          <w:i w:val="0"/>
          <w:iCs w:val="0"/>
        </w:rPr>
        <w:t>F</w:t>
      </w:r>
      <w:r w:rsidRPr="008F165C">
        <w:rPr>
          <w:rFonts w:cstheme="minorHAnsi"/>
        </w:rPr>
        <w:t xml:space="preserve"> (9, 178) = 3.1</w:t>
      </w:r>
      <w:r w:rsidR="008D53D1" w:rsidRPr="008F165C">
        <w:rPr>
          <w:rFonts w:cstheme="minorHAnsi"/>
        </w:rPr>
        <w:t>3</w:t>
      </w:r>
      <w:r w:rsidRPr="008F165C">
        <w:rPr>
          <w:rFonts w:cstheme="minorHAnsi"/>
        </w:rPr>
        <w:t xml:space="preserve">, </w:t>
      </w:r>
      <w:r w:rsidRPr="008F165C">
        <w:rPr>
          <w:rStyle w:val="Emphasis"/>
          <w:rFonts w:cstheme="minorHAnsi"/>
          <w:i w:val="0"/>
          <w:iCs w:val="0"/>
        </w:rPr>
        <w:t>p</w:t>
      </w:r>
      <w:r w:rsidRPr="008F165C">
        <w:rPr>
          <w:rFonts w:cstheme="minorHAnsi"/>
        </w:rPr>
        <w:t xml:space="preserve"> =</w:t>
      </w:r>
      <w:r w:rsidR="006E21F9">
        <w:rPr>
          <w:rFonts w:cstheme="minorHAnsi"/>
        </w:rPr>
        <w:t>0</w:t>
      </w:r>
      <w:r w:rsidRPr="008F165C">
        <w:rPr>
          <w:rFonts w:cstheme="minorHAnsi"/>
        </w:rPr>
        <w:t xml:space="preserve">.002; adjusted </w:t>
      </w:r>
      <w:r w:rsidRPr="008F165C">
        <w:rPr>
          <w:rStyle w:val="Emphasis"/>
          <w:rFonts w:cstheme="minorHAnsi"/>
          <w:i w:val="0"/>
          <w:iCs w:val="0"/>
        </w:rPr>
        <w:t>R</w:t>
      </w:r>
      <w:r w:rsidRPr="008F165C">
        <w:rPr>
          <w:rFonts w:cstheme="minorHAnsi"/>
          <w:vertAlign w:val="superscript"/>
        </w:rPr>
        <w:t>2</w:t>
      </w:r>
      <w:r w:rsidRPr="008F165C">
        <w:rPr>
          <w:rFonts w:cstheme="minorHAnsi"/>
        </w:rPr>
        <w:t xml:space="preserve"> = </w:t>
      </w:r>
      <w:r w:rsidR="006E21F9">
        <w:rPr>
          <w:rFonts w:cstheme="minorHAnsi"/>
        </w:rPr>
        <w:t>0</w:t>
      </w:r>
      <w:r w:rsidRPr="008F165C">
        <w:rPr>
          <w:rFonts w:cstheme="minorHAnsi"/>
        </w:rPr>
        <w:t xml:space="preserve">.09). </w:t>
      </w:r>
      <w:r w:rsidR="005B679E" w:rsidRPr="008F165C">
        <w:rPr>
          <w:rFonts w:cstheme="minorHAnsi"/>
        </w:rPr>
        <w:t>The average</w:t>
      </w:r>
      <w:r w:rsidRPr="008F165C">
        <w:rPr>
          <w:rFonts w:cstheme="minorHAnsi"/>
        </w:rPr>
        <w:t xml:space="preserve"> freq</w:t>
      </w:r>
      <w:r w:rsidR="005B679E" w:rsidRPr="008F165C">
        <w:rPr>
          <w:rFonts w:cstheme="minorHAnsi"/>
        </w:rPr>
        <w:t>uency</w:t>
      </w:r>
      <w:r w:rsidRPr="008F165C">
        <w:rPr>
          <w:rFonts w:cstheme="minorHAnsi"/>
        </w:rPr>
        <w:t xml:space="preserve"> of MSK risk roles was also the significant predictor, along with </w:t>
      </w:r>
      <w:r w:rsidR="005B679E" w:rsidRPr="008F165C">
        <w:rPr>
          <w:rFonts w:cstheme="minorHAnsi"/>
        </w:rPr>
        <w:t>e</w:t>
      </w:r>
      <w:r w:rsidRPr="008F165C">
        <w:rPr>
          <w:rFonts w:cstheme="minorHAnsi"/>
        </w:rPr>
        <w:t xml:space="preserve">ducation </w:t>
      </w:r>
      <w:r w:rsidR="005B679E" w:rsidRPr="008F165C">
        <w:rPr>
          <w:rFonts w:cstheme="minorHAnsi"/>
        </w:rPr>
        <w:t>l</w:t>
      </w:r>
      <w:r w:rsidRPr="008F165C">
        <w:rPr>
          <w:rFonts w:cstheme="minorHAnsi"/>
        </w:rPr>
        <w:t xml:space="preserve">evel, of </w:t>
      </w:r>
      <w:r w:rsidR="005B679E" w:rsidRPr="008F165C">
        <w:rPr>
          <w:rFonts w:cstheme="minorHAnsi"/>
        </w:rPr>
        <w:t>average frequency</w:t>
      </w:r>
      <w:r w:rsidRPr="008F165C">
        <w:rPr>
          <w:rFonts w:cstheme="minorHAnsi"/>
        </w:rPr>
        <w:t xml:space="preserve"> of pain caused by MSK risk roles (</w:t>
      </w:r>
      <w:r w:rsidRPr="008F165C">
        <w:rPr>
          <w:rStyle w:val="Emphasis"/>
          <w:rFonts w:cstheme="minorHAnsi"/>
          <w:i w:val="0"/>
          <w:iCs w:val="0"/>
        </w:rPr>
        <w:t>R</w:t>
      </w:r>
      <w:r w:rsidRPr="008F165C">
        <w:rPr>
          <w:rFonts w:cstheme="minorHAnsi"/>
          <w:vertAlign w:val="superscript"/>
        </w:rPr>
        <w:t>2</w:t>
      </w:r>
      <w:r w:rsidRPr="008F165C">
        <w:rPr>
          <w:rFonts w:cstheme="minorHAnsi"/>
        </w:rPr>
        <w:t xml:space="preserve"> = </w:t>
      </w:r>
      <w:r w:rsidR="006E21F9">
        <w:rPr>
          <w:rFonts w:cstheme="minorHAnsi"/>
        </w:rPr>
        <w:t>0</w:t>
      </w:r>
      <w:r w:rsidRPr="008F165C">
        <w:rPr>
          <w:rFonts w:cstheme="minorHAnsi"/>
        </w:rPr>
        <w:t>.1</w:t>
      </w:r>
      <w:r w:rsidR="005B679E" w:rsidRPr="008F165C">
        <w:rPr>
          <w:rFonts w:cstheme="minorHAnsi"/>
        </w:rPr>
        <w:t>5</w:t>
      </w:r>
      <w:r w:rsidRPr="008F165C">
        <w:rPr>
          <w:rFonts w:cstheme="minorHAnsi"/>
        </w:rPr>
        <w:t xml:space="preserve">, </w:t>
      </w:r>
      <w:r w:rsidRPr="008F165C">
        <w:rPr>
          <w:rStyle w:val="Emphasis"/>
          <w:rFonts w:cstheme="minorHAnsi"/>
          <w:i w:val="0"/>
          <w:iCs w:val="0"/>
        </w:rPr>
        <w:t>F</w:t>
      </w:r>
      <w:r w:rsidRPr="008F165C">
        <w:rPr>
          <w:rFonts w:cstheme="minorHAnsi"/>
        </w:rPr>
        <w:t xml:space="preserve"> (9, 178) = 3.4</w:t>
      </w:r>
      <w:r w:rsidR="005B679E" w:rsidRPr="008F165C">
        <w:rPr>
          <w:rFonts w:cstheme="minorHAnsi"/>
        </w:rPr>
        <w:t>1</w:t>
      </w:r>
      <w:r w:rsidRPr="008F165C">
        <w:rPr>
          <w:rFonts w:cstheme="minorHAnsi"/>
        </w:rPr>
        <w:t xml:space="preserve">, </w:t>
      </w:r>
      <w:r w:rsidRPr="008F165C">
        <w:rPr>
          <w:rStyle w:val="Emphasis"/>
          <w:rFonts w:cstheme="minorHAnsi"/>
          <w:i w:val="0"/>
          <w:iCs w:val="0"/>
        </w:rPr>
        <w:t>p</w:t>
      </w:r>
      <w:r w:rsidR="006E21F9">
        <w:rPr>
          <w:rStyle w:val="Emphasis"/>
          <w:rFonts w:cstheme="minorHAnsi"/>
          <w:i w:val="0"/>
          <w:iCs w:val="0"/>
        </w:rPr>
        <w:t xml:space="preserve"> </w:t>
      </w:r>
      <w:r w:rsidRPr="008F165C">
        <w:rPr>
          <w:rFonts w:cstheme="minorHAnsi"/>
        </w:rPr>
        <w:t xml:space="preserve">= </w:t>
      </w:r>
      <w:r w:rsidR="006E21F9">
        <w:rPr>
          <w:rFonts w:cstheme="minorHAnsi"/>
        </w:rPr>
        <w:t>0</w:t>
      </w:r>
      <w:r w:rsidRPr="008F165C">
        <w:rPr>
          <w:rFonts w:cstheme="minorHAnsi"/>
        </w:rPr>
        <w:t xml:space="preserve">.001; adjusted </w:t>
      </w:r>
      <w:r w:rsidRPr="008F165C">
        <w:rPr>
          <w:rStyle w:val="Emphasis"/>
          <w:rFonts w:cstheme="minorHAnsi"/>
          <w:i w:val="0"/>
          <w:iCs w:val="0"/>
        </w:rPr>
        <w:t>R</w:t>
      </w:r>
      <w:r w:rsidRPr="008F165C">
        <w:rPr>
          <w:rFonts w:cstheme="minorHAnsi"/>
          <w:vertAlign w:val="superscript"/>
        </w:rPr>
        <w:t>2</w:t>
      </w:r>
      <w:r w:rsidRPr="008F165C">
        <w:rPr>
          <w:rFonts w:cstheme="minorHAnsi"/>
        </w:rPr>
        <w:t xml:space="preserve"> = </w:t>
      </w:r>
      <w:r w:rsidR="006E21F9">
        <w:rPr>
          <w:rFonts w:cstheme="minorHAnsi"/>
        </w:rPr>
        <w:t>0</w:t>
      </w:r>
      <w:r w:rsidRPr="008F165C">
        <w:rPr>
          <w:rFonts w:cstheme="minorHAnsi"/>
        </w:rPr>
        <w:t>.10)</w:t>
      </w:r>
      <w:r w:rsidR="00B8286D" w:rsidRPr="008F165C">
        <w:rPr>
          <w:rFonts w:cstheme="minorHAnsi"/>
        </w:rPr>
        <w:t xml:space="preserve">, see </w:t>
      </w:r>
      <w:r w:rsidR="00135A14">
        <w:rPr>
          <w:rFonts w:cstheme="minorHAnsi"/>
        </w:rPr>
        <w:t>T</w:t>
      </w:r>
      <w:r w:rsidR="00B8286D" w:rsidRPr="008F165C">
        <w:rPr>
          <w:rFonts w:cstheme="minorHAnsi"/>
        </w:rPr>
        <w:t>able 4 for full details</w:t>
      </w:r>
      <w:r w:rsidRPr="008F165C">
        <w:rPr>
          <w:rFonts w:cstheme="minorHAnsi"/>
        </w:rPr>
        <w:t>.</w:t>
      </w:r>
    </w:p>
    <w:p w14:paraId="2BF98348" w14:textId="05E07EE9" w:rsidR="002A7D27" w:rsidRPr="008F165C" w:rsidRDefault="002A7D27" w:rsidP="00B93C9C">
      <w:pPr>
        <w:spacing w:line="480" w:lineRule="auto"/>
        <w:rPr>
          <w:rFonts w:cstheme="minorHAnsi"/>
          <w:b/>
          <w:bCs/>
        </w:rPr>
      </w:pPr>
      <w:r w:rsidRPr="008F165C">
        <w:rPr>
          <w:rFonts w:cstheme="minorHAnsi"/>
          <w:b/>
          <w:bCs/>
        </w:rPr>
        <w:t xml:space="preserve">Role Differences </w:t>
      </w:r>
    </w:p>
    <w:p w14:paraId="7F8A0F76" w14:textId="5702FF11" w:rsidR="002A7D27" w:rsidRPr="008F165C" w:rsidRDefault="002A7D27" w:rsidP="002A7D27">
      <w:pPr>
        <w:spacing w:line="480" w:lineRule="auto"/>
        <w:ind w:firstLine="720"/>
        <w:jc w:val="both"/>
        <w:rPr>
          <w:rFonts w:cstheme="minorHAnsi"/>
        </w:rPr>
      </w:pPr>
      <w:r w:rsidRPr="008F165C">
        <w:rPr>
          <w:rFonts w:cstheme="minorHAnsi"/>
        </w:rPr>
        <w:t xml:space="preserve">Comparisons between participants acting primarily in a leadership or management role were compared to those reporting their primary role as a practitioner or teacher. </w:t>
      </w:r>
      <w:r w:rsidRPr="008F165C">
        <w:rPr>
          <w:rFonts w:cstheme="minorHAnsi"/>
          <w:i/>
          <w:iCs/>
        </w:rPr>
        <w:t>Years of service</w:t>
      </w:r>
      <w:r w:rsidRPr="008F165C">
        <w:rPr>
          <w:rFonts w:cstheme="minorHAnsi"/>
        </w:rPr>
        <w:t xml:space="preserve"> was significantly higher (</w:t>
      </w:r>
      <w:r w:rsidRPr="008F165C">
        <w:rPr>
          <w:rStyle w:val="Emphasis"/>
          <w:rFonts w:cstheme="minorHAnsi"/>
        </w:rPr>
        <w:t>U</w:t>
      </w:r>
      <w:r w:rsidRPr="008F165C">
        <w:rPr>
          <w:rFonts w:cstheme="minorHAnsi"/>
        </w:rPr>
        <w:t xml:space="preserve"> = 4937, </w:t>
      </w:r>
      <w:r w:rsidRPr="008F165C">
        <w:rPr>
          <w:rStyle w:val="Emphasis"/>
          <w:rFonts w:cstheme="minorHAnsi"/>
        </w:rPr>
        <w:t>z</w:t>
      </w:r>
      <w:r w:rsidRPr="008F165C">
        <w:rPr>
          <w:rFonts w:cstheme="minorHAnsi"/>
        </w:rPr>
        <w:t xml:space="preserve"> = 2.65, </w:t>
      </w:r>
      <w:r w:rsidRPr="008F165C">
        <w:rPr>
          <w:rStyle w:val="Emphasis"/>
          <w:rFonts w:cstheme="minorHAnsi"/>
        </w:rPr>
        <w:t>p</w:t>
      </w:r>
      <w:r w:rsidRPr="008F165C">
        <w:rPr>
          <w:rFonts w:cstheme="minorHAnsi"/>
        </w:rPr>
        <w:t xml:space="preserve">= </w:t>
      </w:r>
      <w:r w:rsidR="006E21F9">
        <w:rPr>
          <w:rFonts w:cstheme="minorHAnsi"/>
        </w:rPr>
        <w:t>0</w:t>
      </w:r>
      <w:r w:rsidRPr="008F165C">
        <w:rPr>
          <w:rFonts w:cstheme="minorHAnsi"/>
        </w:rPr>
        <w:t>.008) in leaders (</w:t>
      </w:r>
      <w:r w:rsidR="0022261C" w:rsidRPr="008F165C">
        <w:rPr>
          <w:rStyle w:val="Emphasis"/>
          <w:rFonts w:cstheme="minorHAnsi"/>
        </w:rPr>
        <w:t>median</w:t>
      </w:r>
      <w:r w:rsidRPr="008F165C">
        <w:rPr>
          <w:rFonts w:cstheme="minorHAnsi"/>
        </w:rPr>
        <w:t xml:space="preserve"> = 22 years) than in practitioners (</w:t>
      </w:r>
      <w:r w:rsidR="0022261C" w:rsidRPr="008F165C">
        <w:rPr>
          <w:rStyle w:val="Emphasis"/>
          <w:rFonts w:cstheme="minorHAnsi"/>
        </w:rPr>
        <w:t>median</w:t>
      </w:r>
      <w:r w:rsidRPr="008F165C">
        <w:rPr>
          <w:rFonts w:cstheme="minorHAnsi"/>
        </w:rPr>
        <w:t xml:space="preserve"> = 18 years), as was access to MSK protective measures</w:t>
      </w:r>
      <w:r w:rsidRPr="008F165C">
        <w:rPr>
          <w:rStyle w:val="Emphasis"/>
          <w:rFonts w:cstheme="minorHAnsi"/>
        </w:rPr>
        <w:t xml:space="preserve"> U</w:t>
      </w:r>
      <w:r w:rsidRPr="008F165C">
        <w:rPr>
          <w:rFonts w:cstheme="minorHAnsi"/>
        </w:rPr>
        <w:t xml:space="preserve"> = 2639, </w:t>
      </w:r>
      <w:r w:rsidRPr="008F165C">
        <w:rPr>
          <w:rStyle w:val="Emphasis"/>
          <w:rFonts w:cstheme="minorHAnsi"/>
        </w:rPr>
        <w:t>z</w:t>
      </w:r>
      <w:r w:rsidRPr="008F165C">
        <w:rPr>
          <w:rFonts w:cstheme="minorHAnsi"/>
        </w:rPr>
        <w:t xml:space="preserve"> = -</w:t>
      </w:r>
      <w:r w:rsidRPr="008F165C">
        <w:rPr>
          <w:rFonts w:cstheme="minorHAnsi"/>
        </w:rPr>
        <w:lastRenderedPageBreak/>
        <w:t>3.4</w:t>
      </w:r>
      <w:r w:rsidR="0022261C" w:rsidRPr="008F165C">
        <w:rPr>
          <w:rFonts w:cstheme="minorHAnsi"/>
        </w:rPr>
        <w:t>8</w:t>
      </w:r>
      <w:r w:rsidRPr="008F165C">
        <w:rPr>
          <w:rFonts w:cstheme="minorHAnsi"/>
        </w:rPr>
        <w:t xml:space="preserve">, </w:t>
      </w:r>
      <w:r w:rsidRPr="008F165C">
        <w:rPr>
          <w:rStyle w:val="Emphasis"/>
          <w:rFonts w:cstheme="minorHAnsi"/>
        </w:rPr>
        <w:t>p</w:t>
      </w:r>
      <w:r w:rsidRPr="008F165C">
        <w:rPr>
          <w:rFonts w:cstheme="minorHAnsi"/>
        </w:rPr>
        <w:t xml:space="preserve">= </w:t>
      </w:r>
      <w:r w:rsidR="006E21F9">
        <w:rPr>
          <w:rFonts w:cstheme="minorHAnsi"/>
        </w:rPr>
        <w:t>0</w:t>
      </w:r>
      <w:r w:rsidRPr="008F165C">
        <w:rPr>
          <w:rFonts w:cstheme="minorHAnsi"/>
        </w:rPr>
        <w:t>.001 (</w:t>
      </w:r>
      <w:r w:rsidR="00135A14" w:rsidRPr="008F165C">
        <w:rPr>
          <w:rFonts w:cstheme="minorHAnsi"/>
        </w:rPr>
        <w:t>Leader’s</w:t>
      </w:r>
      <w:r w:rsidRPr="008F165C">
        <w:rPr>
          <w:rFonts w:cstheme="minorHAnsi"/>
        </w:rPr>
        <w:t xml:space="preserve"> </w:t>
      </w:r>
      <w:r w:rsidR="0022261C" w:rsidRPr="008F165C">
        <w:rPr>
          <w:rStyle w:val="Emphasis"/>
          <w:rFonts w:cstheme="minorHAnsi"/>
        </w:rPr>
        <w:t>median</w:t>
      </w:r>
      <w:r w:rsidRPr="008F165C">
        <w:rPr>
          <w:rFonts w:cstheme="minorHAnsi"/>
        </w:rPr>
        <w:t xml:space="preserve"> = 2.00, Practitioners </w:t>
      </w:r>
      <w:r w:rsidR="0022261C" w:rsidRPr="008F165C">
        <w:rPr>
          <w:rStyle w:val="Emphasis"/>
          <w:rFonts w:cstheme="minorHAnsi"/>
        </w:rPr>
        <w:t>median</w:t>
      </w:r>
      <w:r w:rsidR="0022261C" w:rsidRPr="008F165C">
        <w:rPr>
          <w:rFonts w:cstheme="minorHAnsi"/>
        </w:rPr>
        <w:t xml:space="preserve"> </w:t>
      </w:r>
      <w:r w:rsidRPr="008F165C">
        <w:rPr>
          <w:rFonts w:cstheme="minorHAnsi"/>
        </w:rPr>
        <w:t xml:space="preserve">= 2.25). </w:t>
      </w:r>
      <w:r w:rsidR="0022261C" w:rsidRPr="008F165C">
        <w:rPr>
          <w:rFonts w:cstheme="minorHAnsi"/>
        </w:rPr>
        <w:t xml:space="preserve">In contrast, </w:t>
      </w:r>
      <w:r w:rsidRPr="008F165C">
        <w:rPr>
          <w:rFonts w:cstheme="minorHAnsi"/>
        </w:rPr>
        <w:t xml:space="preserve">mean </w:t>
      </w:r>
      <w:r w:rsidR="0022261C" w:rsidRPr="008F165C">
        <w:rPr>
          <w:rFonts w:cstheme="minorHAnsi"/>
          <w:i/>
          <w:iCs/>
        </w:rPr>
        <w:t>percentage</w:t>
      </w:r>
      <w:r w:rsidRPr="008F165C">
        <w:rPr>
          <w:rFonts w:cstheme="minorHAnsi"/>
          <w:i/>
          <w:iCs/>
        </w:rPr>
        <w:t xml:space="preserve"> of role which is practical </w:t>
      </w:r>
      <w:r w:rsidRPr="008F165C">
        <w:rPr>
          <w:rFonts w:cstheme="minorHAnsi"/>
        </w:rPr>
        <w:t>was significantly higher (</w:t>
      </w:r>
      <w:r w:rsidRPr="008F165C">
        <w:rPr>
          <w:rStyle w:val="Emphasis"/>
          <w:rFonts w:cstheme="minorHAnsi"/>
        </w:rPr>
        <w:t>U</w:t>
      </w:r>
      <w:r w:rsidRPr="008F165C">
        <w:rPr>
          <w:rFonts w:cstheme="minorHAnsi"/>
        </w:rPr>
        <w:t xml:space="preserve"> = 1582, </w:t>
      </w:r>
      <w:r w:rsidRPr="008F165C">
        <w:rPr>
          <w:rStyle w:val="Emphasis"/>
          <w:rFonts w:cstheme="minorHAnsi"/>
        </w:rPr>
        <w:t>z</w:t>
      </w:r>
      <w:r w:rsidRPr="008F165C">
        <w:rPr>
          <w:rFonts w:cstheme="minorHAnsi"/>
        </w:rPr>
        <w:t xml:space="preserve"> = -6.8</w:t>
      </w:r>
      <w:r w:rsidR="006C095F" w:rsidRPr="008F165C">
        <w:rPr>
          <w:rFonts w:cstheme="minorHAnsi"/>
        </w:rPr>
        <w:t>5</w:t>
      </w:r>
      <w:r w:rsidRPr="008F165C">
        <w:rPr>
          <w:rFonts w:cstheme="minorHAnsi"/>
        </w:rPr>
        <w:t xml:space="preserve">, </w:t>
      </w:r>
      <w:r w:rsidRPr="008F165C">
        <w:rPr>
          <w:rStyle w:val="Emphasis"/>
          <w:rFonts w:cstheme="minorHAnsi"/>
        </w:rPr>
        <w:t>p</w:t>
      </w:r>
      <w:r w:rsidRPr="008F165C">
        <w:rPr>
          <w:rFonts w:cstheme="minorHAnsi"/>
        </w:rPr>
        <w:t xml:space="preserve"> &lt; </w:t>
      </w:r>
      <w:r w:rsidR="006E21F9">
        <w:rPr>
          <w:rFonts w:cstheme="minorHAnsi"/>
        </w:rPr>
        <w:t>0</w:t>
      </w:r>
      <w:r w:rsidRPr="008F165C">
        <w:rPr>
          <w:rFonts w:cstheme="minorHAnsi"/>
        </w:rPr>
        <w:t xml:space="preserve">.001) in practitioners (77%) (mean rank = 131.66) than for leaders (51%) (mean rank = 74.86), as was </w:t>
      </w:r>
      <w:r w:rsidRPr="008F165C">
        <w:rPr>
          <w:rFonts w:cstheme="minorHAnsi"/>
          <w:i/>
          <w:iCs/>
        </w:rPr>
        <w:t xml:space="preserve">perceived need for greater MSK protective factors </w:t>
      </w:r>
      <w:r w:rsidRPr="008F165C">
        <w:rPr>
          <w:rStyle w:val="Emphasis"/>
          <w:rFonts w:cstheme="minorHAnsi"/>
        </w:rPr>
        <w:t>U</w:t>
      </w:r>
      <w:r w:rsidRPr="008F165C">
        <w:rPr>
          <w:rFonts w:cstheme="minorHAnsi"/>
        </w:rPr>
        <w:t xml:space="preserve"> = 2621</w:t>
      </w:r>
      <w:r w:rsidR="00A2021C" w:rsidRPr="008F165C">
        <w:rPr>
          <w:rFonts w:cstheme="minorHAnsi"/>
        </w:rPr>
        <w:t>,</w:t>
      </w:r>
      <w:r w:rsidRPr="008F165C">
        <w:rPr>
          <w:rFonts w:cstheme="minorHAnsi"/>
        </w:rPr>
        <w:t xml:space="preserve"> </w:t>
      </w:r>
      <w:r w:rsidRPr="008F165C">
        <w:rPr>
          <w:rStyle w:val="Emphasis"/>
          <w:rFonts w:cstheme="minorHAnsi"/>
        </w:rPr>
        <w:t>z</w:t>
      </w:r>
      <w:r w:rsidRPr="008F165C">
        <w:rPr>
          <w:rFonts w:cstheme="minorHAnsi"/>
        </w:rPr>
        <w:t xml:space="preserve"> = -3.85, </w:t>
      </w:r>
      <w:r w:rsidRPr="008F165C">
        <w:rPr>
          <w:rStyle w:val="Emphasis"/>
          <w:rFonts w:cstheme="minorHAnsi"/>
        </w:rPr>
        <w:t>p</w:t>
      </w:r>
      <w:r w:rsidRPr="008F165C">
        <w:rPr>
          <w:rFonts w:cstheme="minorHAnsi"/>
        </w:rPr>
        <w:t xml:space="preserve"> &lt; </w:t>
      </w:r>
      <w:r w:rsidR="006E21F9">
        <w:rPr>
          <w:rFonts w:cstheme="minorHAnsi"/>
        </w:rPr>
        <w:t>0</w:t>
      </w:r>
      <w:r w:rsidRPr="008F165C">
        <w:rPr>
          <w:rFonts w:cstheme="minorHAnsi"/>
        </w:rPr>
        <w:t>.001</w:t>
      </w:r>
      <w:r w:rsidRPr="008F165C">
        <w:rPr>
          <w:rFonts w:cstheme="minorHAnsi"/>
          <w:i/>
          <w:iCs/>
        </w:rPr>
        <w:t xml:space="preserve"> </w:t>
      </w:r>
      <w:r w:rsidRPr="008F165C">
        <w:rPr>
          <w:rFonts w:cstheme="minorHAnsi"/>
        </w:rPr>
        <w:t xml:space="preserve">(practitioners </w:t>
      </w:r>
      <w:r w:rsidR="006D2101" w:rsidRPr="008F165C">
        <w:rPr>
          <w:rStyle w:val="Emphasis"/>
          <w:rFonts w:cstheme="minorHAnsi"/>
        </w:rPr>
        <w:t>median</w:t>
      </w:r>
      <w:r w:rsidRPr="008F165C">
        <w:rPr>
          <w:rFonts w:cstheme="minorHAnsi"/>
        </w:rPr>
        <w:t xml:space="preserve"> = 3.75</w:t>
      </w:r>
      <w:r w:rsidR="00DF1DDC" w:rsidRPr="008F165C">
        <w:rPr>
          <w:rFonts w:cstheme="minorHAnsi"/>
        </w:rPr>
        <w:t>;</w:t>
      </w:r>
      <w:r w:rsidRPr="008F165C">
        <w:rPr>
          <w:rFonts w:cstheme="minorHAnsi"/>
        </w:rPr>
        <w:t xml:space="preserve"> leaders </w:t>
      </w:r>
      <w:r w:rsidR="006D2101" w:rsidRPr="008F165C">
        <w:rPr>
          <w:rStyle w:val="Emphasis"/>
          <w:rFonts w:cstheme="minorHAnsi"/>
        </w:rPr>
        <w:t xml:space="preserve">median </w:t>
      </w:r>
      <w:r w:rsidRPr="008F165C">
        <w:rPr>
          <w:rFonts w:cstheme="minorHAnsi"/>
        </w:rPr>
        <w:t>= 3</w:t>
      </w:r>
      <w:r w:rsidR="006D2101" w:rsidRPr="008F165C">
        <w:rPr>
          <w:rFonts w:cstheme="minorHAnsi"/>
        </w:rPr>
        <w:t>.00</w:t>
      </w:r>
      <w:r w:rsidRPr="008F165C">
        <w:rPr>
          <w:rFonts w:cstheme="minorHAnsi"/>
        </w:rPr>
        <w:t>).</w:t>
      </w:r>
      <w:r w:rsidR="00423917" w:rsidRPr="008F165C">
        <w:rPr>
          <w:rFonts w:cstheme="minorHAnsi"/>
        </w:rPr>
        <w:t xml:space="preserve"> Over the 11 pain locations surv</w:t>
      </w:r>
      <w:r w:rsidR="00EE39C3">
        <w:rPr>
          <w:rFonts w:cstheme="minorHAnsi"/>
        </w:rPr>
        <w:t>ey</w:t>
      </w:r>
      <w:r w:rsidR="00423917" w:rsidRPr="008F165C">
        <w:rPr>
          <w:rFonts w:cstheme="minorHAnsi"/>
        </w:rPr>
        <w:t xml:space="preserve">ed, only </w:t>
      </w:r>
      <w:r w:rsidR="00DF1DDC" w:rsidRPr="008F165C">
        <w:rPr>
          <w:rFonts w:cstheme="minorHAnsi"/>
        </w:rPr>
        <w:t>two</w:t>
      </w:r>
      <w:r w:rsidR="00423917" w:rsidRPr="008F165C">
        <w:rPr>
          <w:rFonts w:cstheme="minorHAnsi"/>
        </w:rPr>
        <w:t xml:space="preserve"> were found to be significantly different </w:t>
      </w:r>
      <w:r w:rsidR="00164E95" w:rsidRPr="008F165C">
        <w:rPr>
          <w:rFonts w:cstheme="minorHAnsi"/>
        </w:rPr>
        <w:t>and moderately strong</w:t>
      </w:r>
      <w:r w:rsidR="00423917" w:rsidRPr="008F165C">
        <w:rPr>
          <w:rFonts w:cstheme="minorHAnsi"/>
        </w:rPr>
        <w:t xml:space="preserve">, with </w:t>
      </w:r>
      <w:r w:rsidR="001B5410">
        <w:rPr>
          <w:rFonts w:cstheme="minorHAnsi"/>
        </w:rPr>
        <w:t>managers</w:t>
      </w:r>
      <w:r w:rsidR="00423917" w:rsidRPr="008F165C">
        <w:rPr>
          <w:rFonts w:cstheme="minorHAnsi"/>
        </w:rPr>
        <w:t xml:space="preserve"> </w:t>
      </w:r>
      <w:r w:rsidR="00164E95" w:rsidRPr="008F165C">
        <w:rPr>
          <w:rFonts w:cstheme="minorHAnsi"/>
        </w:rPr>
        <w:t xml:space="preserve">more likely to </w:t>
      </w:r>
      <w:r w:rsidR="00423917" w:rsidRPr="008F165C">
        <w:rPr>
          <w:rFonts w:cstheme="minorHAnsi"/>
        </w:rPr>
        <w:t>report elbow pain</w:t>
      </w:r>
      <w:r w:rsidR="00164E95" w:rsidRPr="008F165C">
        <w:rPr>
          <w:rFonts w:cstheme="minorHAnsi"/>
        </w:rPr>
        <w:t>,</w:t>
      </w:r>
      <w:r w:rsidR="009D570E" w:rsidRPr="008F165C">
        <w:rPr>
          <w:rFonts w:cstheme="minorHAnsi"/>
        </w:rPr>
        <w:t xml:space="preserve"> χ</w:t>
      </w:r>
      <w:r w:rsidR="009D570E" w:rsidRPr="00A70FA6">
        <w:rPr>
          <w:rFonts w:cstheme="minorHAnsi"/>
          <w:vertAlign w:val="superscript"/>
        </w:rPr>
        <w:t>2</w:t>
      </w:r>
      <w:r w:rsidR="009D570E" w:rsidRPr="008F165C">
        <w:rPr>
          <w:rFonts w:cstheme="minorHAnsi"/>
        </w:rPr>
        <w:t>(2) = 8.08, p =</w:t>
      </w:r>
      <w:r w:rsidR="00A70FA6">
        <w:rPr>
          <w:rFonts w:cstheme="minorHAnsi"/>
        </w:rPr>
        <w:t xml:space="preserve"> 0</w:t>
      </w:r>
      <w:r w:rsidR="009D570E" w:rsidRPr="008F165C">
        <w:rPr>
          <w:rFonts w:cstheme="minorHAnsi"/>
        </w:rPr>
        <w:t>.0</w:t>
      </w:r>
      <w:r w:rsidR="00DF1DDC" w:rsidRPr="008F165C">
        <w:rPr>
          <w:rFonts w:cstheme="minorHAnsi"/>
        </w:rPr>
        <w:t>2</w:t>
      </w:r>
      <w:r w:rsidR="00164E95" w:rsidRPr="008F165C">
        <w:rPr>
          <w:rFonts w:cstheme="minorHAnsi"/>
        </w:rPr>
        <w:t>,</w:t>
      </w:r>
      <w:r w:rsidR="009D570E" w:rsidRPr="008F165C">
        <w:rPr>
          <w:rFonts w:cstheme="minorHAnsi"/>
        </w:rPr>
        <w:t xml:space="preserve"> Cramer's V = </w:t>
      </w:r>
      <w:r w:rsidR="006E21F9">
        <w:rPr>
          <w:rFonts w:cstheme="minorHAnsi"/>
        </w:rPr>
        <w:t>0</w:t>
      </w:r>
      <w:r w:rsidR="009D570E" w:rsidRPr="008F165C">
        <w:rPr>
          <w:rFonts w:cstheme="minorHAnsi"/>
        </w:rPr>
        <w:t>.18,</w:t>
      </w:r>
      <w:r w:rsidR="00423917" w:rsidRPr="008F165C">
        <w:rPr>
          <w:rFonts w:cstheme="minorHAnsi"/>
        </w:rPr>
        <w:t xml:space="preserve"> and </w:t>
      </w:r>
      <w:r w:rsidR="001B5410">
        <w:rPr>
          <w:rFonts w:cstheme="minorHAnsi"/>
        </w:rPr>
        <w:t xml:space="preserve">practitioners </w:t>
      </w:r>
      <w:r w:rsidR="00423917" w:rsidRPr="008F165C">
        <w:rPr>
          <w:rFonts w:cstheme="minorHAnsi"/>
        </w:rPr>
        <w:t xml:space="preserve">more </w:t>
      </w:r>
      <w:r w:rsidR="00164E95" w:rsidRPr="008F165C">
        <w:rPr>
          <w:rFonts w:cstheme="minorHAnsi"/>
        </w:rPr>
        <w:t xml:space="preserve">likely to report </w:t>
      </w:r>
      <w:r w:rsidR="00423917" w:rsidRPr="008F165C">
        <w:rPr>
          <w:rFonts w:cstheme="minorHAnsi"/>
        </w:rPr>
        <w:t>ankle pain</w:t>
      </w:r>
      <w:r w:rsidR="00164E95" w:rsidRPr="008F165C">
        <w:rPr>
          <w:rFonts w:cstheme="minorHAnsi"/>
        </w:rPr>
        <w:t>,</w:t>
      </w:r>
      <w:r w:rsidR="009D570E" w:rsidRPr="008F165C">
        <w:rPr>
          <w:rFonts w:cstheme="minorHAnsi"/>
        </w:rPr>
        <w:t xml:space="preserve"> χ</w:t>
      </w:r>
      <w:r w:rsidR="009D570E" w:rsidRPr="00C05418">
        <w:rPr>
          <w:rFonts w:cstheme="minorHAnsi"/>
          <w:vertAlign w:val="superscript"/>
        </w:rPr>
        <w:t>2</w:t>
      </w:r>
      <w:r w:rsidR="009D570E" w:rsidRPr="008F165C">
        <w:rPr>
          <w:rFonts w:cstheme="minorHAnsi"/>
        </w:rPr>
        <w:t>(2) = 6.06, p =.0</w:t>
      </w:r>
      <w:r w:rsidR="00DF1DDC" w:rsidRPr="008F165C">
        <w:rPr>
          <w:rFonts w:cstheme="minorHAnsi"/>
        </w:rPr>
        <w:t>5</w:t>
      </w:r>
      <w:r w:rsidR="00164E95" w:rsidRPr="008F165C">
        <w:rPr>
          <w:rFonts w:cstheme="minorHAnsi"/>
        </w:rPr>
        <w:t xml:space="preserve">, Cramer's V = </w:t>
      </w:r>
      <w:r w:rsidR="006E21F9">
        <w:rPr>
          <w:rFonts w:cstheme="minorHAnsi"/>
        </w:rPr>
        <w:t>0</w:t>
      </w:r>
      <w:r w:rsidR="00164E95" w:rsidRPr="008F165C">
        <w:rPr>
          <w:rFonts w:cstheme="minorHAnsi"/>
        </w:rPr>
        <w:t>.48;</w:t>
      </w:r>
      <w:r w:rsidR="009D570E" w:rsidRPr="008F165C">
        <w:rPr>
          <w:rFonts w:cstheme="minorHAnsi"/>
        </w:rPr>
        <w:t xml:space="preserve"> </w:t>
      </w:r>
      <w:r w:rsidR="00164E95" w:rsidRPr="008F165C">
        <w:rPr>
          <w:rFonts w:cstheme="minorHAnsi"/>
        </w:rPr>
        <w:t>t</w:t>
      </w:r>
      <w:r w:rsidR="009D570E" w:rsidRPr="008F165C">
        <w:rPr>
          <w:rFonts w:cstheme="minorHAnsi"/>
        </w:rPr>
        <w:t>he association was moderately strong</w:t>
      </w:r>
      <w:r w:rsidR="00A2021C" w:rsidRPr="008F165C">
        <w:rPr>
          <w:rFonts w:cstheme="minorHAnsi"/>
        </w:rPr>
        <w:t xml:space="preserve">, </w:t>
      </w:r>
      <w:r w:rsidR="009D570E" w:rsidRPr="008F165C">
        <w:rPr>
          <w:rFonts w:cstheme="minorHAnsi"/>
        </w:rPr>
        <w:t>(Cohen, 1988)</w:t>
      </w:r>
      <w:r w:rsidR="00423917" w:rsidRPr="008F165C">
        <w:rPr>
          <w:rFonts w:cstheme="minorHAnsi"/>
        </w:rPr>
        <w:t>.</w:t>
      </w:r>
    </w:p>
    <w:p w14:paraId="20D46193" w14:textId="77777777" w:rsidR="00B93C9C" w:rsidRPr="008F165C" w:rsidRDefault="00B93C9C" w:rsidP="00B93C9C">
      <w:pPr>
        <w:spacing w:line="480" w:lineRule="auto"/>
        <w:rPr>
          <w:rFonts w:cstheme="minorHAnsi"/>
        </w:rPr>
      </w:pPr>
    </w:p>
    <w:p w14:paraId="6E801F85" w14:textId="4A72FE47" w:rsidR="002A7D27" w:rsidRPr="008F165C" w:rsidRDefault="002A7D27" w:rsidP="00B93C9C">
      <w:pPr>
        <w:spacing w:line="480" w:lineRule="auto"/>
        <w:rPr>
          <w:rFonts w:cstheme="minorHAnsi"/>
          <w:b/>
          <w:bCs/>
        </w:rPr>
      </w:pPr>
      <w:r w:rsidRPr="008F165C">
        <w:rPr>
          <w:rFonts w:cstheme="minorHAnsi"/>
          <w:b/>
          <w:bCs/>
        </w:rPr>
        <w:t xml:space="preserve">Time off </w:t>
      </w:r>
      <w:r w:rsidR="001042BE">
        <w:rPr>
          <w:rFonts w:cstheme="minorHAnsi"/>
          <w:b/>
          <w:bCs/>
        </w:rPr>
        <w:t>W</w:t>
      </w:r>
      <w:r w:rsidRPr="008F165C">
        <w:rPr>
          <w:rFonts w:cstheme="minorHAnsi"/>
          <w:b/>
          <w:bCs/>
        </w:rPr>
        <w:t xml:space="preserve">ork and </w:t>
      </w:r>
      <w:r w:rsidR="001042BE">
        <w:rPr>
          <w:rFonts w:cstheme="minorHAnsi"/>
          <w:b/>
          <w:bCs/>
        </w:rPr>
        <w:t>C</w:t>
      </w:r>
      <w:r w:rsidRPr="008F165C">
        <w:rPr>
          <w:rFonts w:cstheme="minorHAnsi"/>
          <w:b/>
          <w:bCs/>
        </w:rPr>
        <w:t xml:space="preserve">areer </w:t>
      </w:r>
      <w:r w:rsidR="001042BE">
        <w:rPr>
          <w:rFonts w:cstheme="minorHAnsi"/>
          <w:b/>
          <w:bCs/>
        </w:rPr>
        <w:t>C</w:t>
      </w:r>
      <w:r w:rsidRPr="008F165C">
        <w:rPr>
          <w:rFonts w:cstheme="minorHAnsi"/>
          <w:b/>
          <w:bCs/>
        </w:rPr>
        <w:t xml:space="preserve">hange </w:t>
      </w:r>
    </w:p>
    <w:p w14:paraId="444622AF" w14:textId="3B52E6A9" w:rsidR="002A7D27" w:rsidRPr="008F165C" w:rsidRDefault="002A7D27" w:rsidP="002A7D27">
      <w:pPr>
        <w:spacing w:line="480" w:lineRule="auto"/>
        <w:ind w:firstLine="720"/>
        <w:jc w:val="both"/>
        <w:rPr>
          <w:rFonts w:cstheme="minorHAnsi"/>
        </w:rPr>
      </w:pPr>
      <w:r w:rsidRPr="008F165C">
        <w:rPr>
          <w:rFonts w:cstheme="minorHAnsi"/>
        </w:rPr>
        <w:t>Hierarchal binomial logistic regression significantly predicted</w:t>
      </w:r>
      <w:r w:rsidR="00CA4089" w:rsidRPr="008F165C">
        <w:rPr>
          <w:rFonts w:cstheme="minorHAnsi"/>
        </w:rPr>
        <w:t xml:space="preserve"> the</w:t>
      </w:r>
      <w:r w:rsidRPr="008F165C">
        <w:rPr>
          <w:rFonts w:cstheme="minorHAnsi"/>
        </w:rPr>
        <w:t xml:space="preserve"> likelihood that a participant needed to take leave from work due to problems caused by factors related to MSK health</w:t>
      </w:r>
      <w:r w:rsidR="00B4740B" w:rsidRPr="008F165C">
        <w:rPr>
          <w:rFonts w:cstheme="minorHAnsi"/>
        </w:rPr>
        <w:t>,</w:t>
      </w:r>
      <w:r w:rsidRPr="008F165C">
        <w:rPr>
          <w:rFonts w:cstheme="minorHAnsi"/>
        </w:rPr>
        <w:t xml:space="preserve"> χ</w:t>
      </w:r>
      <w:r w:rsidRPr="008F165C">
        <w:rPr>
          <w:rFonts w:cstheme="minorHAnsi"/>
          <w:vertAlign w:val="superscript"/>
        </w:rPr>
        <w:t>2</w:t>
      </w:r>
      <w:r w:rsidRPr="008F165C">
        <w:rPr>
          <w:rFonts w:cstheme="minorHAnsi"/>
        </w:rPr>
        <w:t>(4) = 43.976</w:t>
      </w:r>
      <w:r w:rsidR="00AD3A33">
        <w:rPr>
          <w:rFonts w:cstheme="minorHAnsi"/>
        </w:rPr>
        <w:t>,</w:t>
      </w:r>
      <w:r w:rsidRPr="008F165C">
        <w:rPr>
          <w:rFonts w:cstheme="minorHAnsi"/>
        </w:rPr>
        <w:t xml:space="preserve"> </w:t>
      </w:r>
      <w:r w:rsidRPr="008F165C">
        <w:rPr>
          <w:rStyle w:val="Emphasis"/>
          <w:rFonts w:cstheme="minorHAnsi"/>
        </w:rPr>
        <w:t>p</w:t>
      </w:r>
      <w:r w:rsidRPr="008F165C">
        <w:rPr>
          <w:rFonts w:cstheme="minorHAnsi"/>
        </w:rPr>
        <w:t xml:space="preserve"> &lt; </w:t>
      </w:r>
      <w:r w:rsidR="006E21F9">
        <w:rPr>
          <w:rFonts w:cstheme="minorHAnsi"/>
        </w:rPr>
        <w:t>0</w:t>
      </w:r>
      <w:r w:rsidRPr="008F165C">
        <w:rPr>
          <w:rFonts w:cstheme="minorHAnsi"/>
        </w:rPr>
        <w:t xml:space="preserve">.001, explaining 29.7% of the variance (Nagelkerke </w:t>
      </w:r>
      <w:r w:rsidRPr="008F165C">
        <w:rPr>
          <w:rStyle w:val="Emphasis"/>
          <w:rFonts w:cstheme="minorHAnsi"/>
        </w:rPr>
        <w:t>R</w:t>
      </w:r>
      <w:r w:rsidRPr="008F165C">
        <w:rPr>
          <w:rStyle w:val="Emphasis"/>
          <w:rFonts w:cstheme="minorHAnsi"/>
          <w:vertAlign w:val="superscript"/>
        </w:rPr>
        <w:t>2</w:t>
      </w:r>
      <w:r w:rsidRPr="008F165C">
        <w:rPr>
          <w:rFonts w:cstheme="minorHAnsi"/>
        </w:rPr>
        <w:t>). 77.1% of cases were correctly classified</w:t>
      </w:r>
      <w:r w:rsidR="00CA4089" w:rsidRPr="008F165C">
        <w:rPr>
          <w:rFonts w:cstheme="minorHAnsi"/>
        </w:rPr>
        <w:t>;</w:t>
      </w:r>
      <w:r w:rsidRPr="008F165C">
        <w:rPr>
          <w:rFonts w:cstheme="minorHAnsi"/>
        </w:rPr>
        <w:t xml:space="preserve"> sensitivity and specificity were 91</w:t>
      </w:r>
      <w:r w:rsidR="00CA4089" w:rsidRPr="008F165C">
        <w:rPr>
          <w:rFonts w:cstheme="minorHAnsi"/>
        </w:rPr>
        <w:t>.0</w:t>
      </w:r>
      <w:r w:rsidRPr="008F165C">
        <w:rPr>
          <w:rFonts w:cstheme="minorHAnsi"/>
        </w:rPr>
        <w:t>% and 43.6% respectively</w:t>
      </w:r>
      <w:r w:rsidR="00CA4089" w:rsidRPr="008F165C">
        <w:rPr>
          <w:rFonts w:cstheme="minorHAnsi"/>
        </w:rPr>
        <w:t xml:space="preserve"> and</w:t>
      </w:r>
      <w:r w:rsidRPr="008F165C">
        <w:rPr>
          <w:rFonts w:cstheme="minorHAnsi"/>
        </w:rPr>
        <w:t xml:space="preserve"> the positive predictive value was 79.6% and negative predictive value was 66.6%. Variables significantly contributing to the model were </w:t>
      </w:r>
      <w:r w:rsidR="001061B8" w:rsidRPr="008F165C">
        <w:rPr>
          <w:rFonts w:cstheme="minorHAnsi"/>
          <w:i/>
          <w:iCs/>
        </w:rPr>
        <w:t>a</w:t>
      </w:r>
      <w:r w:rsidRPr="008F165C">
        <w:rPr>
          <w:rFonts w:cstheme="minorHAnsi"/>
          <w:i/>
          <w:iCs/>
        </w:rPr>
        <w:t>verage pain intensity</w:t>
      </w:r>
      <w:r w:rsidRPr="008F165C">
        <w:rPr>
          <w:rFonts w:cstheme="minorHAnsi"/>
        </w:rPr>
        <w:t xml:space="preserve">, </w:t>
      </w:r>
      <w:r w:rsidR="001061B8" w:rsidRPr="008F165C">
        <w:rPr>
          <w:rFonts w:cstheme="minorHAnsi"/>
          <w:i/>
          <w:iCs/>
        </w:rPr>
        <w:t>a</w:t>
      </w:r>
      <w:r w:rsidRPr="008F165C">
        <w:rPr>
          <w:rFonts w:cstheme="minorHAnsi"/>
          <w:i/>
          <w:iCs/>
        </w:rPr>
        <w:t>verage frequency of MSK risk roles</w:t>
      </w:r>
      <w:r w:rsidRPr="008F165C">
        <w:rPr>
          <w:rFonts w:cstheme="minorHAnsi"/>
        </w:rPr>
        <w:t xml:space="preserve">, and </w:t>
      </w:r>
      <w:r w:rsidR="001061B8" w:rsidRPr="008F165C">
        <w:rPr>
          <w:rFonts w:cstheme="minorHAnsi"/>
          <w:i/>
          <w:iCs/>
        </w:rPr>
        <w:t>a</w:t>
      </w:r>
      <w:r w:rsidRPr="008F165C">
        <w:rPr>
          <w:rFonts w:cstheme="minorHAnsi"/>
          <w:i/>
          <w:iCs/>
        </w:rPr>
        <w:t xml:space="preserve">verage pain caused by MSK risk roles. </w:t>
      </w:r>
      <w:r w:rsidRPr="008F165C">
        <w:rPr>
          <w:rFonts w:cstheme="minorHAnsi"/>
        </w:rPr>
        <w:t xml:space="preserve">The area under the ROC curve was </w:t>
      </w:r>
      <w:r w:rsidR="00633DC9">
        <w:rPr>
          <w:rFonts w:cstheme="minorHAnsi"/>
        </w:rPr>
        <w:t>0</w:t>
      </w:r>
      <w:r w:rsidRPr="008F165C">
        <w:rPr>
          <w:rFonts w:cstheme="minorHAnsi"/>
        </w:rPr>
        <w:t>.7</w:t>
      </w:r>
      <w:r w:rsidR="006145FB" w:rsidRPr="008F165C">
        <w:rPr>
          <w:rFonts w:cstheme="minorHAnsi"/>
        </w:rPr>
        <w:t>8</w:t>
      </w:r>
      <w:r w:rsidRPr="008F165C">
        <w:rPr>
          <w:rFonts w:cstheme="minorHAnsi"/>
        </w:rPr>
        <w:t>, 95% CI [</w:t>
      </w:r>
      <w:r w:rsidR="00633DC9">
        <w:rPr>
          <w:rFonts w:cstheme="minorHAnsi"/>
        </w:rPr>
        <w:t>0</w:t>
      </w:r>
      <w:r w:rsidRPr="008F165C">
        <w:rPr>
          <w:rFonts w:cstheme="minorHAnsi"/>
        </w:rPr>
        <w:t>.7</w:t>
      </w:r>
      <w:r w:rsidR="001061B8" w:rsidRPr="008F165C">
        <w:rPr>
          <w:rFonts w:cstheme="minorHAnsi"/>
        </w:rPr>
        <w:t>1</w:t>
      </w:r>
      <w:r w:rsidRPr="008F165C">
        <w:rPr>
          <w:rFonts w:cstheme="minorHAnsi"/>
        </w:rPr>
        <w:t xml:space="preserve">, </w:t>
      </w:r>
      <w:r w:rsidR="00633DC9">
        <w:rPr>
          <w:rFonts w:cstheme="minorHAnsi"/>
        </w:rPr>
        <w:t>0</w:t>
      </w:r>
      <w:r w:rsidRPr="008F165C">
        <w:rPr>
          <w:rFonts w:cstheme="minorHAnsi"/>
        </w:rPr>
        <w:t>.85], which according to Hosmer et al. (2013)</w:t>
      </w:r>
      <w:r w:rsidR="00D71D80">
        <w:rPr>
          <w:rFonts w:cstheme="minorHAnsi"/>
        </w:rPr>
        <w:t>,</w:t>
      </w:r>
      <w:r w:rsidRPr="008F165C">
        <w:rPr>
          <w:rFonts w:cstheme="minorHAnsi"/>
        </w:rPr>
        <w:t xml:space="preserve"> is an excellent level of discrimination.</w:t>
      </w:r>
    </w:p>
    <w:p w14:paraId="0F0713C6" w14:textId="1E8A5C3D" w:rsidR="00494D0D" w:rsidRPr="008F165C" w:rsidRDefault="002A7D27" w:rsidP="00E11CA4">
      <w:pPr>
        <w:spacing w:line="480" w:lineRule="auto"/>
        <w:jc w:val="both"/>
        <w:rPr>
          <w:rFonts w:cstheme="minorHAnsi"/>
        </w:rPr>
      </w:pPr>
      <w:r w:rsidRPr="008F165C">
        <w:rPr>
          <w:rFonts w:cstheme="minorHAnsi"/>
        </w:rPr>
        <w:t xml:space="preserve">Further </w:t>
      </w:r>
      <w:r w:rsidR="006145FB" w:rsidRPr="008F165C">
        <w:rPr>
          <w:rFonts w:cstheme="minorHAnsi"/>
        </w:rPr>
        <w:t>h</w:t>
      </w:r>
      <w:r w:rsidRPr="008F165C">
        <w:rPr>
          <w:rFonts w:cstheme="minorHAnsi"/>
        </w:rPr>
        <w:t>ierarchal binomial logistic regression also significantly predicted the likelihood that a participant had considered changing job due to MSK pain</w:t>
      </w:r>
      <w:r w:rsidR="00B4740B" w:rsidRPr="008F165C">
        <w:rPr>
          <w:rFonts w:cstheme="minorHAnsi"/>
        </w:rPr>
        <w:t>,</w:t>
      </w:r>
      <w:r w:rsidRPr="008F165C">
        <w:rPr>
          <w:rFonts w:cstheme="minorHAnsi"/>
        </w:rPr>
        <w:t xml:space="preserve"> χ</w:t>
      </w:r>
      <w:r w:rsidRPr="008F165C">
        <w:rPr>
          <w:rFonts w:cstheme="minorHAnsi"/>
          <w:vertAlign w:val="superscript"/>
        </w:rPr>
        <w:t>2</w:t>
      </w:r>
      <w:r w:rsidRPr="008F165C">
        <w:rPr>
          <w:rFonts w:cstheme="minorHAnsi"/>
        </w:rPr>
        <w:t>(4) = 92.47</w:t>
      </w:r>
      <w:r w:rsidR="00633DC9">
        <w:rPr>
          <w:rFonts w:cstheme="minorHAnsi"/>
        </w:rPr>
        <w:t>,</w:t>
      </w:r>
      <w:r w:rsidRPr="008F165C">
        <w:rPr>
          <w:rFonts w:cstheme="minorHAnsi"/>
        </w:rPr>
        <w:t xml:space="preserve"> </w:t>
      </w:r>
      <w:r w:rsidRPr="008F165C">
        <w:rPr>
          <w:rStyle w:val="Emphasis"/>
          <w:rFonts w:cstheme="minorHAnsi"/>
        </w:rPr>
        <w:t>p</w:t>
      </w:r>
      <w:r w:rsidRPr="008F165C">
        <w:rPr>
          <w:rFonts w:cstheme="minorHAnsi"/>
        </w:rPr>
        <w:t xml:space="preserve"> &lt; </w:t>
      </w:r>
      <w:r w:rsidR="00633DC9">
        <w:rPr>
          <w:rFonts w:cstheme="minorHAnsi"/>
        </w:rPr>
        <w:t>0</w:t>
      </w:r>
      <w:r w:rsidRPr="008F165C">
        <w:rPr>
          <w:rFonts w:cstheme="minorHAnsi"/>
        </w:rPr>
        <w:t>.001. Significant factors in the model were</w:t>
      </w:r>
      <w:r w:rsidRPr="008F165C">
        <w:rPr>
          <w:rFonts w:cstheme="minorHAnsi"/>
          <w:i/>
          <w:iCs/>
        </w:rPr>
        <w:t xml:space="preserve"> </w:t>
      </w:r>
      <w:r w:rsidR="00B4740B" w:rsidRPr="008F165C">
        <w:rPr>
          <w:rFonts w:cstheme="minorHAnsi"/>
          <w:i/>
          <w:iCs/>
        </w:rPr>
        <w:t>y</w:t>
      </w:r>
      <w:r w:rsidRPr="008F165C">
        <w:rPr>
          <w:rFonts w:cstheme="minorHAnsi"/>
          <w:i/>
          <w:iCs/>
        </w:rPr>
        <w:t xml:space="preserve">ears of </w:t>
      </w:r>
      <w:r w:rsidR="00B4740B" w:rsidRPr="008F165C">
        <w:rPr>
          <w:rFonts w:cstheme="minorHAnsi"/>
          <w:i/>
          <w:iCs/>
        </w:rPr>
        <w:t>s</w:t>
      </w:r>
      <w:r w:rsidRPr="008F165C">
        <w:rPr>
          <w:rFonts w:cstheme="minorHAnsi"/>
          <w:i/>
          <w:iCs/>
        </w:rPr>
        <w:t xml:space="preserve">ervice, </w:t>
      </w:r>
      <w:r w:rsidR="00B4740B" w:rsidRPr="008F165C">
        <w:rPr>
          <w:rFonts w:cstheme="minorHAnsi"/>
          <w:i/>
          <w:iCs/>
        </w:rPr>
        <w:t>b</w:t>
      </w:r>
      <w:r w:rsidRPr="008F165C">
        <w:rPr>
          <w:rFonts w:cstheme="minorHAnsi"/>
          <w:i/>
          <w:iCs/>
        </w:rPr>
        <w:t xml:space="preserve">othersomeness, </w:t>
      </w:r>
      <w:r w:rsidR="00B4740B" w:rsidRPr="008F165C">
        <w:rPr>
          <w:rFonts w:cstheme="minorHAnsi"/>
          <w:i/>
          <w:iCs/>
        </w:rPr>
        <w:t>a</w:t>
      </w:r>
      <w:r w:rsidRPr="008F165C">
        <w:rPr>
          <w:rFonts w:cstheme="minorHAnsi"/>
          <w:i/>
          <w:iCs/>
        </w:rPr>
        <w:t xml:space="preserve">verage </w:t>
      </w:r>
      <w:r w:rsidR="00B4740B" w:rsidRPr="008F165C">
        <w:rPr>
          <w:rFonts w:cstheme="minorHAnsi"/>
          <w:i/>
          <w:iCs/>
        </w:rPr>
        <w:t>p</w:t>
      </w:r>
      <w:r w:rsidRPr="008F165C">
        <w:rPr>
          <w:rFonts w:cstheme="minorHAnsi"/>
          <w:i/>
          <w:iCs/>
        </w:rPr>
        <w:t xml:space="preserve">ain </w:t>
      </w:r>
      <w:r w:rsidR="00B4740B" w:rsidRPr="008F165C">
        <w:rPr>
          <w:rFonts w:cstheme="minorHAnsi"/>
          <w:i/>
          <w:iCs/>
        </w:rPr>
        <w:t>f</w:t>
      </w:r>
      <w:r w:rsidRPr="008F165C">
        <w:rPr>
          <w:rFonts w:cstheme="minorHAnsi"/>
          <w:i/>
          <w:iCs/>
        </w:rPr>
        <w:t xml:space="preserve">requency; </w:t>
      </w:r>
      <w:r w:rsidR="00B4740B" w:rsidRPr="008F165C">
        <w:rPr>
          <w:rFonts w:cstheme="minorHAnsi"/>
          <w:i/>
          <w:iCs/>
        </w:rPr>
        <w:t>n</w:t>
      </w:r>
      <w:r w:rsidRPr="008F165C">
        <w:rPr>
          <w:rFonts w:cstheme="minorHAnsi"/>
          <w:i/>
          <w:iCs/>
        </w:rPr>
        <w:t>umber of pain locations</w:t>
      </w:r>
      <w:r w:rsidRPr="008F165C">
        <w:rPr>
          <w:rFonts w:cstheme="minorHAnsi"/>
        </w:rPr>
        <w:t xml:space="preserve">, and </w:t>
      </w:r>
      <w:r w:rsidRPr="008F165C">
        <w:rPr>
          <w:rFonts w:cstheme="minorHAnsi"/>
          <w:i/>
          <w:iCs/>
        </w:rPr>
        <w:t xml:space="preserve">mean perceived need for provision of more MSK factors in setting. </w:t>
      </w:r>
      <w:r w:rsidRPr="008F165C">
        <w:rPr>
          <w:rFonts w:cstheme="minorHAnsi"/>
        </w:rPr>
        <w:t xml:space="preserve">The model explained 53.0% (Nagelkerke </w:t>
      </w:r>
      <w:r w:rsidRPr="008F165C">
        <w:rPr>
          <w:rStyle w:val="Emphasis"/>
          <w:rFonts w:cstheme="minorHAnsi"/>
        </w:rPr>
        <w:t>R</w:t>
      </w:r>
      <w:r w:rsidRPr="008F165C">
        <w:rPr>
          <w:rStyle w:val="Emphasis"/>
          <w:rFonts w:cstheme="minorHAnsi"/>
          <w:vertAlign w:val="superscript"/>
        </w:rPr>
        <w:t>2</w:t>
      </w:r>
      <w:r w:rsidRPr="008F165C">
        <w:rPr>
          <w:rFonts w:cstheme="minorHAnsi"/>
        </w:rPr>
        <w:t xml:space="preserve">) of the variance in the dependent variable and correctly </w:t>
      </w:r>
      <w:r w:rsidRPr="008F165C">
        <w:rPr>
          <w:rFonts w:cstheme="minorHAnsi"/>
        </w:rPr>
        <w:lastRenderedPageBreak/>
        <w:t>classified 81.4% of cases. Sensitivity was 67.6%</w:t>
      </w:r>
      <w:r w:rsidR="00B4740B" w:rsidRPr="008F165C">
        <w:rPr>
          <w:rFonts w:cstheme="minorHAnsi"/>
        </w:rPr>
        <w:t xml:space="preserve"> and</w:t>
      </w:r>
      <w:r w:rsidRPr="008F165C">
        <w:rPr>
          <w:rFonts w:cstheme="minorHAnsi"/>
        </w:rPr>
        <w:t xml:space="preserve"> specificity was 89.2</w:t>
      </w:r>
      <w:r w:rsidR="00B4740B" w:rsidRPr="008F165C">
        <w:rPr>
          <w:rFonts w:cstheme="minorHAnsi"/>
        </w:rPr>
        <w:t>0</w:t>
      </w:r>
      <w:r w:rsidRPr="008F165C">
        <w:rPr>
          <w:rFonts w:cstheme="minorHAnsi"/>
        </w:rPr>
        <w:t>%</w:t>
      </w:r>
      <w:r w:rsidR="00B4740B" w:rsidRPr="008F165C">
        <w:rPr>
          <w:rFonts w:cstheme="minorHAnsi"/>
        </w:rPr>
        <w:t>;</w:t>
      </w:r>
      <w:r w:rsidRPr="008F165C">
        <w:rPr>
          <w:rFonts w:cstheme="minorHAnsi"/>
        </w:rPr>
        <w:t xml:space="preserve"> positive predictive value was 82.94% and negative predictive value was 77.96%. The area under the ROC curve was </w:t>
      </w:r>
      <w:r w:rsidR="006E21F9">
        <w:rPr>
          <w:rFonts w:cstheme="minorHAnsi"/>
        </w:rPr>
        <w:t>0</w:t>
      </w:r>
      <w:r w:rsidRPr="008F165C">
        <w:rPr>
          <w:rFonts w:cstheme="minorHAnsi"/>
        </w:rPr>
        <w:t>.88, 95% CI [</w:t>
      </w:r>
      <w:r w:rsidR="00633DC9">
        <w:rPr>
          <w:rFonts w:cstheme="minorHAnsi"/>
        </w:rPr>
        <w:t>0</w:t>
      </w:r>
      <w:r w:rsidRPr="008F165C">
        <w:rPr>
          <w:rFonts w:cstheme="minorHAnsi"/>
        </w:rPr>
        <w:t xml:space="preserve">.83, </w:t>
      </w:r>
      <w:r w:rsidR="00633DC9">
        <w:rPr>
          <w:rFonts w:cstheme="minorHAnsi"/>
        </w:rPr>
        <w:t>0</w:t>
      </w:r>
      <w:r w:rsidRPr="008F165C">
        <w:rPr>
          <w:rFonts w:cstheme="minorHAnsi"/>
        </w:rPr>
        <w:t>.93], which is an excellent level of discrimination according to Hosmer et al. (2013)</w:t>
      </w:r>
      <w:r w:rsidR="00277ED3" w:rsidRPr="008F165C">
        <w:rPr>
          <w:rFonts w:cstheme="minorHAnsi"/>
        </w:rPr>
        <w:t>;</w:t>
      </w:r>
      <w:r w:rsidR="00B8286D" w:rsidRPr="008F165C">
        <w:rPr>
          <w:rFonts w:cstheme="minorHAnsi"/>
        </w:rPr>
        <w:t xml:space="preserve"> see </w:t>
      </w:r>
      <w:r w:rsidR="001F6E63">
        <w:rPr>
          <w:rFonts w:cstheme="minorHAnsi"/>
        </w:rPr>
        <w:t>T</w:t>
      </w:r>
      <w:r w:rsidR="00B8286D" w:rsidRPr="008F165C">
        <w:rPr>
          <w:rFonts w:cstheme="minorHAnsi"/>
        </w:rPr>
        <w:t>able 5 for full details</w:t>
      </w:r>
      <w:r w:rsidRPr="008F165C">
        <w:rPr>
          <w:rFonts w:cstheme="minorHAnsi"/>
        </w:rPr>
        <w:t>.</w:t>
      </w:r>
    </w:p>
    <w:p w14:paraId="63EA4B2F" w14:textId="77777777" w:rsidR="00A936E0" w:rsidRDefault="00A936E0" w:rsidP="00E11CA4">
      <w:pPr>
        <w:spacing w:line="480" w:lineRule="auto"/>
        <w:jc w:val="both"/>
        <w:rPr>
          <w:rFonts w:cstheme="minorHAnsi"/>
          <w:sz w:val="22"/>
          <w:szCs w:val="22"/>
        </w:rPr>
      </w:pPr>
    </w:p>
    <w:p w14:paraId="30DD1C52" w14:textId="77777777" w:rsidR="00F14E34" w:rsidRDefault="00F14E34" w:rsidP="00E11CA4">
      <w:pPr>
        <w:spacing w:line="480" w:lineRule="auto"/>
        <w:jc w:val="both"/>
        <w:rPr>
          <w:rFonts w:cstheme="minorHAnsi"/>
          <w:sz w:val="22"/>
          <w:szCs w:val="22"/>
        </w:rPr>
      </w:pPr>
    </w:p>
    <w:p w14:paraId="47F841C0" w14:textId="77777777" w:rsidR="00070217" w:rsidRDefault="00070217" w:rsidP="00E11CA4">
      <w:pPr>
        <w:spacing w:line="480" w:lineRule="auto"/>
        <w:jc w:val="both"/>
        <w:rPr>
          <w:rFonts w:cstheme="minorHAnsi"/>
          <w:sz w:val="22"/>
          <w:szCs w:val="22"/>
        </w:rPr>
      </w:pPr>
    </w:p>
    <w:p w14:paraId="70795661" w14:textId="77777777" w:rsidR="00070217" w:rsidRDefault="00070217" w:rsidP="00E11CA4">
      <w:pPr>
        <w:spacing w:line="480" w:lineRule="auto"/>
        <w:jc w:val="both"/>
        <w:rPr>
          <w:rFonts w:cstheme="minorHAnsi"/>
          <w:sz w:val="22"/>
          <w:szCs w:val="22"/>
        </w:rPr>
      </w:pPr>
    </w:p>
    <w:p w14:paraId="13BC1F54" w14:textId="77777777" w:rsidR="00070217" w:rsidRDefault="00070217" w:rsidP="00E11CA4">
      <w:pPr>
        <w:spacing w:line="480" w:lineRule="auto"/>
        <w:jc w:val="both"/>
        <w:rPr>
          <w:rFonts w:cstheme="minorHAnsi"/>
          <w:sz w:val="22"/>
          <w:szCs w:val="22"/>
        </w:rPr>
      </w:pPr>
    </w:p>
    <w:p w14:paraId="35F547C6" w14:textId="77777777" w:rsidR="00070217" w:rsidRDefault="00070217" w:rsidP="00E11CA4">
      <w:pPr>
        <w:spacing w:line="480" w:lineRule="auto"/>
        <w:jc w:val="both"/>
        <w:rPr>
          <w:rFonts w:cstheme="minorHAnsi"/>
          <w:sz w:val="22"/>
          <w:szCs w:val="22"/>
        </w:rPr>
      </w:pPr>
    </w:p>
    <w:p w14:paraId="363A9D27" w14:textId="77777777" w:rsidR="00070217" w:rsidRPr="0073774C" w:rsidRDefault="00070217" w:rsidP="00E11CA4">
      <w:pPr>
        <w:spacing w:line="480" w:lineRule="auto"/>
        <w:jc w:val="both"/>
        <w:rPr>
          <w:rFonts w:cstheme="minorHAnsi"/>
          <w:sz w:val="22"/>
          <w:szCs w:val="22"/>
        </w:rPr>
      </w:pPr>
    </w:p>
    <w:p w14:paraId="2BCC06AB" w14:textId="53BC9C70" w:rsidR="0076514E" w:rsidRDefault="002A7D27" w:rsidP="00FF1445">
      <w:pPr>
        <w:jc w:val="center"/>
        <w:rPr>
          <w:b/>
          <w:bCs/>
        </w:rPr>
      </w:pPr>
      <w:r w:rsidRPr="0076514E">
        <w:rPr>
          <w:b/>
          <w:bCs/>
        </w:rPr>
        <w:t>Discussion</w:t>
      </w:r>
    </w:p>
    <w:p w14:paraId="4D47C785" w14:textId="77777777" w:rsidR="00F219B9" w:rsidRDefault="00F219B9" w:rsidP="00FF1445">
      <w:pPr>
        <w:jc w:val="center"/>
        <w:rPr>
          <w:b/>
          <w:bCs/>
        </w:rPr>
      </w:pPr>
    </w:p>
    <w:p w14:paraId="27B58899" w14:textId="77777777" w:rsidR="0076514E" w:rsidRPr="0073774C" w:rsidRDefault="0076514E" w:rsidP="0076514E">
      <w:pPr>
        <w:jc w:val="center"/>
      </w:pPr>
    </w:p>
    <w:p w14:paraId="083C91E3" w14:textId="37400DC5" w:rsidR="00010EF8" w:rsidRPr="00DA1DDB" w:rsidRDefault="00514BAE" w:rsidP="00DA1DDB">
      <w:pPr>
        <w:spacing w:line="480" w:lineRule="auto"/>
        <w:ind w:firstLine="720"/>
        <w:jc w:val="both"/>
      </w:pPr>
      <w:r w:rsidRPr="00514BAE">
        <w:rPr>
          <w:rFonts w:cstheme="minorHAnsi"/>
        </w:rPr>
        <w:t>This study examined relationship</w:t>
      </w:r>
      <w:r w:rsidR="00183DE7">
        <w:rPr>
          <w:rFonts w:cstheme="minorHAnsi"/>
        </w:rPr>
        <w:t>s</w:t>
      </w:r>
      <w:r w:rsidRPr="00514BAE">
        <w:rPr>
          <w:rFonts w:cstheme="minorHAnsi"/>
        </w:rPr>
        <w:t xml:space="preserve"> between workplace practices in the UK's </w:t>
      </w:r>
      <w:r w:rsidR="007D553A">
        <w:rPr>
          <w:rFonts w:cstheme="minorHAnsi"/>
        </w:rPr>
        <w:t>e</w:t>
      </w:r>
      <w:r w:rsidRPr="00514BAE">
        <w:rPr>
          <w:rFonts w:cstheme="minorHAnsi"/>
        </w:rPr>
        <w:t>arly</w:t>
      </w:r>
      <w:r w:rsidR="00B82431">
        <w:rPr>
          <w:rFonts w:cstheme="minorHAnsi"/>
        </w:rPr>
        <w:t xml:space="preserve"> childhood</w:t>
      </w:r>
      <w:r w:rsidRPr="00514BAE">
        <w:rPr>
          <w:rFonts w:cstheme="minorHAnsi"/>
        </w:rPr>
        <w:t xml:space="preserve"> </w:t>
      </w:r>
      <w:r w:rsidR="007D553A">
        <w:rPr>
          <w:rFonts w:cstheme="minorHAnsi"/>
        </w:rPr>
        <w:t>e</w:t>
      </w:r>
      <w:r w:rsidRPr="00514BAE">
        <w:rPr>
          <w:rFonts w:cstheme="minorHAnsi"/>
        </w:rPr>
        <w:t>ducation</w:t>
      </w:r>
      <w:r w:rsidR="00B82431">
        <w:rPr>
          <w:rFonts w:cstheme="minorHAnsi"/>
        </w:rPr>
        <w:t xml:space="preserve"> (ECE)</w:t>
      </w:r>
      <w:r w:rsidRPr="00514BAE">
        <w:rPr>
          <w:rFonts w:cstheme="minorHAnsi"/>
        </w:rPr>
        <w:t xml:space="preserve"> sector and their impact on musculoskeletal health, specifically focusing on pain experiences, work absenteeism due to musculoskeletal issues, and the potential shift of employees to other sectors due to </w:t>
      </w:r>
      <w:r w:rsidR="00177F6E">
        <w:rPr>
          <w:rFonts w:cstheme="minorHAnsi"/>
        </w:rPr>
        <w:t>musculoskeletal pain</w:t>
      </w:r>
      <w:r w:rsidR="002A7D27" w:rsidRPr="008E28F3">
        <w:rPr>
          <w:rFonts w:cstheme="minorHAnsi"/>
        </w:rPr>
        <w:t xml:space="preserve">. </w:t>
      </w:r>
      <w:r w:rsidR="003B6CF9">
        <w:rPr>
          <w:rFonts w:cstheme="minorHAnsi"/>
        </w:rPr>
        <w:t>D</w:t>
      </w:r>
      <w:r w:rsidR="002A7D27" w:rsidRPr="008E28F3">
        <w:rPr>
          <w:rFonts w:cstheme="minorHAnsi"/>
        </w:rPr>
        <w:t>ifferences between participants acting in leadership or management roles, and those working in practitioner roles</w:t>
      </w:r>
      <w:r w:rsidR="003B6CF9">
        <w:rPr>
          <w:rFonts w:cstheme="minorHAnsi"/>
        </w:rPr>
        <w:t xml:space="preserve"> were also investigated</w:t>
      </w:r>
      <w:r w:rsidR="002A7D27" w:rsidRPr="008E28F3">
        <w:rPr>
          <w:rFonts w:cstheme="minorHAnsi"/>
        </w:rPr>
        <w:t xml:space="preserve">. Data was gathered from a broad range of settings, roles and backgrounds and </w:t>
      </w:r>
      <w:r w:rsidR="00177F6E">
        <w:rPr>
          <w:rFonts w:cstheme="minorHAnsi"/>
        </w:rPr>
        <w:t>provide</w:t>
      </w:r>
      <w:r w:rsidR="002A7D27" w:rsidRPr="008E28F3">
        <w:rPr>
          <w:rFonts w:cstheme="minorHAnsi"/>
        </w:rPr>
        <w:t xml:space="preserve"> </w:t>
      </w:r>
      <w:r w:rsidR="00413A36" w:rsidRPr="008E28F3">
        <w:rPr>
          <w:rFonts w:cstheme="minorHAnsi"/>
        </w:rPr>
        <w:t>valuable</w:t>
      </w:r>
      <w:r w:rsidR="002A7D27" w:rsidRPr="008E28F3">
        <w:rPr>
          <w:rFonts w:cstheme="minorHAnsi"/>
        </w:rPr>
        <w:t xml:space="preserve"> new insight</w:t>
      </w:r>
      <w:r w:rsidR="00B5596E" w:rsidRPr="008E28F3">
        <w:rPr>
          <w:rFonts w:cstheme="minorHAnsi"/>
        </w:rPr>
        <w:t>s</w:t>
      </w:r>
      <w:r w:rsidR="002A7D27" w:rsidRPr="008E28F3">
        <w:rPr>
          <w:rFonts w:cstheme="minorHAnsi"/>
        </w:rPr>
        <w:t xml:space="preserve"> into the </w:t>
      </w:r>
      <w:r w:rsidR="00413A36" w:rsidRPr="008E28F3">
        <w:rPr>
          <w:rFonts w:cstheme="minorHAnsi"/>
        </w:rPr>
        <w:t>MSK</w:t>
      </w:r>
      <w:r w:rsidR="002A7D27" w:rsidRPr="008E28F3">
        <w:rPr>
          <w:rFonts w:cstheme="minorHAnsi"/>
        </w:rPr>
        <w:t xml:space="preserve"> </w:t>
      </w:r>
      <w:r w:rsidR="00413A36" w:rsidRPr="008E28F3">
        <w:rPr>
          <w:rFonts w:cstheme="minorHAnsi"/>
        </w:rPr>
        <w:t>health</w:t>
      </w:r>
      <w:r w:rsidR="002A7D27" w:rsidRPr="008E28F3">
        <w:rPr>
          <w:rFonts w:cstheme="minorHAnsi"/>
        </w:rPr>
        <w:t xml:space="preserve"> of people working in this sector</w:t>
      </w:r>
      <w:r w:rsidR="00413A36" w:rsidRPr="008E28F3">
        <w:rPr>
          <w:rFonts w:cstheme="minorHAnsi"/>
        </w:rPr>
        <w:t xml:space="preserve"> and factors associated with </w:t>
      </w:r>
      <w:r w:rsidR="002B09E1">
        <w:rPr>
          <w:rFonts w:cstheme="minorHAnsi"/>
        </w:rPr>
        <w:t>differences</w:t>
      </w:r>
      <w:r w:rsidR="00413A36" w:rsidRPr="008E28F3">
        <w:rPr>
          <w:rFonts w:cstheme="minorHAnsi"/>
        </w:rPr>
        <w:t xml:space="preserve"> in MSK outcomes</w:t>
      </w:r>
      <w:r w:rsidR="002A7D27" w:rsidRPr="008E28F3">
        <w:rPr>
          <w:rFonts w:cstheme="minorHAnsi"/>
        </w:rPr>
        <w:t>.</w:t>
      </w:r>
      <w:r w:rsidR="006F1124" w:rsidRPr="008E28F3">
        <w:rPr>
          <w:rFonts w:cstheme="minorHAnsi"/>
        </w:rPr>
        <w:t xml:space="preserve"> </w:t>
      </w:r>
      <w:r w:rsidR="00B5596E" w:rsidRPr="008E28F3">
        <w:rPr>
          <w:rFonts w:cstheme="minorHAnsi"/>
        </w:rPr>
        <w:t xml:space="preserve">Almost </w:t>
      </w:r>
      <w:r w:rsidR="00FD12C0" w:rsidRPr="008E28F3">
        <w:rPr>
          <w:rFonts w:cstheme="minorHAnsi"/>
        </w:rPr>
        <w:t>all</w:t>
      </w:r>
      <w:r w:rsidR="00D5028E">
        <w:rPr>
          <w:rFonts w:cstheme="minorHAnsi"/>
        </w:rPr>
        <w:t xml:space="preserve"> </w:t>
      </w:r>
      <w:r w:rsidR="00505086">
        <w:rPr>
          <w:rFonts w:cstheme="minorHAnsi"/>
        </w:rPr>
        <w:t>(</w:t>
      </w:r>
      <w:r w:rsidR="00D5028E">
        <w:rPr>
          <w:rFonts w:cstheme="minorHAnsi"/>
        </w:rPr>
        <w:t>98.5%)</w:t>
      </w:r>
      <w:r w:rsidR="00B5596E" w:rsidRPr="008E28F3">
        <w:rPr>
          <w:rFonts w:cstheme="minorHAnsi"/>
        </w:rPr>
        <w:t xml:space="preserve"> participants reported pain in at least one body location</w:t>
      </w:r>
      <w:r w:rsidR="002A7D27" w:rsidRPr="008E28F3">
        <w:rPr>
          <w:rFonts w:cstheme="minorHAnsi"/>
        </w:rPr>
        <w:t>, with 7</w:t>
      </w:r>
      <w:r w:rsidR="00B5596E" w:rsidRPr="008E28F3">
        <w:rPr>
          <w:rFonts w:cstheme="minorHAnsi"/>
        </w:rPr>
        <w:t>2</w:t>
      </w:r>
      <w:r w:rsidR="002A7D27" w:rsidRPr="008E28F3">
        <w:rPr>
          <w:rFonts w:cstheme="minorHAnsi"/>
        </w:rPr>
        <w:t xml:space="preserve">% </w:t>
      </w:r>
      <w:r w:rsidR="00687021" w:rsidRPr="008E28F3">
        <w:rPr>
          <w:rFonts w:cstheme="minorHAnsi"/>
        </w:rPr>
        <w:t xml:space="preserve">of the sample </w:t>
      </w:r>
      <w:r w:rsidR="002A7D27" w:rsidRPr="008E28F3">
        <w:rPr>
          <w:rFonts w:cstheme="minorHAnsi"/>
        </w:rPr>
        <w:t>reporting</w:t>
      </w:r>
      <w:r w:rsidR="00563A60" w:rsidRPr="008E28F3">
        <w:rPr>
          <w:rFonts w:cstheme="minorHAnsi"/>
        </w:rPr>
        <w:t xml:space="preserve"> experiencing pain </w:t>
      </w:r>
      <w:r w:rsidR="00B5596E" w:rsidRPr="008E28F3">
        <w:rPr>
          <w:rFonts w:cstheme="minorHAnsi"/>
        </w:rPr>
        <w:t>in at least four</w:t>
      </w:r>
      <w:r w:rsidR="00D61B20" w:rsidRPr="008E28F3">
        <w:rPr>
          <w:rFonts w:cstheme="minorHAnsi"/>
        </w:rPr>
        <w:t xml:space="preserve"> </w:t>
      </w:r>
      <w:r w:rsidR="002A7D27" w:rsidRPr="008E28F3">
        <w:rPr>
          <w:rFonts w:cstheme="minorHAnsi"/>
        </w:rPr>
        <w:t xml:space="preserve">locations. </w:t>
      </w:r>
      <w:r w:rsidR="00DA1DDB">
        <w:t>In line with previous findings (WHO, 2022a), lower back was the location where most people reported experiencing pain (89%).</w:t>
      </w:r>
      <w:r w:rsidR="00D91427">
        <w:t xml:space="preserve"> Findings reported </w:t>
      </w:r>
      <w:r w:rsidR="003B6CF9">
        <w:t>in the current study</w:t>
      </w:r>
      <w:r w:rsidR="00D91427">
        <w:t xml:space="preserve"> provide the first evaluations of pain duration and onset in the</w:t>
      </w:r>
      <w:r w:rsidR="003B6CF9">
        <w:t xml:space="preserve"> E</w:t>
      </w:r>
      <w:r w:rsidR="00B82431">
        <w:t>C</w:t>
      </w:r>
      <w:r w:rsidR="003B6CF9">
        <w:t xml:space="preserve">E </w:t>
      </w:r>
      <w:r w:rsidR="003B6CF9">
        <w:lastRenderedPageBreak/>
        <w:t>workforce</w:t>
      </w:r>
      <w:r w:rsidR="00D91427">
        <w:t xml:space="preserve">, and the first statistical analyses of the relationships between the frequency of exposure to actions associated with MSK risk and </w:t>
      </w:r>
      <w:r w:rsidR="00E80C73">
        <w:t>pain experiences.</w:t>
      </w:r>
    </w:p>
    <w:p w14:paraId="668CD061" w14:textId="69AF59A7" w:rsidR="00F73C6E" w:rsidRDefault="009030D4" w:rsidP="00014943">
      <w:pPr>
        <w:spacing w:line="480" w:lineRule="auto"/>
        <w:ind w:firstLine="720"/>
        <w:jc w:val="both"/>
      </w:pPr>
      <w:r>
        <w:t>Estimates of MSP prevalence in the current study are amongst the highest found</w:t>
      </w:r>
      <w:r w:rsidR="00010EF8">
        <w:t xml:space="preserve"> for E</w:t>
      </w:r>
      <w:r w:rsidR="00B82431">
        <w:t>C</w:t>
      </w:r>
      <w:r w:rsidR="00010EF8">
        <w:t xml:space="preserve">E </w:t>
      </w:r>
      <w:r w:rsidR="00F87993">
        <w:t>populations</w:t>
      </w:r>
      <w:r w:rsidR="003B5810">
        <w:t xml:space="preserve">, with earlier </w:t>
      </w:r>
      <w:r w:rsidR="00CD1B50">
        <w:t xml:space="preserve">investigations reporting a range </w:t>
      </w:r>
      <w:r w:rsidR="0062081B">
        <w:t>of values:</w:t>
      </w:r>
      <w:r w:rsidR="00E67314">
        <w:t xml:space="preserve"> P</w:t>
      </w:r>
      <w:r w:rsidR="003B6CF9">
        <w:t>i</w:t>
      </w:r>
      <w:r w:rsidR="00E67314">
        <w:t>llastrini et al, 20</w:t>
      </w:r>
      <w:r w:rsidR="003B6CF9">
        <w:t>0</w:t>
      </w:r>
      <w:r w:rsidR="00E67314">
        <w:t xml:space="preserve">9 </w:t>
      </w:r>
      <w:r w:rsidR="007B1B33">
        <w:t xml:space="preserve">(Italy) </w:t>
      </w:r>
      <w:r w:rsidR="00F65463">
        <w:t>–</w:t>
      </w:r>
      <w:r w:rsidR="00E67314">
        <w:t xml:space="preserve"> </w:t>
      </w:r>
      <w:r w:rsidR="00F65463">
        <w:t>L</w:t>
      </w:r>
      <w:r w:rsidR="003B6CF9">
        <w:t xml:space="preserve">ower </w:t>
      </w:r>
      <w:r w:rsidR="00F65463">
        <w:t>B</w:t>
      </w:r>
      <w:r w:rsidR="003B6CF9">
        <w:t xml:space="preserve">ack </w:t>
      </w:r>
      <w:r w:rsidR="00F65463">
        <w:t>P</w:t>
      </w:r>
      <w:r w:rsidR="003B6CF9">
        <w:t>ain (LBP)</w:t>
      </w:r>
      <w:r w:rsidR="00F65463">
        <w:t xml:space="preserve"> </w:t>
      </w:r>
      <w:r w:rsidR="000256C1">
        <w:t xml:space="preserve">86%, Neck, </w:t>
      </w:r>
      <w:r w:rsidR="00254D4B">
        <w:t>46%,</w:t>
      </w:r>
      <w:r w:rsidR="00541A58">
        <w:t xml:space="preserve"> </w:t>
      </w:r>
      <w:r w:rsidR="00541A58" w:rsidRPr="00541A58">
        <w:t>Kwon</w:t>
      </w:r>
      <w:r w:rsidR="00541A58">
        <w:t xml:space="preserve"> et </w:t>
      </w:r>
      <w:r w:rsidR="00D25FE8">
        <w:t>al,</w:t>
      </w:r>
      <w:r w:rsidR="007B1B33">
        <w:t xml:space="preserve"> (US)</w:t>
      </w:r>
      <w:r w:rsidR="00D25FE8">
        <w:t xml:space="preserve"> </w:t>
      </w:r>
      <w:r w:rsidR="00D25FE8" w:rsidRPr="00541A58">
        <w:t>2021</w:t>
      </w:r>
      <w:r w:rsidR="00541A58">
        <w:t xml:space="preserve"> – 66% MSD</w:t>
      </w:r>
      <w:r w:rsidR="00A3621E">
        <w:t>, Ono et al 2002</w:t>
      </w:r>
      <w:r w:rsidR="007B1B33">
        <w:t xml:space="preserve"> (Japan)</w:t>
      </w:r>
      <w:r w:rsidR="00A3621E">
        <w:t xml:space="preserve"> </w:t>
      </w:r>
      <w:r w:rsidR="00283553">
        <w:t>–</w:t>
      </w:r>
      <w:r w:rsidR="00A3621E">
        <w:t xml:space="preserve"> </w:t>
      </w:r>
      <w:r w:rsidR="00283553">
        <w:t>35% Ne</w:t>
      </w:r>
      <w:r w:rsidR="00E108A2">
        <w:t>ck</w:t>
      </w:r>
      <w:r w:rsidR="00F212C9">
        <w:t xml:space="preserve">, 17% arm, </w:t>
      </w:r>
      <w:r w:rsidR="00B94DE0" w:rsidRPr="004666F0">
        <w:t>Tsuboi</w:t>
      </w:r>
      <w:r w:rsidR="00B94DE0">
        <w:t xml:space="preserve"> et al 2002</w:t>
      </w:r>
      <w:r w:rsidR="007B1B33">
        <w:t xml:space="preserve"> (Japan)</w:t>
      </w:r>
      <w:r w:rsidR="00B94DE0">
        <w:t xml:space="preserve"> – 20% LBP.</w:t>
      </w:r>
      <w:r w:rsidR="00585616">
        <w:t xml:space="preserve"> </w:t>
      </w:r>
      <w:r w:rsidR="00014943">
        <w:t>Comparison between our findings and those of these studies are appropriate, i</w:t>
      </w:r>
      <w:r w:rsidR="00585616">
        <w:t>n all cases</w:t>
      </w:r>
      <w:r w:rsidR="009F4CE7">
        <w:t xml:space="preserve"> these</w:t>
      </w:r>
      <w:r w:rsidR="00585616">
        <w:t xml:space="preserve"> investigations used </w:t>
      </w:r>
      <w:r w:rsidR="00014943">
        <w:t xml:space="preserve">have </w:t>
      </w:r>
      <w:r w:rsidR="00DC4681">
        <w:t>self-report</w:t>
      </w:r>
      <w:r w:rsidR="00585616">
        <w:t xml:space="preserve"> </w:t>
      </w:r>
      <w:r w:rsidR="00014943">
        <w:t>questionnaires and</w:t>
      </w:r>
      <w:r w:rsidR="00392F95">
        <w:t xml:space="preserve"> </w:t>
      </w:r>
      <w:r w:rsidR="00014943">
        <w:t xml:space="preserve">have </w:t>
      </w:r>
      <w:r w:rsidR="00392F95">
        <w:t>not exclude</w:t>
      </w:r>
      <w:r w:rsidR="00014943">
        <w:t>d</w:t>
      </w:r>
      <w:r w:rsidR="00392F95">
        <w:t xml:space="preserve"> people with</w:t>
      </w:r>
      <w:r w:rsidR="004B7488">
        <w:t xml:space="preserve"> prior injury</w:t>
      </w:r>
      <w:r w:rsidR="00DC4681">
        <w:t>.</w:t>
      </w:r>
      <w:r w:rsidR="00EE3BC2">
        <w:t xml:space="preserve"> </w:t>
      </w:r>
      <w:r w:rsidR="0071697D">
        <w:t xml:space="preserve">A majority of the sample indicated they had reported their MSP to a health </w:t>
      </w:r>
      <w:r w:rsidR="003B6CF9">
        <w:t>professional;</w:t>
      </w:r>
      <w:r w:rsidR="0071697D">
        <w:t xml:space="preserve"> </w:t>
      </w:r>
      <w:r w:rsidR="00014943">
        <w:t>however,</w:t>
      </w:r>
      <w:r w:rsidR="0071697D">
        <w:t xml:space="preserve"> this had</w:t>
      </w:r>
      <w:r w:rsidR="00014943">
        <w:t xml:space="preserve"> only</w:t>
      </w:r>
      <w:r w:rsidR="0071697D">
        <w:t xml:space="preserve"> resulted in a formal diagnosis in around half of cases</w:t>
      </w:r>
      <w:r w:rsidR="00F73C6E">
        <w:t xml:space="preserve">, evidencing the significant burden of pain that people live with </w:t>
      </w:r>
      <w:r w:rsidR="002D675A">
        <w:t xml:space="preserve">which may be overlooked by official figures and measures. This notion is supported by the comparatively low rate of </w:t>
      </w:r>
      <w:r w:rsidR="00014943">
        <w:t xml:space="preserve">recorded </w:t>
      </w:r>
      <w:r w:rsidR="002D675A">
        <w:t>absence taken due to MSP</w:t>
      </w:r>
      <w:r w:rsidR="00F55478">
        <w:t>, with nearly all the sample reporting some form of pain, but only around a quarter saying they had taken time off as a result</w:t>
      </w:r>
      <w:r w:rsidR="00E97020">
        <w:t xml:space="preserve">. </w:t>
      </w:r>
      <w:r w:rsidR="00EF33A5">
        <w:t xml:space="preserve">As </w:t>
      </w:r>
      <w:r w:rsidR="000813B3">
        <w:t>suspected, t</w:t>
      </w:r>
      <w:r w:rsidR="00E97020">
        <w:t xml:space="preserve">he earlier value of 0.9% MSD </w:t>
      </w:r>
      <w:r w:rsidR="000813B3">
        <w:t>prevalence</w:t>
      </w:r>
      <w:r w:rsidR="00E97020">
        <w:t xml:space="preserve"> </w:t>
      </w:r>
      <w:r w:rsidR="00EF33A5">
        <w:t>for the education sector</w:t>
      </w:r>
      <w:r w:rsidR="000813B3">
        <w:t xml:space="preserve"> (</w:t>
      </w:r>
      <w:r w:rsidR="00756B85">
        <w:t>ONS</w:t>
      </w:r>
      <w:r w:rsidR="000813B3">
        <w:t>, 20</w:t>
      </w:r>
      <w:r w:rsidR="00756B85">
        <w:t>22</w:t>
      </w:r>
      <w:r w:rsidR="000813B3">
        <w:t xml:space="preserve">) conceals a large </w:t>
      </w:r>
      <w:r w:rsidR="00DF71D9">
        <w:t>proportion of</w:t>
      </w:r>
      <w:r w:rsidR="00014943">
        <w:t xml:space="preserve"> under-</w:t>
      </w:r>
      <w:r w:rsidR="00B82431">
        <w:t>reported strain</w:t>
      </w:r>
      <w:r w:rsidR="00DF71D9">
        <w:t xml:space="preserve"> and presenteeism in the workforce, </w:t>
      </w:r>
      <w:r w:rsidR="0084287D">
        <w:t>with</w:t>
      </w:r>
      <w:r w:rsidR="00DF71D9">
        <w:t xml:space="preserve"> the potential to exacerbate and compound problems</w:t>
      </w:r>
      <w:r w:rsidR="0084287D">
        <w:t xml:space="preserve"> further</w:t>
      </w:r>
      <w:r w:rsidR="0093211A">
        <w:t xml:space="preserve"> (</w:t>
      </w:r>
      <w:r w:rsidR="0093211A" w:rsidRPr="0093211A">
        <w:t>Karanika-Murray</w:t>
      </w:r>
      <w:r w:rsidR="0093211A">
        <w:t xml:space="preserve"> &amp; Biron, 2020)</w:t>
      </w:r>
      <w:r w:rsidR="00014943">
        <w:t>.</w:t>
      </w:r>
    </w:p>
    <w:p w14:paraId="32520FB8" w14:textId="77777777" w:rsidR="00F73C6E" w:rsidRDefault="00F73C6E" w:rsidP="00524826">
      <w:pPr>
        <w:spacing w:line="480" w:lineRule="auto"/>
        <w:ind w:firstLine="720"/>
        <w:jc w:val="both"/>
      </w:pPr>
    </w:p>
    <w:p w14:paraId="040F10B9" w14:textId="0E15E01B" w:rsidR="001255B5" w:rsidRDefault="00005723" w:rsidP="00524826">
      <w:pPr>
        <w:spacing w:line="480" w:lineRule="auto"/>
        <w:ind w:firstLine="720"/>
        <w:jc w:val="both"/>
      </w:pPr>
      <w:r>
        <w:t xml:space="preserve"> </w:t>
      </w:r>
      <w:r w:rsidR="00014943">
        <w:t>C</w:t>
      </w:r>
      <w:r w:rsidR="00D12354">
        <w:t>urrent f</w:t>
      </w:r>
      <w:r w:rsidR="00021FF8">
        <w:t>indings may</w:t>
      </w:r>
      <w:r w:rsidR="00352E3D">
        <w:t xml:space="preserve"> </w:t>
      </w:r>
      <w:r w:rsidR="00021FF8">
        <w:t>indicat</w:t>
      </w:r>
      <w:r w:rsidR="0049067D">
        <w:t>e</w:t>
      </w:r>
      <w:r w:rsidR="00021FF8">
        <w:t xml:space="preserve"> a relatively higher</w:t>
      </w:r>
      <w:r w:rsidR="00014943">
        <w:t xml:space="preserve"> role</w:t>
      </w:r>
      <w:r w:rsidR="00021FF8">
        <w:t xml:space="preserve"> demand</w:t>
      </w:r>
      <w:r w:rsidR="00D12354">
        <w:t xml:space="preserve"> </w:t>
      </w:r>
      <w:r w:rsidR="007B1B33">
        <w:t>and/</w:t>
      </w:r>
      <w:r w:rsidR="0049067D">
        <w:t>or lower level of protection</w:t>
      </w:r>
      <w:r w:rsidR="00021FF8">
        <w:t xml:space="preserve"> </w:t>
      </w:r>
      <w:r w:rsidR="0049067D">
        <w:t xml:space="preserve">for </w:t>
      </w:r>
      <w:r w:rsidR="00014943">
        <w:t>the</w:t>
      </w:r>
      <w:r w:rsidR="00352E3D">
        <w:t xml:space="preserve"> UK E</w:t>
      </w:r>
      <w:r w:rsidR="00B82431">
        <w:t>C</w:t>
      </w:r>
      <w:r w:rsidR="00352E3D">
        <w:t xml:space="preserve">E </w:t>
      </w:r>
      <w:r w:rsidR="00014943">
        <w:t>workforce</w:t>
      </w:r>
      <w:r w:rsidR="00352E3D">
        <w:t xml:space="preserve"> in comparison to international </w:t>
      </w:r>
      <w:r w:rsidR="00632622">
        <w:t>E</w:t>
      </w:r>
      <w:r w:rsidR="003617D3">
        <w:t>C</w:t>
      </w:r>
      <w:r w:rsidR="00632622">
        <w:t xml:space="preserve">E </w:t>
      </w:r>
      <w:r w:rsidR="0049067D">
        <w:t>sectors.</w:t>
      </w:r>
      <w:r w:rsidR="00054E7B">
        <w:t xml:space="preserve"> </w:t>
      </w:r>
      <w:r w:rsidR="00632622">
        <w:t>While</w:t>
      </w:r>
      <w:r w:rsidR="00054E7B">
        <w:t xml:space="preserve"> Ono et al</w:t>
      </w:r>
      <w:r w:rsidR="00014943">
        <w:t>.</w:t>
      </w:r>
      <w:r w:rsidR="00054E7B">
        <w:t xml:space="preserve"> </w:t>
      </w:r>
      <w:r w:rsidR="00014943">
        <w:t>(</w:t>
      </w:r>
      <w:r w:rsidR="00054E7B">
        <w:t>2002</w:t>
      </w:r>
      <w:r w:rsidR="00014943">
        <w:t>)</w:t>
      </w:r>
      <w:r w:rsidR="00054E7B">
        <w:t xml:space="preserve"> asked participants about lift</w:t>
      </w:r>
      <w:r w:rsidR="00277D24">
        <w:t>ing</w:t>
      </w:r>
      <w:r w:rsidR="00054E7B">
        <w:t xml:space="preserve"> children, Grant et al., </w:t>
      </w:r>
      <w:r w:rsidR="00632622">
        <w:t>(</w:t>
      </w:r>
      <w:r w:rsidR="00054E7B">
        <w:t>1995</w:t>
      </w:r>
      <w:r w:rsidR="00632622">
        <w:t>)</w:t>
      </w:r>
      <w:r w:rsidR="00054E7B">
        <w:t xml:space="preserve"> described observations </w:t>
      </w:r>
      <w:r w:rsidR="00277D24">
        <w:t xml:space="preserve">of </w:t>
      </w:r>
      <w:r w:rsidR="00054E7B">
        <w:t xml:space="preserve">ergonomic activities, and </w:t>
      </w:r>
      <w:r w:rsidR="00054E7B" w:rsidRPr="00D73D62">
        <w:t>Kwon</w:t>
      </w:r>
      <w:r w:rsidR="00482BFA">
        <w:t xml:space="preserve"> et al.</w:t>
      </w:r>
      <w:r w:rsidR="00054E7B" w:rsidRPr="00E45226">
        <w:t xml:space="preserve"> </w:t>
      </w:r>
      <w:r w:rsidR="003B6CF9">
        <w:t>(</w:t>
      </w:r>
      <w:r w:rsidR="00054E7B" w:rsidRPr="00E45226">
        <w:t>2021</w:t>
      </w:r>
      <w:r w:rsidR="003B6CF9">
        <w:t>)</w:t>
      </w:r>
      <w:r w:rsidR="00054E7B">
        <w:t xml:space="preserve">, asked about </w:t>
      </w:r>
      <w:r w:rsidR="00277D24">
        <w:t xml:space="preserve">general </w:t>
      </w:r>
      <w:r w:rsidR="00054E7B">
        <w:t xml:space="preserve">physical effort, </w:t>
      </w:r>
      <w:r w:rsidR="00632622">
        <w:t>no earlier studies</w:t>
      </w:r>
      <w:r w:rsidR="00054E7B">
        <w:t xml:space="preserve"> </w:t>
      </w:r>
      <w:r w:rsidR="00632622">
        <w:t xml:space="preserve">of </w:t>
      </w:r>
      <w:r w:rsidR="00054E7B">
        <w:t>E</w:t>
      </w:r>
      <w:r w:rsidR="00B82431">
        <w:t>C</w:t>
      </w:r>
      <w:r w:rsidR="00054E7B">
        <w:t xml:space="preserve">E employees have </w:t>
      </w:r>
      <w:r w:rsidR="00ED79B9">
        <w:t>assessed the frequency or nature of specific role or environmental demands</w:t>
      </w:r>
      <w:r w:rsidR="00632622">
        <w:t xml:space="preserve"> on workers</w:t>
      </w:r>
      <w:r w:rsidR="00D56457">
        <w:t>. The current study’s measurement and statistical evaluation of</w:t>
      </w:r>
      <w:r w:rsidR="00BF76B7">
        <w:t xml:space="preserve"> associations between</w:t>
      </w:r>
      <w:r w:rsidR="00D56457">
        <w:t xml:space="preserve"> exposure to MSK risk (frequency of working on the floor, </w:t>
      </w:r>
      <w:r w:rsidR="00D56457">
        <w:lastRenderedPageBreak/>
        <w:t>sitting on small chairs) and pain experiences</w:t>
      </w:r>
      <w:r w:rsidR="0026445C">
        <w:t xml:space="preserve"> is novel in the literature to date</w:t>
      </w:r>
      <w:r w:rsidR="00B36AC0">
        <w:t xml:space="preserve">, making comparisons </w:t>
      </w:r>
      <w:r w:rsidR="00571BED">
        <w:t xml:space="preserve">of role or environmental demands </w:t>
      </w:r>
      <w:r w:rsidR="00B36AC0">
        <w:t xml:space="preserve">with earlier studies </w:t>
      </w:r>
      <w:r w:rsidR="006C2F10">
        <w:t>in E</w:t>
      </w:r>
      <w:r w:rsidR="00B82431">
        <w:t>C</w:t>
      </w:r>
      <w:r w:rsidR="006C2F10">
        <w:t xml:space="preserve">E populations </w:t>
      </w:r>
      <w:r w:rsidR="00571BED">
        <w:t>unobtainable</w:t>
      </w:r>
      <w:r w:rsidR="001F525F">
        <w:t>.</w:t>
      </w:r>
      <w:r w:rsidR="00571BED">
        <w:t xml:space="preserve"> </w:t>
      </w:r>
      <w:r w:rsidR="000C22D4">
        <w:t xml:space="preserve">The importance of </w:t>
      </w:r>
      <w:r w:rsidR="00543616">
        <w:t>evaluating</w:t>
      </w:r>
      <w:r w:rsidR="000C22D4">
        <w:t xml:space="preserve"> </w:t>
      </w:r>
      <w:r w:rsidR="00543616">
        <w:t>MSK risk roles</w:t>
      </w:r>
      <w:r w:rsidR="002A1044">
        <w:t xml:space="preserve"> when investigating MSP is evidenced by </w:t>
      </w:r>
      <w:r w:rsidR="001255B5">
        <w:t>the frequent</w:t>
      </w:r>
      <w:r w:rsidR="00C176ED">
        <w:t xml:space="preserve"> contributions</w:t>
      </w:r>
      <w:r w:rsidR="001255B5">
        <w:t xml:space="preserve"> this variable </w:t>
      </w:r>
      <w:r w:rsidR="00DA1DDB">
        <w:t>made in the regression analyses, significantly predicting; average pain onset, average frequency of pain, and the average frequency of pain experienced while carrying out MSK risk roles</w:t>
      </w:r>
      <w:r w:rsidR="00B56C67">
        <w:t>/actions</w:t>
      </w:r>
      <w:r w:rsidR="00DA1DDB">
        <w:t>.</w:t>
      </w:r>
    </w:p>
    <w:p w14:paraId="58FE72A8" w14:textId="180F671C" w:rsidR="00AE5334" w:rsidRDefault="00911CC3" w:rsidP="00AE5334">
      <w:pPr>
        <w:spacing w:line="480" w:lineRule="auto"/>
        <w:ind w:firstLine="720"/>
        <w:jc w:val="both"/>
        <w:rPr>
          <w:rFonts w:cstheme="minorHAnsi"/>
        </w:rPr>
      </w:pPr>
      <w:r>
        <w:t>The a</w:t>
      </w:r>
      <w:r w:rsidR="00DE0061">
        <w:t xml:space="preserve">ssessment of pain </w:t>
      </w:r>
      <w:r w:rsidR="00AA3EB4">
        <w:t>experiences in the current study</w:t>
      </w:r>
      <w:r>
        <w:t xml:space="preserve"> is also novel in t</w:t>
      </w:r>
      <w:r w:rsidR="00C13C8A">
        <w:t>he field</w:t>
      </w:r>
      <w:r>
        <w:t>, offering</w:t>
      </w:r>
      <w:r w:rsidR="00AA3EB4">
        <w:t xml:space="preserve"> a greater level of definition and detail tha</w:t>
      </w:r>
      <w:r>
        <w:t>n</w:t>
      </w:r>
      <w:r w:rsidR="00AA3EB4">
        <w:t xml:space="preserve"> has been found in earlier </w:t>
      </w:r>
      <w:r>
        <w:t>investigations</w:t>
      </w:r>
      <w:r w:rsidR="00AA3EB4">
        <w:t xml:space="preserve">. </w:t>
      </w:r>
      <w:r w:rsidR="00F864C8">
        <w:t>Whilst</w:t>
      </w:r>
      <w:r w:rsidR="001C602F">
        <w:t xml:space="preserve"> </w:t>
      </w:r>
      <w:r w:rsidR="009B6F54">
        <w:t xml:space="preserve">Cardoso et al., </w:t>
      </w:r>
      <w:r w:rsidR="00F864C8">
        <w:t>(</w:t>
      </w:r>
      <w:r w:rsidR="009B6F54">
        <w:t>2009</w:t>
      </w:r>
      <w:r w:rsidR="00F864C8">
        <w:t>)</w:t>
      </w:r>
      <w:r w:rsidR="009B6F54">
        <w:t>, and Tsu</w:t>
      </w:r>
      <w:r w:rsidR="00C87A5D">
        <w:t xml:space="preserve">boi et al., </w:t>
      </w:r>
      <w:r w:rsidR="00F864C8">
        <w:t>(</w:t>
      </w:r>
      <w:r w:rsidR="00C87A5D">
        <w:t>2002</w:t>
      </w:r>
      <w:r w:rsidR="00F864C8">
        <w:t>)</w:t>
      </w:r>
      <w:r w:rsidR="00C87A5D">
        <w:t>, measured pain frequency, and P</w:t>
      </w:r>
      <w:r w:rsidR="003B6CF9">
        <w:t>i</w:t>
      </w:r>
      <w:r w:rsidR="00C87A5D">
        <w:t xml:space="preserve">llastrini et al., </w:t>
      </w:r>
      <w:r w:rsidR="00F864C8">
        <w:t>(</w:t>
      </w:r>
      <w:r w:rsidR="00C87A5D">
        <w:t>2009</w:t>
      </w:r>
      <w:r w:rsidR="00F864C8">
        <w:t>)</w:t>
      </w:r>
      <w:r w:rsidR="00C87A5D">
        <w:t>, assessed pain severity</w:t>
      </w:r>
      <w:r w:rsidR="000C70C1">
        <w:t xml:space="preserve">, all other studies have </w:t>
      </w:r>
      <w:r>
        <w:t xml:space="preserve">asked </w:t>
      </w:r>
      <w:r w:rsidR="00D2682C">
        <w:t>purely</w:t>
      </w:r>
      <w:r w:rsidR="005540A0">
        <w:t xml:space="preserve"> </w:t>
      </w:r>
      <w:r>
        <w:t>about the presence or absence of pain in specific bodily locations</w:t>
      </w:r>
      <w:r w:rsidR="008364EE">
        <w:t xml:space="preserve"> (e.g. </w:t>
      </w:r>
      <w:r w:rsidR="00BB21B0" w:rsidRPr="00BB21B0">
        <w:t>Kwon</w:t>
      </w:r>
      <w:r w:rsidR="00D73D62">
        <w:t xml:space="preserve"> et al.</w:t>
      </w:r>
      <w:r w:rsidR="005540A0">
        <w:t>,</w:t>
      </w:r>
      <w:r w:rsidR="00BB21B0" w:rsidRPr="00BB21B0">
        <w:t xml:space="preserve"> 2021</w:t>
      </w:r>
      <w:r w:rsidR="00A76025">
        <w:t xml:space="preserve">, </w:t>
      </w:r>
      <w:r w:rsidR="005540A0" w:rsidRPr="005540A0">
        <w:t>Coledam, et al., 2019</w:t>
      </w:r>
      <w:r w:rsidR="005540A0">
        <w:t xml:space="preserve">). The current study is the first to report differences in experiences and nature of pain in different bodily </w:t>
      </w:r>
      <w:r w:rsidR="00325700">
        <w:t xml:space="preserve">locations, </w:t>
      </w:r>
      <w:r w:rsidR="009914E3">
        <w:t xml:space="preserve">average values for frequency, onset, </w:t>
      </w:r>
      <w:r w:rsidR="00C92124">
        <w:t>severity,</w:t>
      </w:r>
      <w:r w:rsidR="009914E3">
        <w:t xml:space="preserve"> and duration</w:t>
      </w:r>
      <w:r w:rsidR="000E4971">
        <w:t xml:space="preserve"> </w:t>
      </w:r>
      <w:r w:rsidR="00BA78AF">
        <w:t>indicat</w:t>
      </w:r>
      <w:r w:rsidR="009348E3">
        <w:t>es</w:t>
      </w:r>
      <w:r w:rsidR="00BA78AF">
        <w:t xml:space="preserve"> that the current sample experience</w:t>
      </w:r>
      <w:r w:rsidR="00BA78AF" w:rsidRPr="00BA78AF">
        <w:t xml:space="preserve"> </w:t>
      </w:r>
      <w:r w:rsidR="00BA78AF">
        <w:t>m</w:t>
      </w:r>
      <w:r w:rsidR="00BA78AF" w:rsidRPr="00BA78AF">
        <w:t>ild to moderate pain</w:t>
      </w:r>
      <w:r w:rsidR="00BA78AF">
        <w:t xml:space="preserve"> that</w:t>
      </w:r>
      <w:r w:rsidR="00BA78AF" w:rsidRPr="00BA78AF">
        <w:t xml:space="preserve"> occur</w:t>
      </w:r>
      <w:r w:rsidR="00BA78AF">
        <w:t>s</w:t>
      </w:r>
      <w:r w:rsidR="00BA78AF" w:rsidRPr="00BA78AF">
        <w:t xml:space="preserve"> weekly, last</w:t>
      </w:r>
      <w:r w:rsidR="004D4767">
        <w:t>s</w:t>
      </w:r>
      <w:r w:rsidR="00BA78AF" w:rsidRPr="00BA78AF">
        <w:t xml:space="preserve"> between </w:t>
      </w:r>
      <w:r w:rsidR="00BA78AF" w:rsidRPr="009348E3">
        <w:t>1-</w:t>
      </w:r>
      <w:r w:rsidR="00B82431" w:rsidRPr="009348E3">
        <w:t>2</w:t>
      </w:r>
      <w:r w:rsidR="00BA78AF" w:rsidRPr="009348E3">
        <w:t xml:space="preserve"> weeks</w:t>
      </w:r>
      <w:r w:rsidR="00BA78AF" w:rsidRPr="00BA78AF">
        <w:t>,</w:t>
      </w:r>
      <w:r w:rsidR="00F71E24">
        <w:t xml:space="preserve"> </w:t>
      </w:r>
      <w:r w:rsidR="00711734">
        <w:t>and first occurred over 12 months ago. Lower back</w:t>
      </w:r>
      <w:r>
        <w:t xml:space="preserve"> </w:t>
      </w:r>
      <w:r w:rsidR="00102B85">
        <w:t>had</w:t>
      </w:r>
      <w:r w:rsidR="00010EF8">
        <w:t xml:space="preserve"> highest average reported pain severity</w:t>
      </w:r>
      <w:r w:rsidR="009F423B">
        <w:t>,</w:t>
      </w:r>
      <w:r w:rsidR="00010EF8">
        <w:t xml:space="preserve"> </w:t>
      </w:r>
      <w:r w:rsidR="009F423B">
        <w:t>u</w:t>
      </w:r>
      <w:r w:rsidR="00010EF8">
        <w:t xml:space="preserve">pper back pain was most frequently occurring, </w:t>
      </w:r>
      <w:r w:rsidR="009F423B">
        <w:t>and</w:t>
      </w:r>
      <w:r w:rsidR="00010EF8">
        <w:t xml:space="preserve"> pain occurring the feet and ankles found to have the longest time since initial onset and the longest duration of pain event (see </w:t>
      </w:r>
      <w:r w:rsidR="00F864C8">
        <w:t>T</w:t>
      </w:r>
      <w:r w:rsidR="00010EF8">
        <w:t xml:space="preserve">able 2). </w:t>
      </w:r>
      <w:r w:rsidR="00102B85">
        <w:rPr>
          <w:rFonts w:cstheme="minorHAnsi"/>
        </w:rPr>
        <w:t>These</w:t>
      </w:r>
      <w:r w:rsidR="00875869" w:rsidRPr="008E28F3">
        <w:rPr>
          <w:rFonts w:cstheme="minorHAnsi"/>
        </w:rPr>
        <w:t xml:space="preserve"> finding</w:t>
      </w:r>
      <w:r w:rsidR="00F864C8">
        <w:rPr>
          <w:rFonts w:cstheme="minorHAnsi"/>
        </w:rPr>
        <w:t>s</w:t>
      </w:r>
      <w:r w:rsidR="00875869" w:rsidRPr="008E28F3">
        <w:rPr>
          <w:rFonts w:cstheme="minorHAnsi"/>
        </w:rPr>
        <w:t xml:space="preserve"> represent an exceedingly high </w:t>
      </w:r>
      <w:r w:rsidR="00DD795C">
        <w:rPr>
          <w:rFonts w:cstheme="minorHAnsi"/>
        </w:rPr>
        <w:t>burden</w:t>
      </w:r>
      <w:r w:rsidR="00875869" w:rsidRPr="008E28F3">
        <w:rPr>
          <w:rFonts w:cstheme="minorHAnsi"/>
        </w:rPr>
        <w:t xml:space="preserve"> of pain</w:t>
      </w:r>
      <w:r w:rsidR="00102B85">
        <w:rPr>
          <w:rFonts w:cstheme="minorHAnsi"/>
        </w:rPr>
        <w:t xml:space="preserve"> in the UK E</w:t>
      </w:r>
      <w:r w:rsidR="00B82431">
        <w:rPr>
          <w:rFonts w:cstheme="minorHAnsi"/>
        </w:rPr>
        <w:t>C</w:t>
      </w:r>
      <w:r w:rsidR="00102B85">
        <w:rPr>
          <w:rFonts w:cstheme="minorHAnsi"/>
        </w:rPr>
        <w:t>E workforce</w:t>
      </w:r>
      <w:r w:rsidR="00875869" w:rsidRPr="008E28F3">
        <w:rPr>
          <w:rFonts w:cstheme="minorHAnsi"/>
        </w:rPr>
        <w:t xml:space="preserve"> that </w:t>
      </w:r>
      <w:r w:rsidR="00A94CE4">
        <w:rPr>
          <w:rFonts w:cstheme="minorHAnsi"/>
        </w:rPr>
        <w:t>could</w:t>
      </w:r>
      <w:r w:rsidR="00875869" w:rsidRPr="008E28F3">
        <w:rPr>
          <w:rFonts w:cstheme="minorHAnsi"/>
        </w:rPr>
        <w:t xml:space="preserve"> be </w:t>
      </w:r>
      <w:r w:rsidR="00B82431">
        <w:rPr>
          <w:rFonts w:cstheme="minorHAnsi"/>
        </w:rPr>
        <w:t>described</w:t>
      </w:r>
      <w:r w:rsidR="00875869" w:rsidRPr="008E28F3">
        <w:rPr>
          <w:rFonts w:cstheme="minorHAnsi"/>
        </w:rPr>
        <w:t xml:space="preserve"> as chronic in nature (</w:t>
      </w:r>
      <w:r w:rsidR="00165A4E">
        <w:rPr>
          <w:rFonts w:cstheme="minorHAnsi"/>
        </w:rPr>
        <w:t>Katz et al., 2015)</w:t>
      </w:r>
      <w:r w:rsidR="00DD795C">
        <w:rPr>
          <w:rFonts w:cstheme="minorHAnsi"/>
        </w:rPr>
        <w:t>.</w:t>
      </w:r>
      <w:r w:rsidR="00875869" w:rsidRPr="008E28F3">
        <w:rPr>
          <w:rFonts w:cstheme="minorHAnsi"/>
        </w:rPr>
        <w:t xml:space="preserve"> </w:t>
      </w:r>
    </w:p>
    <w:p w14:paraId="4EBCDB71" w14:textId="6EFFD62D" w:rsidR="00EF4463" w:rsidRDefault="00AE5334" w:rsidP="00070217">
      <w:pPr>
        <w:spacing w:line="480" w:lineRule="auto"/>
        <w:ind w:firstLine="720"/>
        <w:jc w:val="both"/>
        <w:rPr>
          <w:rFonts w:cstheme="minorHAnsi"/>
        </w:rPr>
      </w:pPr>
      <w:r w:rsidRPr="000622C3">
        <w:rPr>
          <w:rFonts w:cstheme="minorHAnsi"/>
        </w:rPr>
        <w:t>Level of education significantly predict</w:t>
      </w:r>
      <w:r w:rsidR="00FC3D96">
        <w:rPr>
          <w:rFonts w:cstheme="minorHAnsi"/>
        </w:rPr>
        <w:t>ed</w:t>
      </w:r>
      <w:r w:rsidRPr="000622C3">
        <w:rPr>
          <w:rFonts w:cstheme="minorHAnsi"/>
        </w:rPr>
        <w:t xml:space="preserve"> outcomes for </w:t>
      </w:r>
      <w:r w:rsidR="00CF7F35">
        <w:rPr>
          <w:rFonts w:cstheme="minorHAnsi"/>
        </w:rPr>
        <w:t>mean</w:t>
      </w:r>
      <w:r w:rsidRPr="000622C3">
        <w:rPr>
          <w:rFonts w:cstheme="minorHAnsi"/>
        </w:rPr>
        <w:t xml:space="preserve"> frequency of pain caused by MSK risk roles, and number of pain locations.</w:t>
      </w:r>
      <w:r w:rsidR="00B042EA">
        <w:rPr>
          <w:rFonts w:cstheme="minorHAnsi"/>
        </w:rPr>
        <w:t xml:space="preserve"> This finding reflects earlier investigations from Cardo</w:t>
      </w:r>
      <w:r w:rsidR="00746D13">
        <w:rPr>
          <w:rFonts w:cstheme="minorHAnsi"/>
        </w:rPr>
        <w:t>so et al</w:t>
      </w:r>
      <w:r w:rsidR="00CF7F35">
        <w:rPr>
          <w:rFonts w:cstheme="minorHAnsi"/>
        </w:rPr>
        <w:t>.</w:t>
      </w:r>
      <w:r w:rsidR="00746D13">
        <w:rPr>
          <w:rFonts w:cstheme="minorHAnsi"/>
        </w:rPr>
        <w:t xml:space="preserve"> </w:t>
      </w:r>
      <w:r w:rsidR="00CF7F35">
        <w:rPr>
          <w:rFonts w:cstheme="minorHAnsi"/>
        </w:rPr>
        <w:t>(</w:t>
      </w:r>
      <w:r w:rsidR="00746D13">
        <w:rPr>
          <w:rFonts w:cstheme="minorHAnsi"/>
        </w:rPr>
        <w:t>20</w:t>
      </w:r>
      <w:r w:rsidR="00F864C8">
        <w:rPr>
          <w:rFonts w:cstheme="minorHAnsi"/>
        </w:rPr>
        <w:t>0</w:t>
      </w:r>
      <w:r w:rsidR="00746D13">
        <w:rPr>
          <w:rFonts w:cstheme="minorHAnsi"/>
        </w:rPr>
        <w:t>9</w:t>
      </w:r>
      <w:r w:rsidR="00CF7F35">
        <w:rPr>
          <w:rFonts w:cstheme="minorHAnsi"/>
        </w:rPr>
        <w:t>)</w:t>
      </w:r>
      <w:r w:rsidR="00746D13">
        <w:rPr>
          <w:rFonts w:cstheme="minorHAnsi"/>
        </w:rPr>
        <w:t xml:space="preserve">, who also showed </w:t>
      </w:r>
      <w:r w:rsidR="00CF7F35">
        <w:rPr>
          <w:rFonts w:cstheme="minorHAnsi"/>
        </w:rPr>
        <w:t xml:space="preserve">associations between </w:t>
      </w:r>
      <w:r w:rsidR="00746D13">
        <w:rPr>
          <w:rFonts w:cstheme="minorHAnsi"/>
        </w:rPr>
        <w:t xml:space="preserve">lower levels of education </w:t>
      </w:r>
      <w:r w:rsidR="00CF7F35">
        <w:rPr>
          <w:rFonts w:cstheme="minorHAnsi"/>
        </w:rPr>
        <w:t>and</w:t>
      </w:r>
      <w:r w:rsidR="00746D13">
        <w:rPr>
          <w:rFonts w:cstheme="minorHAnsi"/>
        </w:rPr>
        <w:t xml:space="preserve"> poorer pain outcomes. It is </w:t>
      </w:r>
      <w:r w:rsidR="00825DBD">
        <w:rPr>
          <w:rFonts w:cstheme="minorHAnsi"/>
        </w:rPr>
        <w:t>likely</w:t>
      </w:r>
      <w:r w:rsidR="00746D13">
        <w:rPr>
          <w:rFonts w:cstheme="minorHAnsi"/>
        </w:rPr>
        <w:t xml:space="preserve"> that in these cases</w:t>
      </w:r>
      <w:r w:rsidR="00CF7F35">
        <w:rPr>
          <w:rFonts w:cstheme="minorHAnsi"/>
        </w:rPr>
        <w:t>,</w:t>
      </w:r>
      <w:r w:rsidR="00746D13">
        <w:rPr>
          <w:rFonts w:cstheme="minorHAnsi"/>
        </w:rPr>
        <w:t xml:space="preserve"> level of </w:t>
      </w:r>
      <w:r w:rsidR="00746D13" w:rsidRPr="000622C3">
        <w:rPr>
          <w:rFonts w:cstheme="minorHAnsi"/>
        </w:rPr>
        <w:t>education is acting a proxy measurement for socioeconomic status (Janković et al., 2014)</w:t>
      </w:r>
      <w:r w:rsidR="00CF7F35">
        <w:rPr>
          <w:rFonts w:cstheme="minorHAnsi"/>
        </w:rPr>
        <w:t>,</w:t>
      </w:r>
      <w:r w:rsidR="002B0951">
        <w:rPr>
          <w:rFonts w:cstheme="minorHAnsi"/>
        </w:rPr>
        <w:t xml:space="preserve"> and may reflect important differences in</w:t>
      </w:r>
      <w:r w:rsidR="00A16FE0">
        <w:rPr>
          <w:rFonts w:cstheme="minorHAnsi"/>
        </w:rPr>
        <w:t xml:space="preserve"> earlier</w:t>
      </w:r>
      <w:r w:rsidR="002B0951">
        <w:rPr>
          <w:rFonts w:cstheme="minorHAnsi"/>
        </w:rPr>
        <w:t xml:space="preserve"> life demand</w:t>
      </w:r>
      <w:r w:rsidR="00A16FE0">
        <w:rPr>
          <w:rFonts w:cstheme="minorHAnsi"/>
        </w:rPr>
        <w:t>s</w:t>
      </w:r>
      <w:r w:rsidR="002B0951">
        <w:rPr>
          <w:rFonts w:cstheme="minorHAnsi"/>
        </w:rPr>
        <w:t xml:space="preserve"> or opportuni</w:t>
      </w:r>
      <w:r w:rsidR="00CF7F35">
        <w:rPr>
          <w:rFonts w:cstheme="minorHAnsi"/>
        </w:rPr>
        <w:t>ties</w:t>
      </w:r>
      <w:r w:rsidR="002B0951">
        <w:rPr>
          <w:rFonts w:cstheme="minorHAnsi"/>
        </w:rPr>
        <w:t xml:space="preserve"> within the sample.</w:t>
      </w:r>
      <w:r w:rsidR="002B0951">
        <w:t xml:space="preserve"> </w:t>
      </w:r>
      <w:r w:rsidR="009F67A5">
        <w:t>I</w:t>
      </w:r>
      <w:r w:rsidR="002B0951">
        <w:t xml:space="preserve">t should </w:t>
      </w:r>
      <w:r w:rsidR="009F67A5">
        <w:t xml:space="preserve">however </w:t>
      </w:r>
      <w:r w:rsidR="002B0951">
        <w:t xml:space="preserve">be </w:t>
      </w:r>
      <w:r w:rsidR="002B0951">
        <w:lastRenderedPageBreak/>
        <w:t xml:space="preserve">noted that, </w:t>
      </w:r>
      <w:r w:rsidR="002B0951">
        <w:rPr>
          <w:rFonts w:cstheme="minorHAnsi"/>
        </w:rPr>
        <w:t>w</w:t>
      </w:r>
      <w:r w:rsidRPr="000622C3">
        <w:rPr>
          <w:rFonts w:cstheme="minorHAnsi"/>
        </w:rPr>
        <w:t xml:space="preserve">ith 37% and 20% (see </w:t>
      </w:r>
      <w:r w:rsidR="000D740F" w:rsidRPr="009348E3">
        <w:rPr>
          <w:rFonts w:cstheme="minorHAnsi"/>
        </w:rPr>
        <w:t>Ta</w:t>
      </w:r>
      <w:r w:rsidRPr="009348E3">
        <w:rPr>
          <w:rFonts w:cstheme="minorHAnsi"/>
        </w:rPr>
        <w:t>ble</w:t>
      </w:r>
      <w:r w:rsidRPr="000622C3">
        <w:rPr>
          <w:rFonts w:cstheme="minorHAnsi"/>
        </w:rPr>
        <w:t xml:space="preserve"> 1) of the sample reporting either having postgraduate or undergraduate qualification</w:t>
      </w:r>
      <w:r w:rsidR="00CF7F35">
        <w:rPr>
          <w:rFonts w:cstheme="minorHAnsi"/>
        </w:rPr>
        <w:t xml:space="preserve"> respectively</w:t>
      </w:r>
      <w:r w:rsidRPr="000622C3">
        <w:rPr>
          <w:rFonts w:cstheme="minorHAnsi"/>
        </w:rPr>
        <w:t xml:space="preserve">, the overall level of education reported was relatively high for a sector which does not require higher qualifications for many roles. </w:t>
      </w:r>
      <w:r w:rsidR="009F67A5">
        <w:rPr>
          <w:rFonts w:cstheme="minorHAnsi"/>
        </w:rPr>
        <w:t>Alongside education level, y</w:t>
      </w:r>
      <w:r w:rsidR="00182E0D">
        <w:rPr>
          <w:rFonts w:cstheme="minorHAnsi"/>
        </w:rPr>
        <w:t>ears of service also significant</w:t>
      </w:r>
      <w:r w:rsidR="00F864C8">
        <w:rPr>
          <w:rFonts w:cstheme="minorHAnsi"/>
        </w:rPr>
        <w:t>ly</w:t>
      </w:r>
      <w:r w:rsidR="00182E0D">
        <w:rPr>
          <w:rFonts w:cstheme="minorHAnsi"/>
        </w:rPr>
        <w:t xml:space="preserve"> contributed to predicting number of pain locations (independently of age or other sociodemographic factors). This </w:t>
      </w:r>
      <w:r w:rsidR="00D374D6">
        <w:rPr>
          <w:rFonts w:cstheme="minorHAnsi"/>
        </w:rPr>
        <w:t>reflects</w:t>
      </w:r>
      <w:r w:rsidR="00182E0D">
        <w:rPr>
          <w:rFonts w:cstheme="minorHAnsi"/>
        </w:rPr>
        <w:t xml:space="preserve"> earlier </w:t>
      </w:r>
      <w:r w:rsidR="00D374D6">
        <w:rPr>
          <w:rFonts w:cstheme="minorHAnsi"/>
        </w:rPr>
        <w:t>findings</w:t>
      </w:r>
      <w:r w:rsidR="00182E0D">
        <w:rPr>
          <w:rFonts w:cstheme="minorHAnsi"/>
        </w:rPr>
        <w:t xml:space="preserve"> </w:t>
      </w:r>
      <w:r w:rsidR="00A67AB2">
        <w:rPr>
          <w:rFonts w:cstheme="minorHAnsi"/>
        </w:rPr>
        <w:t xml:space="preserve">from </w:t>
      </w:r>
      <w:r w:rsidR="004629E0" w:rsidRPr="004629E0">
        <w:rPr>
          <w:rFonts w:cstheme="minorHAnsi"/>
        </w:rPr>
        <w:t>Cardoso et al</w:t>
      </w:r>
      <w:r w:rsidR="00972153">
        <w:rPr>
          <w:rFonts w:cstheme="minorHAnsi"/>
        </w:rPr>
        <w:t>.</w:t>
      </w:r>
      <w:r w:rsidR="004629E0" w:rsidRPr="004629E0">
        <w:rPr>
          <w:rFonts w:cstheme="minorHAnsi"/>
        </w:rPr>
        <w:t xml:space="preserve"> </w:t>
      </w:r>
      <w:r w:rsidR="00F864C8">
        <w:rPr>
          <w:rFonts w:cstheme="minorHAnsi"/>
        </w:rPr>
        <w:t>(</w:t>
      </w:r>
      <w:r w:rsidR="004629E0" w:rsidRPr="004629E0">
        <w:rPr>
          <w:rFonts w:cstheme="minorHAnsi"/>
        </w:rPr>
        <w:t>2009</w:t>
      </w:r>
      <w:r w:rsidR="00F864C8">
        <w:rPr>
          <w:rFonts w:cstheme="minorHAnsi"/>
        </w:rPr>
        <w:t>)</w:t>
      </w:r>
      <w:r w:rsidR="00972153">
        <w:rPr>
          <w:rFonts w:cstheme="minorHAnsi"/>
        </w:rPr>
        <w:t xml:space="preserve">, </w:t>
      </w:r>
      <w:r w:rsidR="00972153" w:rsidRPr="00972153">
        <w:rPr>
          <w:rFonts w:cstheme="minorHAnsi"/>
        </w:rPr>
        <w:t xml:space="preserve">Ono </w:t>
      </w:r>
      <w:r w:rsidR="00972153">
        <w:rPr>
          <w:rFonts w:cstheme="minorHAnsi"/>
        </w:rPr>
        <w:t xml:space="preserve">et al. </w:t>
      </w:r>
      <w:r w:rsidR="00F864C8">
        <w:rPr>
          <w:rFonts w:cstheme="minorHAnsi"/>
        </w:rPr>
        <w:t>(</w:t>
      </w:r>
      <w:r w:rsidR="00972153" w:rsidRPr="00972153">
        <w:rPr>
          <w:rFonts w:cstheme="minorHAnsi"/>
        </w:rPr>
        <w:t>2002</w:t>
      </w:r>
      <w:r w:rsidR="00F864C8">
        <w:rPr>
          <w:rFonts w:cstheme="minorHAnsi"/>
        </w:rPr>
        <w:t>)</w:t>
      </w:r>
      <w:r w:rsidR="00972153">
        <w:rPr>
          <w:rFonts w:cstheme="minorHAnsi"/>
        </w:rPr>
        <w:t xml:space="preserve">, and </w:t>
      </w:r>
      <w:r w:rsidR="001D226B" w:rsidRPr="001D226B">
        <w:rPr>
          <w:rFonts w:cstheme="minorHAnsi"/>
        </w:rPr>
        <w:t xml:space="preserve">Coledam, et al. </w:t>
      </w:r>
      <w:r w:rsidR="00F864C8">
        <w:rPr>
          <w:rFonts w:cstheme="minorHAnsi"/>
        </w:rPr>
        <w:t>(</w:t>
      </w:r>
      <w:r w:rsidR="001D226B" w:rsidRPr="001D226B">
        <w:rPr>
          <w:rFonts w:cstheme="minorHAnsi"/>
        </w:rPr>
        <w:t>2019</w:t>
      </w:r>
      <w:r w:rsidR="00F864C8">
        <w:rPr>
          <w:rFonts w:cstheme="minorHAnsi"/>
        </w:rPr>
        <w:t>)</w:t>
      </w:r>
      <w:r w:rsidR="001D226B">
        <w:rPr>
          <w:rFonts w:cstheme="minorHAnsi"/>
        </w:rPr>
        <w:t>, who also reported that</w:t>
      </w:r>
      <w:r w:rsidR="00F50009">
        <w:rPr>
          <w:rFonts w:cstheme="minorHAnsi"/>
        </w:rPr>
        <w:t xml:space="preserve"> those who have worked </w:t>
      </w:r>
      <w:r w:rsidR="009F67A5">
        <w:rPr>
          <w:rFonts w:cstheme="minorHAnsi"/>
        </w:rPr>
        <w:t xml:space="preserve">longer </w:t>
      </w:r>
      <w:r w:rsidR="00F50009">
        <w:rPr>
          <w:rFonts w:cstheme="minorHAnsi"/>
        </w:rPr>
        <w:t xml:space="preserve">in the </w:t>
      </w:r>
      <w:r w:rsidR="009F67A5">
        <w:rPr>
          <w:rFonts w:cstheme="minorHAnsi"/>
        </w:rPr>
        <w:t>E</w:t>
      </w:r>
      <w:r w:rsidR="003617D3">
        <w:rPr>
          <w:rFonts w:cstheme="minorHAnsi"/>
        </w:rPr>
        <w:t>C</w:t>
      </w:r>
      <w:r w:rsidR="009F67A5">
        <w:rPr>
          <w:rFonts w:cstheme="minorHAnsi"/>
        </w:rPr>
        <w:t xml:space="preserve">E roles </w:t>
      </w:r>
      <w:r w:rsidR="00F50009">
        <w:rPr>
          <w:rFonts w:cstheme="minorHAnsi"/>
        </w:rPr>
        <w:t>reported significantly higher rates of MSD that those with fewer years of service</w:t>
      </w:r>
      <w:r w:rsidR="00592EB3">
        <w:rPr>
          <w:rFonts w:cstheme="minorHAnsi"/>
        </w:rPr>
        <w:t xml:space="preserve"> (age of participants is controlled for in these analyses)</w:t>
      </w:r>
      <w:r w:rsidR="00F50009">
        <w:rPr>
          <w:rFonts w:cstheme="minorHAnsi"/>
        </w:rPr>
        <w:t>.</w:t>
      </w:r>
      <w:r w:rsidR="00592EB3">
        <w:rPr>
          <w:rFonts w:cstheme="minorHAnsi"/>
        </w:rPr>
        <w:t xml:space="preserve"> </w:t>
      </w:r>
      <w:r w:rsidR="003D22AE">
        <w:rPr>
          <w:rFonts w:cstheme="minorHAnsi"/>
        </w:rPr>
        <w:t xml:space="preserve">The implication from these data </w:t>
      </w:r>
      <w:r w:rsidR="00A0449D">
        <w:rPr>
          <w:rFonts w:cstheme="minorHAnsi"/>
        </w:rPr>
        <w:t>is</w:t>
      </w:r>
      <w:r w:rsidR="003D22AE">
        <w:rPr>
          <w:rFonts w:cstheme="minorHAnsi"/>
        </w:rPr>
        <w:t xml:space="preserve"> that working in E</w:t>
      </w:r>
      <w:r w:rsidR="00B82431">
        <w:rPr>
          <w:rFonts w:cstheme="minorHAnsi"/>
        </w:rPr>
        <w:t>C</w:t>
      </w:r>
      <w:r w:rsidR="003D22AE">
        <w:rPr>
          <w:rFonts w:cstheme="minorHAnsi"/>
        </w:rPr>
        <w:t xml:space="preserve">E roles </w:t>
      </w:r>
      <w:r w:rsidR="00AF554E">
        <w:rPr>
          <w:rFonts w:cstheme="minorHAnsi"/>
        </w:rPr>
        <w:t xml:space="preserve">exacts a cumulative strain on individuals that </w:t>
      </w:r>
      <w:r w:rsidR="00A0449D">
        <w:rPr>
          <w:rFonts w:cstheme="minorHAnsi"/>
        </w:rPr>
        <w:t>accrues</w:t>
      </w:r>
      <w:r w:rsidR="00AF554E">
        <w:rPr>
          <w:rFonts w:cstheme="minorHAnsi"/>
        </w:rPr>
        <w:t xml:space="preserve"> over </w:t>
      </w:r>
      <w:r w:rsidR="000D4BEC">
        <w:rPr>
          <w:rFonts w:cstheme="minorHAnsi"/>
        </w:rPr>
        <w:t>time and</w:t>
      </w:r>
      <w:r w:rsidR="00BC77C1">
        <w:rPr>
          <w:rFonts w:cstheme="minorHAnsi"/>
        </w:rPr>
        <w:t xml:space="preserve"> is associated </w:t>
      </w:r>
      <w:r w:rsidR="00EE6C32">
        <w:rPr>
          <w:rFonts w:cstheme="minorHAnsi"/>
        </w:rPr>
        <w:t>with</w:t>
      </w:r>
      <w:r w:rsidR="00BC77C1">
        <w:rPr>
          <w:rFonts w:cstheme="minorHAnsi"/>
        </w:rPr>
        <w:t xml:space="preserve"> a greater degree of MSP</w:t>
      </w:r>
      <w:r w:rsidR="004106FC">
        <w:rPr>
          <w:rFonts w:cstheme="minorHAnsi"/>
        </w:rPr>
        <w:t xml:space="preserve"> that </w:t>
      </w:r>
      <w:r w:rsidR="00577A6B">
        <w:rPr>
          <w:rFonts w:cstheme="minorHAnsi"/>
        </w:rPr>
        <w:t>cannot be attributed to the</w:t>
      </w:r>
      <w:r w:rsidR="004106FC">
        <w:rPr>
          <w:rFonts w:cstheme="minorHAnsi"/>
        </w:rPr>
        <w:t xml:space="preserve"> age of</w:t>
      </w:r>
      <w:r w:rsidR="00937F26">
        <w:rPr>
          <w:rFonts w:cstheme="minorHAnsi"/>
        </w:rPr>
        <w:t xml:space="preserve"> participants</w:t>
      </w:r>
      <w:r w:rsidR="00EE6C32">
        <w:rPr>
          <w:rFonts w:cstheme="minorHAnsi"/>
        </w:rPr>
        <w:t>.</w:t>
      </w:r>
      <w:r w:rsidR="004106FC">
        <w:rPr>
          <w:rFonts w:cstheme="minorHAnsi"/>
        </w:rPr>
        <w:t xml:space="preserve"> </w:t>
      </w:r>
      <w:r w:rsidR="00937F26">
        <w:rPr>
          <w:rFonts w:cstheme="minorHAnsi"/>
        </w:rPr>
        <w:t>Regression analysis did show that a</w:t>
      </w:r>
      <w:r w:rsidR="00F761EA">
        <w:rPr>
          <w:rFonts w:cstheme="minorHAnsi"/>
        </w:rPr>
        <w:t>ge significantly predict</w:t>
      </w:r>
      <w:r w:rsidR="00937F26">
        <w:rPr>
          <w:rFonts w:cstheme="minorHAnsi"/>
        </w:rPr>
        <w:t>ed</w:t>
      </w:r>
      <w:r w:rsidR="00F761EA">
        <w:rPr>
          <w:rFonts w:cstheme="minorHAnsi"/>
        </w:rPr>
        <w:t xml:space="preserve"> the duration of pain events</w:t>
      </w:r>
      <w:r w:rsidR="00937F26">
        <w:rPr>
          <w:rFonts w:cstheme="minorHAnsi"/>
        </w:rPr>
        <w:t xml:space="preserve"> in the current sample</w:t>
      </w:r>
      <w:r w:rsidR="00F761EA">
        <w:rPr>
          <w:rFonts w:cstheme="minorHAnsi"/>
        </w:rPr>
        <w:t xml:space="preserve">, with older participants experiencing longer pain experiences. This finding is in line with </w:t>
      </w:r>
      <w:r w:rsidR="00CE31D6">
        <w:rPr>
          <w:rFonts w:cstheme="minorHAnsi"/>
        </w:rPr>
        <w:t xml:space="preserve">general expectations about MSP </w:t>
      </w:r>
      <w:r w:rsidR="00937F26">
        <w:rPr>
          <w:rFonts w:cstheme="minorHAnsi"/>
        </w:rPr>
        <w:t xml:space="preserve">that show age </w:t>
      </w:r>
      <w:r w:rsidR="00F864C8">
        <w:rPr>
          <w:rFonts w:cstheme="minorHAnsi"/>
        </w:rPr>
        <w:t>is</w:t>
      </w:r>
      <w:r w:rsidR="00937F26">
        <w:rPr>
          <w:rFonts w:cstheme="minorHAnsi"/>
        </w:rPr>
        <w:t xml:space="preserve"> </w:t>
      </w:r>
      <w:r w:rsidR="000B1611">
        <w:rPr>
          <w:rFonts w:cstheme="minorHAnsi"/>
        </w:rPr>
        <w:t>a strong</w:t>
      </w:r>
      <w:r w:rsidR="00660496">
        <w:rPr>
          <w:rFonts w:cstheme="minorHAnsi"/>
        </w:rPr>
        <w:t xml:space="preserve"> predictor of MSP development across the lifespan</w:t>
      </w:r>
      <w:r w:rsidR="000B1611">
        <w:rPr>
          <w:rFonts w:cstheme="minorHAnsi"/>
        </w:rPr>
        <w:t xml:space="preserve"> (</w:t>
      </w:r>
      <w:r w:rsidR="000B1611" w:rsidRPr="000B1611">
        <w:rPr>
          <w:rFonts w:cstheme="minorHAnsi"/>
        </w:rPr>
        <w:t>Guido</w:t>
      </w:r>
      <w:r w:rsidR="000B1611">
        <w:rPr>
          <w:rFonts w:cstheme="minorHAnsi"/>
        </w:rPr>
        <w:t xml:space="preserve"> et al., 2020), it was however surprising to the current authors that </w:t>
      </w:r>
      <w:r w:rsidR="00577A6B">
        <w:rPr>
          <w:rFonts w:cstheme="minorHAnsi"/>
        </w:rPr>
        <w:t>age</w:t>
      </w:r>
      <w:r w:rsidR="000B1611">
        <w:rPr>
          <w:rFonts w:cstheme="minorHAnsi"/>
        </w:rPr>
        <w:t xml:space="preserve"> did not feature</w:t>
      </w:r>
      <w:r w:rsidR="00C02F18">
        <w:rPr>
          <w:rFonts w:cstheme="minorHAnsi"/>
        </w:rPr>
        <w:t xml:space="preserve"> significantly</w:t>
      </w:r>
      <w:r w:rsidR="000B1611">
        <w:rPr>
          <w:rFonts w:cstheme="minorHAnsi"/>
        </w:rPr>
        <w:t xml:space="preserve"> in more of the </w:t>
      </w:r>
      <w:r w:rsidR="00C02F18">
        <w:rPr>
          <w:rFonts w:cstheme="minorHAnsi"/>
        </w:rPr>
        <w:t>models.</w:t>
      </w:r>
      <w:r w:rsidR="00DE3E1F">
        <w:rPr>
          <w:rFonts w:cstheme="minorHAnsi"/>
        </w:rPr>
        <w:t xml:space="preserve"> Earlier studies have </w:t>
      </w:r>
      <w:r w:rsidR="006003BC">
        <w:rPr>
          <w:rFonts w:cstheme="minorHAnsi"/>
        </w:rPr>
        <w:t>provided</w:t>
      </w:r>
      <w:r w:rsidR="00042268">
        <w:rPr>
          <w:rFonts w:cstheme="minorHAnsi"/>
        </w:rPr>
        <w:t xml:space="preserve"> conflicting findings, with some indicating age to be a significant factor associated with MSD </w:t>
      </w:r>
      <w:r w:rsidR="00F94160">
        <w:rPr>
          <w:rFonts w:cstheme="minorHAnsi"/>
        </w:rPr>
        <w:t>prevalence</w:t>
      </w:r>
      <w:r w:rsidR="00577A6B">
        <w:rPr>
          <w:rFonts w:cstheme="minorHAnsi"/>
        </w:rPr>
        <w:t xml:space="preserve"> in E</w:t>
      </w:r>
      <w:r w:rsidR="00B82431">
        <w:rPr>
          <w:rFonts w:cstheme="minorHAnsi"/>
        </w:rPr>
        <w:t>C</w:t>
      </w:r>
      <w:r w:rsidR="00577A6B">
        <w:rPr>
          <w:rFonts w:cstheme="minorHAnsi"/>
        </w:rPr>
        <w:t>E populations</w:t>
      </w:r>
      <w:r w:rsidR="00042268">
        <w:rPr>
          <w:rFonts w:cstheme="minorHAnsi"/>
        </w:rPr>
        <w:t xml:space="preserve"> (Cardoso et al., 2009) and </w:t>
      </w:r>
      <w:r w:rsidR="00316AFF">
        <w:rPr>
          <w:rFonts w:cstheme="minorHAnsi"/>
        </w:rPr>
        <w:t xml:space="preserve">others reporting </w:t>
      </w:r>
      <w:r w:rsidR="00EF4CAB">
        <w:rPr>
          <w:rFonts w:cstheme="minorHAnsi"/>
        </w:rPr>
        <w:t>the contrary (Coledam et al., 2019).</w:t>
      </w:r>
      <w:r w:rsidR="00F94160">
        <w:rPr>
          <w:rFonts w:cstheme="minorHAnsi"/>
        </w:rPr>
        <w:t xml:space="preserve"> It seems reasonable to </w:t>
      </w:r>
      <w:r w:rsidR="0019743A">
        <w:rPr>
          <w:rFonts w:cstheme="minorHAnsi"/>
        </w:rPr>
        <w:t>suggest that while age can play a role in MSP</w:t>
      </w:r>
      <w:r w:rsidR="00E05736">
        <w:rPr>
          <w:rFonts w:cstheme="minorHAnsi"/>
        </w:rPr>
        <w:t xml:space="preserve">, the overshadowing of this </w:t>
      </w:r>
      <w:r w:rsidR="004906A3">
        <w:rPr>
          <w:rFonts w:cstheme="minorHAnsi"/>
        </w:rPr>
        <w:t>relationship</w:t>
      </w:r>
      <w:r w:rsidR="00F22C7A">
        <w:rPr>
          <w:rFonts w:cstheme="minorHAnsi"/>
        </w:rPr>
        <w:t xml:space="preserve"> in current and previous</w:t>
      </w:r>
      <w:r w:rsidR="00187733">
        <w:rPr>
          <w:rFonts w:cstheme="minorHAnsi"/>
        </w:rPr>
        <w:t xml:space="preserve"> investigation</w:t>
      </w:r>
      <w:r w:rsidR="004906A3">
        <w:rPr>
          <w:rFonts w:cstheme="minorHAnsi"/>
        </w:rPr>
        <w:t xml:space="preserve"> by </w:t>
      </w:r>
      <w:r w:rsidR="00577A6B">
        <w:rPr>
          <w:rFonts w:cstheme="minorHAnsi"/>
        </w:rPr>
        <w:t xml:space="preserve">factors such as </w:t>
      </w:r>
      <w:r w:rsidR="004906A3">
        <w:rPr>
          <w:rFonts w:cstheme="minorHAnsi"/>
        </w:rPr>
        <w:t>role and</w:t>
      </w:r>
      <w:r w:rsidR="00F864C8">
        <w:rPr>
          <w:rFonts w:cstheme="minorHAnsi"/>
        </w:rPr>
        <w:t xml:space="preserve"> working</w:t>
      </w:r>
      <w:r w:rsidR="004906A3">
        <w:rPr>
          <w:rFonts w:cstheme="minorHAnsi"/>
        </w:rPr>
        <w:t xml:space="preserve"> environment </w:t>
      </w:r>
      <w:r w:rsidR="00F22C7A">
        <w:rPr>
          <w:rFonts w:cstheme="minorHAnsi"/>
        </w:rPr>
        <w:t>is</w:t>
      </w:r>
      <w:r w:rsidR="00187733">
        <w:rPr>
          <w:rFonts w:cstheme="minorHAnsi"/>
        </w:rPr>
        <w:t xml:space="preserve"> </w:t>
      </w:r>
      <w:r w:rsidR="00577A6B">
        <w:rPr>
          <w:rFonts w:cstheme="minorHAnsi"/>
        </w:rPr>
        <w:t>revealing</w:t>
      </w:r>
      <w:r w:rsidR="006003BC">
        <w:rPr>
          <w:rFonts w:cstheme="minorHAnsi"/>
        </w:rPr>
        <w:t xml:space="preserve"> of the </w:t>
      </w:r>
      <w:r w:rsidR="00577A6B">
        <w:rPr>
          <w:rFonts w:cstheme="minorHAnsi"/>
        </w:rPr>
        <w:t>relatively greater</w:t>
      </w:r>
      <w:r w:rsidR="006003BC">
        <w:rPr>
          <w:rFonts w:cstheme="minorHAnsi"/>
        </w:rPr>
        <w:t xml:space="preserve"> </w:t>
      </w:r>
      <w:r w:rsidR="00332E2A">
        <w:rPr>
          <w:rFonts w:cstheme="minorHAnsi"/>
        </w:rPr>
        <w:t>role</w:t>
      </w:r>
      <w:r w:rsidR="006003BC">
        <w:rPr>
          <w:rFonts w:cstheme="minorHAnsi"/>
        </w:rPr>
        <w:t xml:space="preserve"> these have on MSP in the E</w:t>
      </w:r>
      <w:r w:rsidR="00B82431">
        <w:rPr>
          <w:rFonts w:cstheme="minorHAnsi"/>
        </w:rPr>
        <w:t>C</w:t>
      </w:r>
      <w:r w:rsidR="006003BC">
        <w:rPr>
          <w:rFonts w:cstheme="minorHAnsi"/>
        </w:rPr>
        <w:t>E workplace.</w:t>
      </w:r>
      <w:r w:rsidR="00697BC3">
        <w:rPr>
          <w:rFonts w:cstheme="minorHAnsi"/>
        </w:rPr>
        <w:t xml:space="preserve"> </w:t>
      </w:r>
      <w:r w:rsidR="00697BC3">
        <w:t>T</w:t>
      </w:r>
      <w:r w:rsidR="007931D8">
        <w:t xml:space="preserve">he varied nature of pain experiences </w:t>
      </w:r>
      <w:r w:rsidR="00697BC3">
        <w:t>outlined here indicate</w:t>
      </w:r>
      <w:r w:rsidR="007931D8">
        <w:t xml:space="preserve"> a need for future studies to take a more discrete approach to understanding pain in different bodily locations.</w:t>
      </w:r>
    </w:p>
    <w:p w14:paraId="32799E77" w14:textId="332E6521" w:rsidR="00B70781" w:rsidRPr="000622C3" w:rsidRDefault="00F7750F" w:rsidP="009A366F">
      <w:pPr>
        <w:spacing w:line="480" w:lineRule="auto"/>
        <w:ind w:firstLine="720"/>
        <w:jc w:val="both"/>
        <w:rPr>
          <w:rFonts w:cstheme="minorHAnsi"/>
        </w:rPr>
      </w:pPr>
      <w:r>
        <w:rPr>
          <w:rFonts w:cstheme="minorHAnsi"/>
        </w:rPr>
        <w:t>An i</w:t>
      </w:r>
      <w:r w:rsidR="00C117DD">
        <w:rPr>
          <w:rFonts w:cstheme="minorHAnsi"/>
        </w:rPr>
        <w:t>ndividual</w:t>
      </w:r>
      <w:r w:rsidR="00F46707">
        <w:rPr>
          <w:rFonts w:cstheme="minorHAnsi"/>
        </w:rPr>
        <w:t>’</w:t>
      </w:r>
      <w:r w:rsidR="00C117DD">
        <w:rPr>
          <w:rFonts w:cstheme="minorHAnsi"/>
        </w:rPr>
        <w:t xml:space="preserve">s need to take leave from work due to MSP was significantly predicted by </w:t>
      </w:r>
      <w:r w:rsidR="00C117DD" w:rsidRPr="00C117DD">
        <w:rPr>
          <w:rFonts w:cstheme="minorHAnsi"/>
        </w:rPr>
        <w:t xml:space="preserve">average pain intensity, average frequency of MSK risk roles, and average pain caused by </w:t>
      </w:r>
      <w:r w:rsidR="00C117DD" w:rsidRPr="00C117DD">
        <w:rPr>
          <w:rFonts w:cstheme="minorHAnsi"/>
        </w:rPr>
        <w:lastRenderedPageBreak/>
        <w:t>MSK risk roles</w:t>
      </w:r>
      <w:r w:rsidR="00C117DD">
        <w:rPr>
          <w:rFonts w:cstheme="minorHAnsi"/>
        </w:rPr>
        <w:t xml:space="preserve">. We see again here that it is not merely the presence or absence of pain that it important for understanding </w:t>
      </w:r>
      <w:r w:rsidR="009C5EE1">
        <w:rPr>
          <w:rFonts w:cstheme="minorHAnsi"/>
        </w:rPr>
        <w:t>the relationship between MSP and wider employment outcomes</w:t>
      </w:r>
      <w:r w:rsidR="001D76CB">
        <w:rPr>
          <w:rFonts w:cstheme="minorHAnsi"/>
        </w:rPr>
        <w:t xml:space="preserve">. </w:t>
      </w:r>
      <w:r w:rsidR="00620D09">
        <w:rPr>
          <w:rFonts w:cstheme="minorHAnsi"/>
        </w:rPr>
        <w:t>Instead,</w:t>
      </w:r>
      <w:r w:rsidR="001D76CB">
        <w:rPr>
          <w:rFonts w:cstheme="minorHAnsi"/>
        </w:rPr>
        <w:t xml:space="preserve"> </w:t>
      </w:r>
      <w:r w:rsidR="004443D3">
        <w:rPr>
          <w:rFonts w:cstheme="minorHAnsi"/>
        </w:rPr>
        <w:t xml:space="preserve">understanding </w:t>
      </w:r>
      <w:r w:rsidR="001D76CB">
        <w:rPr>
          <w:rFonts w:cstheme="minorHAnsi"/>
        </w:rPr>
        <w:t xml:space="preserve">nuanced </w:t>
      </w:r>
      <w:r w:rsidR="00620D09">
        <w:rPr>
          <w:rFonts w:cstheme="minorHAnsi"/>
        </w:rPr>
        <w:t>changes</w:t>
      </w:r>
      <w:r w:rsidR="001D76CB">
        <w:rPr>
          <w:rFonts w:cstheme="minorHAnsi"/>
        </w:rPr>
        <w:t xml:space="preserve"> in the way pain is experienced and the demands that are placed on individuals</w:t>
      </w:r>
      <w:r w:rsidR="00691B28">
        <w:rPr>
          <w:rFonts w:cstheme="minorHAnsi"/>
        </w:rPr>
        <w:t xml:space="preserve"> </w:t>
      </w:r>
      <w:r w:rsidR="004443D3">
        <w:rPr>
          <w:rFonts w:cstheme="minorHAnsi"/>
        </w:rPr>
        <w:t xml:space="preserve">enable greater insight into how </w:t>
      </w:r>
      <w:r>
        <w:rPr>
          <w:rFonts w:cstheme="minorHAnsi"/>
        </w:rPr>
        <w:t>these factors adjust the needs or decisions of E</w:t>
      </w:r>
      <w:r w:rsidR="00B82431">
        <w:rPr>
          <w:rFonts w:cstheme="minorHAnsi"/>
        </w:rPr>
        <w:t>C</w:t>
      </w:r>
      <w:r>
        <w:rPr>
          <w:rFonts w:cstheme="minorHAnsi"/>
        </w:rPr>
        <w:t xml:space="preserve">E </w:t>
      </w:r>
      <w:r w:rsidR="00F46707">
        <w:rPr>
          <w:rFonts w:cstheme="minorHAnsi"/>
        </w:rPr>
        <w:t>workforce</w:t>
      </w:r>
      <w:r>
        <w:rPr>
          <w:rFonts w:cstheme="minorHAnsi"/>
        </w:rPr>
        <w:t xml:space="preserve">. </w:t>
      </w:r>
      <w:r w:rsidR="00217CD9">
        <w:rPr>
          <w:rFonts w:cstheme="minorHAnsi"/>
        </w:rPr>
        <w:t xml:space="preserve">The likelihood that a participant had considered changing job due to MSP was significantly predicted by </w:t>
      </w:r>
      <w:r w:rsidR="006A3C70">
        <w:rPr>
          <w:rFonts w:cstheme="minorHAnsi"/>
        </w:rPr>
        <w:t xml:space="preserve">a selection of factors including </w:t>
      </w:r>
      <w:r w:rsidR="00217CD9" w:rsidRPr="000622C3">
        <w:rPr>
          <w:rFonts w:cstheme="minorHAnsi"/>
        </w:rPr>
        <w:t>years of service, bothersomeness</w:t>
      </w:r>
      <w:r w:rsidR="006A3C70">
        <w:rPr>
          <w:rFonts w:cstheme="minorHAnsi"/>
        </w:rPr>
        <w:t xml:space="preserve"> of pain</w:t>
      </w:r>
      <w:r w:rsidR="00217CD9" w:rsidRPr="000622C3">
        <w:rPr>
          <w:rFonts w:cstheme="minorHAnsi"/>
        </w:rPr>
        <w:t>, average pain frequency, number of pain locations</w:t>
      </w:r>
      <w:r w:rsidR="006A3C70">
        <w:rPr>
          <w:rFonts w:cstheme="minorHAnsi"/>
        </w:rPr>
        <w:t>, and h</w:t>
      </w:r>
      <w:r w:rsidR="00217CD9">
        <w:rPr>
          <w:rFonts w:cstheme="minorHAnsi"/>
        </w:rPr>
        <w:t>igher</w:t>
      </w:r>
      <w:r w:rsidR="00217CD9" w:rsidRPr="000622C3">
        <w:rPr>
          <w:rFonts w:cstheme="minorHAnsi"/>
        </w:rPr>
        <w:t xml:space="preserve"> perceived need for </w:t>
      </w:r>
      <w:r w:rsidR="00217CD9">
        <w:rPr>
          <w:rFonts w:cstheme="minorHAnsi"/>
        </w:rPr>
        <w:t>provision of MSK protective</w:t>
      </w:r>
      <w:r w:rsidR="006A3C70">
        <w:rPr>
          <w:rFonts w:cstheme="minorHAnsi"/>
        </w:rPr>
        <w:t xml:space="preserve">. </w:t>
      </w:r>
      <w:r w:rsidR="002236B7">
        <w:rPr>
          <w:rFonts w:cstheme="minorHAnsi"/>
        </w:rPr>
        <w:t xml:space="preserve">Years of service and painful experiences are perhaps understandable </w:t>
      </w:r>
      <w:r w:rsidR="00C61C28">
        <w:rPr>
          <w:rFonts w:cstheme="minorHAnsi"/>
        </w:rPr>
        <w:t>push factor</w:t>
      </w:r>
      <w:r w:rsidR="00066B1D">
        <w:rPr>
          <w:rFonts w:cstheme="minorHAnsi"/>
        </w:rPr>
        <w:t>s</w:t>
      </w:r>
      <w:r w:rsidR="00C61C28">
        <w:rPr>
          <w:rFonts w:cstheme="minorHAnsi"/>
        </w:rPr>
        <w:t xml:space="preserve"> and </w:t>
      </w:r>
      <w:r w:rsidR="00066B1D">
        <w:rPr>
          <w:rFonts w:cstheme="minorHAnsi"/>
        </w:rPr>
        <w:t>are supported by</w:t>
      </w:r>
      <w:r w:rsidR="00C61C28">
        <w:rPr>
          <w:rFonts w:cstheme="minorHAnsi"/>
        </w:rPr>
        <w:t xml:space="preserve"> earlier findings </w:t>
      </w:r>
      <w:r w:rsidR="004706AD">
        <w:rPr>
          <w:rFonts w:cstheme="minorHAnsi"/>
        </w:rPr>
        <w:t>which</w:t>
      </w:r>
      <w:r w:rsidR="00C61C28">
        <w:rPr>
          <w:rFonts w:cstheme="minorHAnsi"/>
        </w:rPr>
        <w:t xml:space="preserve"> </w:t>
      </w:r>
      <w:r w:rsidR="00940E3E">
        <w:rPr>
          <w:rFonts w:cstheme="minorHAnsi"/>
        </w:rPr>
        <w:t>evidence</w:t>
      </w:r>
      <w:r w:rsidR="00C61C28">
        <w:rPr>
          <w:rFonts w:cstheme="minorHAnsi"/>
        </w:rPr>
        <w:t xml:space="preserve"> this relationship</w:t>
      </w:r>
      <w:r w:rsidR="00C61C28" w:rsidRPr="00C61C28">
        <w:rPr>
          <w:rFonts w:cstheme="minorHAnsi"/>
        </w:rPr>
        <w:t xml:space="preserve"> </w:t>
      </w:r>
      <w:r w:rsidR="00C61C28">
        <w:rPr>
          <w:rFonts w:cstheme="minorHAnsi"/>
        </w:rPr>
        <w:t>in multiple employment sectors (</w:t>
      </w:r>
      <w:r w:rsidR="00C61C28" w:rsidRPr="0030259B">
        <w:rPr>
          <w:rFonts w:cstheme="minorHAnsi"/>
        </w:rPr>
        <w:t>Lallukka</w:t>
      </w:r>
      <w:r w:rsidR="00C61C28">
        <w:rPr>
          <w:rFonts w:cstheme="minorHAnsi"/>
        </w:rPr>
        <w:t xml:space="preserve"> et al., 2018). Perceived need for greater protection is a </w:t>
      </w:r>
      <w:r w:rsidR="009A366F">
        <w:rPr>
          <w:rFonts w:cstheme="minorHAnsi"/>
        </w:rPr>
        <w:t>less expected</w:t>
      </w:r>
      <w:r w:rsidR="00755678">
        <w:rPr>
          <w:rFonts w:cstheme="minorHAnsi"/>
        </w:rPr>
        <w:t xml:space="preserve"> </w:t>
      </w:r>
      <w:r w:rsidR="00940E3E">
        <w:rPr>
          <w:rFonts w:cstheme="minorHAnsi"/>
        </w:rPr>
        <w:t>finding and suggest</w:t>
      </w:r>
      <w:r w:rsidR="009A366F">
        <w:rPr>
          <w:rFonts w:cstheme="minorHAnsi"/>
        </w:rPr>
        <w:t>s</w:t>
      </w:r>
      <w:r w:rsidR="00940E3E">
        <w:rPr>
          <w:rFonts w:cstheme="minorHAnsi"/>
        </w:rPr>
        <w:t xml:space="preserve"> that indiv</w:t>
      </w:r>
      <w:r w:rsidR="00F86573">
        <w:rPr>
          <w:rFonts w:cstheme="minorHAnsi"/>
        </w:rPr>
        <w:t>iduals working in the E</w:t>
      </w:r>
      <w:r w:rsidR="00B82431">
        <w:rPr>
          <w:rFonts w:cstheme="minorHAnsi"/>
        </w:rPr>
        <w:t>C</w:t>
      </w:r>
      <w:r w:rsidR="00F86573">
        <w:rPr>
          <w:rFonts w:cstheme="minorHAnsi"/>
        </w:rPr>
        <w:t xml:space="preserve">E who feel </w:t>
      </w:r>
      <w:r w:rsidR="009A366F">
        <w:rPr>
          <w:rFonts w:cstheme="minorHAnsi"/>
        </w:rPr>
        <w:t xml:space="preserve">themselves </w:t>
      </w:r>
      <w:r w:rsidR="009248CD">
        <w:rPr>
          <w:rFonts w:cstheme="minorHAnsi"/>
        </w:rPr>
        <w:t>under supported</w:t>
      </w:r>
      <w:r w:rsidR="009A366F">
        <w:rPr>
          <w:rFonts w:cstheme="minorHAnsi"/>
        </w:rPr>
        <w:t xml:space="preserve"> with respect to MSK risk</w:t>
      </w:r>
      <w:r w:rsidR="00F86573">
        <w:rPr>
          <w:rFonts w:cstheme="minorHAnsi"/>
        </w:rPr>
        <w:t xml:space="preserve"> </w:t>
      </w:r>
      <w:r w:rsidR="009A366F">
        <w:rPr>
          <w:rFonts w:cstheme="minorHAnsi"/>
        </w:rPr>
        <w:t>are more</w:t>
      </w:r>
      <w:r w:rsidR="00F86573">
        <w:rPr>
          <w:rFonts w:cstheme="minorHAnsi"/>
        </w:rPr>
        <w:t xml:space="preserve"> </w:t>
      </w:r>
      <w:r w:rsidR="009248CD">
        <w:rPr>
          <w:rFonts w:cstheme="minorHAnsi"/>
        </w:rPr>
        <w:t>motived to leave</w:t>
      </w:r>
      <w:r w:rsidR="00F86573">
        <w:rPr>
          <w:rFonts w:cstheme="minorHAnsi"/>
        </w:rPr>
        <w:t xml:space="preserve"> by this perception</w:t>
      </w:r>
      <w:r w:rsidR="009248CD">
        <w:rPr>
          <w:rFonts w:cstheme="minorHAnsi"/>
        </w:rPr>
        <w:t xml:space="preserve">. It was notable that perceptions of need were </w:t>
      </w:r>
      <w:r w:rsidR="00C251D2">
        <w:rPr>
          <w:rFonts w:cstheme="minorHAnsi"/>
        </w:rPr>
        <w:t xml:space="preserve">significantly </w:t>
      </w:r>
      <w:r w:rsidR="009248CD">
        <w:rPr>
          <w:rFonts w:cstheme="minorHAnsi"/>
        </w:rPr>
        <w:t xml:space="preserve">greater in practitioners compared to </w:t>
      </w:r>
      <w:r w:rsidR="004706AD">
        <w:rPr>
          <w:rFonts w:cstheme="minorHAnsi"/>
        </w:rPr>
        <w:t>leader/</w:t>
      </w:r>
      <w:r w:rsidR="009248CD">
        <w:rPr>
          <w:rFonts w:cstheme="minorHAnsi"/>
        </w:rPr>
        <w:t>managers</w:t>
      </w:r>
      <w:r w:rsidR="00C251D2">
        <w:rPr>
          <w:rFonts w:cstheme="minorHAnsi"/>
        </w:rPr>
        <w:t>, and further to this that</w:t>
      </w:r>
      <w:r w:rsidR="004706AD">
        <w:rPr>
          <w:rFonts w:cstheme="minorHAnsi"/>
        </w:rPr>
        <w:t xml:space="preserve"> leaders/</w:t>
      </w:r>
      <w:r w:rsidR="00C251D2">
        <w:rPr>
          <w:rFonts w:cstheme="minorHAnsi"/>
        </w:rPr>
        <w:t xml:space="preserve">managers reported being significantly more aware of protection measures that were already </w:t>
      </w:r>
      <w:r w:rsidR="00396483">
        <w:rPr>
          <w:rFonts w:cstheme="minorHAnsi"/>
        </w:rPr>
        <w:t>present</w:t>
      </w:r>
      <w:r w:rsidR="00C251D2">
        <w:rPr>
          <w:rFonts w:cstheme="minorHAnsi"/>
        </w:rPr>
        <w:t xml:space="preserve">. </w:t>
      </w:r>
      <w:r w:rsidR="00C251D2" w:rsidRPr="000622C3">
        <w:rPr>
          <w:rFonts w:cstheme="minorHAnsi"/>
        </w:rPr>
        <w:t xml:space="preserve">Thus, the needs identified by practitioners may not be </w:t>
      </w:r>
      <w:r w:rsidR="004706AD">
        <w:rPr>
          <w:rFonts w:cstheme="minorHAnsi"/>
        </w:rPr>
        <w:t xml:space="preserve">being </w:t>
      </w:r>
      <w:r w:rsidR="00C251D2" w:rsidRPr="000622C3">
        <w:rPr>
          <w:rFonts w:cstheme="minorHAnsi"/>
        </w:rPr>
        <w:t>adequately addressed by leaders and mangers</w:t>
      </w:r>
      <w:r w:rsidR="004706AD">
        <w:rPr>
          <w:rFonts w:cstheme="minorHAnsi"/>
        </w:rPr>
        <w:t>.</w:t>
      </w:r>
      <w:r w:rsidR="00C251D2" w:rsidRPr="000622C3">
        <w:rPr>
          <w:rFonts w:cstheme="minorHAnsi"/>
        </w:rPr>
        <w:t xml:space="preserve"> </w:t>
      </w:r>
      <w:r w:rsidR="004706AD">
        <w:rPr>
          <w:rFonts w:cstheme="minorHAnsi"/>
        </w:rPr>
        <w:t>T</w:t>
      </w:r>
      <w:r w:rsidR="00C251D2" w:rsidRPr="000622C3">
        <w:rPr>
          <w:rFonts w:cstheme="minorHAnsi"/>
        </w:rPr>
        <w:t>his may be due to several factors including</w:t>
      </w:r>
      <w:r w:rsidR="004706AD">
        <w:rPr>
          <w:rFonts w:cstheme="minorHAnsi"/>
        </w:rPr>
        <w:t>;</w:t>
      </w:r>
      <w:r w:rsidR="00C251D2" w:rsidRPr="000622C3">
        <w:rPr>
          <w:rFonts w:cstheme="minorHAnsi"/>
        </w:rPr>
        <w:t xml:space="preserve"> leaders consider these needs have</w:t>
      </w:r>
      <w:r w:rsidR="005A2353">
        <w:rPr>
          <w:rFonts w:cstheme="minorHAnsi"/>
        </w:rPr>
        <w:t xml:space="preserve"> been</w:t>
      </w:r>
      <w:r w:rsidR="00C251D2" w:rsidRPr="000622C3">
        <w:rPr>
          <w:rFonts w:cstheme="minorHAnsi"/>
        </w:rPr>
        <w:t xml:space="preserve"> addressed, practitioners not</w:t>
      </w:r>
      <w:r w:rsidR="004706AD">
        <w:rPr>
          <w:rFonts w:cstheme="minorHAnsi"/>
        </w:rPr>
        <w:t xml:space="preserve"> being</w:t>
      </w:r>
      <w:r w:rsidR="00C251D2" w:rsidRPr="000622C3">
        <w:rPr>
          <w:rFonts w:cstheme="minorHAnsi"/>
        </w:rPr>
        <w:t xml:space="preserve"> aware of resources address</w:t>
      </w:r>
      <w:r w:rsidR="004706AD">
        <w:rPr>
          <w:rFonts w:cstheme="minorHAnsi"/>
        </w:rPr>
        <w:t>ing</w:t>
      </w:r>
      <w:r w:rsidR="00C251D2" w:rsidRPr="000622C3">
        <w:rPr>
          <w:rFonts w:cstheme="minorHAnsi"/>
        </w:rPr>
        <w:t xml:space="preserve"> </w:t>
      </w:r>
      <w:r w:rsidR="004706AD">
        <w:rPr>
          <w:rFonts w:cstheme="minorHAnsi"/>
        </w:rPr>
        <w:t xml:space="preserve">these </w:t>
      </w:r>
      <w:r w:rsidR="00C251D2" w:rsidRPr="000622C3">
        <w:rPr>
          <w:rFonts w:cstheme="minorHAnsi"/>
        </w:rPr>
        <w:t>needs, organisational structures</w:t>
      </w:r>
      <w:r w:rsidR="004706AD">
        <w:rPr>
          <w:rFonts w:cstheme="minorHAnsi"/>
        </w:rPr>
        <w:t xml:space="preserve"> or work</w:t>
      </w:r>
      <w:r w:rsidR="00C251D2" w:rsidRPr="000622C3">
        <w:rPr>
          <w:rFonts w:cstheme="minorHAnsi"/>
        </w:rPr>
        <w:t xml:space="preserve"> roles inhibit</w:t>
      </w:r>
      <w:r w:rsidR="004706AD">
        <w:rPr>
          <w:rFonts w:cstheme="minorHAnsi"/>
        </w:rPr>
        <w:t>ing</w:t>
      </w:r>
      <w:r w:rsidR="00C251D2" w:rsidRPr="000622C3">
        <w:rPr>
          <w:rFonts w:cstheme="minorHAnsi"/>
        </w:rPr>
        <w:t xml:space="preserve"> awareness o</w:t>
      </w:r>
      <w:r w:rsidR="004706AD">
        <w:rPr>
          <w:rFonts w:cstheme="minorHAnsi"/>
        </w:rPr>
        <w:t>f</w:t>
      </w:r>
      <w:r w:rsidR="00C251D2" w:rsidRPr="000622C3">
        <w:rPr>
          <w:rFonts w:cstheme="minorHAnsi"/>
        </w:rPr>
        <w:t xml:space="preserve"> </w:t>
      </w:r>
      <w:r w:rsidR="004706AD">
        <w:rPr>
          <w:rFonts w:cstheme="minorHAnsi"/>
        </w:rPr>
        <w:t xml:space="preserve">the </w:t>
      </w:r>
      <w:r w:rsidR="00C251D2" w:rsidRPr="000622C3">
        <w:rPr>
          <w:rFonts w:cstheme="minorHAnsi"/>
        </w:rPr>
        <w:t>use of resources (cf. Coledam et al., 2019).</w:t>
      </w:r>
    </w:p>
    <w:p w14:paraId="31D34994" w14:textId="49460659" w:rsidR="00723757" w:rsidRDefault="002A7D27" w:rsidP="00DB5DA3">
      <w:pPr>
        <w:spacing w:line="480" w:lineRule="auto"/>
        <w:ind w:firstLine="720"/>
        <w:jc w:val="both"/>
        <w:rPr>
          <w:rFonts w:cstheme="minorHAnsi"/>
        </w:rPr>
      </w:pPr>
      <w:r w:rsidRPr="000622C3">
        <w:rPr>
          <w:rFonts w:cstheme="minorHAnsi"/>
        </w:rPr>
        <w:t xml:space="preserve"> With the </w:t>
      </w:r>
      <w:r w:rsidR="00263B5A">
        <w:rPr>
          <w:rFonts w:cstheme="minorHAnsi"/>
        </w:rPr>
        <w:t>E</w:t>
      </w:r>
      <w:r w:rsidR="00B82431">
        <w:rPr>
          <w:rFonts w:cstheme="minorHAnsi"/>
        </w:rPr>
        <w:t>C</w:t>
      </w:r>
      <w:r w:rsidR="00263B5A">
        <w:rPr>
          <w:rFonts w:cstheme="minorHAnsi"/>
        </w:rPr>
        <w:t>E</w:t>
      </w:r>
      <w:r w:rsidRPr="000622C3">
        <w:rPr>
          <w:rFonts w:cstheme="minorHAnsi"/>
        </w:rPr>
        <w:t xml:space="preserve"> sector already </w:t>
      </w:r>
      <w:r w:rsidR="00B9021C" w:rsidRPr="000622C3">
        <w:rPr>
          <w:rFonts w:cstheme="minorHAnsi"/>
        </w:rPr>
        <w:t>facing</w:t>
      </w:r>
      <w:r w:rsidRPr="000622C3">
        <w:rPr>
          <w:rFonts w:cstheme="minorHAnsi"/>
        </w:rPr>
        <w:t xml:space="preserve"> significant challenges related to recruitment and retention (Bonetti, 2019), the current </w:t>
      </w:r>
      <w:r w:rsidR="000A3533" w:rsidRPr="000622C3">
        <w:rPr>
          <w:rFonts w:cstheme="minorHAnsi"/>
        </w:rPr>
        <w:t>findings</w:t>
      </w:r>
      <w:r w:rsidRPr="000622C3">
        <w:rPr>
          <w:rFonts w:cstheme="minorHAnsi"/>
        </w:rPr>
        <w:t xml:space="preserve"> show MS</w:t>
      </w:r>
      <w:r w:rsidR="005057FA">
        <w:rPr>
          <w:rFonts w:cstheme="minorHAnsi"/>
        </w:rPr>
        <w:t>P</w:t>
      </w:r>
      <w:r w:rsidRPr="000622C3">
        <w:rPr>
          <w:rFonts w:cstheme="minorHAnsi"/>
        </w:rPr>
        <w:t xml:space="preserve"> and </w:t>
      </w:r>
      <w:r w:rsidRPr="006D3441">
        <w:rPr>
          <w:rFonts w:cstheme="minorHAnsi"/>
        </w:rPr>
        <w:t>provision</w:t>
      </w:r>
      <w:r w:rsidRPr="000622C3">
        <w:rPr>
          <w:rFonts w:cstheme="minorHAnsi"/>
        </w:rPr>
        <w:t xml:space="preserve"> </w:t>
      </w:r>
      <w:r w:rsidR="006D3441" w:rsidRPr="005057FA">
        <w:rPr>
          <w:rFonts w:cstheme="minorHAnsi"/>
        </w:rPr>
        <w:t>of protective factors</w:t>
      </w:r>
      <w:r w:rsidR="006D3441">
        <w:rPr>
          <w:rFonts w:cstheme="minorHAnsi"/>
        </w:rPr>
        <w:t xml:space="preserve"> </w:t>
      </w:r>
      <w:r w:rsidRPr="000622C3">
        <w:rPr>
          <w:rFonts w:cstheme="minorHAnsi"/>
        </w:rPr>
        <w:t xml:space="preserve">can significantly predict </w:t>
      </w:r>
      <w:r w:rsidR="00FB5FD0">
        <w:rPr>
          <w:rFonts w:cstheme="minorHAnsi"/>
        </w:rPr>
        <w:t>sickness absence</w:t>
      </w:r>
      <w:r w:rsidRPr="000622C3">
        <w:rPr>
          <w:rFonts w:cstheme="minorHAnsi"/>
        </w:rPr>
        <w:t xml:space="preserve"> and </w:t>
      </w:r>
      <w:r w:rsidR="00FB5FD0">
        <w:rPr>
          <w:rFonts w:cstheme="minorHAnsi"/>
        </w:rPr>
        <w:t>considering</w:t>
      </w:r>
      <w:r w:rsidR="00A9376F">
        <w:rPr>
          <w:rFonts w:cstheme="minorHAnsi"/>
        </w:rPr>
        <w:t xml:space="preserve"> leaving ECE</w:t>
      </w:r>
      <w:r w:rsidR="00E57763" w:rsidRPr="000622C3">
        <w:rPr>
          <w:rFonts w:cstheme="minorHAnsi"/>
        </w:rPr>
        <w:t>;</w:t>
      </w:r>
      <w:r w:rsidRPr="000622C3">
        <w:rPr>
          <w:rFonts w:cstheme="minorHAnsi"/>
        </w:rPr>
        <w:t xml:space="preserve"> this reflects previous findings showing MSK health to be a strong predictor of</w:t>
      </w:r>
      <w:r w:rsidR="00E57763" w:rsidRPr="000622C3">
        <w:rPr>
          <w:rFonts w:cstheme="minorHAnsi"/>
        </w:rPr>
        <w:t xml:space="preserve"> the</w:t>
      </w:r>
      <w:r w:rsidRPr="000622C3">
        <w:rPr>
          <w:rFonts w:cstheme="minorHAnsi"/>
        </w:rPr>
        <w:t xml:space="preserve"> length of employment in the </w:t>
      </w:r>
      <w:r w:rsidR="00263B5A">
        <w:rPr>
          <w:rFonts w:cstheme="minorHAnsi"/>
        </w:rPr>
        <w:t>E</w:t>
      </w:r>
      <w:r w:rsidR="003617D3">
        <w:rPr>
          <w:rFonts w:cstheme="minorHAnsi"/>
        </w:rPr>
        <w:t>C</w:t>
      </w:r>
      <w:r w:rsidR="00263B5A">
        <w:rPr>
          <w:rFonts w:cstheme="minorHAnsi"/>
        </w:rPr>
        <w:t>E</w:t>
      </w:r>
      <w:r w:rsidRPr="000622C3">
        <w:rPr>
          <w:rFonts w:cstheme="minorHAnsi"/>
        </w:rPr>
        <w:t xml:space="preserve"> sector (Coledam, et al., 201</w:t>
      </w:r>
      <w:r w:rsidR="00B77283" w:rsidRPr="000622C3">
        <w:rPr>
          <w:rFonts w:cstheme="minorHAnsi"/>
        </w:rPr>
        <w:t>9</w:t>
      </w:r>
      <w:r w:rsidR="0087336A">
        <w:rPr>
          <w:rFonts w:cstheme="minorHAnsi"/>
        </w:rPr>
        <w:t>)</w:t>
      </w:r>
      <w:r w:rsidRPr="000622C3">
        <w:rPr>
          <w:rFonts w:cstheme="minorHAnsi"/>
        </w:rPr>
        <w:t>. While there w</w:t>
      </w:r>
      <w:r w:rsidR="004706AD">
        <w:rPr>
          <w:rFonts w:cstheme="minorHAnsi"/>
        </w:rPr>
        <w:t>ere</w:t>
      </w:r>
      <w:r w:rsidRPr="000622C3">
        <w:rPr>
          <w:rFonts w:cstheme="minorHAnsi"/>
        </w:rPr>
        <w:t xml:space="preserve"> no significant difference</w:t>
      </w:r>
      <w:r w:rsidR="004706AD">
        <w:rPr>
          <w:rFonts w:cstheme="minorHAnsi"/>
        </w:rPr>
        <w:t>s</w:t>
      </w:r>
      <w:r w:rsidRPr="000622C3">
        <w:rPr>
          <w:rFonts w:cstheme="minorHAnsi"/>
        </w:rPr>
        <w:t xml:space="preserve"> between leaders and practitioners regarding the reported frequency with which th</w:t>
      </w:r>
      <w:r w:rsidR="00C23668">
        <w:rPr>
          <w:rFonts w:cstheme="minorHAnsi"/>
        </w:rPr>
        <w:t>ey</w:t>
      </w:r>
      <w:r w:rsidRPr="000622C3">
        <w:rPr>
          <w:rFonts w:cstheme="minorHAnsi"/>
        </w:rPr>
        <w:t xml:space="preserve"> had to carry out MSK risk </w:t>
      </w:r>
      <w:r w:rsidRPr="000622C3">
        <w:rPr>
          <w:rFonts w:cstheme="minorHAnsi"/>
        </w:rPr>
        <w:lastRenderedPageBreak/>
        <w:t xml:space="preserve">related activities, at 77% vs. 51% respectively, </w:t>
      </w:r>
      <w:r w:rsidR="00152628" w:rsidRPr="000622C3">
        <w:rPr>
          <w:rFonts w:cstheme="minorHAnsi"/>
        </w:rPr>
        <w:t xml:space="preserve">unsurprisingly </w:t>
      </w:r>
      <w:r w:rsidRPr="000622C3">
        <w:rPr>
          <w:rFonts w:cstheme="minorHAnsi"/>
        </w:rPr>
        <w:t>the average total percentage of practical work of practitioners was significantly higher than leaders</w:t>
      </w:r>
      <w:r w:rsidR="00D51A32">
        <w:rPr>
          <w:rFonts w:cstheme="minorHAnsi"/>
        </w:rPr>
        <w:t>.</w:t>
      </w:r>
      <w:r w:rsidRPr="000622C3">
        <w:rPr>
          <w:rFonts w:cstheme="minorHAnsi"/>
        </w:rPr>
        <w:t xml:space="preserve"> </w:t>
      </w:r>
      <w:r w:rsidR="00D51A32">
        <w:rPr>
          <w:rFonts w:cstheme="minorHAnsi"/>
        </w:rPr>
        <w:t>H</w:t>
      </w:r>
      <w:r w:rsidRPr="000622C3">
        <w:rPr>
          <w:rFonts w:cstheme="minorHAnsi"/>
        </w:rPr>
        <w:t>owever, findings also showed leaders to have significantly more years of service</w:t>
      </w:r>
      <w:r w:rsidR="00152628" w:rsidRPr="000622C3">
        <w:rPr>
          <w:rFonts w:cstheme="minorHAnsi"/>
        </w:rPr>
        <w:t xml:space="preserve">, </w:t>
      </w:r>
      <w:r w:rsidR="00090E82" w:rsidRPr="000622C3">
        <w:rPr>
          <w:rFonts w:cstheme="minorHAnsi"/>
        </w:rPr>
        <w:t xml:space="preserve">a factor associated with greater </w:t>
      </w:r>
      <w:r w:rsidR="00D51A32">
        <w:rPr>
          <w:rFonts w:cstheme="minorHAnsi"/>
        </w:rPr>
        <w:t>number of pain locations</w:t>
      </w:r>
      <w:r w:rsidR="00B43702">
        <w:rPr>
          <w:rFonts w:cstheme="minorHAnsi"/>
        </w:rPr>
        <w:t>, and tendency to consider leaving the sector</w:t>
      </w:r>
      <w:r w:rsidRPr="000622C3">
        <w:rPr>
          <w:rFonts w:cstheme="minorHAnsi"/>
        </w:rPr>
        <w:t xml:space="preserve">. </w:t>
      </w:r>
      <w:r w:rsidR="006B74F5" w:rsidRPr="000622C3">
        <w:rPr>
          <w:rFonts w:cstheme="minorHAnsi"/>
        </w:rPr>
        <w:t>Leaders reported more elbow pain and less ankle pain than practitioners which may reflect differences in desk</w:t>
      </w:r>
      <w:r w:rsidR="004706AD">
        <w:rPr>
          <w:rFonts w:cstheme="minorHAnsi"/>
        </w:rPr>
        <w:t xml:space="preserve"> based</w:t>
      </w:r>
      <w:r w:rsidR="006B74F5" w:rsidRPr="000622C3">
        <w:rPr>
          <w:rFonts w:cstheme="minorHAnsi"/>
        </w:rPr>
        <w:t xml:space="preserve"> and floor</w:t>
      </w:r>
      <w:r w:rsidR="004706AD">
        <w:rPr>
          <w:rFonts w:cstheme="minorHAnsi"/>
        </w:rPr>
        <w:t>-level</w:t>
      </w:r>
      <w:r w:rsidR="006B74F5" w:rsidRPr="000622C3">
        <w:rPr>
          <w:rFonts w:cstheme="minorHAnsi"/>
        </w:rPr>
        <w:t xml:space="preserve"> working. However, no other</w:t>
      </w:r>
      <w:r w:rsidR="00B142E6" w:rsidRPr="000622C3">
        <w:rPr>
          <w:rFonts w:cstheme="minorHAnsi"/>
        </w:rPr>
        <w:t xml:space="preserve"> significant</w:t>
      </w:r>
      <w:r w:rsidR="006B74F5" w:rsidRPr="000622C3">
        <w:rPr>
          <w:rFonts w:cstheme="minorHAnsi"/>
        </w:rPr>
        <w:t xml:space="preserve"> differences between</w:t>
      </w:r>
      <w:r w:rsidR="00B142E6" w:rsidRPr="000622C3">
        <w:rPr>
          <w:rFonts w:cstheme="minorHAnsi"/>
        </w:rPr>
        <w:t xml:space="preserve"> reported</w:t>
      </w:r>
      <w:r w:rsidR="006B74F5" w:rsidRPr="000622C3">
        <w:rPr>
          <w:rFonts w:cstheme="minorHAnsi"/>
        </w:rPr>
        <w:t xml:space="preserve"> pain location</w:t>
      </w:r>
      <w:r w:rsidR="00B142E6" w:rsidRPr="000622C3">
        <w:rPr>
          <w:rFonts w:cstheme="minorHAnsi"/>
        </w:rPr>
        <w:t xml:space="preserve">s </w:t>
      </w:r>
      <w:r w:rsidR="004706AD" w:rsidRPr="000622C3">
        <w:rPr>
          <w:rFonts w:cstheme="minorHAnsi"/>
        </w:rPr>
        <w:t>were</w:t>
      </w:r>
      <w:r w:rsidR="00B142E6" w:rsidRPr="000622C3">
        <w:rPr>
          <w:rFonts w:cstheme="minorHAnsi"/>
        </w:rPr>
        <w:t xml:space="preserve"> found</w:t>
      </w:r>
      <w:r w:rsidR="00617D92" w:rsidRPr="000622C3">
        <w:rPr>
          <w:rFonts w:cstheme="minorHAnsi"/>
        </w:rPr>
        <w:t xml:space="preserve">, despite </w:t>
      </w:r>
      <w:r w:rsidRPr="000622C3">
        <w:rPr>
          <w:rFonts w:cstheme="minorHAnsi"/>
        </w:rPr>
        <w:t xml:space="preserve">differences between the groups on </w:t>
      </w:r>
      <w:r w:rsidR="00D4281A" w:rsidRPr="000622C3">
        <w:rPr>
          <w:rFonts w:cstheme="minorHAnsi"/>
        </w:rPr>
        <w:t xml:space="preserve">proportion of </w:t>
      </w:r>
      <w:r w:rsidRPr="000622C3">
        <w:rPr>
          <w:rFonts w:cstheme="minorHAnsi"/>
        </w:rPr>
        <w:t>practical</w:t>
      </w:r>
      <w:r w:rsidR="00D4281A" w:rsidRPr="000622C3">
        <w:rPr>
          <w:rFonts w:cstheme="minorHAnsi"/>
        </w:rPr>
        <w:t xml:space="preserve"> work in their</w:t>
      </w:r>
      <w:r w:rsidRPr="000622C3">
        <w:rPr>
          <w:rFonts w:cstheme="minorHAnsi"/>
        </w:rPr>
        <w:t xml:space="preserve"> role, provision of and/or </w:t>
      </w:r>
      <w:r w:rsidR="004706AD">
        <w:rPr>
          <w:rFonts w:cstheme="minorHAnsi"/>
        </w:rPr>
        <w:t xml:space="preserve">perceived </w:t>
      </w:r>
      <w:r w:rsidRPr="000622C3">
        <w:rPr>
          <w:rFonts w:cstheme="minorHAnsi"/>
        </w:rPr>
        <w:t>need for MSK protective factors, and years of service</w:t>
      </w:r>
      <w:r w:rsidR="00B142E6" w:rsidRPr="000622C3">
        <w:rPr>
          <w:rFonts w:cstheme="minorHAnsi"/>
        </w:rPr>
        <w:t>.</w:t>
      </w:r>
    </w:p>
    <w:p w14:paraId="5A0C0CED" w14:textId="75C8FB75" w:rsidR="00C2284F" w:rsidRPr="00D304EA" w:rsidRDefault="00FE23BC" w:rsidP="00C2284F">
      <w:pPr>
        <w:spacing w:line="480" w:lineRule="auto"/>
        <w:jc w:val="both"/>
        <w:rPr>
          <w:rFonts w:cstheme="minorHAnsi"/>
        </w:rPr>
      </w:pPr>
      <w:r>
        <w:rPr>
          <w:rFonts w:cstheme="minorHAnsi"/>
        </w:rPr>
        <w:tab/>
      </w:r>
      <w:r w:rsidR="00F54251">
        <w:rPr>
          <w:rFonts w:cstheme="minorHAnsi"/>
        </w:rPr>
        <w:t xml:space="preserve">When considering the findings of the current study, </w:t>
      </w:r>
      <w:r w:rsidR="006A67B7">
        <w:rPr>
          <w:rFonts w:cstheme="minorHAnsi"/>
        </w:rPr>
        <w:t xml:space="preserve">there are a number of limitations and factors which should be taken into context. </w:t>
      </w:r>
      <w:r w:rsidR="00AB0D56">
        <w:rPr>
          <w:rFonts w:cstheme="minorHAnsi"/>
        </w:rPr>
        <w:t>The si</w:t>
      </w:r>
      <w:r w:rsidR="00AB0D56" w:rsidRPr="000622C3">
        <w:rPr>
          <w:rFonts w:cstheme="minorHAnsi"/>
        </w:rPr>
        <w:t>gnificant</w:t>
      </w:r>
      <w:r w:rsidR="002A7D27" w:rsidRPr="000622C3">
        <w:rPr>
          <w:rFonts w:cstheme="minorHAnsi"/>
        </w:rPr>
        <w:t xml:space="preserve"> absence of male participants in the current study</w:t>
      </w:r>
      <w:r w:rsidR="00AB0D56">
        <w:rPr>
          <w:rFonts w:cstheme="minorHAnsi"/>
        </w:rPr>
        <w:t xml:space="preserve"> limits these findings to female</w:t>
      </w:r>
      <w:r w:rsidR="004706AD">
        <w:rPr>
          <w:rFonts w:cstheme="minorHAnsi"/>
        </w:rPr>
        <w:t xml:space="preserve"> UK</w:t>
      </w:r>
      <w:r w:rsidR="00AB0D56">
        <w:rPr>
          <w:rFonts w:cstheme="minorHAnsi"/>
        </w:rPr>
        <w:t xml:space="preserve"> E</w:t>
      </w:r>
      <w:r w:rsidR="00B82431">
        <w:rPr>
          <w:rFonts w:cstheme="minorHAnsi"/>
        </w:rPr>
        <w:t>C</w:t>
      </w:r>
      <w:r w:rsidR="00AB0D56">
        <w:rPr>
          <w:rFonts w:cstheme="minorHAnsi"/>
        </w:rPr>
        <w:t xml:space="preserve">E </w:t>
      </w:r>
      <w:r w:rsidR="002F1D32">
        <w:rPr>
          <w:rFonts w:cstheme="minorHAnsi"/>
        </w:rPr>
        <w:t>worke</w:t>
      </w:r>
      <w:r w:rsidR="00DC64F4">
        <w:rPr>
          <w:rFonts w:cstheme="minorHAnsi"/>
        </w:rPr>
        <w:t>rs</w:t>
      </w:r>
      <w:r w:rsidR="002A7D27" w:rsidRPr="000622C3">
        <w:rPr>
          <w:rFonts w:cstheme="minorHAnsi"/>
        </w:rPr>
        <w:t>, however</w:t>
      </w:r>
      <w:r w:rsidR="002F1D32">
        <w:rPr>
          <w:rFonts w:cstheme="minorHAnsi"/>
        </w:rPr>
        <w:t xml:space="preserve"> it should be noted that</w:t>
      </w:r>
      <w:r w:rsidR="002A7D27" w:rsidRPr="000622C3">
        <w:rPr>
          <w:rFonts w:cstheme="minorHAnsi"/>
        </w:rPr>
        <w:t xml:space="preserve"> this imbalance reflects the </w:t>
      </w:r>
      <w:r w:rsidR="002F1D32">
        <w:rPr>
          <w:rFonts w:cstheme="minorHAnsi"/>
        </w:rPr>
        <w:t xml:space="preserve">general </w:t>
      </w:r>
      <w:r w:rsidR="0065441C" w:rsidRPr="000622C3">
        <w:rPr>
          <w:rFonts w:cstheme="minorHAnsi"/>
        </w:rPr>
        <w:t xml:space="preserve">composition </w:t>
      </w:r>
      <w:r w:rsidR="002A7D27" w:rsidRPr="000622C3">
        <w:rPr>
          <w:rFonts w:cstheme="minorHAnsi"/>
        </w:rPr>
        <w:t xml:space="preserve">of the </w:t>
      </w:r>
      <w:r w:rsidR="004706AD">
        <w:rPr>
          <w:rFonts w:cstheme="minorHAnsi"/>
        </w:rPr>
        <w:t xml:space="preserve">UK </w:t>
      </w:r>
      <w:r w:rsidR="00263B5A">
        <w:rPr>
          <w:rFonts w:cstheme="minorHAnsi"/>
        </w:rPr>
        <w:t>E</w:t>
      </w:r>
      <w:r w:rsidR="00B82431">
        <w:rPr>
          <w:rFonts w:cstheme="minorHAnsi"/>
        </w:rPr>
        <w:t>C</w:t>
      </w:r>
      <w:r w:rsidR="00263B5A">
        <w:rPr>
          <w:rFonts w:cstheme="minorHAnsi"/>
        </w:rPr>
        <w:t>E</w:t>
      </w:r>
      <w:r w:rsidR="0065441C" w:rsidRPr="000622C3">
        <w:rPr>
          <w:rFonts w:cstheme="minorHAnsi"/>
        </w:rPr>
        <w:t xml:space="preserve"> </w:t>
      </w:r>
      <w:r w:rsidR="002A7D27" w:rsidRPr="000622C3">
        <w:rPr>
          <w:rFonts w:cstheme="minorHAnsi"/>
        </w:rPr>
        <w:t>workforce (Wilkinson &amp; Warin, 2021)</w:t>
      </w:r>
      <w:r w:rsidR="005E7726" w:rsidRPr="000622C3">
        <w:rPr>
          <w:rFonts w:cstheme="minorHAnsi"/>
        </w:rPr>
        <w:t xml:space="preserve">, with recent </w:t>
      </w:r>
      <w:r w:rsidR="001B0455" w:rsidRPr="000622C3">
        <w:rPr>
          <w:rFonts w:cstheme="minorHAnsi"/>
        </w:rPr>
        <w:t xml:space="preserve">findings </w:t>
      </w:r>
      <w:r w:rsidR="00F62F4D" w:rsidRPr="000622C3">
        <w:rPr>
          <w:rFonts w:cstheme="minorHAnsi"/>
        </w:rPr>
        <w:t xml:space="preserve">indicating </w:t>
      </w:r>
      <w:r w:rsidR="001B0455" w:rsidRPr="000622C3">
        <w:rPr>
          <w:rFonts w:cstheme="minorHAnsi"/>
        </w:rPr>
        <w:t xml:space="preserve">the </w:t>
      </w:r>
      <w:r w:rsidR="00581AC6">
        <w:rPr>
          <w:rFonts w:cstheme="minorHAnsi"/>
        </w:rPr>
        <w:t>population</w:t>
      </w:r>
      <w:r w:rsidR="001B0455" w:rsidRPr="000622C3">
        <w:rPr>
          <w:rFonts w:cstheme="minorHAnsi"/>
        </w:rPr>
        <w:t xml:space="preserve"> to be 97% female (</w:t>
      </w:r>
      <w:r w:rsidR="007A6030" w:rsidRPr="000622C3">
        <w:rPr>
          <w:rFonts w:cstheme="minorHAnsi"/>
        </w:rPr>
        <w:t>DfE, 2022)</w:t>
      </w:r>
      <w:r w:rsidR="002A7D27" w:rsidRPr="000622C3">
        <w:rPr>
          <w:rFonts w:cstheme="minorHAnsi"/>
        </w:rPr>
        <w:t xml:space="preserve">. </w:t>
      </w:r>
      <w:r w:rsidR="0080540E">
        <w:rPr>
          <w:rFonts w:cstheme="minorHAnsi"/>
        </w:rPr>
        <w:t>While it was the case that recruitment for the current study was inclusive</w:t>
      </w:r>
      <w:r w:rsidR="00DE6298">
        <w:rPr>
          <w:rFonts w:cstheme="minorHAnsi"/>
        </w:rPr>
        <w:t xml:space="preserve"> and invited participation from all E</w:t>
      </w:r>
      <w:r w:rsidR="00B82431">
        <w:rPr>
          <w:rFonts w:cstheme="minorHAnsi"/>
        </w:rPr>
        <w:t>C</w:t>
      </w:r>
      <w:r w:rsidR="00DE6298">
        <w:rPr>
          <w:rFonts w:cstheme="minorHAnsi"/>
        </w:rPr>
        <w:t xml:space="preserve">E </w:t>
      </w:r>
      <w:r w:rsidR="00581AC6">
        <w:rPr>
          <w:rFonts w:cstheme="minorHAnsi"/>
        </w:rPr>
        <w:t>workers</w:t>
      </w:r>
      <w:r w:rsidR="00DE6298">
        <w:rPr>
          <w:rFonts w:cstheme="minorHAnsi"/>
        </w:rPr>
        <w:t xml:space="preserve">, it is impossible to </w:t>
      </w:r>
      <w:r w:rsidR="005917D8">
        <w:rPr>
          <w:rFonts w:cstheme="minorHAnsi"/>
        </w:rPr>
        <w:t xml:space="preserve">completely </w:t>
      </w:r>
      <w:r w:rsidR="00725D96">
        <w:rPr>
          <w:rFonts w:cstheme="minorHAnsi"/>
        </w:rPr>
        <w:t>exclude</w:t>
      </w:r>
      <w:r w:rsidR="005917D8">
        <w:rPr>
          <w:rFonts w:cstheme="minorHAnsi"/>
        </w:rPr>
        <w:t xml:space="preserve"> the </w:t>
      </w:r>
      <w:r w:rsidR="00916C74">
        <w:rPr>
          <w:rFonts w:cstheme="minorHAnsi"/>
        </w:rPr>
        <w:t>potential</w:t>
      </w:r>
      <w:r w:rsidR="005917D8">
        <w:rPr>
          <w:rFonts w:cstheme="minorHAnsi"/>
        </w:rPr>
        <w:t xml:space="preserve"> for </w:t>
      </w:r>
      <w:r w:rsidR="00DC5053">
        <w:rPr>
          <w:rFonts w:cstheme="minorHAnsi"/>
        </w:rPr>
        <w:t>self-selection</w:t>
      </w:r>
      <w:r w:rsidR="005917D8">
        <w:rPr>
          <w:rFonts w:cstheme="minorHAnsi"/>
        </w:rPr>
        <w:t xml:space="preserve"> bias </w:t>
      </w:r>
      <w:r w:rsidR="00725D96">
        <w:rPr>
          <w:rFonts w:cstheme="minorHAnsi"/>
        </w:rPr>
        <w:t>(</w:t>
      </w:r>
      <w:r w:rsidR="00725D96" w:rsidRPr="00D304EA">
        <w:rPr>
          <w:rFonts w:cstheme="minorHAnsi"/>
        </w:rPr>
        <w:t>Babbie, 20</w:t>
      </w:r>
      <w:r w:rsidR="00581AC6" w:rsidRPr="00D304EA">
        <w:rPr>
          <w:rFonts w:cstheme="minorHAnsi"/>
        </w:rPr>
        <w:t>20</w:t>
      </w:r>
      <w:r w:rsidR="00725D96" w:rsidRPr="00D304EA">
        <w:rPr>
          <w:rFonts w:cstheme="minorHAnsi"/>
        </w:rPr>
        <w:t>)</w:t>
      </w:r>
      <w:r w:rsidR="005917D8" w:rsidRPr="00725D96">
        <w:rPr>
          <w:rFonts w:cstheme="minorHAnsi"/>
        </w:rPr>
        <w:t xml:space="preserve">. </w:t>
      </w:r>
      <w:r w:rsidR="00B02EF1" w:rsidRPr="00D304EA">
        <w:rPr>
          <w:rFonts w:cstheme="minorHAnsi"/>
        </w:rPr>
        <w:t>While self-selection might suggest a potential for bias, it does not inherently compromise the representativeness of the sample (Fowler, 20</w:t>
      </w:r>
      <w:r w:rsidR="00581AC6" w:rsidRPr="00D304EA">
        <w:rPr>
          <w:rFonts w:cstheme="minorHAnsi"/>
        </w:rPr>
        <w:t>09</w:t>
      </w:r>
      <w:r w:rsidR="00B02EF1" w:rsidRPr="00D304EA">
        <w:rPr>
          <w:rFonts w:cstheme="minorHAnsi"/>
        </w:rPr>
        <w:t xml:space="preserve">). Our findings, consistent with extant literature on MSK pain prevalence, further validate the integrity and relevance of our results. We acknowledge the limitations inherent in survey research, including potential self-selection bias, and suggest that future studies employ varied recruitment strategies to complement and extend our findings (Johnson &amp; Onwuegbuzie, 2004). </w:t>
      </w:r>
      <w:r w:rsidR="00DC64F4" w:rsidRPr="00D304EA">
        <w:rPr>
          <w:rFonts w:cstheme="minorHAnsi"/>
        </w:rPr>
        <w:t xml:space="preserve">While it was </w:t>
      </w:r>
      <w:r w:rsidR="00674A5A" w:rsidRPr="00D304EA">
        <w:rPr>
          <w:rFonts w:cstheme="minorHAnsi"/>
        </w:rPr>
        <w:t>valuable to be able to provide contrasts between practitioners</w:t>
      </w:r>
      <w:r w:rsidR="00893F70" w:rsidRPr="00D304EA">
        <w:rPr>
          <w:rFonts w:cstheme="minorHAnsi"/>
        </w:rPr>
        <w:t xml:space="preserve"> </w:t>
      </w:r>
      <w:r w:rsidR="00674A5A" w:rsidRPr="00D304EA">
        <w:rPr>
          <w:rFonts w:cstheme="minorHAnsi"/>
        </w:rPr>
        <w:t>and leaders</w:t>
      </w:r>
      <w:r w:rsidR="00893F70" w:rsidRPr="00D304EA">
        <w:rPr>
          <w:rFonts w:cstheme="minorHAnsi"/>
        </w:rPr>
        <w:t xml:space="preserve">, in some cases it may be too simplistic to separate participants in this way as some (particularly the self-employed) may be acting in both roles concurrently. Also, </w:t>
      </w:r>
      <w:r w:rsidR="00D156B8" w:rsidRPr="00D304EA">
        <w:rPr>
          <w:rFonts w:cstheme="minorHAnsi"/>
        </w:rPr>
        <w:t xml:space="preserve">as </w:t>
      </w:r>
      <w:r w:rsidR="00893F70" w:rsidRPr="00D304EA">
        <w:rPr>
          <w:rFonts w:cstheme="minorHAnsi"/>
        </w:rPr>
        <w:t xml:space="preserve">it is reasonable to assume </w:t>
      </w:r>
      <w:r w:rsidR="00893F70" w:rsidRPr="00D304EA">
        <w:rPr>
          <w:rFonts w:cstheme="minorHAnsi"/>
        </w:rPr>
        <w:lastRenderedPageBreak/>
        <w:t>that a number of those in the leaders’ group were also practitioners in previous years</w:t>
      </w:r>
      <w:r w:rsidR="00DF07A6" w:rsidRPr="00D304EA">
        <w:rPr>
          <w:rFonts w:cstheme="minorHAnsi"/>
        </w:rPr>
        <w:t xml:space="preserve">, </w:t>
      </w:r>
      <w:r w:rsidR="00674A5A" w:rsidRPr="00D304EA">
        <w:rPr>
          <w:rFonts w:cstheme="minorHAnsi"/>
        </w:rPr>
        <w:t>r</w:t>
      </w:r>
      <w:r w:rsidR="009D7989" w:rsidRPr="00D304EA">
        <w:rPr>
          <w:rFonts w:cstheme="minorHAnsi"/>
        </w:rPr>
        <w:t xml:space="preserve">ecruitment of a </w:t>
      </w:r>
      <w:r w:rsidR="00CC0368" w:rsidRPr="003A5B01">
        <w:rPr>
          <w:rFonts w:cstheme="minorHAnsi"/>
          <w:highlight w:val="yellow"/>
        </w:rPr>
        <w:t>robust</w:t>
      </w:r>
      <w:r w:rsidR="00CC0368">
        <w:rPr>
          <w:rFonts w:cstheme="minorHAnsi"/>
        </w:rPr>
        <w:t xml:space="preserve"> </w:t>
      </w:r>
      <w:r w:rsidR="009D7989" w:rsidRPr="00D304EA">
        <w:rPr>
          <w:rFonts w:cstheme="minorHAnsi"/>
        </w:rPr>
        <w:t xml:space="preserve">control group would be a desirable improvement. While this was considered for the current study, difficulty in recruiting a large enough sample from the same environments which would not also have </w:t>
      </w:r>
      <w:r w:rsidR="0005225B" w:rsidRPr="00D304EA">
        <w:rPr>
          <w:rFonts w:cstheme="minorHAnsi"/>
        </w:rPr>
        <w:t>a reasonable degree of exposure to the risk factors studied</w:t>
      </w:r>
      <w:r w:rsidR="00674A5A" w:rsidRPr="00D304EA">
        <w:rPr>
          <w:rFonts w:cstheme="minorHAnsi"/>
        </w:rPr>
        <w:t xml:space="preserve"> </w:t>
      </w:r>
      <w:r w:rsidR="00DC5053" w:rsidRPr="00D304EA">
        <w:rPr>
          <w:rFonts w:cstheme="minorHAnsi"/>
        </w:rPr>
        <w:t>impeded</w:t>
      </w:r>
      <w:r w:rsidR="00674A5A" w:rsidRPr="00D304EA">
        <w:rPr>
          <w:rFonts w:cstheme="minorHAnsi"/>
        </w:rPr>
        <w:t xml:space="preserve"> this</w:t>
      </w:r>
      <w:r w:rsidR="0005225B" w:rsidRPr="00D304EA">
        <w:rPr>
          <w:rFonts w:cstheme="minorHAnsi"/>
        </w:rPr>
        <w:t>.</w:t>
      </w:r>
      <w:r w:rsidR="00A322E1" w:rsidRPr="00D304EA">
        <w:rPr>
          <w:rFonts w:cstheme="minorHAnsi"/>
        </w:rPr>
        <w:t xml:space="preserve"> </w:t>
      </w:r>
      <w:r w:rsidR="00AD0496" w:rsidRPr="005423A0">
        <w:rPr>
          <w:rFonts w:cstheme="minorHAnsi"/>
          <w:highlight w:val="yellow"/>
        </w:rPr>
        <w:t>In furtherment to the approach taken in the current study, it would be beneficial to supplement the quantitative data presented here with some qualitative data and analysis</w:t>
      </w:r>
      <w:r w:rsidR="00AD0496">
        <w:rPr>
          <w:rFonts w:cstheme="minorHAnsi"/>
          <w:highlight w:val="yellow"/>
        </w:rPr>
        <w:t>; this would</w:t>
      </w:r>
      <w:r w:rsidR="00AD0496" w:rsidRPr="005423A0">
        <w:rPr>
          <w:rFonts w:cstheme="minorHAnsi"/>
          <w:highlight w:val="yellow"/>
        </w:rPr>
        <w:t xml:space="preserve"> provide fuller insight into the lived experience of those working in ECE and facing some of the challenges outlined in this study.</w:t>
      </w:r>
      <w:r w:rsidR="00AD0496">
        <w:rPr>
          <w:rFonts w:cstheme="minorHAnsi"/>
        </w:rPr>
        <w:t xml:space="preserve"> </w:t>
      </w:r>
      <w:r w:rsidR="00A322E1" w:rsidRPr="00D304EA">
        <w:rPr>
          <w:rFonts w:cstheme="minorHAnsi"/>
        </w:rPr>
        <w:t xml:space="preserve">Future studies in the current area may also seek to include greater </w:t>
      </w:r>
      <w:r w:rsidR="00C2284F" w:rsidRPr="00D304EA">
        <w:rPr>
          <w:rFonts w:cstheme="minorHAnsi"/>
        </w:rPr>
        <w:t>consideration</w:t>
      </w:r>
      <w:r w:rsidR="00D53909" w:rsidRPr="00D304EA">
        <w:rPr>
          <w:rFonts w:cstheme="minorHAnsi"/>
        </w:rPr>
        <w:t xml:space="preserve"> of</w:t>
      </w:r>
      <w:r w:rsidR="00A322E1" w:rsidRPr="00D304EA">
        <w:rPr>
          <w:rFonts w:cstheme="minorHAnsi"/>
        </w:rPr>
        <w:t xml:space="preserve"> </w:t>
      </w:r>
      <w:r w:rsidR="00D53909" w:rsidRPr="00D304EA">
        <w:rPr>
          <w:rFonts w:cstheme="minorHAnsi"/>
        </w:rPr>
        <w:t>how</w:t>
      </w:r>
      <w:r w:rsidR="00376FC7" w:rsidRPr="00D304EA">
        <w:rPr>
          <w:rFonts w:cstheme="minorHAnsi"/>
        </w:rPr>
        <w:t xml:space="preserve"> ergonomic differences may be associated different MSP outcomes. Grant et al. (1995) </w:t>
      </w:r>
      <w:r w:rsidR="00C2284F" w:rsidRPr="00D304EA">
        <w:rPr>
          <w:rFonts w:cstheme="minorHAnsi"/>
        </w:rPr>
        <w:t>provides</w:t>
      </w:r>
      <w:r w:rsidR="00376FC7" w:rsidRPr="00D304EA">
        <w:rPr>
          <w:rFonts w:cstheme="minorHAnsi"/>
        </w:rPr>
        <w:t xml:space="preserve"> some example of the kinds of details </w:t>
      </w:r>
      <w:r w:rsidR="00DF07A6" w:rsidRPr="00D304EA">
        <w:rPr>
          <w:rFonts w:cstheme="minorHAnsi"/>
        </w:rPr>
        <w:t>with respect</w:t>
      </w:r>
      <w:r w:rsidR="00376FC7" w:rsidRPr="00D304EA">
        <w:rPr>
          <w:rFonts w:cstheme="minorHAnsi"/>
        </w:rPr>
        <w:t xml:space="preserve"> to </w:t>
      </w:r>
      <w:r w:rsidR="00DF07A6" w:rsidRPr="00D304EA">
        <w:rPr>
          <w:rFonts w:cstheme="minorHAnsi"/>
        </w:rPr>
        <w:t xml:space="preserve">working </w:t>
      </w:r>
      <w:r w:rsidR="00376FC7" w:rsidRPr="00D304EA">
        <w:rPr>
          <w:rFonts w:cstheme="minorHAnsi"/>
        </w:rPr>
        <w:t>height</w:t>
      </w:r>
      <w:r w:rsidR="00BF4E45" w:rsidRPr="00D304EA">
        <w:rPr>
          <w:rFonts w:cstheme="minorHAnsi"/>
        </w:rPr>
        <w:t xml:space="preserve"> or </w:t>
      </w:r>
      <w:r w:rsidR="006D4106" w:rsidRPr="00D304EA">
        <w:rPr>
          <w:rFonts w:cstheme="minorHAnsi"/>
        </w:rPr>
        <w:t xml:space="preserve">the </w:t>
      </w:r>
      <w:r w:rsidR="00BF4E45" w:rsidRPr="00D304EA">
        <w:rPr>
          <w:rFonts w:cstheme="minorHAnsi"/>
        </w:rPr>
        <w:t xml:space="preserve">weight of </w:t>
      </w:r>
      <w:r w:rsidR="006D4106" w:rsidRPr="00D304EA">
        <w:rPr>
          <w:rFonts w:cstheme="minorHAnsi"/>
        </w:rPr>
        <w:t xml:space="preserve">children </w:t>
      </w:r>
      <w:r w:rsidR="00D156B8" w:rsidRPr="00D304EA">
        <w:rPr>
          <w:rFonts w:cstheme="minorHAnsi"/>
        </w:rPr>
        <w:t xml:space="preserve">which </w:t>
      </w:r>
      <w:r w:rsidR="006D4106" w:rsidRPr="00D304EA">
        <w:rPr>
          <w:rFonts w:cstheme="minorHAnsi"/>
        </w:rPr>
        <w:t xml:space="preserve">might affect </w:t>
      </w:r>
      <w:r w:rsidR="00B738DA" w:rsidRPr="00D304EA">
        <w:rPr>
          <w:rFonts w:cstheme="minorHAnsi"/>
        </w:rPr>
        <w:t xml:space="preserve">different </w:t>
      </w:r>
      <w:r w:rsidR="006D4106" w:rsidRPr="00D304EA">
        <w:rPr>
          <w:rFonts w:cstheme="minorHAnsi"/>
        </w:rPr>
        <w:t xml:space="preserve">outcomes. </w:t>
      </w:r>
      <w:r w:rsidR="00C2284F" w:rsidRPr="00D304EA">
        <w:rPr>
          <w:rFonts w:cstheme="minorHAnsi"/>
        </w:rPr>
        <w:t>Related to this</w:t>
      </w:r>
      <w:r w:rsidR="006D4106" w:rsidRPr="00D304EA">
        <w:rPr>
          <w:rFonts w:cstheme="minorHAnsi"/>
        </w:rPr>
        <w:t xml:space="preserve">, </w:t>
      </w:r>
      <w:r w:rsidR="00B738DA" w:rsidRPr="00D304EA">
        <w:rPr>
          <w:rFonts w:cstheme="minorHAnsi"/>
        </w:rPr>
        <w:t>it may also be of value to stratify E</w:t>
      </w:r>
      <w:r w:rsidR="00B82431" w:rsidRPr="00D304EA">
        <w:rPr>
          <w:rFonts w:cstheme="minorHAnsi"/>
        </w:rPr>
        <w:t>C</w:t>
      </w:r>
      <w:r w:rsidR="00B738DA" w:rsidRPr="00D304EA">
        <w:rPr>
          <w:rFonts w:cstheme="minorHAnsi"/>
        </w:rPr>
        <w:t>E practitioner by age of children they work with.</w:t>
      </w:r>
      <w:r w:rsidR="009B0C4E" w:rsidRPr="00D304EA">
        <w:rPr>
          <w:rFonts w:cstheme="minorHAnsi"/>
        </w:rPr>
        <w:t xml:space="preserve"> Findings from Grant et al (1995)</w:t>
      </w:r>
      <w:r w:rsidR="00150827" w:rsidRPr="00D304EA">
        <w:rPr>
          <w:rFonts w:cstheme="minorHAnsi"/>
        </w:rPr>
        <w:t>,</w:t>
      </w:r>
      <w:r w:rsidR="009B0C4E" w:rsidRPr="00D304EA">
        <w:rPr>
          <w:rFonts w:cstheme="minorHAnsi"/>
        </w:rPr>
        <w:t xml:space="preserve"> and </w:t>
      </w:r>
      <w:r w:rsidR="00150827" w:rsidRPr="00D304EA">
        <w:rPr>
          <w:rFonts w:cstheme="minorHAnsi"/>
        </w:rPr>
        <w:t xml:space="preserve">Ono et al (2002), both report higher rates of MSP for practitioners working with the very youngest </w:t>
      </w:r>
      <w:r w:rsidR="00E771B4" w:rsidRPr="00D304EA">
        <w:rPr>
          <w:rFonts w:cstheme="minorHAnsi"/>
        </w:rPr>
        <w:t>E</w:t>
      </w:r>
      <w:r w:rsidR="003617D3" w:rsidRPr="00D304EA">
        <w:rPr>
          <w:rFonts w:cstheme="minorHAnsi"/>
        </w:rPr>
        <w:t>C</w:t>
      </w:r>
      <w:r w:rsidR="00E771B4" w:rsidRPr="00D304EA">
        <w:rPr>
          <w:rFonts w:cstheme="minorHAnsi"/>
        </w:rPr>
        <w:t xml:space="preserve">E </w:t>
      </w:r>
      <w:r w:rsidR="00150827" w:rsidRPr="00D304EA">
        <w:rPr>
          <w:rFonts w:cstheme="minorHAnsi"/>
        </w:rPr>
        <w:t>children (0-2 years) compared to those working with</w:t>
      </w:r>
      <w:r w:rsidR="00E771B4" w:rsidRPr="00D304EA">
        <w:rPr>
          <w:rFonts w:cstheme="minorHAnsi"/>
        </w:rPr>
        <w:t xml:space="preserve"> slightly</w:t>
      </w:r>
      <w:r w:rsidR="00150827" w:rsidRPr="00D304EA">
        <w:rPr>
          <w:rFonts w:cstheme="minorHAnsi"/>
        </w:rPr>
        <w:t xml:space="preserve"> </w:t>
      </w:r>
      <w:r w:rsidR="00E771B4" w:rsidRPr="00D304EA">
        <w:rPr>
          <w:rFonts w:cstheme="minorHAnsi"/>
        </w:rPr>
        <w:t xml:space="preserve">older groups. A greater </w:t>
      </w:r>
      <w:r w:rsidR="00DC5053" w:rsidRPr="00D304EA">
        <w:rPr>
          <w:rFonts w:cstheme="minorHAnsi"/>
        </w:rPr>
        <w:t xml:space="preserve">proportion of working at floor </w:t>
      </w:r>
      <w:r w:rsidR="00A55C11" w:rsidRPr="00D304EA">
        <w:rPr>
          <w:rFonts w:cstheme="minorHAnsi"/>
        </w:rPr>
        <w:t>level and</w:t>
      </w:r>
      <w:r w:rsidR="00DC5053" w:rsidRPr="00D304EA">
        <w:rPr>
          <w:rFonts w:cstheme="minorHAnsi"/>
        </w:rPr>
        <w:t xml:space="preserve"> need for children to be carried </w:t>
      </w:r>
      <w:r w:rsidR="00A55C11" w:rsidRPr="00D304EA">
        <w:rPr>
          <w:rFonts w:cstheme="minorHAnsi"/>
        </w:rPr>
        <w:t xml:space="preserve">at this age </w:t>
      </w:r>
      <w:r w:rsidR="00DC5053" w:rsidRPr="00D304EA">
        <w:rPr>
          <w:rFonts w:cstheme="minorHAnsi"/>
        </w:rPr>
        <w:t xml:space="preserve">may explain these differences. </w:t>
      </w:r>
      <w:r w:rsidR="00FA14D4" w:rsidRPr="00D304EA">
        <w:rPr>
          <w:rFonts w:cstheme="minorHAnsi"/>
        </w:rPr>
        <w:t xml:space="preserve">Finally, while not considered a limitation as such, the decision not to require formal diagnosis of </w:t>
      </w:r>
      <w:r w:rsidR="00FE47FC" w:rsidRPr="00D304EA">
        <w:rPr>
          <w:rFonts w:cstheme="minorHAnsi"/>
        </w:rPr>
        <w:t>MSP</w:t>
      </w:r>
      <w:r w:rsidR="00FA14D4" w:rsidRPr="00D304EA">
        <w:rPr>
          <w:rFonts w:cstheme="minorHAnsi"/>
        </w:rPr>
        <w:t xml:space="preserve"> for inclusion (such as is found in Converso</w:t>
      </w:r>
      <w:r w:rsidR="00747E24" w:rsidRPr="00D304EA">
        <w:rPr>
          <w:rFonts w:cstheme="minorHAnsi"/>
        </w:rPr>
        <w:t xml:space="preserve"> et al., 2018) or </w:t>
      </w:r>
      <w:r w:rsidR="00FE47FC" w:rsidRPr="00D304EA">
        <w:rPr>
          <w:rFonts w:cstheme="minorHAnsi"/>
        </w:rPr>
        <w:t xml:space="preserve">to </w:t>
      </w:r>
      <w:r w:rsidR="00747E24" w:rsidRPr="00D304EA">
        <w:rPr>
          <w:rFonts w:cstheme="minorHAnsi"/>
        </w:rPr>
        <w:t xml:space="preserve">exclude people with </w:t>
      </w:r>
      <w:r w:rsidR="009C0393" w:rsidRPr="00D304EA">
        <w:rPr>
          <w:rFonts w:cstheme="minorHAnsi"/>
        </w:rPr>
        <w:t xml:space="preserve">previous injuries should be noted when considering these findings. </w:t>
      </w:r>
      <w:r w:rsidR="00FE47FC" w:rsidRPr="00D304EA">
        <w:rPr>
          <w:rFonts w:cstheme="minorHAnsi"/>
        </w:rPr>
        <w:t xml:space="preserve">Such approaches are likely to exclude a significant portion of the population who </w:t>
      </w:r>
      <w:r w:rsidR="00E26E86" w:rsidRPr="00D304EA">
        <w:rPr>
          <w:rFonts w:cstheme="minorHAnsi"/>
        </w:rPr>
        <w:t xml:space="preserve">live with </w:t>
      </w:r>
      <w:r w:rsidR="00D156B8" w:rsidRPr="00D304EA">
        <w:rPr>
          <w:rFonts w:cstheme="minorHAnsi"/>
        </w:rPr>
        <w:t>un</w:t>
      </w:r>
      <w:r w:rsidR="00E26E86" w:rsidRPr="00D304EA">
        <w:rPr>
          <w:rFonts w:cstheme="minorHAnsi"/>
        </w:rPr>
        <w:t>diagnosed pain (The Royal Osteoporosis Society, 2021), but are methodological alternative</w:t>
      </w:r>
      <w:r w:rsidR="00D156B8" w:rsidRPr="00D304EA">
        <w:rPr>
          <w:rFonts w:cstheme="minorHAnsi"/>
        </w:rPr>
        <w:t>s</w:t>
      </w:r>
      <w:r w:rsidR="00E26E86" w:rsidRPr="00D304EA">
        <w:rPr>
          <w:rFonts w:cstheme="minorHAnsi"/>
        </w:rPr>
        <w:t xml:space="preserve"> that future research may consider</w:t>
      </w:r>
      <w:r w:rsidR="00D156B8" w:rsidRPr="00D304EA">
        <w:rPr>
          <w:rFonts w:cstheme="minorHAnsi"/>
        </w:rPr>
        <w:t>.</w:t>
      </w:r>
      <w:r w:rsidR="000A5416" w:rsidRPr="00D304EA">
        <w:rPr>
          <w:rFonts w:cstheme="minorHAnsi"/>
        </w:rPr>
        <w:t xml:space="preserve"> </w:t>
      </w:r>
    </w:p>
    <w:p w14:paraId="68A7951D" w14:textId="77777777" w:rsidR="00655E4E" w:rsidRPr="0073774C" w:rsidRDefault="00655E4E" w:rsidP="00C2284F">
      <w:pPr>
        <w:spacing w:line="480" w:lineRule="auto"/>
        <w:jc w:val="both"/>
        <w:rPr>
          <w:rFonts w:cstheme="minorHAnsi"/>
          <w:sz w:val="22"/>
          <w:szCs w:val="22"/>
        </w:rPr>
      </w:pPr>
    </w:p>
    <w:p w14:paraId="43A2847E" w14:textId="6F27C9AC" w:rsidR="002A7D27" w:rsidRDefault="002A7D27" w:rsidP="002A7D27">
      <w:pPr>
        <w:rPr>
          <w:rFonts w:cstheme="minorHAnsi"/>
          <w:b/>
          <w:bCs/>
        </w:rPr>
      </w:pPr>
      <w:r w:rsidRPr="007B1053">
        <w:rPr>
          <w:rFonts w:cstheme="minorHAnsi"/>
          <w:b/>
          <w:bCs/>
        </w:rPr>
        <w:t>Conclusion</w:t>
      </w:r>
    </w:p>
    <w:p w14:paraId="0E89361A" w14:textId="77777777" w:rsidR="00C2284F" w:rsidRDefault="00C2284F" w:rsidP="002A7D27">
      <w:pPr>
        <w:rPr>
          <w:rFonts w:cstheme="minorHAnsi"/>
          <w:b/>
          <w:bCs/>
        </w:rPr>
      </w:pPr>
    </w:p>
    <w:p w14:paraId="3D02F5C4" w14:textId="39E7A6F2" w:rsidR="006475C5" w:rsidRPr="000622C3" w:rsidRDefault="00C2284F" w:rsidP="006475C5">
      <w:pPr>
        <w:spacing w:line="480" w:lineRule="auto"/>
        <w:ind w:firstLine="720"/>
        <w:jc w:val="both"/>
        <w:rPr>
          <w:rFonts w:cstheme="minorHAnsi"/>
        </w:rPr>
      </w:pPr>
      <w:r>
        <w:rPr>
          <w:rFonts w:cstheme="minorHAnsi"/>
          <w:b/>
          <w:bCs/>
        </w:rPr>
        <w:tab/>
      </w:r>
      <w:r w:rsidR="002672FB">
        <w:rPr>
          <w:rFonts w:cstheme="minorHAnsi"/>
        </w:rPr>
        <w:t xml:space="preserve">This study </w:t>
      </w:r>
      <w:r w:rsidR="00E07F6E">
        <w:rPr>
          <w:rFonts w:cstheme="minorHAnsi"/>
        </w:rPr>
        <w:t>conduct</w:t>
      </w:r>
      <w:r w:rsidR="000D2EB3">
        <w:rPr>
          <w:rFonts w:cstheme="minorHAnsi"/>
        </w:rPr>
        <w:t>s the first</w:t>
      </w:r>
      <w:r w:rsidR="00E07F6E">
        <w:rPr>
          <w:rFonts w:cstheme="minorHAnsi"/>
        </w:rPr>
        <w:t xml:space="preserve"> statistical </w:t>
      </w:r>
      <w:r w:rsidR="00B94A64">
        <w:rPr>
          <w:rFonts w:cstheme="minorHAnsi"/>
        </w:rPr>
        <w:t>analyses</w:t>
      </w:r>
      <w:r w:rsidR="00E07F6E">
        <w:rPr>
          <w:rFonts w:cstheme="minorHAnsi"/>
        </w:rPr>
        <w:t xml:space="preserve"> </w:t>
      </w:r>
      <w:r w:rsidR="00456647">
        <w:rPr>
          <w:rFonts w:cstheme="minorHAnsi"/>
        </w:rPr>
        <w:t>investigating</w:t>
      </w:r>
      <w:r w:rsidR="002672FB">
        <w:rPr>
          <w:rFonts w:cstheme="minorHAnsi"/>
        </w:rPr>
        <w:t xml:space="preserve"> </w:t>
      </w:r>
      <w:r w:rsidR="005F4607">
        <w:rPr>
          <w:rFonts w:cstheme="minorHAnsi"/>
        </w:rPr>
        <w:t>MSP and specific role demands for</w:t>
      </w:r>
      <w:r w:rsidR="001748B3">
        <w:rPr>
          <w:rFonts w:cstheme="minorHAnsi"/>
        </w:rPr>
        <w:t xml:space="preserve"> the</w:t>
      </w:r>
      <w:r w:rsidR="005F4607">
        <w:rPr>
          <w:rFonts w:cstheme="minorHAnsi"/>
        </w:rPr>
        <w:t xml:space="preserve"> E</w:t>
      </w:r>
      <w:r w:rsidR="00B82431">
        <w:rPr>
          <w:rFonts w:cstheme="minorHAnsi"/>
        </w:rPr>
        <w:t>C</w:t>
      </w:r>
      <w:r w:rsidR="005F4607">
        <w:rPr>
          <w:rFonts w:cstheme="minorHAnsi"/>
        </w:rPr>
        <w:t xml:space="preserve">E </w:t>
      </w:r>
      <w:r w:rsidR="001748B3">
        <w:rPr>
          <w:rFonts w:cstheme="minorHAnsi"/>
        </w:rPr>
        <w:t>workforce</w:t>
      </w:r>
      <w:r w:rsidR="000D2EB3">
        <w:rPr>
          <w:rFonts w:cstheme="minorHAnsi"/>
        </w:rPr>
        <w:t>,</w:t>
      </w:r>
      <w:r w:rsidR="00974B4A">
        <w:rPr>
          <w:rFonts w:cstheme="minorHAnsi"/>
        </w:rPr>
        <w:t xml:space="preserve"> </w:t>
      </w:r>
      <w:r w:rsidR="00456647">
        <w:rPr>
          <w:rFonts w:cstheme="minorHAnsi"/>
        </w:rPr>
        <w:t>evidenc</w:t>
      </w:r>
      <w:r w:rsidR="000D2EB3">
        <w:rPr>
          <w:rFonts w:cstheme="minorHAnsi"/>
        </w:rPr>
        <w:t>ing</w:t>
      </w:r>
      <w:r w:rsidR="00CD4DF5">
        <w:rPr>
          <w:rFonts w:cstheme="minorHAnsi"/>
        </w:rPr>
        <w:t xml:space="preserve"> </w:t>
      </w:r>
      <w:r w:rsidR="001748B3">
        <w:rPr>
          <w:rFonts w:cstheme="minorHAnsi"/>
        </w:rPr>
        <w:t xml:space="preserve">the </w:t>
      </w:r>
      <w:r w:rsidR="00CD4DF5">
        <w:rPr>
          <w:rFonts w:cstheme="minorHAnsi"/>
        </w:rPr>
        <w:t>significant</w:t>
      </w:r>
      <w:r w:rsidR="00456647">
        <w:rPr>
          <w:rFonts w:cstheme="minorHAnsi"/>
        </w:rPr>
        <w:t xml:space="preserve"> risks to MSK health faced by </w:t>
      </w:r>
      <w:r w:rsidR="00456647">
        <w:rPr>
          <w:rFonts w:cstheme="minorHAnsi"/>
        </w:rPr>
        <w:lastRenderedPageBreak/>
        <w:t xml:space="preserve">this </w:t>
      </w:r>
      <w:r w:rsidR="00CD4DF5">
        <w:rPr>
          <w:rFonts w:cstheme="minorHAnsi"/>
        </w:rPr>
        <w:t>population</w:t>
      </w:r>
      <w:r w:rsidR="00E07F6E">
        <w:rPr>
          <w:rFonts w:cstheme="minorHAnsi"/>
        </w:rPr>
        <w:t xml:space="preserve">. </w:t>
      </w:r>
      <w:r w:rsidR="00B94A64">
        <w:rPr>
          <w:rFonts w:cstheme="minorHAnsi"/>
        </w:rPr>
        <w:t>It include</w:t>
      </w:r>
      <w:r w:rsidR="006C2137">
        <w:rPr>
          <w:rFonts w:cstheme="minorHAnsi"/>
        </w:rPr>
        <w:t>s the first</w:t>
      </w:r>
      <w:r w:rsidR="00B94A64">
        <w:rPr>
          <w:rFonts w:cstheme="minorHAnsi"/>
        </w:rPr>
        <w:t xml:space="preserve"> measures of pain duration and onset</w:t>
      </w:r>
      <w:r w:rsidR="006F1F39">
        <w:rPr>
          <w:rFonts w:cstheme="minorHAnsi"/>
        </w:rPr>
        <w:t xml:space="preserve">, </w:t>
      </w:r>
      <w:r w:rsidR="00F94A27">
        <w:rPr>
          <w:rFonts w:cstheme="minorHAnsi"/>
        </w:rPr>
        <w:t>reveal</w:t>
      </w:r>
      <w:r w:rsidR="00E925EC">
        <w:rPr>
          <w:rFonts w:cstheme="minorHAnsi"/>
        </w:rPr>
        <w:t>ing</w:t>
      </w:r>
      <w:r w:rsidR="00F94A27">
        <w:rPr>
          <w:rFonts w:cstheme="minorHAnsi"/>
        </w:rPr>
        <w:t xml:space="preserve"> </w:t>
      </w:r>
      <w:r w:rsidR="0096140C">
        <w:rPr>
          <w:rFonts w:cstheme="minorHAnsi"/>
        </w:rPr>
        <w:t>significant amount</w:t>
      </w:r>
      <w:r w:rsidR="0006381E">
        <w:rPr>
          <w:rFonts w:cstheme="minorHAnsi"/>
        </w:rPr>
        <w:t>s</w:t>
      </w:r>
      <w:r w:rsidR="006C2137">
        <w:rPr>
          <w:rFonts w:cstheme="minorHAnsi"/>
        </w:rPr>
        <w:t xml:space="preserve"> of pain </w:t>
      </w:r>
      <w:r w:rsidR="00A94CE4">
        <w:rPr>
          <w:rFonts w:cstheme="minorHAnsi"/>
        </w:rPr>
        <w:t>with chronic characteristics</w:t>
      </w:r>
      <w:r w:rsidR="0006381E">
        <w:rPr>
          <w:rFonts w:cstheme="minorHAnsi"/>
        </w:rPr>
        <w:t xml:space="preserve">. </w:t>
      </w:r>
      <w:r w:rsidR="005B3BD6">
        <w:rPr>
          <w:rFonts w:cstheme="minorHAnsi"/>
        </w:rPr>
        <w:t xml:space="preserve">The ability to predict </w:t>
      </w:r>
      <w:r w:rsidR="006537C3">
        <w:rPr>
          <w:rFonts w:cstheme="minorHAnsi"/>
        </w:rPr>
        <w:t>sick</w:t>
      </w:r>
      <w:r w:rsidR="007E71A5">
        <w:rPr>
          <w:rFonts w:cstheme="minorHAnsi"/>
        </w:rPr>
        <w:t xml:space="preserve">ness absence </w:t>
      </w:r>
      <w:r w:rsidR="006537C3">
        <w:rPr>
          <w:rFonts w:cstheme="minorHAnsi"/>
        </w:rPr>
        <w:t xml:space="preserve">or </w:t>
      </w:r>
      <w:r w:rsidR="007E71A5">
        <w:rPr>
          <w:rFonts w:cstheme="minorHAnsi"/>
        </w:rPr>
        <w:t>consideration of</w:t>
      </w:r>
      <w:r w:rsidR="006537C3">
        <w:rPr>
          <w:rFonts w:cstheme="minorHAnsi"/>
        </w:rPr>
        <w:t xml:space="preserve"> </w:t>
      </w:r>
      <w:r w:rsidR="007E71A5">
        <w:rPr>
          <w:rFonts w:cstheme="minorHAnsi"/>
        </w:rPr>
        <w:t xml:space="preserve">leaving ECE </w:t>
      </w:r>
      <w:r w:rsidR="006537C3">
        <w:rPr>
          <w:rFonts w:cstheme="minorHAnsi"/>
        </w:rPr>
        <w:t xml:space="preserve">based on these </w:t>
      </w:r>
      <w:r w:rsidR="001748B3">
        <w:rPr>
          <w:rFonts w:cstheme="minorHAnsi"/>
        </w:rPr>
        <w:t xml:space="preserve">measures </w:t>
      </w:r>
      <w:r w:rsidR="006537C3">
        <w:rPr>
          <w:rFonts w:cstheme="minorHAnsi"/>
        </w:rPr>
        <w:t xml:space="preserve">and other factors </w:t>
      </w:r>
      <w:r w:rsidR="000D2EB3">
        <w:rPr>
          <w:rFonts w:cstheme="minorHAnsi"/>
        </w:rPr>
        <w:t>is</w:t>
      </w:r>
      <w:r w:rsidR="006537C3">
        <w:rPr>
          <w:rFonts w:cstheme="minorHAnsi"/>
        </w:rPr>
        <w:t xml:space="preserve"> demonstrated</w:t>
      </w:r>
      <w:r w:rsidR="001966C3">
        <w:rPr>
          <w:rFonts w:cstheme="minorHAnsi"/>
        </w:rPr>
        <w:t xml:space="preserve">, </w:t>
      </w:r>
      <w:r w:rsidR="000D2EB3">
        <w:rPr>
          <w:rFonts w:cstheme="minorHAnsi"/>
        </w:rPr>
        <w:t>alongside</w:t>
      </w:r>
      <w:r w:rsidR="0013479B">
        <w:rPr>
          <w:rFonts w:cstheme="minorHAnsi"/>
        </w:rPr>
        <w:t xml:space="preserve"> </w:t>
      </w:r>
      <w:r w:rsidR="000D2EB3">
        <w:rPr>
          <w:rFonts w:cstheme="minorHAnsi"/>
        </w:rPr>
        <w:t xml:space="preserve">some </w:t>
      </w:r>
      <w:r w:rsidR="0013479B">
        <w:rPr>
          <w:rFonts w:cstheme="minorHAnsi"/>
        </w:rPr>
        <w:t>key</w:t>
      </w:r>
      <w:r w:rsidR="001966C3">
        <w:rPr>
          <w:rFonts w:cstheme="minorHAnsi"/>
        </w:rPr>
        <w:t xml:space="preserve"> differences between those in leadership and practitioner roles</w:t>
      </w:r>
      <w:r w:rsidR="001748B3">
        <w:rPr>
          <w:rFonts w:cstheme="minorHAnsi"/>
        </w:rPr>
        <w:t>.</w:t>
      </w:r>
      <w:r w:rsidR="00360C38">
        <w:rPr>
          <w:rFonts w:cstheme="minorHAnsi"/>
        </w:rPr>
        <w:t xml:space="preserve"> </w:t>
      </w:r>
      <w:r w:rsidR="001748B3">
        <w:rPr>
          <w:rFonts w:cstheme="minorHAnsi"/>
        </w:rPr>
        <w:t>A</w:t>
      </w:r>
      <w:r w:rsidR="00360C38">
        <w:rPr>
          <w:rFonts w:cstheme="minorHAnsi"/>
        </w:rPr>
        <w:t xml:space="preserve"> greater duration of emp</w:t>
      </w:r>
      <w:r w:rsidR="00E54FDC">
        <w:rPr>
          <w:rFonts w:cstheme="minorHAnsi"/>
        </w:rPr>
        <w:t xml:space="preserve">loyment is </w:t>
      </w:r>
      <w:r w:rsidR="001748B3">
        <w:rPr>
          <w:rFonts w:cstheme="minorHAnsi"/>
        </w:rPr>
        <w:t xml:space="preserve">also </w:t>
      </w:r>
      <w:r w:rsidR="00E54FDC">
        <w:rPr>
          <w:rFonts w:cstheme="minorHAnsi"/>
        </w:rPr>
        <w:t>associated with a great</w:t>
      </w:r>
      <w:r w:rsidR="001748B3">
        <w:rPr>
          <w:rFonts w:cstheme="minorHAnsi"/>
        </w:rPr>
        <w:t>er</w:t>
      </w:r>
      <w:r w:rsidR="00E54FDC">
        <w:rPr>
          <w:rFonts w:cstheme="minorHAnsi"/>
        </w:rPr>
        <w:t xml:space="preserve"> number of pain locations</w:t>
      </w:r>
      <w:r w:rsidR="000D2EB3">
        <w:rPr>
          <w:rFonts w:cstheme="minorHAnsi"/>
        </w:rPr>
        <w:t>.</w:t>
      </w:r>
      <w:r w:rsidR="00C94210">
        <w:rPr>
          <w:rFonts w:cstheme="minorHAnsi"/>
        </w:rPr>
        <w:t xml:space="preserve"> The improved understanding and insight provided by these findings </w:t>
      </w:r>
      <w:r w:rsidR="00E54FDC">
        <w:rPr>
          <w:rFonts w:cstheme="minorHAnsi"/>
        </w:rPr>
        <w:t xml:space="preserve">is an important first step in moving towards </w:t>
      </w:r>
      <w:r w:rsidR="000E1EB2">
        <w:rPr>
          <w:rFonts w:cstheme="minorHAnsi"/>
        </w:rPr>
        <w:t>safer and healthier</w:t>
      </w:r>
      <w:r w:rsidR="00E54FDC">
        <w:rPr>
          <w:rFonts w:cstheme="minorHAnsi"/>
        </w:rPr>
        <w:t xml:space="preserve"> working practices and reducing the risks faced by individuals working in E</w:t>
      </w:r>
      <w:r w:rsidR="00B82431">
        <w:rPr>
          <w:rFonts w:cstheme="minorHAnsi"/>
        </w:rPr>
        <w:t>C</w:t>
      </w:r>
      <w:r w:rsidR="00E54FDC">
        <w:rPr>
          <w:rFonts w:cstheme="minorHAnsi"/>
        </w:rPr>
        <w:t xml:space="preserve">E. </w:t>
      </w:r>
      <w:r w:rsidR="00655E4E" w:rsidRPr="000622C3">
        <w:rPr>
          <w:rFonts w:cstheme="minorHAnsi"/>
        </w:rPr>
        <w:t>To have a reasonable chance of effecting change, interventions and measures need to be multipronged, combining behavioural, environmental/ergonomic, and role</w:t>
      </w:r>
      <w:r w:rsidR="00655E4E">
        <w:rPr>
          <w:rFonts w:cstheme="minorHAnsi"/>
        </w:rPr>
        <w:t>-</w:t>
      </w:r>
      <w:r w:rsidR="00655E4E" w:rsidRPr="000622C3">
        <w:rPr>
          <w:rFonts w:cstheme="minorHAnsi"/>
        </w:rPr>
        <w:t xml:space="preserve">related actions to meaningfully reduce MSK risk, as noted by Erick and Smith (2014) and Cheng et al. (2016). </w:t>
      </w:r>
      <w:r w:rsidR="006475C5" w:rsidRPr="006475C5">
        <w:rPr>
          <w:rFonts w:cstheme="minorHAnsi"/>
        </w:rPr>
        <w:t>The</w:t>
      </w:r>
      <w:r w:rsidR="006475C5" w:rsidRPr="000622C3">
        <w:rPr>
          <w:rFonts w:cstheme="minorHAnsi"/>
        </w:rPr>
        <w:t xml:space="preserve"> provision of appropriate environmental and behavioural interventions </w:t>
      </w:r>
      <w:r w:rsidR="001B3CB1" w:rsidRPr="000622C3">
        <w:rPr>
          <w:rFonts w:cstheme="minorHAnsi"/>
        </w:rPr>
        <w:t>has</w:t>
      </w:r>
      <w:r w:rsidR="006475C5" w:rsidRPr="000622C3">
        <w:rPr>
          <w:rFonts w:cstheme="minorHAnsi"/>
        </w:rPr>
        <w:t xml:space="preserve"> already been established to be effective in reducing incidence and risk (Shuai et al. 2014, Pillastrini et al., 2009). However, in the present study no significant relationship was found between greater provision of MSK protective measures and improved outcomes</w:t>
      </w:r>
      <w:r w:rsidR="009F711C">
        <w:rPr>
          <w:rFonts w:cstheme="minorHAnsi"/>
        </w:rPr>
        <w:t xml:space="preserve">, this may be due to lack of awareness by practitioners, and/or insufficient provision by </w:t>
      </w:r>
      <w:r w:rsidR="006525EC">
        <w:rPr>
          <w:rFonts w:cstheme="minorHAnsi"/>
        </w:rPr>
        <w:t>leaders</w:t>
      </w:r>
      <w:r w:rsidR="006475C5" w:rsidRPr="000622C3">
        <w:rPr>
          <w:rFonts w:cstheme="minorHAnsi"/>
        </w:rPr>
        <w:t>. Future investigation should aim to understand what type o</w:t>
      </w:r>
      <w:r w:rsidR="00655E4E">
        <w:rPr>
          <w:rFonts w:cstheme="minorHAnsi"/>
        </w:rPr>
        <w:t>r</w:t>
      </w:r>
      <w:r w:rsidR="006475C5" w:rsidRPr="000622C3">
        <w:rPr>
          <w:rFonts w:cstheme="minorHAnsi"/>
        </w:rPr>
        <w:t xml:space="preserve"> combination and level of intervention might be effective in achieving th</w:t>
      </w:r>
      <w:r w:rsidR="00655E4E">
        <w:rPr>
          <w:rFonts w:cstheme="minorHAnsi"/>
        </w:rPr>
        <w:t>ese</w:t>
      </w:r>
      <w:r w:rsidR="006475C5" w:rsidRPr="000622C3">
        <w:rPr>
          <w:rFonts w:cstheme="minorHAnsi"/>
        </w:rPr>
        <w:t xml:space="preserve"> aim</w:t>
      </w:r>
      <w:r w:rsidR="00655E4E">
        <w:rPr>
          <w:rFonts w:cstheme="minorHAnsi"/>
        </w:rPr>
        <w:t>s</w:t>
      </w:r>
      <w:r w:rsidR="006475C5" w:rsidRPr="000622C3">
        <w:rPr>
          <w:rFonts w:cstheme="minorHAnsi"/>
        </w:rPr>
        <w:t>.</w:t>
      </w:r>
      <w:r w:rsidR="006475C5">
        <w:rPr>
          <w:rFonts w:cstheme="minorHAnsi"/>
        </w:rPr>
        <w:t xml:space="preserve"> </w:t>
      </w:r>
      <w:r w:rsidR="003A258D">
        <w:rPr>
          <w:rFonts w:cstheme="minorHAnsi"/>
        </w:rPr>
        <w:t xml:space="preserve">Improvements in the protection and promotion of </w:t>
      </w:r>
      <w:r w:rsidR="00242F9B">
        <w:rPr>
          <w:rFonts w:cstheme="minorHAnsi"/>
        </w:rPr>
        <w:t>physical</w:t>
      </w:r>
      <w:r w:rsidR="003A258D">
        <w:rPr>
          <w:rFonts w:cstheme="minorHAnsi"/>
        </w:rPr>
        <w:t xml:space="preserve"> health </w:t>
      </w:r>
      <w:r w:rsidR="00655E4E">
        <w:rPr>
          <w:rFonts w:cstheme="minorHAnsi"/>
        </w:rPr>
        <w:t xml:space="preserve">and workplace safety </w:t>
      </w:r>
      <w:r w:rsidR="003A258D">
        <w:rPr>
          <w:rFonts w:cstheme="minorHAnsi"/>
        </w:rPr>
        <w:t>in the E</w:t>
      </w:r>
      <w:r w:rsidR="00B82431">
        <w:rPr>
          <w:rFonts w:cstheme="minorHAnsi"/>
        </w:rPr>
        <w:t>C</w:t>
      </w:r>
      <w:r w:rsidR="003A258D">
        <w:rPr>
          <w:rFonts w:cstheme="minorHAnsi"/>
        </w:rPr>
        <w:t>E sector</w:t>
      </w:r>
      <w:r w:rsidR="00242F9B">
        <w:rPr>
          <w:rFonts w:cstheme="minorHAnsi"/>
        </w:rPr>
        <w:t xml:space="preserve"> will not only serve to improve the </w:t>
      </w:r>
      <w:r w:rsidR="00E57E9E">
        <w:rPr>
          <w:rFonts w:cstheme="minorHAnsi"/>
        </w:rPr>
        <w:t>quality o</w:t>
      </w:r>
      <w:r w:rsidR="00655E4E">
        <w:rPr>
          <w:rFonts w:cstheme="minorHAnsi"/>
        </w:rPr>
        <w:t>f</w:t>
      </w:r>
      <w:r w:rsidR="00E57E9E">
        <w:rPr>
          <w:rFonts w:cstheme="minorHAnsi"/>
        </w:rPr>
        <w:t xml:space="preserve"> professional and personal lives of</w:t>
      </w:r>
      <w:r w:rsidR="00655E4E">
        <w:rPr>
          <w:rFonts w:cstheme="minorHAnsi"/>
        </w:rPr>
        <w:t xml:space="preserve"> the workforce</w:t>
      </w:r>
      <w:r w:rsidR="00E57E9E">
        <w:rPr>
          <w:rFonts w:cstheme="minorHAnsi"/>
        </w:rPr>
        <w:t xml:space="preserve">, but also enable a higher quality of care </w:t>
      </w:r>
      <w:r w:rsidR="00655E4E">
        <w:rPr>
          <w:rFonts w:cstheme="minorHAnsi"/>
        </w:rPr>
        <w:t xml:space="preserve">and education </w:t>
      </w:r>
      <w:r w:rsidR="00E57E9E">
        <w:rPr>
          <w:rFonts w:cstheme="minorHAnsi"/>
        </w:rPr>
        <w:t xml:space="preserve">to be delivered to children </w:t>
      </w:r>
      <w:r w:rsidR="00655E4E">
        <w:rPr>
          <w:rFonts w:cstheme="minorHAnsi"/>
        </w:rPr>
        <w:t xml:space="preserve">in addition </w:t>
      </w:r>
      <w:r w:rsidR="00CB4950">
        <w:rPr>
          <w:rFonts w:cstheme="minorHAnsi"/>
        </w:rPr>
        <w:t>to helping</w:t>
      </w:r>
      <w:r w:rsidR="00E57E9E">
        <w:rPr>
          <w:rFonts w:cstheme="minorHAnsi"/>
        </w:rPr>
        <w:t xml:space="preserve"> address </w:t>
      </w:r>
      <w:r w:rsidR="007B6D55">
        <w:rPr>
          <w:rFonts w:cstheme="minorHAnsi"/>
        </w:rPr>
        <w:t xml:space="preserve">the significant staffing challenges faced by this sector. </w:t>
      </w:r>
    </w:p>
    <w:p w14:paraId="78DD42E9" w14:textId="359B3566" w:rsidR="005B3BD6" w:rsidRDefault="005B3BD6" w:rsidP="009E7665">
      <w:pPr>
        <w:spacing w:line="480" w:lineRule="auto"/>
        <w:ind w:firstLine="720"/>
        <w:jc w:val="both"/>
        <w:rPr>
          <w:rFonts w:cstheme="minorHAnsi"/>
        </w:rPr>
      </w:pPr>
    </w:p>
    <w:p w14:paraId="148AD89A" w14:textId="77777777" w:rsidR="005B3BD6" w:rsidRDefault="005B3BD6" w:rsidP="009E7665">
      <w:pPr>
        <w:spacing w:line="480" w:lineRule="auto"/>
        <w:ind w:firstLine="720"/>
        <w:jc w:val="both"/>
        <w:rPr>
          <w:rFonts w:cstheme="minorHAnsi"/>
        </w:rPr>
      </w:pPr>
    </w:p>
    <w:p w14:paraId="0A42FD28" w14:textId="77777777" w:rsidR="00B94A64" w:rsidRDefault="00B94A64" w:rsidP="009E7665">
      <w:pPr>
        <w:spacing w:line="480" w:lineRule="auto"/>
        <w:ind w:firstLine="720"/>
        <w:jc w:val="both"/>
        <w:rPr>
          <w:rFonts w:cstheme="minorHAnsi"/>
        </w:rPr>
      </w:pPr>
    </w:p>
    <w:p w14:paraId="70FC392E" w14:textId="77777777" w:rsidR="002672FB" w:rsidRDefault="002672FB" w:rsidP="009E7665">
      <w:pPr>
        <w:spacing w:line="480" w:lineRule="auto"/>
        <w:ind w:firstLine="720"/>
        <w:jc w:val="both"/>
        <w:rPr>
          <w:rFonts w:cstheme="minorHAnsi"/>
        </w:rPr>
      </w:pPr>
    </w:p>
    <w:p w14:paraId="56379096" w14:textId="77777777" w:rsidR="002672FB" w:rsidRPr="002672FB" w:rsidRDefault="002672FB" w:rsidP="002A7D27">
      <w:pPr>
        <w:rPr>
          <w:rFonts w:cstheme="minorHAnsi"/>
        </w:rPr>
      </w:pPr>
    </w:p>
    <w:p w14:paraId="46603760" w14:textId="77777777" w:rsidR="00D54FDD" w:rsidRDefault="00D54FDD" w:rsidP="00E11CA4">
      <w:pPr>
        <w:spacing w:line="480" w:lineRule="auto"/>
        <w:ind w:firstLine="720"/>
        <w:jc w:val="both"/>
        <w:rPr>
          <w:rFonts w:cstheme="minorHAnsi"/>
          <w:sz w:val="22"/>
          <w:szCs w:val="22"/>
        </w:rPr>
      </w:pPr>
    </w:p>
    <w:p w14:paraId="4F833707" w14:textId="4932D24F" w:rsidR="00D54FDD" w:rsidRDefault="00D54FDD" w:rsidP="00E11CA4">
      <w:pPr>
        <w:spacing w:line="480" w:lineRule="auto"/>
        <w:ind w:firstLine="720"/>
        <w:jc w:val="both"/>
        <w:rPr>
          <w:rFonts w:cstheme="minorHAnsi"/>
          <w:sz w:val="22"/>
          <w:szCs w:val="22"/>
        </w:rPr>
      </w:pPr>
    </w:p>
    <w:p w14:paraId="75F97FE6" w14:textId="77777777" w:rsidR="00D54FDD" w:rsidRDefault="00D54FDD" w:rsidP="00E11CA4">
      <w:pPr>
        <w:spacing w:line="480" w:lineRule="auto"/>
        <w:ind w:firstLine="720"/>
        <w:jc w:val="both"/>
        <w:rPr>
          <w:rFonts w:cstheme="minorHAnsi"/>
          <w:sz w:val="22"/>
          <w:szCs w:val="22"/>
        </w:rPr>
      </w:pPr>
    </w:p>
    <w:p w14:paraId="1C3570BD" w14:textId="77777777" w:rsidR="00D54FDD" w:rsidRDefault="00D54FDD" w:rsidP="00E11CA4">
      <w:pPr>
        <w:spacing w:line="480" w:lineRule="auto"/>
        <w:ind w:firstLine="720"/>
        <w:jc w:val="both"/>
        <w:rPr>
          <w:rFonts w:cstheme="minorHAnsi"/>
          <w:sz w:val="22"/>
          <w:szCs w:val="22"/>
        </w:rPr>
      </w:pPr>
    </w:p>
    <w:p w14:paraId="18200F61" w14:textId="77777777" w:rsidR="002140EF" w:rsidRDefault="002140EF" w:rsidP="00E11CA4">
      <w:pPr>
        <w:spacing w:line="480" w:lineRule="auto"/>
        <w:ind w:firstLine="720"/>
        <w:jc w:val="both"/>
        <w:rPr>
          <w:rFonts w:cstheme="minorHAnsi"/>
          <w:sz w:val="22"/>
          <w:szCs w:val="22"/>
        </w:rPr>
      </w:pPr>
    </w:p>
    <w:p w14:paraId="4E856FC8" w14:textId="77777777" w:rsidR="00FF1445" w:rsidRDefault="00FF1445" w:rsidP="00E11CA4">
      <w:pPr>
        <w:spacing w:line="480" w:lineRule="auto"/>
        <w:ind w:firstLine="720"/>
        <w:jc w:val="both"/>
        <w:rPr>
          <w:rFonts w:cstheme="minorHAnsi"/>
          <w:sz w:val="22"/>
          <w:szCs w:val="22"/>
        </w:rPr>
      </w:pPr>
    </w:p>
    <w:p w14:paraId="7ED62D2F" w14:textId="77777777" w:rsidR="00EE2AD2" w:rsidRPr="0073774C" w:rsidRDefault="00EE2AD2" w:rsidP="00E11CA4">
      <w:pPr>
        <w:spacing w:line="480" w:lineRule="auto"/>
        <w:ind w:firstLine="720"/>
        <w:jc w:val="both"/>
        <w:rPr>
          <w:rFonts w:cstheme="minorHAnsi"/>
          <w:sz w:val="22"/>
          <w:szCs w:val="22"/>
        </w:rPr>
      </w:pPr>
    </w:p>
    <w:p w14:paraId="72F79AB1" w14:textId="77777777" w:rsidR="00FF28F8" w:rsidRDefault="00FF28F8">
      <w:pPr>
        <w:rPr>
          <w:b/>
          <w:bCs/>
        </w:rPr>
      </w:pPr>
      <w:r>
        <w:rPr>
          <w:b/>
          <w:bCs/>
        </w:rPr>
        <w:br w:type="page"/>
      </w:r>
    </w:p>
    <w:p w14:paraId="7E583DB9" w14:textId="643C28D7" w:rsidR="002A7D27" w:rsidRPr="0073774C" w:rsidRDefault="002A7D27" w:rsidP="00D54FDD">
      <w:pPr>
        <w:jc w:val="center"/>
      </w:pPr>
      <w:r w:rsidRPr="00D54FDD">
        <w:rPr>
          <w:b/>
          <w:bCs/>
        </w:rPr>
        <w:lastRenderedPageBreak/>
        <w:t>References</w:t>
      </w:r>
      <w:r w:rsidRPr="0073774C">
        <w:t>:</w:t>
      </w:r>
    </w:p>
    <w:p w14:paraId="1A44D453" w14:textId="77777777" w:rsidR="002A7D27" w:rsidRPr="0073774C" w:rsidRDefault="002A7D27" w:rsidP="002A7D27">
      <w:pPr>
        <w:rPr>
          <w:rFonts w:cstheme="minorHAnsi"/>
          <w:sz w:val="22"/>
          <w:szCs w:val="22"/>
        </w:rPr>
      </w:pPr>
    </w:p>
    <w:p w14:paraId="1AFFAF95" w14:textId="5934BBA3" w:rsidR="007006F0" w:rsidRPr="007006F0" w:rsidRDefault="007006F0" w:rsidP="007006F0">
      <w:pPr>
        <w:spacing w:line="480" w:lineRule="auto"/>
        <w:ind w:hanging="480"/>
      </w:pPr>
      <w:r>
        <w:t xml:space="preserve">Babbie, E. R. (2020). </w:t>
      </w:r>
      <w:r>
        <w:rPr>
          <w:i/>
          <w:iCs/>
        </w:rPr>
        <w:t>The Practice of Social Research</w:t>
      </w:r>
      <w:r>
        <w:t>. Cengage A</w:t>
      </w:r>
      <w:r w:rsidR="00A066FA">
        <w:t>U</w:t>
      </w:r>
      <w:r>
        <w:t>.</w:t>
      </w:r>
    </w:p>
    <w:p w14:paraId="66389A5E" w14:textId="5BA484AD" w:rsidR="002A7D27" w:rsidRPr="003E22B5" w:rsidRDefault="002A7D27" w:rsidP="002A7D27">
      <w:pPr>
        <w:spacing w:line="480" w:lineRule="auto"/>
        <w:ind w:hanging="480"/>
        <w:rPr>
          <w:rFonts w:cstheme="minorHAnsi"/>
        </w:rPr>
      </w:pPr>
      <w:r w:rsidRPr="003E22B5">
        <w:rPr>
          <w:rFonts w:cstheme="minorHAnsi"/>
        </w:rPr>
        <w:t>Bonetti, S. (2019). The early years workforce in England: a comparative analysis using the Labour Force Surv</w:t>
      </w:r>
      <w:r w:rsidR="00D15FF2">
        <w:rPr>
          <w:rFonts w:cstheme="minorHAnsi"/>
        </w:rPr>
        <w:t>ey</w:t>
      </w:r>
      <w:r w:rsidRPr="003E22B5">
        <w:rPr>
          <w:rFonts w:cstheme="minorHAnsi"/>
        </w:rPr>
        <w:t xml:space="preserve">. Retrieved 6.10.19 from </w:t>
      </w:r>
      <w:hyperlink r:id="rId9" w:history="1">
        <w:r w:rsidRPr="003E22B5">
          <w:rPr>
            <w:rStyle w:val="Hyperlink"/>
            <w:rFonts w:cstheme="minorHAnsi"/>
          </w:rPr>
          <w:t>https://dera.ioe.ac.uk/32759/1/The-early-years-workforce-in-England_EPI.pdf</w:t>
        </w:r>
      </w:hyperlink>
    </w:p>
    <w:p w14:paraId="6436992B" w14:textId="69A9ECE0" w:rsidR="00F864C8" w:rsidRDefault="00F864C8" w:rsidP="00F864C8">
      <w:pPr>
        <w:spacing w:line="480" w:lineRule="auto"/>
        <w:ind w:hanging="480"/>
      </w:pPr>
      <w:r>
        <w:t xml:space="preserve">Cardoso, J., Ribeiro, I., Araújo, T., Carvalho, F., &amp; Reis, E. (2009). Prevalence of musculoskeletal pain among teachers. </w:t>
      </w:r>
      <w:r>
        <w:rPr>
          <w:i/>
          <w:iCs/>
        </w:rPr>
        <w:t>Revista Brasileira de Epidemiologia</w:t>
      </w:r>
      <w:r>
        <w:t xml:space="preserve">, </w:t>
      </w:r>
      <w:r>
        <w:rPr>
          <w:i/>
          <w:iCs/>
        </w:rPr>
        <w:t>12</w:t>
      </w:r>
      <w:r>
        <w:t>, 1–10.</w:t>
      </w:r>
    </w:p>
    <w:p w14:paraId="71D04CF0" w14:textId="10F6B97D" w:rsidR="0090125C" w:rsidRPr="0090125C" w:rsidRDefault="0090125C" w:rsidP="0090125C">
      <w:pPr>
        <w:spacing w:line="480" w:lineRule="auto"/>
        <w:ind w:hanging="480"/>
      </w:pPr>
      <w:r w:rsidRPr="0090125C">
        <w:t xml:space="preserve">Cheng, </w:t>
      </w:r>
      <w:r w:rsidRPr="003E22B5">
        <w:rPr>
          <w:rFonts w:cstheme="minorHAnsi"/>
        </w:rPr>
        <w:t xml:space="preserve">H.-Y. K., </w:t>
      </w:r>
      <w:r w:rsidRPr="0090125C">
        <w:t xml:space="preserve">Cheng, C.-Y., &amp; Ju, Y.-Y. (2013). Work-related musculoskeletal disorders and ergonomic risk factors in early intervention educators. </w:t>
      </w:r>
      <w:r w:rsidRPr="0090125C">
        <w:rPr>
          <w:i/>
          <w:iCs/>
        </w:rPr>
        <w:t>Applied Ergonomics</w:t>
      </w:r>
      <w:r w:rsidRPr="0090125C">
        <w:t xml:space="preserve">, </w:t>
      </w:r>
      <w:r w:rsidRPr="0090125C">
        <w:rPr>
          <w:i/>
          <w:iCs/>
        </w:rPr>
        <w:t>44</w:t>
      </w:r>
      <w:r w:rsidRPr="0090125C">
        <w:t xml:space="preserve">(1), 134–141. </w:t>
      </w:r>
      <w:hyperlink r:id="rId10" w:history="1">
        <w:r w:rsidRPr="0090125C">
          <w:rPr>
            <w:color w:val="0000FF"/>
            <w:u w:val="single"/>
          </w:rPr>
          <w:t>https://doi.org/10.1016/j.apergo.2012.06.004</w:t>
        </w:r>
      </w:hyperlink>
    </w:p>
    <w:p w14:paraId="2486E9A2" w14:textId="4BFE31FB" w:rsidR="002A7D27" w:rsidRPr="003E22B5" w:rsidRDefault="002A7D27" w:rsidP="002A7D27">
      <w:pPr>
        <w:spacing w:line="480" w:lineRule="auto"/>
        <w:ind w:hanging="480"/>
        <w:rPr>
          <w:rFonts w:cstheme="minorHAnsi"/>
          <w:color w:val="0000FF"/>
          <w:u w:val="single"/>
        </w:rPr>
      </w:pPr>
      <w:r w:rsidRPr="003E22B5">
        <w:rPr>
          <w:rFonts w:cstheme="minorHAnsi"/>
        </w:rPr>
        <w:t xml:space="preserve">Cheng, H.-Y. K., Wong, M.-T., Yu, Y.-C., &amp; Ju, Y.-Y. (2016). Work-related musculoskeletal disorders and ergonomic risk factors in special education teachers and teacher’s aides. </w:t>
      </w:r>
      <w:r w:rsidRPr="003E22B5">
        <w:rPr>
          <w:rFonts w:cstheme="minorHAnsi"/>
          <w:i/>
          <w:iCs/>
        </w:rPr>
        <w:t>BMC Public Health</w:t>
      </w:r>
      <w:r w:rsidRPr="003E22B5">
        <w:rPr>
          <w:rFonts w:cstheme="minorHAnsi"/>
        </w:rPr>
        <w:t xml:space="preserve">, </w:t>
      </w:r>
      <w:r w:rsidRPr="003E22B5">
        <w:rPr>
          <w:rFonts w:cstheme="minorHAnsi"/>
          <w:i/>
          <w:iCs/>
        </w:rPr>
        <w:t>16</w:t>
      </w:r>
      <w:r w:rsidRPr="003E22B5">
        <w:rPr>
          <w:rFonts w:cstheme="minorHAnsi"/>
        </w:rPr>
        <w:t xml:space="preserve">(1), 137. </w:t>
      </w:r>
      <w:hyperlink r:id="rId11" w:history="1">
        <w:r w:rsidRPr="003E22B5">
          <w:rPr>
            <w:rFonts w:cstheme="minorHAnsi"/>
            <w:color w:val="0000FF"/>
            <w:u w:val="single"/>
          </w:rPr>
          <w:t>https://doi.org/10.1186/s12889-016-2777-7</w:t>
        </w:r>
      </w:hyperlink>
    </w:p>
    <w:p w14:paraId="1936942E" w14:textId="440FB85A" w:rsidR="00A36461" w:rsidRPr="003E22B5" w:rsidRDefault="00A36461" w:rsidP="002A7D27">
      <w:pPr>
        <w:spacing w:line="480" w:lineRule="auto"/>
        <w:ind w:hanging="480"/>
        <w:rPr>
          <w:rFonts w:cstheme="minorHAnsi"/>
        </w:rPr>
      </w:pPr>
      <w:r w:rsidRPr="003E22B5">
        <w:rPr>
          <w:rFonts w:cstheme="minorHAnsi"/>
        </w:rPr>
        <w:t>Cieza, A., Caus</w:t>
      </w:r>
      <w:r w:rsidR="003617D3">
        <w:rPr>
          <w:rFonts w:cstheme="minorHAnsi"/>
        </w:rPr>
        <w:t>ey</w:t>
      </w:r>
      <w:r w:rsidRPr="003E22B5">
        <w:rPr>
          <w:rFonts w:cstheme="minorHAnsi"/>
        </w:rPr>
        <w:t>, K., Kamenov, K., Hanson, S. W., Chatterji, S., &amp; Vos, T. (2020). Global estimates of the need for rehabilitation based on the Global Burden of Disease study 2019: a systematic analysis for the Global Burden of Disease Study 2019</w:t>
      </w:r>
      <w:r w:rsidRPr="003E22B5">
        <w:rPr>
          <w:rFonts w:cstheme="minorHAnsi"/>
          <w:i/>
          <w:iCs/>
        </w:rPr>
        <w:t>. The Lancet,</w:t>
      </w:r>
      <w:r w:rsidRPr="003E22B5">
        <w:rPr>
          <w:rFonts w:cstheme="minorHAnsi"/>
        </w:rPr>
        <w:t xml:space="preserve"> 396(10267), 2006-2017.</w:t>
      </w:r>
    </w:p>
    <w:p w14:paraId="02ED9E8A" w14:textId="6E688349" w:rsidR="00135A14" w:rsidRPr="00135A14" w:rsidRDefault="00135A14" w:rsidP="00135A14">
      <w:pPr>
        <w:spacing w:line="480" w:lineRule="auto"/>
        <w:ind w:hanging="480"/>
      </w:pPr>
      <w:r>
        <w:t xml:space="preserve">Cohen, J. (1988). </w:t>
      </w:r>
      <w:r>
        <w:rPr>
          <w:i/>
          <w:iCs/>
        </w:rPr>
        <w:t>J. Statistical Power Analysis in the Behavioral Sciences. 2nd Edition. Hillsdale (NJ): 1988.</w:t>
      </w:r>
      <w:r>
        <w:t xml:space="preserve"> (2nd Edition). Lawrence Erlbaum Associates.</w:t>
      </w:r>
    </w:p>
    <w:p w14:paraId="66BDAB64" w14:textId="29001335" w:rsidR="002A7D27" w:rsidRPr="003E22B5" w:rsidRDefault="002A7D27" w:rsidP="002A7D27">
      <w:pPr>
        <w:spacing w:line="480" w:lineRule="auto"/>
        <w:ind w:hanging="480"/>
        <w:rPr>
          <w:rFonts w:cstheme="minorHAnsi"/>
        </w:rPr>
      </w:pPr>
      <w:r w:rsidRPr="003E22B5">
        <w:rPr>
          <w:rFonts w:cstheme="minorHAnsi"/>
        </w:rPr>
        <w:t>Coledam, D. H. C., Júnior, R. P., Ribeiro, E. A. G., &amp; de Oliveira, A. R. (201</w:t>
      </w:r>
      <w:r w:rsidR="00B77283" w:rsidRPr="003E22B5">
        <w:rPr>
          <w:rFonts w:cstheme="minorHAnsi"/>
        </w:rPr>
        <w:t>9</w:t>
      </w:r>
      <w:r w:rsidRPr="003E22B5">
        <w:rPr>
          <w:rFonts w:cstheme="minorHAnsi"/>
        </w:rPr>
        <w:t xml:space="preserve">). Factors associated with musculoskeletal disorders and disability in elementary teachers: A cross-sectional study. </w:t>
      </w:r>
      <w:r w:rsidRPr="003E22B5">
        <w:rPr>
          <w:rFonts w:cstheme="minorHAnsi"/>
          <w:i/>
          <w:iCs/>
        </w:rPr>
        <w:t>Journal of Bodywork and Movement Therapies</w:t>
      </w:r>
      <w:r w:rsidRPr="003E22B5">
        <w:rPr>
          <w:rFonts w:cstheme="minorHAnsi"/>
        </w:rPr>
        <w:t>. 23. Pp.658-665</w:t>
      </w:r>
    </w:p>
    <w:p w14:paraId="3E611B72" w14:textId="06CC1DCD" w:rsidR="00833EB1" w:rsidRPr="003E22B5" w:rsidRDefault="00833EB1" w:rsidP="00833EB1">
      <w:pPr>
        <w:spacing w:line="480" w:lineRule="auto"/>
        <w:ind w:hanging="480"/>
      </w:pPr>
      <w:r w:rsidRPr="003E22B5">
        <w:t xml:space="preserve">Converso, D., Viotti, S., Sottimano, I., Cascio, V., &amp; Guidetti, G. (2018). Musculoskeletal disorders among preschool teachers: Analyzing the relationships among relational demands, </w:t>
      </w:r>
      <w:r w:rsidRPr="003E22B5">
        <w:lastRenderedPageBreak/>
        <w:t xml:space="preserve">work meaning, and intention to leave the job. </w:t>
      </w:r>
      <w:r w:rsidRPr="003E22B5">
        <w:rPr>
          <w:i/>
          <w:iCs/>
        </w:rPr>
        <w:t>BMC Musculoskeletal Disorders</w:t>
      </w:r>
      <w:r w:rsidRPr="003E22B5">
        <w:t xml:space="preserve">, </w:t>
      </w:r>
      <w:r w:rsidRPr="003E22B5">
        <w:rPr>
          <w:i/>
          <w:iCs/>
        </w:rPr>
        <w:t>19</w:t>
      </w:r>
      <w:r w:rsidRPr="003E22B5">
        <w:t xml:space="preserve">. </w:t>
      </w:r>
      <w:hyperlink r:id="rId12" w:history="1">
        <w:r w:rsidRPr="003E22B5">
          <w:rPr>
            <w:color w:val="0000FF"/>
            <w:u w:val="single"/>
          </w:rPr>
          <w:t>https://doi.org/10.1186/s12891-018-2081-z</w:t>
        </w:r>
      </w:hyperlink>
    </w:p>
    <w:p w14:paraId="436B5F8A" w14:textId="7719ED8A" w:rsidR="009B2960" w:rsidRPr="003E22B5" w:rsidRDefault="002A7D27" w:rsidP="00D90F1F">
      <w:pPr>
        <w:spacing w:line="480" w:lineRule="auto"/>
        <w:ind w:hanging="480"/>
        <w:rPr>
          <w:rStyle w:val="Hyperlink"/>
          <w:color w:val="auto"/>
          <w:u w:val="none"/>
        </w:rPr>
      </w:pPr>
      <w:r w:rsidRPr="003E22B5">
        <w:rPr>
          <w:rFonts w:cstheme="minorHAnsi"/>
        </w:rPr>
        <w:t>Department for Education, (20</w:t>
      </w:r>
      <w:r w:rsidR="00D90F1F" w:rsidRPr="003E22B5">
        <w:rPr>
          <w:rFonts w:cstheme="minorHAnsi"/>
        </w:rPr>
        <w:t>21</w:t>
      </w:r>
      <w:r w:rsidR="00597371" w:rsidRPr="003E22B5">
        <w:rPr>
          <w:rFonts w:cstheme="minorHAnsi"/>
        </w:rPr>
        <w:t>a</w:t>
      </w:r>
      <w:r w:rsidRPr="003E22B5">
        <w:rPr>
          <w:rFonts w:cstheme="minorHAnsi"/>
        </w:rPr>
        <w:t>). Statutory framework for the early years foundation stage. Recovered 6.1</w:t>
      </w:r>
      <w:r w:rsidR="00D90F1F" w:rsidRPr="003E22B5">
        <w:rPr>
          <w:rFonts w:cstheme="minorHAnsi"/>
        </w:rPr>
        <w:t>2</w:t>
      </w:r>
      <w:r w:rsidRPr="003E22B5">
        <w:rPr>
          <w:rFonts w:cstheme="minorHAnsi"/>
        </w:rPr>
        <w:t>.</w:t>
      </w:r>
      <w:r w:rsidR="00D90F1F" w:rsidRPr="003E22B5">
        <w:rPr>
          <w:rFonts w:cstheme="minorHAnsi"/>
        </w:rPr>
        <w:t>22</w:t>
      </w:r>
      <w:r w:rsidRPr="003E22B5">
        <w:rPr>
          <w:rFonts w:cstheme="minorHAnsi"/>
        </w:rPr>
        <w:t xml:space="preserve"> from </w:t>
      </w:r>
      <w:hyperlink r:id="rId13" w:history="1">
        <w:r w:rsidR="009B2960" w:rsidRPr="003E22B5">
          <w:rPr>
            <w:rStyle w:val="Hyperlink"/>
          </w:rPr>
          <w:t>https://www.gov.uk/government/publications/early-years-foundation-stage-framework--2</w:t>
        </w:r>
      </w:hyperlink>
    </w:p>
    <w:p w14:paraId="16536FC4" w14:textId="672DEAE6" w:rsidR="00D90F1F" w:rsidRPr="003E22B5" w:rsidRDefault="002A7D27" w:rsidP="00D90F1F">
      <w:pPr>
        <w:spacing w:line="480" w:lineRule="auto"/>
        <w:ind w:hanging="480"/>
        <w:rPr>
          <w:rFonts w:cstheme="minorHAnsi"/>
        </w:rPr>
      </w:pPr>
      <w:r w:rsidRPr="003E22B5">
        <w:rPr>
          <w:rFonts w:cstheme="minorHAnsi"/>
        </w:rPr>
        <w:t>Department for Education (2021</w:t>
      </w:r>
      <w:r w:rsidR="00597371" w:rsidRPr="003E22B5">
        <w:rPr>
          <w:rFonts w:cstheme="minorHAnsi"/>
        </w:rPr>
        <w:t>b</w:t>
      </w:r>
      <w:r w:rsidRPr="003E22B5">
        <w:rPr>
          <w:rFonts w:cstheme="minorHAnsi"/>
        </w:rPr>
        <w:t>). Childcare and early years providers surv</w:t>
      </w:r>
      <w:r w:rsidR="00A57540">
        <w:rPr>
          <w:rFonts w:cstheme="minorHAnsi"/>
        </w:rPr>
        <w:t>ey</w:t>
      </w:r>
      <w:r w:rsidRPr="003E22B5">
        <w:rPr>
          <w:rFonts w:cstheme="minorHAnsi"/>
        </w:rPr>
        <w:t xml:space="preserve">: 2021. Available at: </w:t>
      </w:r>
      <w:hyperlink r:id="rId14" w:history="1">
        <w:r w:rsidRPr="003E22B5">
          <w:rPr>
            <w:rFonts w:cstheme="minorHAnsi"/>
          </w:rPr>
          <w:t>https://www.gov.uk/government/statistics/childcare-and-early-years-providers-surv</w:t>
        </w:r>
        <w:r w:rsidR="00263B5A">
          <w:rPr>
            <w:rFonts w:cstheme="minorHAnsi"/>
          </w:rPr>
          <w:t>EE</w:t>
        </w:r>
        <w:r w:rsidRPr="003E22B5">
          <w:rPr>
            <w:rFonts w:cstheme="minorHAnsi"/>
          </w:rPr>
          <w:t>-2021</w:t>
        </w:r>
      </w:hyperlink>
    </w:p>
    <w:p w14:paraId="534E5A45" w14:textId="77777777" w:rsidR="00E735F1" w:rsidRPr="003E22B5" w:rsidRDefault="002A7D27" w:rsidP="00E735F1">
      <w:pPr>
        <w:spacing w:line="480" w:lineRule="auto"/>
        <w:ind w:hanging="480"/>
        <w:rPr>
          <w:rFonts w:cstheme="minorHAnsi"/>
        </w:rPr>
      </w:pPr>
      <w:r w:rsidRPr="003E22B5">
        <w:rPr>
          <w:rFonts w:cstheme="minorHAnsi"/>
        </w:rPr>
        <w:t xml:space="preserve">Department for Education (2022). The early years workforce: recruitment, retention, and business planning. </w:t>
      </w:r>
      <w:hyperlink r:id="rId15" w:history="1">
        <w:r w:rsidRPr="003E22B5">
          <w:rPr>
            <w:rFonts w:cstheme="minorHAnsi"/>
          </w:rPr>
          <w:t>https://www.gov.uk/government/publications/the-early-years-workforce-recruitment-retention-and-business-planning</w:t>
        </w:r>
      </w:hyperlink>
    </w:p>
    <w:p w14:paraId="04B4ECA4" w14:textId="221E8498" w:rsidR="008D6311" w:rsidRPr="003E22B5" w:rsidRDefault="00E735F1" w:rsidP="008D6311">
      <w:pPr>
        <w:spacing w:line="480" w:lineRule="auto"/>
        <w:ind w:hanging="480"/>
        <w:rPr>
          <w:rFonts w:cstheme="minorHAnsi"/>
        </w:rPr>
      </w:pPr>
      <w:r w:rsidRPr="003E22B5">
        <w:rPr>
          <w:rFonts w:cstheme="minorHAnsi"/>
        </w:rPr>
        <w:t xml:space="preserve">Early </w:t>
      </w:r>
      <w:r w:rsidR="00A57540">
        <w:rPr>
          <w:rFonts w:cstheme="minorHAnsi"/>
        </w:rPr>
        <w:t>Y</w:t>
      </w:r>
      <w:r w:rsidRPr="003E22B5">
        <w:rPr>
          <w:rFonts w:cstheme="minorHAnsi"/>
        </w:rPr>
        <w:t xml:space="preserve">ears </w:t>
      </w:r>
      <w:r w:rsidR="00A57540">
        <w:rPr>
          <w:rFonts w:cstheme="minorHAnsi"/>
        </w:rPr>
        <w:t>A</w:t>
      </w:r>
      <w:r w:rsidRPr="003E22B5">
        <w:rPr>
          <w:rFonts w:cstheme="minorHAnsi"/>
        </w:rPr>
        <w:t xml:space="preserve">lliance. (2021). Breaking Point: The impact of recruitment and retention challenges on the early years sector in England. Retrieved 1/12/22 from: </w:t>
      </w:r>
      <w:hyperlink r:id="rId16" w:history="1">
        <w:r w:rsidRPr="003E22B5">
          <w:rPr>
            <w:rStyle w:val="Hyperlink"/>
            <w:rFonts w:cstheme="minorHAnsi"/>
          </w:rPr>
          <w:t>https://www.</w:t>
        </w:r>
        <w:r w:rsidR="00263B5A">
          <w:rPr>
            <w:rStyle w:val="Hyperlink"/>
            <w:rFonts w:cstheme="minorHAnsi"/>
          </w:rPr>
          <w:t>EE</w:t>
        </w:r>
        <w:r w:rsidRPr="003E22B5">
          <w:rPr>
            <w:rStyle w:val="Hyperlink"/>
            <w:rFonts w:cstheme="minorHAnsi"/>
          </w:rPr>
          <w:t>alliance.org.uk/sites/default/files/breaking_point_report_early_years_alliance_2_december_2021.pdf</w:t>
        </w:r>
      </w:hyperlink>
    </w:p>
    <w:p w14:paraId="486DA8FD" w14:textId="743DC33A" w:rsidR="008D6311" w:rsidRPr="00A5001F" w:rsidRDefault="008D6311" w:rsidP="00A5001F">
      <w:pPr>
        <w:spacing w:line="480" w:lineRule="auto"/>
        <w:ind w:hanging="480"/>
        <w:rPr>
          <w:rFonts w:cstheme="minorHAnsi"/>
        </w:rPr>
      </w:pPr>
      <w:r w:rsidRPr="003E22B5">
        <w:rPr>
          <w:rFonts w:cstheme="minorHAnsi"/>
        </w:rPr>
        <w:t xml:space="preserve">Early </w:t>
      </w:r>
      <w:r w:rsidR="00A5001F">
        <w:rPr>
          <w:rFonts w:cstheme="minorHAnsi"/>
        </w:rPr>
        <w:t>Y</w:t>
      </w:r>
      <w:r w:rsidRPr="003E22B5">
        <w:rPr>
          <w:rFonts w:cstheme="minorHAnsi"/>
        </w:rPr>
        <w:t xml:space="preserve">ears </w:t>
      </w:r>
      <w:r w:rsidR="00A5001F">
        <w:rPr>
          <w:rFonts w:cstheme="minorHAnsi"/>
        </w:rPr>
        <w:t>A</w:t>
      </w:r>
      <w:r w:rsidRPr="003E22B5">
        <w:rPr>
          <w:rFonts w:cstheme="minorHAnsi"/>
        </w:rPr>
        <w:t xml:space="preserve">lliance. (2022). Prime Minister considering relaxing ratios, according to reports. Retrieved 1/1/23 from; </w:t>
      </w:r>
      <w:hyperlink r:id="rId17" w:history="1">
        <w:r w:rsidRPr="003E22B5">
          <w:rPr>
            <w:rStyle w:val="Hyperlink"/>
            <w:rFonts w:cstheme="minorHAnsi"/>
          </w:rPr>
          <w:t>https://www.</w:t>
        </w:r>
        <w:r w:rsidR="00263B5A">
          <w:rPr>
            <w:rStyle w:val="Hyperlink"/>
            <w:rFonts w:cstheme="minorHAnsi"/>
          </w:rPr>
          <w:t>EE</w:t>
        </w:r>
        <w:r w:rsidRPr="003E22B5">
          <w:rPr>
            <w:rStyle w:val="Hyperlink"/>
            <w:rFonts w:cstheme="minorHAnsi"/>
          </w:rPr>
          <w:t>alliance.org.uk/news/2022/04/prime-minister-considering-relaxing-ratios-according-reports</w:t>
        </w:r>
      </w:hyperlink>
    </w:p>
    <w:p w14:paraId="16E69D6D" w14:textId="1DCFD010" w:rsidR="00E735F1" w:rsidRPr="003E22B5" w:rsidRDefault="00E776D0" w:rsidP="00D90F1F">
      <w:pPr>
        <w:spacing w:line="480" w:lineRule="auto"/>
        <w:ind w:hanging="480"/>
        <w:rPr>
          <w:rFonts w:cstheme="minorHAnsi"/>
        </w:rPr>
      </w:pPr>
      <w:r w:rsidRPr="003E22B5">
        <w:rPr>
          <w:rFonts w:cstheme="minorHAnsi"/>
        </w:rPr>
        <w:t>Edwards, R. R., Dworkin, R. H., Sullivan, M. D., Turk, D. C., &amp; Wasan, A. D. (2016). The role of psychosocial processes in the development and maintenance of chronic pain. The Journal of Pain, 17(9), T70-T92</w:t>
      </w:r>
    </w:p>
    <w:p w14:paraId="635239B5" w14:textId="77777777" w:rsidR="002A7D27" w:rsidRPr="003E22B5" w:rsidRDefault="002A7D27" w:rsidP="002A7D27">
      <w:pPr>
        <w:spacing w:line="480" w:lineRule="auto"/>
        <w:ind w:hanging="480"/>
        <w:rPr>
          <w:rFonts w:cstheme="minorHAnsi"/>
        </w:rPr>
      </w:pPr>
      <w:r w:rsidRPr="003E22B5">
        <w:rPr>
          <w:rFonts w:cstheme="minorHAnsi"/>
        </w:rPr>
        <w:t xml:space="preserve">Erick, P. N., &amp; Smith, D. R. (2011). A systematic review of musculoskeletal disorders among school teachers. </w:t>
      </w:r>
      <w:r w:rsidRPr="003E22B5">
        <w:rPr>
          <w:rFonts w:cstheme="minorHAnsi"/>
          <w:i/>
          <w:iCs/>
        </w:rPr>
        <w:t>BMC Musculoskeletal Disorders</w:t>
      </w:r>
      <w:r w:rsidRPr="003E22B5">
        <w:rPr>
          <w:rFonts w:cstheme="minorHAnsi"/>
        </w:rPr>
        <w:t xml:space="preserve">, </w:t>
      </w:r>
      <w:r w:rsidRPr="003E22B5">
        <w:rPr>
          <w:rFonts w:cstheme="minorHAnsi"/>
          <w:i/>
          <w:iCs/>
        </w:rPr>
        <w:t>12</w:t>
      </w:r>
      <w:r w:rsidRPr="003E22B5">
        <w:rPr>
          <w:rFonts w:cstheme="minorHAnsi"/>
        </w:rPr>
        <w:t xml:space="preserve">(1), 260. </w:t>
      </w:r>
      <w:hyperlink r:id="rId18" w:history="1">
        <w:r w:rsidRPr="003E22B5">
          <w:rPr>
            <w:rFonts w:cstheme="minorHAnsi"/>
            <w:color w:val="0000FF"/>
            <w:u w:val="single"/>
          </w:rPr>
          <w:t>https://doi.org/10.1186/1471-2474-12-260</w:t>
        </w:r>
      </w:hyperlink>
    </w:p>
    <w:p w14:paraId="647CB064" w14:textId="77777777" w:rsidR="002A7D27" w:rsidRPr="003E22B5" w:rsidRDefault="002A7D27" w:rsidP="002A7D27">
      <w:pPr>
        <w:spacing w:line="480" w:lineRule="auto"/>
        <w:ind w:hanging="480"/>
        <w:rPr>
          <w:rFonts w:cstheme="minorHAnsi"/>
        </w:rPr>
      </w:pPr>
      <w:r w:rsidRPr="003E22B5">
        <w:rPr>
          <w:rFonts w:cstheme="minorHAnsi"/>
        </w:rPr>
        <w:lastRenderedPageBreak/>
        <w:t xml:space="preserve">Erick, P. N., &amp; Smith, D. R. (2014). Low back pain among school teachers in Botswana, prevalence and risk factors. </w:t>
      </w:r>
      <w:r w:rsidRPr="003E22B5">
        <w:rPr>
          <w:rFonts w:cstheme="minorHAnsi"/>
          <w:i/>
          <w:iCs/>
        </w:rPr>
        <w:t>BMC Musculoskeletal Disorders</w:t>
      </w:r>
      <w:r w:rsidRPr="003E22B5">
        <w:rPr>
          <w:rFonts w:cstheme="minorHAnsi"/>
        </w:rPr>
        <w:t xml:space="preserve">, </w:t>
      </w:r>
      <w:r w:rsidRPr="003E22B5">
        <w:rPr>
          <w:rFonts w:cstheme="minorHAnsi"/>
          <w:i/>
          <w:iCs/>
        </w:rPr>
        <w:t>15</w:t>
      </w:r>
      <w:r w:rsidRPr="003E22B5">
        <w:rPr>
          <w:rFonts w:cstheme="minorHAnsi"/>
        </w:rPr>
        <w:t xml:space="preserve">(1), 359. </w:t>
      </w:r>
      <w:hyperlink r:id="rId19" w:history="1">
        <w:r w:rsidRPr="003E22B5">
          <w:rPr>
            <w:rFonts w:cstheme="minorHAnsi"/>
            <w:color w:val="0000FF"/>
            <w:u w:val="single"/>
          </w:rPr>
          <w:t>https://doi.org/10.1186/1471-2474-15-359</w:t>
        </w:r>
      </w:hyperlink>
    </w:p>
    <w:p w14:paraId="1E87CBCA" w14:textId="77777777" w:rsidR="002A7D27" w:rsidRPr="003E22B5" w:rsidRDefault="002A7D27" w:rsidP="002A7D27">
      <w:pPr>
        <w:spacing w:line="480" w:lineRule="auto"/>
        <w:ind w:hanging="480"/>
        <w:rPr>
          <w:rFonts w:cstheme="minorHAnsi"/>
        </w:rPr>
      </w:pPr>
      <w:r w:rsidRPr="003E22B5">
        <w:rPr>
          <w:rFonts w:cstheme="minorHAnsi"/>
        </w:rPr>
        <w:t xml:space="preserve">Erick, P., &amp; Smith, D. (2013). Musculoskeletal disorder risk factors in the teaching profession: A critical review. </w:t>
      </w:r>
      <w:r w:rsidRPr="003E22B5">
        <w:rPr>
          <w:rFonts w:cstheme="minorHAnsi"/>
          <w:i/>
          <w:iCs/>
        </w:rPr>
        <w:t>Critical Review</w:t>
      </w:r>
      <w:r w:rsidRPr="003E22B5">
        <w:rPr>
          <w:rFonts w:cstheme="minorHAnsi"/>
        </w:rPr>
        <w:t>, 11.</w:t>
      </w:r>
    </w:p>
    <w:p w14:paraId="1F3A3379" w14:textId="2E50E338" w:rsidR="009C6995" w:rsidRPr="009C6995" w:rsidRDefault="009C6995" w:rsidP="009C6995">
      <w:pPr>
        <w:spacing w:line="480" w:lineRule="auto"/>
        <w:ind w:hanging="480"/>
      </w:pPr>
      <w:r>
        <w:t xml:space="preserve">Fowler, F. J. (2009). </w:t>
      </w:r>
      <w:r>
        <w:rPr>
          <w:i/>
          <w:iCs/>
        </w:rPr>
        <w:t>Survey Research Methods</w:t>
      </w:r>
      <w:r>
        <w:t>. SAGE. London</w:t>
      </w:r>
    </w:p>
    <w:p w14:paraId="5AA1C798" w14:textId="2A65D21C" w:rsidR="002A7D27" w:rsidRPr="003E22B5" w:rsidRDefault="002A7D27" w:rsidP="002A7D27">
      <w:pPr>
        <w:spacing w:line="480" w:lineRule="auto"/>
        <w:ind w:hanging="480"/>
        <w:rPr>
          <w:rFonts w:cstheme="minorHAnsi"/>
        </w:rPr>
      </w:pPr>
      <w:r w:rsidRPr="003E22B5">
        <w:rPr>
          <w:rFonts w:cstheme="minorHAnsi"/>
        </w:rPr>
        <w:t xml:space="preserve">Gallagher, S. (2005). Physical limitations and musculoskeletal complaints associated with work in unusual or restricted postures: a literature review. </w:t>
      </w:r>
      <w:r w:rsidRPr="003E22B5">
        <w:rPr>
          <w:rFonts w:cstheme="minorHAnsi"/>
          <w:i/>
          <w:iCs/>
        </w:rPr>
        <w:t>Journal of Safety Research</w:t>
      </w:r>
      <w:r w:rsidRPr="003E22B5">
        <w:rPr>
          <w:rFonts w:cstheme="minorHAnsi"/>
        </w:rPr>
        <w:t xml:space="preserve">, </w:t>
      </w:r>
      <w:r w:rsidRPr="003E22B5">
        <w:rPr>
          <w:rFonts w:cstheme="minorHAnsi"/>
          <w:i/>
          <w:iCs/>
        </w:rPr>
        <w:t>36</w:t>
      </w:r>
      <w:r w:rsidRPr="003E22B5">
        <w:rPr>
          <w:rFonts w:cstheme="minorHAnsi"/>
        </w:rPr>
        <w:t>(1), 51-61.</w:t>
      </w:r>
    </w:p>
    <w:p w14:paraId="0B72E970" w14:textId="77777777" w:rsidR="002A7D27" w:rsidRPr="003E22B5" w:rsidRDefault="002A7D27" w:rsidP="002A7D27">
      <w:pPr>
        <w:spacing w:line="480" w:lineRule="auto"/>
        <w:ind w:hanging="480"/>
        <w:rPr>
          <w:rFonts w:cstheme="minorHAnsi"/>
        </w:rPr>
      </w:pPr>
      <w:r w:rsidRPr="003E22B5">
        <w:rPr>
          <w:rFonts w:cstheme="minorHAnsi"/>
        </w:rPr>
        <w:t xml:space="preserve">GBD 2016 DALYs and HALE Collaborators. (2017). Global, regional, and national disability-adjusted life-years (DALYs) for 333 diseases and injuries and healthy life expectancy (HALE) for 195 countries and territories, 1990-2016: A systematic analysis for the Global Burden of Disease Study 2016. </w:t>
      </w:r>
      <w:r w:rsidRPr="003E22B5">
        <w:rPr>
          <w:rFonts w:cstheme="minorHAnsi"/>
          <w:i/>
          <w:iCs/>
        </w:rPr>
        <w:t>Lancet (London, England)</w:t>
      </w:r>
      <w:r w:rsidRPr="003E22B5">
        <w:rPr>
          <w:rFonts w:cstheme="minorHAnsi"/>
        </w:rPr>
        <w:t xml:space="preserve">, </w:t>
      </w:r>
      <w:r w:rsidRPr="003E22B5">
        <w:rPr>
          <w:rFonts w:cstheme="minorHAnsi"/>
          <w:i/>
          <w:iCs/>
        </w:rPr>
        <w:t>390</w:t>
      </w:r>
      <w:r w:rsidRPr="003E22B5">
        <w:rPr>
          <w:rFonts w:cstheme="minorHAnsi"/>
        </w:rPr>
        <w:t xml:space="preserve">(10100), 1260–1344. </w:t>
      </w:r>
      <w:hyperlink r:id="rId20" w:history="1">
        <w:r w:rsidRPr="003E22B5">
          <w:rPr>
            <w:rFonts w:cstheme="minorHAnsi"/>
            <w:color w:val="0000FF"/>
            <w:u w:val="single"/>
          </w:rPr>
          <w:t>https://doi.org/10.1016/S0140-6736(17)32130-X</w:t>
        </w:r>
      </w:hyperlink>
    </w:p>
    <w:p w14:paraId="34FEC90C" w14:textId="712D0946" w:rsidR="000B1611" w:rsidRPr="00601B95" w:rsidRDefault="002A7D27" w:rsidP="00601B95">
      <w:pPr>
        <w:spacing w:line="480" w:lineRule="auto"/>
        <w:ind w:hanging="480"/>
        <w:rPr>
          <w:rFonts w:cstheme="minorHAnsi"/>
          <w:lang w:val="en-US"/>
        </w:rPr>
      </w:pPr>
      <w:r w:rsidRPr="003E22B5">
        <w:rPr>
          <w:rFonts w:cstheme="minorHAnsi"/>
          <w:lang w:val="en-US"/>
        </w:rPr>
        <w:t>Grant, K.A., Habes, D.J., Tepper, A.L. (1995) Work activities and musculoskeletal</w:t>
      </w:r>
      <w:r w:rsidR="00833EB1" w:rsidRPr="003E22B5">
        <w:rPr>
          <w:rFonts w:cstheme="minorHAnsi"/>
          <w:lang w:val="en-US"/>
        </w:rPr>
        <w:t xml:space="preserve"> </w:t>
      </w:r>
      <w:r w:rsidRPr="003E22B5">
        <w:rPr>
          <w:rFonts w:cstheme="minorHAnsi"/>
          <w:lang w:val="en-US"/>
        </w:rPr>
        <w:t>complaints among preschool workers. Appl Ergon, 26(6):405-410.</w:t>
      </w:r>
    </w:p>
    <w:p w14:paraId="475F2D83" w14:textId="48940472" w:rsidR="000B1611" w:rsidRDefault="000B1611" w:rsidP="002A7D27">
      <w:pPr>
        <w:spacing w:line="480" w:lineRule="auto"/>
        <w:ind w:hanging="480"/>
        <w:rPr>
          <w:rFonts w:cstheme="minorHAnsi"/>
        </w:rPr>
      </w:pPr>
      <w:r w:rsidRPr="000B1611">
        <w:rPr>
          <w:rFonts w:cstheme="minorHAnsi"/>
        </w:rPr>
        <w:t>Guido, D., Leonardi, M., Mellor-Marsá, B., Moneta, M. V., Sanchez-Niubo, A., Tyrovolas, S., Giné-Vázquez, I., Haro, J. M., Chatterji, S., Bobak, M., Ayuso-Mateos, J. L., Arndt, H., Koupil, I., Bickenbach, J., Koskinen, S., Tobiasz-Adamczyk, B., Panagiotakos, D., &amp; Raggi, A. (2020). Pain rates in general population for the period 1991–2015 and 10-years prediction: Results from a multi-continent age-period-cohort analysis. The Journal of Headache and Pain, 21(1), 52. https://doi.org/10.1186/s10194-020-01108-3</w:t>
      </w:r>
    </w:p>
    <w:p w14:paraId="28C598CC" w14:textId="2D739D1D" w:rsidR="002A7D27" w:rsidRPr="003E22B5" w:rsidRDefault="002A7D27" w:rsidP="002A7D27">
      <w:pPr>
        <w:spacing w:line="480" w:lineRule="auto"/>
        <w:ind w:hanging="480"/>
        <w:rPr>
          <w:rFonts w:cstheme="minorHAnsi"/>
        </w:rPr>
      </w:pPr>
      <w:r w:rsidRPr="003E22B5">
        <w:rPr>
          <w:rFonts w:cstheme="minorHAnsi"/>
        </w:rPr>
        <w:t xml:space="preserve">Health and Safety Executive. 2011. Health and safety checklist for classrooms. Retrieved 2.10.2019 from: </w:t>
      </w:r>
      <w:hyperlink r:id="rId21" w:history="1">
        <w:r w:rsidRPr="003E22B5">
          <w:rPr>
            <w:rStyle w:val="Hyperlink"/>
            <w:rFonts w:cstheme="minorHAnsi"/>
          </w:rPr>
          <w:t>http://www.hse.gov.uk/risk/classroom-checklist.htm</w:t>
        </w:r>
      </w:hyperlink>
    </w:p>
    <w:p w14:paraId="4B673610" w14:textId="00EA0BF9" w:rsidR="000C14A7" w:rsidRPr="003E22B5" w:rsidRDefault="002A7D27" w:rsidP="000C14A7">
      <w:pPr>
        <w:spacing w:line="480" w:lineRule="auto"/>
        <w:ind w:hanging="480"/>
      </w:pPr>
      <w:r w:rsidRPr="003E22B5">
        <w:rPr>
          <w:rFonts w:cstheme="minorHAnsi"/>
        </w:rPr>
        <w:lastRenderedPageBreak/>
        <w:t>Health and Safety Executive. 20</w:t>
      </w:r>
      <w:r w:rsidR="008E307D" w:rsidRPr="003E22B5">
        <w:rPr>
          <w:rFonts w:cstheme="minorHAnsi"/>
        </w:rPr>
        <w:t>22</w:t>
      </w:r>
      <w:r w:rsidR="000A3F1D" w:rsidRPr="003E22B5">
        <w:rPr>
          <w:rFonts w:cstheme="minorHAnsi"/>
        </w:rPr>
        <w:t>a</w:t>
      </w:r>
      <w:r w:rsidRPr="003E22B5">
        <w:rPr>
          <w:rFonts w:cstheme="minorHAnsi"/>
        </w:rPr>
        <w:t>. Work related musculoskeletal disorders in Great Britain (WRMSDs), 20</w:t>
      </w:r>
      <w:r w:rsidR="00980D9C" w:rsidRPr="003E22B5">
        <w:rPr>
          <w:rFonts w:cstheme="minorHAnsi"/>
        </w:rPr>
        <w:t>22</w:t>
      </w:r>
      <w:r w:rsidRPr="003E22B5">
        <w:rPr>
          <w:rFonts w:cstheme="minorHAnsi"/>
        </w:rPr>
        <w:t xml:space="preserve">. Retrieved </w:t>
      </w:r>
      <w:r w:rsidR="00F92B4C" w:rsidRPr="003E22B5">
        <w:rPr>
          <w:rFonts w:cstheme="minorHAnsi"/>
        </w:rPr>
        <w:t>1</w:t>
      </w:r>
      <w:r w:rsidRPr="003E22B5">
        <w:rPr>
          <w:rFonts w:cstheme="minorHAnsi"/>
        </w:rPr>
        <w:t>.1</w:t>
      </w:r>
      <w:r w:rsidR="00F92B4C" w:rsidRPr="003E22B5">
        <w:rPr>
          <w:rFonts w:cstheme="minorHAnsi"/>
        </w:rPr>
        <w:t>2</w:t>
      </w:r>
      <w:r w:rsidRPr="003E22B5">
        <w:rPr>
          <w:rFonts w:cstheme="minorHAnsi"/>
        </w:rPr>
        <w:t>.20</w:t>
      </w:r>
      <w:r w:rsidR="00F92B4C" w:rsidRPr="003E22B5">
        <w:rPr>
          <w:rFonts w:cstheme="minorHAnsi"/>
        </w:rPr>
        <w:t>22</w:t>
      </w:r>
      <w:r w:rsidRPr="003E22B5">
        <w:rPr>
          <w:rFonts w:cstheme="minorHAnsi"/>
        </w:rPr>
        <w:t xml:space="preserve"> from: </w:t>
      </w:r>
      <w:hyperlink r:id="rId22" w:history="1">
        <w:r w:rsidR="000C14A7" w:rsidRPr="003E22B5">
          <w:rPr>
            <w:rStyle w:val="Hyperlink"/>
          </w:rPr>
          <w:t>https://www.hse.gov.uk/statistics/causdis/msd.pdf</w:t>
        </w:r>
      </w:hyperlink>
    </w:p>
    <w:p w14:paraId="1D00E1B6" w14:textId="2DDA04A8" w:rsidR="00163F44" w:rsidRPr="003E22B5" w:rsidRDefault="00533724" w:rsidP="00163F44">
      <w:pPr>
        <w:spacing w:line="480" w:lineRule="auto"/>
        <w:ind w:hanging="480"/>
        <w:rPr>
          <w:rFonts w:cstheme="minorHAnsi"/>
        </w:rPr>
      </w:pPr>
      <w:r w:rsidRPr="003E22B5">
        <w:rPr>
          <w:rFonts w:cstheme="minorHAnsi"/>
        </w:rPr>
        <w:t>Health and Safety Executive. 2022</w:t>
      </w:r>
      <w:r w:rsidR="000A3F1D" w:rsidRPr="003E22B5">
        <w:rPr>
          <w:rFonts w:cstheme="minorHAnsi"/>
        </w:rPr>
        <w:t>b</w:t>
      </w:r>
      <w:r w:rsidRPr="003E22B5">
        <w:rPr>
          <w:rFonts w:cstheme="minorHAnsi"/>
        </w:rPr>
        <w:t>.</w:t>
      </w:r>
      <w:r w:rsidRPr="003E22B5">
        <w:t xml:space="preserve"> </w:t>
      </w:r>
      <w:r w:rsidRPr="003E22B5">
        <w:rPr>
          <w:rFonts w:cstheme="minorHAnsi"/>
        </w:rPr>
        <w:t>Education statistics in Great Britain, 2022</w:t>
      </w:r>
      <w:r w:rsidR="00997B82" w:rsidRPr="003E22B5">
        <w:rPr>
          <w:rFonts w:cstheme="minorHAnsi"/>
        </w:rPr>
        <w:t xml:space="preserve">. Retrieved </w:t>
      </w:r>
      <w:r w:rsidR="00163F44" w:rsidRPr="003E22B5">
        <w:rPr>
          <w:rFonts w:cstheme="minorHAnsi"/>
        </w:rPr>
        <w:t xml:space="preserve">1/12/22 from </w:t>
      </w:r>
      <w:hyperlink r:id="rId23" w:history="1">
        <w:r w:rsidR="00163F44" w:rsidRPr="003E22B5">
          <w:rPr>
            <w:rStyle w:val="Hyperlink"/>
            <w:rFonts w:cstheme="minorHAnsi"/>
          </w:rPr>
          <w:t>https://www.hse.gov.uk/statistics/industry/education.pdf</w:t>
        </w:r>
      </w:hyperlink>
    </w:p>
    <w:p w14:paraId="130B50AF" w14:textId="34CA4314" w:rsidR="006A3B4F" w:rsidRPr="006A3B4F" w:rsidRDefault="006A3B4F" w:rsidP="006A3B4F">
      <w:pPr>
        <w:spacing w:line="480" w:lineRule="auto"/>
        <w:ind w:hanging="480"/>
      </w:pPr>
      <w:r>
        <w:t xml:space="preserve">Hosmer, David. W., Lemeshow, S., &amp; Sturdivant, R. X. (2013). </w:t>
      </w:r>
      <w:r>
        <w:rPr>
          <w:i/>
          <w:iCs/>
        </w:rPr>
        <w:t>Applied Logistic Regression</w:t>
      </w:r>
      <w:r>
        <w:t>. John Wiley &amp; Sons. London</w:t>
      </w:r>
    </w:p>
    <w:p w14:paraId="3752742B" w14:textId="7DE34642" w:rsidR="002A7D27" w:rsidRPr="003E22B5" w:rsidRDefault="002A7D27" w:rsidP="00163F44">
      <w:pPr>
        <w:spacing w:line="480" w:lineRule="auto"/>
        <w:ind w:hanging="480"/>
        <w:rPr>
          <w:rFonts w:cstheme="minorHAnsi"/>
        </w:rPr>
      </w:pPr>
      <w:r w:rsidRPr="003E22B5">
        <w:rPr>
          <w:rFonts w:cstheme="minorHAnsi"/>
        </w:rPr>
        <w:t xml:space="preserve">Institute for Health Metrics and Evaluation (IMHE), 2019. United Kingdom – England. Seattle, WA: IHME, University of Washington. Retrieved 2.10.2019 from: </w:t>
      </w:r>
      <w:hyperlink r:id="rId24" w:history="1">
        <w:r w:rsidRPr="003E22B5">
          <w:rPr>
            <w:rStyle w:val="Hyperlink"/>
            <w:rFonts w:cstheme="minorHAnsi"/>
          </w:rPr>
          <w:t>http://www.healthdata.org/united-kingdom-england</w:t>
        </w:r>
      </w:hyperlink>
    </w:p>
    <w:p w14:paraId="610A2A66" w14:textId="79D4967E" w:rsidR="00A346BE" w:rsidRPr="003E22B5" w:rsidRDefault="002A7D27" w:rsidP="00A346BE">
      <w:pPr>
        <w:spacing w:line="480" w:lineRule="auto"/>
        <w:ind w:hanging="480"/>
        <w:rPr>
          <w:rFonts w:cstheme="minorHAnsi"/>
        </w:rPr>
      </w:pPr>
      <w:r w:rsidRPr="003E22B5">
        <w:rPr>
          <w:rFonts w:cstheme="minorHAnsi"/>
        </w:rPr>
        <w:t xml:space="preserve">Janković, S., Stojisavljević, D., Janković, J., Erić, M., &amp; Marinković, J. (2014). Association of socioeconomic status measured by education, and cardiovascular health: a population-based cross-sectional study. </w:t>
      </w:r>
      <w:r w:rsidRPr="003E22B5">
        <w:rPr>
          <w:rFonts w:cstheme="minorHAnsi"/>
          <w:i/>
          <w:iCs/>
        </w:rPr>
        <w:t>BMJ open</w:t>
      </w:r>
      <w:r w:rsidRPr="003E22B5">
        <w:rPr>
          <w:rFonts w:cstheme="minorHAnsi"/>
        </w:rPr>
        <w:t>, 4(7), e005222.</w:t>
      </w:r>
    </w:p>
    <w:p w14:paraId="516ADDED" w14:textId="33DB47F8" w:rsidR="00131E7C" w:rsidRDefault="00131E7C" w:rsidP="00131E7C">
      <w:pPr>
        <w:spacing w:line="480" w:lineRule="auto"/>
        <w:ind w:hanging="480"/>
      </w:pPr>
      <w:r w:rsidRPr="00131E7C">
        <w:t xml:space="preserve">Johnson, R. B., &amp; Onwuegbuzie, A. J. (2004). Mixed Methods Research: A Research Paradigm Whose Time Has Come. </w:t>
      </w:r>
      <w:r w:rsidRPr="00131E7C">
        <w:rPr>
          <w:i/>
          <w:iCs/>
        </w:rPr>
        <w:t>Educational Researcher</w:t>
      </w:r>
      <w:r w:rsidRPr="00131E7C">
        <w:t xml:space="preserve">, </w:t>
      </w:r>
      <w:r w:rsidRPr="00131E7C">
        <w:rPr>
          <w:i/>
          <w:iCs/>
        </w:rPr>
        <w:t>33</w:t>
      </w:r>
      <w:r w:rsidRPr="00131E7C">
        <w:t xml:space="preserve">(7), 14–26. </w:t>
      </w:r>
      <w:hyperlink r:id="rId25" w:history="1">
        <w:r w:rsidRPr="00131E7C">
          <w:rPr>
            <w:color w:val="0000FF"/>
            <w:u w:val="single"/>
          </w:rPr>
          <w:t>https://doi.org/10.3102/0013189X033007014</w:t>
        </w:r>
      </w:hyperlink>
    </w:p>
    <w:p w14:paraId="298F4994" w14:textId="0AED6C92" w:rsidR="0043533A" w:rsidRDefault="0043533A" w:rsidP="0043533A">
      <w:pPr>
        <w:spacing w:line="480" w:lineRule="auto"/>
        <w:ind w:hanging="480"/>
      </w:pPr>
      <w:r w:rsidRPr="0043533A">
        <w:t xml:space="preserve">Karanika-Murray, M., &amp; Biron, C. (2020). The health-performance framework of presenteeism: Towards understanding an adaptive behaviour. </w:t>
      </w:r>
      <w:r w:rsidRPr="0043533A">
        <w:rPr>
          <w:i/>
          <w:iCs/>
        </w:rPr>
        <w:t>Human Relations</w:t>
      </w:r>
      <w:r w:rsidRPr="0043533A">
        <w:t xml:space="preserve">, </w:t>
      </w:r>
      <w:r w:rsidRPr="0043533A">
        <w:rPr>
          <w:i/>
          <w:iCs/>
        </w:rPr>
        <w:t>73</w:t>
      </w:r>
      <w:r w:rsidRPr="0043533A">
        <w:t xml:space="preserve">(2), 242–261. </w:t>
      </w:r>
      <w:hyperlink r:id="rId26" w:history="1">
        <w:r w:rsidRPr="0043533A">
          <w:rPr>
            <w:color w:val="0000FF"/>
            <w:u w:val="single"/>
          </w:rPr>
          <w:t>https://doi.org/10.1177/0018726719827081</w:t>
        </w:r>
      </w:hyperlink>
    </w:p>
    <w:p w14:paraId="34FA3676" w14:textId="15E266D2" w:rsidR="00165A4E" w:rsidRPr="00165A4E" w:rsidRDefault="00165A4E" w:rsidP="00165A4E">
      <w:pPr>
        <w:spacing w:line="480" w:lineRule="auto"/>
        <w:ind w:hanging="480"/>
      </w:pPr>
      <w:r>
        <w:t xml:space="preserve">Katz, J., Rosenbloom, B. N., &amp; Fashler, S. (2015). Chronic Pain, Psychopathology, and DSM-5 Somatic Symptom Disorder. </w:t>
      </w:r>
      <w:r>
        <w:rPr>
          <w:i/>
          <w:iCs/>
        </w:rPr>
        <w:t>The Canadian Journal of Psychiatry</w:t>
      </w:r>
      <w:r>
        <w:t xml:space="preserve">, </w:t>
      </w:r>
      <w:r>
        <w:rPr>
          <w:i/>
          <w:iCs/>
        </w:rPr>
        <w:t>60</w:t>
      </w:r>
      <w:r>
        <w:t xml:space="preserve">(4), 160–167. </w:t>
      </w:r>
      <w:hyperlink r:id="rId27" w:history="1">
        <w:r>
          <w:rPr>
            <w:rStyle w:val="Hyperlink"/>
            <w:rFonts w:eastAsiaTheme="majorEastAsia"/>
          </w:rPr>
          <w:t>https://doi.org/10.1177/070674371506000402</w:t>
        </w:r>
      </w:hyperlink>
    </w:p>
    <w:p w14:paraId="6B9E46CC" w14:textId="631B9A45" w:rsidR="00E776D0" w:rsidRPr="003E22B5" w:rsidRDefault="00E776D0" w:rsidP="00857AED">
      <w:pPr>
        <w:spacing w:line="480" w:lineRule="auto"/>
        <w:ind w:hanging="480"/>
        <w:rPr>
          <w:rFonts w:cstheme="minorHAnsi"/>
        </w:rPr>
      </w:pPr>
      <w:r w:rsidRPr="003E22B5">
        <w:rPr>
          <w:rFonts w:cstheme="minorHAnsi"/>
        </w:rPr>
        <w:t>Kindt, S., Vansteenkiste, M., Lo</w:t>
      </w:r>
      <w:r w:rsidR="00263B5A">
        <w:rPr>
          <w:rFonts w:cstheme="minorHAnsi"/>
        </w:rPr>
        <w:t>EE</w:t>
      </w:r>
      <w:r w:rsidRPr="003E22B5">
        <w:rPr>
          <w:rFonts w:cstheme="minorHAnsi"/>
        </w:rPr>
        <w:t>s, T., &amp; Goubert, L. (2016). Helping motivation and well-being of chronic pain couples: A daily diary study. Pain, 157(7), 1551-1562.</w:t>
      </w:r>
    </w:p>
    <w:p w14:paraId="26A4B826" w14:textId="456FEFD1" w:rsidR="003B6CF9" w:rsidRDefault="003B6CF9" w:rsidP="003B6CF9">
      <w:pPr>
        <w:spacing w:line="480" w:lineRule="auto"/>
        <w:ind w:hanging="480"/>
      </w:pPr>
      <w:r>
        <w:lastRenderedPageBreak/>
        <w:t xml:space="preserve">Kwon, K.-A., Ford, T. G., Jeon, L., Malek-Lasater, A., Ellis, N., Randall, K., Kile, M., &amp; Salvatore, A. L. (2021). Testing a holistic conceptual framework for early childhood teacher well-being. </w:t>
      </w:r>
      <w:r>
        <w:rPr>
          <w:i/>
          <w:iCs/>
        </w:rPr>
        <w:t>Journal of School Psychology</w:t>
      </w:r>
      <w:r>
        <w:t xml:space="preserve">, </w:t>
      </w:r>
      <w:r>
        <w:rPr>
          <w:i/>
          <w:iCs/>
        </w:rPr>
        <w:t>86</w:t>
      </w:r>
      <w:r>
        <w:t xml:space="preserve">, 178–197. </w:t>
      </w:r>
      <w:hyperlink r:id="rId28" w:history="1">
        <w:r>
          <w:rPr>
            <w:rStyle w:val="Hyperlink"/>
            <w:rFonts w:eastAsiaTheme="majorEastAsia"/>
          </w:rPr>
          <w:t>https://doi.org/10.1016/j.jsp.2021.03.006</w:t>
        </w:r>
      </w:hyperlink>
    </w:p>
    <w:p w14:paraId="521F64CE" w14:textId="669614B1" w:rsidR="00857AED" w:rsidRPr="003E22B5" w:rsidRDefault="00A346BE" w:rsidP="00857AED">
      <w:pPr>
        <w:spacing w:line="480" w:lineRule="auto"/>
        <w:ind w:hanging="480"/>
      </w:pPr>
      <w:r w:rsidRPr="003E22B5">
        <w:t xml:space="preserve">Lallukka, T., Mänty, M., Cooper, C., Fleischmann, M., Kouvonen, A., Walker-Bone, K. E., ... &amp; Halonen, J. I. (2018). Recurrent back pain during working life and exit from paid employment: a 28-year follow-up of the Whitehall II Study. </w:t>
      </w:r>
      <w:r w:rsidRPr="003E22B5">
        <w:rPr>
          <w:i/>
          <w:iCs/>
        </w:rPr>
        <w:t>Occupational and environmental medicine</w:t>
      </w:r>
      <w:r w:rsidRPr="003E22B5">
        <w:t xml:space="preserve">, </w:t>
      </w:r>
      <w:r w:rsidRPr="003E22B5">
        <w:rPr>
          <w:i/>
          <w:iCs/>
        </w:rPr>
        <w:t>75</w:t>
      </w:r>
      <w:r w:rsidRPr="003E22B5">
        <w:t>(11), 786-791.</w:t>
      </w:r>
    </w:p>
    <w:p w14:paraId="1AE91CF5" w14:textId="447F3EEA" w:rsidR="00AE7F37" w:rsidRPr="001D7B8A" w:rsidRDefault="00AE7F37" w:rsidP="001D7B8A">
      <w:pPr>
        <w:spacing w:line="480" w:lineRule="auto"/>
        <w:ind w:hanging="480"/>
      </w:pPr>
      <w:r>
        <w:t xml:space="preserve">National Academies of Sciences, E., Division, H. and M., Services, B. on H. C., &amp; Treatment, C. on I. D. M. C. L. to I. with. (2020). Musculoskeletal Disorders. In </w:t>
      </w:r>
      <w:r>
        <w:rPr>
          <w:i/>
          <w:iCs/>
        </w:rPr>
        <w:t>Selected Health Conditions and Likelihood of Improvement with Treatment</w:t>
      </w:r>
      <w:r>
        <w:t xml:space="preserve">. National Academies Press (US). </w:t>
      </w:r>
      <w:hyperlink r:id="rId29" w:history="1">
        <w:r>
          <w:rPr>
            <w:rStyle w:val="Hyperlink"/>
            <w:rFonts w:eastAsiaTheme="majorEastAsia"/>
          </w:rPr>
          <w:t>https://www.ncbi.nlm.nih.gov/books/NBK559512/</w:t>
        </w:r>
      </w:hyperlink>
    </w:p>
    <w:p w14:paraId="339C2C6C" w14:textId="384DC771" w:rsidR="00857AED" w:rsidRPr="003E22B5" w:rsidRDefault="00857AED" w:rsidP="00857AED">
      <w:pPr>
        <w:spacing w:line="480" w:lineRule="auto"/>
        <w:ind w:hanging="480"/>
      </w:pPr>
      <w:r w:rsidRPr="003E22B5">
        <w:rPr>
          <w:rFonts w:cstheme="minorHAnsi"/>
        </w:rPr>
        <w:t xml:space="preserve">National Children’s Bureau. (2022). Changing staff to child ratios for two-year olds: families need quality and affordability. Retrieved 3/1/23 from </w:t>
      </w:r>
      <w:hyperlink r:id="rId30" w:history="1">
        <w:r w:rsidRPr="003E22B5">
          <w:rPr>
            <w:rStyle w:val="Hyperlink"/>
            <w:rFonts w:cstheme="minorHAnsi"/>
          </w:rPr>
          <w:t>https://www.ncb.org.uk/about-us/media-centre/news-opinion/changing-staff-child-ratios-two-year-olds-families-need-quality</w:t>
        </w:r>
      </w:hyperlink>
    </w:p>
    <w:p w14:paraId="13000B80" w14:textId="61243A8C" w:rsidR="00A617B9" w:rsidRPr="003E22B5" w:rsidRDefault="00096149" w:rsidP="00A617B9">
      <w:pPr>
        <w:spacing w:line="480" w:lineRule="auto"/>
        <w:ind w:hanging="480"/>
        <w:rPr>
          <w:rFonts w:cstheme="minorHAnsi"/>
        </w:rPr>
      </w:pPr>
      <w:r w:rsidRPr="003E22B5">
        <w:rPr>
          <w:rFonts w:cstheme="minorHAnsi"/>
        </w:rPr>
        <w:t>Office of National Statistics. (2022)</w:t>
      </w:r>
      <w:r w:rsidR="00A617B9" w:rsidRPr="003E22B5">
        <w:rPr>
          <w:rFonts w:cstheme="minorHAnsi"/>
        </w:rPr>
        <w:t>. Labour Force Surv</w:t>
      </w:r>
      <w:r w:rsidR="00CB5A2F">
        <w:rPr>
          <w:rFonts w:cstheme="minorHAnsi"/>
        </w:rPr>
        <w:t>ey</w:t>
      </w:r>
      <w:r w:rsidR="00A617B9" w:rsidRPr="003E22B5">
        <w:rPr>
          <w:rFonts w:cstheme="minorHAnsi"/>
        </w:rPr>
        <w:t xml:space="preserve"> – user guidance. Retrieved 1/12/22 from</w:t>
      </w:r>
      <w:r w:rsidR="00331E96">
        <w:rPr>
          <w:rFonts w:cstheme="minorHAnsi"/>
        </w:rPr>
        <w:t>:</w:t>
      </w:r>
      <w:hyperlink r:id="rId31" w:history="1">
        <w:r w:rsidR="00331E96" w:rsidRPr="001360B0">
          <w:rPr>
            <w:rStyle w:val="Hyperlink"/>
            <w:rFonts w:cstheme="minorHAnsi"/>
          </w:rPr>
          <w:t>https://www.ons.gov.uk/employmentandlabourmarket/peopleinwork/employmentandemployeetypes/methodologies/labourforcesurvEEuserguidance</w:t>
        </w:r>
      </w:hyperlink>
    </w:p>
    <w:p w14:paraId="5303C298" w14:textId="4ABD96CA" w:rsidR="00833EB1" w:rsidRDefault="00833EB1" w:rsidP="00833EB1">
      <w:pPr>
        <w:spacing w:line="480" w:lineRule="auto"/>
        <w:ind w:hanging="480"/>
      </w:pPr>
      <w:r w:rsidRPr="003E22B5">
        <w:t xml:space="preserve">Ono, Y., Imaeda, T., Shimaoka, M., Hiruta, S., Hattori, Y., Ando, S., Hori, F., &amp; Tatsumi, A. (2002). Associations of Length of Employment and Working Conditions with Neck, Shoulder and Arm Pain among Nursery School Teachers. </w:t>
      </w:r>
      <w:r w:rsidRPr="003E22B5">
        <w:rPr>
          <w:i/>
          <w:iCs/>
        </w:rPr>
        <w:t>Industrial Health</w:t>
      </w:r>
      <w:r w:rsidRPr="003E22B5">
        <w:t>.</w:t>
      </w:r>
    </w:p>
    <w:p w14:paraId="37493C41" w14:textId="76A9FA8E" w:rsidR="007450FA" w:rsidRPr="007450FA" w:rsidRDefault="007450FA" w:rsidP="007450FA">
      <w:pPr>
        <w:spacing w:line="480" w:lineRule="auto"/>
        <w:ind w:hanging="480"/>
        <w:rPr>
          <w:rFonts w:cstheme="minorHAnsi"/>
          <w:lang w:val="en-US"/>
        </w:rPr>
      </w:pPr>
      <w:r w:rsidRPr="007450FA">
        <w:rPr>
          <w:rFonts w:cstheme="minorHAnsi"/>
          <w:lang w:val="en-US"/>
        </w:rPr>
        <w:t xml:space="preserve">Parsons, S., Harding, G., Breen, A., Foster, N., Pincus, T., Vogel, S., &amp; Underwood, M. (2007). The influence of patients' and primary care practitioners' beliefs and expectations about chronic musculoskeletal pain on the process of care: a systematic review of qualitative </w:t>
      </w:r>
      <w:r w:rsidRPr="007450FA">
        <w:rPr>
          <w:rFonts w:cstheme="minorHAnsi"/>
          <w:lang w:val="en-US"/>
        </w:rPr>
        <w:lastRenderedPageBreak/>
        <w:t>studies. The Clinical journal of pain, 23(1), 91–98. https://doi.org/10.1097/01.ajp.0000210947.34676.34</w:t>
      </w:r>
    </w:p>
    <w:p w14:paraId="141ED1A5" w14:textId="3047F160" w:rsidR="002A7D27" w:rsidRPr="003E22B5" w:rsidRDefault="002A7D27" w:rsidP="00A617B9">
      <w:pPr>
        <w:spacing w:line="480" w:lineRule="auto"/>
        <w:ind w:hanging="480"/>
        <w:rPr>
          <w:rFonts w:cstheme="minorHAnsi"/>
        </w:rPr>
      </w:pPr>
      <w:r w:rsidRPr="003E22B5">
        <w:rPr>
          <w:rFonts w:cstheme="minorHAnsi"/>
          <w:lang w:val="en-US"/>
        </w:rPr>
        <w:t>Pillastrini, P., Mugnai, R., Bertozzi, L., Costi, S., Curti, S., Mattioli, S., Violante, F.S. (2009). Effectiveness of an at-work exercise program in the prevention and management of neck and low back complaints in nursery school teachers. Ind Health, 47(4):349-354.</w:t>
      </w:r>
    </w:p>
    <w:p w14:paraId="6F7EAFD3" w14:textId="609D80D8" w:rsidR="009C6995" w:rsidRDefault="002A7D27" w:rsidP="001D7B8A">
      <w:pPr>
        <w:spacing w:line="480" w:lineRule="auto"/>
        <w:ind w:hanging="480"/>
        <w:rPr>
          <w:rFonts w:cstheme="minorHAnsi"/>
        </w:rPr>
      </w:pPr>
      <w:r w:rsidRPr="003E22B5">
        <w:rPr>
          <w:rFonts w:cstheme="minorHAnsi"/>
        </w:rPr>
        <w:t xml:space="preserve">Shuai, J., Yue, P., Li, L., Liu, F., &amp; Wang, S. (2014). Assessing the effects of an educational program for the prevention of work-related musculoskeletal disorders among school teachers. </w:t>
      </w:r>
      <w:r w:rsidRPr="003E22B5">
        <w:rPr>
          <w:rFonts w:cstheme="minorHAnsi"/>
          <w:i/>
          <w:iCs/>
        </w:rPr>
        <w:t>BMC Public Health</w:t>
      </w:r>
      <w:r w:rsidRPr="003E22B5">
        <w:rPr>
          <w:rFonts w:cstheme="minorHAnsi"/>
        </w:rPr>
        <w:t xml:space="preserve">, </w:t>
      </w:r>
      <w:r w:rsidRPr="003E22B5">
        <w:rPr>
          <w:rFonts w:cstheme="minorHAnsi"/>
          <w:i/>
          <w:iCs/>
        </w:rPr>
        <w:t>14</w:t>
      </w:r>
      <w:r w:rsidRPr="003E22B5">
        <w:rPr>
          <w:rFonts w:cstheme="minorHAnsi"/>
        </w:rPr>
        <w:t xml:space="preserve">(1), 1211. </w:t>
      </w:r>
      <w:hyperlink r:id="rId32" w:history="1">
        <w:r w:rsidRPr="003E22B5">
          <w:rPr>
            <w:rFonts w:cstheme="minorHAnsi"/>
            <w:color w:val="0000FF"/>
            <w:u w:val="single"/>
          </w:rPr>
          <w:t>https://doi.org/10.1186/1471-2458-14-1211</w:t>
        </w:r>
      </w:hyperlink>
    </w:p>
    <w:p w14:paraId="1E0224B5" w14:textId="05ADA2F7" w:rsidR="002A7D27" w:rsidRPr="003E22B5" w:rsidRDefault="002A7D27" w:rsidP="002A7D27">
      <w:pPr>
        <w:spacing w:line="480" w:lineRule="auto"/>
        <w:ind w:hanging="480"/>
        <w:rPr>
          <w:rFonts w:cstheme="minorHAnsi"/>
        </w:rPr>
      </w:pPr>
      <w:r w:rsidRPr="006E6383">
        <w:rPr>
          <w:rFonts w:cstheme="minorHAnsi"/>
        </w:rPr>
        <w:t>Ta</w:t>
      </w:r>
      <w:r w:rsidR="00893AB1" w:rsidRPr="006E6383">
        <w:rPr>
          <w:rFonts w:cstheme="minorHAnsi"/>
        </w:rPr>
        <w:t>y</w:t>
      </w:r>
      <w:r w:rsidR="00656A27" w:rsidRPr="006E6383">
        <w:rPr>
          <w:rFonts w:cstheme="minorHAnsi"/>
        </w:rPr>
        <w:t>l</w:t>
      </w:r>
      <w:r w:rsidRPr="006E6383">
        <w:rPr>
          <w:rFonts w:cstheme="minorHAnsi"/>
        </w:rPr>
        <w:t>or,</w:t>
      </w:r>
      <w:r w:rsidRPr="003E22B5">
        <w:rPr>
          <w:rFonts w:cstheme="minorHAnsi"/>
        </w:rPr>
        <w:t xml:space="preserve"> L. (2011). Work Related Musculoskeletal Disorders in UK Early Years and Primary Teaching Professionals. Recovered 13/11/</w:t>
      </w:r>
      <w:r w:rsidR="002A022D">
        <w:rPr>
          <w:rFonts w:cstheme="minorHAnsi"/>
        </w:rPr>
        <w:t>23</w:t>
      </w:r>
      <w:r w:rsidRPr="003E22B5">
        <w:rPr>
          <w:rFonts w:cstheme="minorHAnsi"/>
        </w:rPr>
        <w:t xml:space="preserve"> from: </w:t>
      </w:r>
      <w:hyperlink r:id="rId33" w:history="1">
        <w:r w:rsidRPr="003E22B5">
          <w:rPr>
            <w:rStyle w:val="Hyperlink"/>
            <w:rFonts w:cstheme="minorHAnsi"/>
          </w:rPr>
          <w:t>https://www.voicetheunion.org.uk/sites/default/files/Backssurv</w:t>
        </w:r>
        <w:r w:rsidR="00263B5A">
          <w:rPr>
            <w:rStyle w:val="Hyperlink"/>
            <w:rFonts w:cstheme="minorHAnsi"/>
          </w:rPr>
          <w:t>EE</w:t>
        </w:r>
        <w:r w:rsidRPr="003E22B5">
          <w:rPr>
            <w:rStyle w:val="Hyperlink"/>
            <w:rFonts w:cstheme="minorHAnsi"/>
          </w:rPr>
          <w:t>.pdf</w:t>
        </w:r>
      </w:hyperlink>
    </w:p>
    <w:p w14:paraId="6BA37031" w14:textId="3338A7D0" w:rsidR="00B96EAC" w:rsidRDefault="00B96EAC" w:rsidP="00B96EAC">
      <w:pPr>
        <w:spacing w:line="480" w:lineRule="auto"/>
        <w:ind w:hanging="480"/>
      </w:pPr>
      <w:r>
        <w:t xml:space="preserve">The Royal Osteoporosis Society. (2021). </w:t>
      </w:r>
      <w:r>
        <w:rPr>
          <w:i/>
          <w:iCs/>
        </w:rPr>
        <w:t xml:space="preserve">State of the Nation report: Vertebral fracture identification. </w:t>
      </w:r>
      <w:r>
        <w:t xml:space="preserve">Retrieved </w:t>
      </w:r>
      <w:r w:rsidR="00E6757E">
        <w:t>19/1/24 from</w:t>
      </w:r>
      <w:r>
        <w:t xml:space="preserve"> </w:t>
      </w:r>
      <w:hyperlink r:id="rId34" w:history="1">
        <w:r>
          <w:rPr>
            <w:rStyle w:val="Hyperlink"/>
            <w:rFonts w:eastAsiaTheme="majorEastAsia"/>
          </w:rPr>
          <w:t>https://theros.org.uk/latest-news/new-report-shows-why-2-2m-people-have-undiagnosed-spinal-fractures/</w:t>
        </w:r>
      </w:hyperlink>
    </w:p>
    <w:p w14:paraId="286AAE76" w14:textId="0376478C" w:rsidR="00833EB1" w:rsidRPr="003E22B5" w:rsidRDefault="00833EB1" w:rsidP="00597371">
      <w:pPr>
        <w:spacing w:line="480" w:lineRule="auto"/>
        <w:ind w:hanging="480"/>
      </w:pPr>
      <w:r w:rsidRPr="003E22B5">
        <w:t xml:space="preserve">Tsuboi, H., Takeuchi, K., Watanabe, M., Hori, R., &amp; Kobayashi, F. (2002). Psychosocial Factors Related to Low Back Pain among School Personnel in Nagoya, Japan. </w:t>
      </w:r>
      <w:r w:rsidRPr="003E22B5">
        <w:rPr>
          <w:i/>
          <w:iCs/>
        </w:rPr>
        <w:t>INDUSTRIAL HEALTH</w:t>
      </w:r>
      <w:r w:rsidRPr="003E22B5">
        <w:t xml:space="preserve">, </w:t>
      </w:r>
      <w:r w:rsidRPr="003E22B5">
        <w:rPr>
          <w:i/>
          <w:iCs/>
        </w:rPr>
        <w:t>40</w:t>
      </w:r>
      <w:r w:rsidRPr="003E22B5">
        <w:t xml:space="preserve">(3), 266–271. </w:t>
      </w:r>
      <w:hyperlink r:id="rId35" w:history="1">
        <w:r w:rsidRPr="003E22B5">
          <w:rPr>
            <w:rStyle w:val="Hyperlink"/>
            <w:rFonts w:eastAsiaTheme="majorEastAsia"/>
          </w:rPr>
          <w:t>https://doi.org/10.2486/indhealth.40.266</w:t>
        </w:r>
      </w:hyperlink>
    </w:p>
    <w:p w14:paraId="0ACF3CD3" w14:textId="6B218C5D" w:rsidR="00081BF9" w:rsidRDefault="00081BF9" w:rsidP="00081BF9">
      <w:pPr>
        <w:spacing w:line="480" w:lineRule="auto"/>
        <w:ind w:hanging="480"/>
      </w:pPr>
      <w:r>
        <w:t xml:space="preserve">Turk, D. C., &amp; Melzack, R. (2011). </w:t>
      </w:r>
      <w:r>
        <w:rPr>
          <w:i/>
          <w:iCs/>
        </w:rPr>
        <w:t>Handbook of Pain Assessment</w:t>
      </w:r>
      <w:r>
        <w:t>. Guilford Press.</w:t>
      </w:r>
    </w:p>
    <w:p w14:paraId="27BEC2A6" w14:textId="65FBE00D" w:rsidR="0054567D" w:rsidRPr="003E22B5" w:rsidRDefault="0054567D" w:rsidP="0054567D">
      <w:pPr>
        <w:spacing w:line="480" w:lineRule="auto"/>
        <w:ind w:hanging="480"/>
        <w:jc w:val="both"/>
        <w:rPr>
          <w:rFonts w:cstheme="minorHAnsi"/>
        </w:rPr>
      </w:pPr>
      <w:r w:rsidRPr="003E22B5">
        <w:t xml:space="preserve">Vos, T., Lim, S. S., Abbafati, C., Abbas, K. M., Abbasi, M., Abbasifard, M., ... &amp; Bhutta, Z. A. (2020). Global burden of 369 diseases and injuries in 204 countries and territories, 1990–2019: a systematic analysis for the Global Burden of Disease Study 2019. </w:t>
      </w:r>
      <w:r w:rsidRPr="003E22B5">
        <w:rPr>
          <w:i/>
          <w:iCs/>
        </w:rPr>
        <w:t>The Lancet</w:t>
      </w:r>
      <w:r w:rsidRPr="003E22B5">
        <w:t xml:space="preserve">, </w:t>
      </w:r>
      <w:r w:rsidRPr="003E22B5">
        <w:rPr>
          <w:i/>
          <w:iCs/>
        </w:rPr>
        <w:t>396</w:t>
      </w:r>
      <w:r w:rsidRPr="003E22B5">
        <w:t>(10258), 1204-1222.</w:t>
      </w:r>
    </w:p>
    <w:p w14:paraId="62CD0B03" w14:textId="7473522E" w:rsidR="007D185D" w:rsidRPr="003E22B5" w:rsidRDefault="007D185D" w:rsidP="002A7D27">
      <w:pPr>
        <w:spacing w:line="480" w:lineRule="auto"/>
        <w:ind w:hanging="480"/>
      </w:pPr>
      <w:r w:rsidRPr="003E22B5">
        <w:t xml:space="preserve">Wang, H., Abbas, K. M., Abbasifard, M., Abbasi-Kangevari, M., Abbastabar, H., Abd-Allah, F., ... &amp; Damiani, G. (2020). Global age-sex-specific fertility, mortality, healthy life expectancy (HALE), and population estimates in 204 countries and territories, 1950–2019: a </w:t>
      </w:r>
      <w:r w:rsidRPr="003E22B5">
        <w:lastRenderedPageBreak/>
        <w:t xml:space="preserve">comprehensive demographic analysis for the Global Burden of Disease Study 2019. </w:t>
      </w:r>
      <w:r w:rsidRPr="003E22B5">
        <w:rPr>
          <w:i/>
          <w:iCs/>
        </w:rPr>
        <w:t>The Lancet</w:t>
      </w:r>
      <w:r w:rsidRPr="003E22B5">
        <w:t xml:space="preserve">, </w:t>
      </w:r>
      <w:r w:rsidRPr="003E22B5">
        <w:rPr>
          <w:i/>
          <w:iCs/>
        </w:rPr>
        <w:t>396</w:t>
      </w:r>
      <w:r w:rsidRPr="003E22B5">
        <w:t>(10258), 1160-1203.</w:t>
      </w:r>
    </w:p>
    <w:p w14:paraId="78FAAD1C" w14:textId="1CA24832" w:rsidR="007E28BD" w:rsidRDefault="007E28BD" w:rsidP="007E28BD">
      <w:pPr>
        <w:spacing w:line="480" w:lineRule="auto"/>
        <w:ind w:hanging="480"/>
      </w:pPr>
      <w:r>
        <w:t xml:space="preserve">Williams, A. C. de C., &amp; Craig, K. D. (2016). Updating the definition of pain. </w:t>
      </w:r>
      <w:r>
        <w:rPr>
          <w:i/>
          <w:iCs/>
        </w:rPr>
        <w:t>Pain</w:t>
      </w:r>
      <w:r>
        <w:t xml:space="preserve">, </w:t>
      </w:r>
      <w:r>
        <w:rPr>
          <w:i/>
          <w:iCs/>
        </w:rPr>
        <w:t>157</w:t>
      </w:r>
      <w:r>
        <w:t xml:space="preserve">(11), 2420–2423. </w:t>
      </w:r>
      <w:hyperlink r:id="rId36" w:history="1">
        <w:r>
          <w:rPr>
            <w:rStyle w:val="Hyperlink"/>
            <w:rFonts w:eastAsiaTheme="majorEastAsia"/>
          </w:rPr>
          <w:t>https://doi.org/10.1097/j.pain.0000000000000613</w:t>
        </w:r>
      </w:hyperlink>
    </w:p>
    <w:p w14:paraId="083F7B95" w14:textId="2B7D177C" w:rsidR="00C75726" w:rsidRPr="003E22B5" w:rsidRDefault="00C75726" w:rsidP="002A7D27">
      <w:pPr>
        <w:spacing w:line="480" w:lineRule="auto"/>
        <w:ind w:hanging="480"/>
        <w:rPr>
          <w:rFonts w:cstheme="minorHAnsi"/>
        </w:rPr>
      </w:pPr>
      <w:r w:rsidRPr="003E22B5">
        <w:t xml:space="preserve">Williams, A., Kamper, S. J., Wiggers, J. H., O’Brien, K. M., Lee, H., Wolfenden, L., ... &amp; Williams, C. M. (2018). Musculoskeletal conditions may increase the risk of chronic disease: a systematic review and meta-analysis of cohort studies. </w:t>
      </w:r>
      <w:r w:rsidRPr="003E22B5">
        <w:rPr>
          <w:i/>
          <w:iCs/>
        </w:rPr>
        <w:t>BMC medicine</w:t>
      </w:r>
      <w:r w:rsidRPr="003E22B5">
        <w:t xml:space="preserve">, </w:t>
      </w:r>
      <w:r w:rsidRPr="003E22B5">
        <w:rPr>
          <w:i/>
          <w:iCs/>
        </w:rPr>
        <w:t>16</w:t>
      </w:r>
      <w:r w:rsidRPr="003E22B5">
        <w:t>(1), 1-9.</w:t>
      </w:r>
    </w:p>
    <w:p w14:paraId="607D5A7E" w14:textId="77777777" w:rsidR="002E6E65" w:rsidRPr="00CF50FE" w:rsidRDefault="002E6E65" w:rsidP="002E6E65">
      <w:pPr>
        <w:spacing w:line="480" w:lineRule="auto"/>
        <w:ind w:hanging="480"/>
      </w:pPr>
      <w:r w:rsidRPr="003E22B5">
        <w:rPr>
          <w:rFonts w:cstheme="minorHAnsi"/>
        </w:rPr>
        <w:t>Wijnhoven, H. A., De Vet, H. C., &amp; Picavet, H. S. J. (2006). Prevalence of musculoskeletal disorders is systematically higher in women than in men. The Clinical journal of pain, 22(8), 717-724.</w:t>
      </w:r>
    </w:p>
    <w:p w14:paraId="53759260" w14:textId="238C60B2" w:rsidR="002E6E65" w:rsidRDefault="002E6E65" w:rsidP="002E6E65">
      <w:pPr>
        <w:spacing w:line="480" w:lineRule="auto"/>
        <w:ind w:hanging="480"/>
        <w:rPr>
          <w:rFonts w:cstheme="minorHAnsi"/>
        </w:rPr>
      </w:pPr>
      <w:r w:rsidRPr="003E22B5">
        <w:rPr>
          <w:rFonts w:cstheme="minorHAnsi"/>
        </w:rPr>
        <w:t xml:space="preserve">Wilkinson, J., &amp; Warin, J. (2021). Men-only support spaces in early years education: a step towards a gender diverse or a gender divided workforce?. </w:t>
      </w:r>
      <w:r w:rsidRPr="003E22B5">
        <w:rPr>
          <w:rFonts w:cstheme="minorHAnsi"/>
          <w:i/>
          <w:iCs/>
        </w:rPr>
        <w:t>Gender and Education,</w:t>
      </w:r>
      <w:r w:rsidRPr="003E22B5">
        <w:rPr>
          <w:rFonts w:cstheme="minorHAnsi"/>
        </w:rPr>
        <w:t xml:space="preserve"> 1-16.</w:t>
      </w:r>
    </w:p>
    <w:p w14:paraId="6903F509" w14:textId="016F2D08" w:rsidR="00083AD0" w:rsidRPr="003E22B5" w:rsidRDefault="002A7D27" w:rsidP="00CA24F0">
      <w:pPr>
        <w:spacing w:line="480" w:lineRule="auto"/>
        <w:ind w:hanging="480"/>
        <w:rPr>
          <w:rStyle w:val="Hyperlink"/>
          <w:color w:val="auto"/>
          <w:u w:val="none"/>
        </w:rPr>
      </w:pPr>
      <w:r w:rsidRPr="003E22B5">
        <w:rPr>
          <w:rFonts w:cstheme="minorHAnsi"/>
        </w:rPr>
        <w:t xml:space="preserve">World Health Organisation. </w:t>
      </w:r>
      <w:r w:rsidR="00443510">
        <w:rPr>
          <w:rFonts w:cstheme="minorHAnsi"/>
        </w:rPr>
        <w:t>(</w:t>
      </w:r>
      <w:r w:rsidRPr="003E22B5">
        <w:rPr>
          <w:rFonts w:cstheme="minorHAnsi"/>
        </w:rPr>
        <w:t>20</w:t>
      </w:r>
      <w:r w:rsidR="00C50850" w:rsidRPr="003E22B5">
        <w:rPr>
          <w:rFonts w:cstheme="minorHAnsi"/>
        </w:rPr>
        <w:t>22</w:t>
      </w:r>
      <w:r w:rsidR="00443510">
        <w:rPr>
          <w:rFonts w:cstheme="minorHAnsi"/>
        </w:rPr>
        <w:t>)</w:t>
      </w:r>
      <w:r w:rsidRPr="003E22B5">
        <w:rPr>
          <w:rFonts w:cstheme="minorHAnsi"/>
        </w:rPr>
        <w:t xml:space="preserve">. Musculoskeletal conditions. Retrieved </w:t>
      </w:r>
      <w:r w:rsidR="00C50850" w:rsidRPr="003E22B5">
        <w:rPr>
          <w:rFonts w:cstheme="minorHAnsi"/>
        </w:rPr>
        <w:t>1</w:t>
      </w:r>
      <w:r w:rsidRPr="003E22B5">
        <w:rPr>
          <w:rFonts w:cstheme="minorHAnsi"/>
        </w:rPr>
        <w:t>.1</w:t>
      </w:r>
      <w:r w:rsidR="00C50850" w:rsidRPr="003E22B5">
        <w:rPr>
          <w:rFonts w:cstheme="minorHAnsi"/>
        </w:rPr>
        <w:t>2</w:t>
      </w:r>
      <w:r w:rsidRPr="003E22B5">
        <w:rPr>
          <w:rFonts w:cstheme="minorHAnsi"/>
        </w:rPr>
        <w:t>.</w:t>
      </w:r>
      <w:r w:rsidR="00C50850" w:rsidRPr="003E22B5">
        <w:rPr>
          <w:rFonts w:cstheme="minorHAnsi"/>
        </w:rPr>
        <w:t>22</w:t>
      </w:r>
      <w:r w:rsidRPr="003E22B5">
        <w:rPr>
          <w:rFonts w:cstheme="minorHAnsi"/>
        </w:rPr>
        <w:t xml:space="preserve"> from </w:t>
      </w:r>
      <w:hyperlink r:id="rId37" w:history="1">
        <w:r w:rsidR="00CA24F0" w:rsidRPr="003E22B5">
          <w:rPr>
            <w:rStyle w:val="Hyperlink"/>
          </w:rPr>
          <w:t>https://www.who.int/news-room/fact-sheets/detail/musculoskeletal-conditions</w:t>
        </w:r>
      </w:hyperlink>
    </w:p>
    <w:p w14:paraId="6C5FDA02" w14:textId="77777777" w:rsidR="0069735A" w:rsidRPr="0069735A" w:rsidRDefault="0069735A" w:rsidP="0069735A">
      <w:pPr>
        <w:spacing w:line="480" w:lineRule="auto"/>
        <w:ind w:hanging="480"/>
      </w:pPr>
      <w:r w:rsidRPr="0069735A">
        <w:t xml:space="preserve">Zhuang, J., Mei, H., Fang, F., &amp; Ma, X. (2022). What Is New in Classification, Diagnosis and Management of Chronic Musculoskeletal Pain: A Narrative Review. </w:t>
      </w:r>
      <w:r w:rsidRPr="0069735A">
        <w:rPr>
          <w:i/>
          <w:iCs/>
        </w:rPr>
        <w:t>Frontiers in Pain Research</w:t>
      </w:r>
      <w:r w:rsidRPr="0069735A">
        <w:t xml:space="preserve">, </w:t>
      </w:r>
      <w:r w:rsidRPr="0069735A">
        <w:rPr>
          <w:i/>
          <w:iCs/>
        </w:rPr>
        <w:t>3</w:t>
      </w:r>
      <w:r w:rsidRPr="0069735A">
        <w:t xml:space="preserve">. </w:t>
      </w:r>
      <w:hyperlink r:id="rId38" w:history="1">
        <w:r w:rsidRPr="0069735A">
          <w:rPr>
            <w:color w:val="0000FF"/>
            <w:u w:val="single"/>
          </w:rPr>
          <w:t>https://www.frontiersin.org/articles/10.3389/fpain.2022.937004</w:t>
        </w:r>
      </w:hyperlink>
    </w:p>
    <w:p w14:paraId="66C00233" w14:textId="3E922A53" w:rsidR="002A7D27" w:rsidRPr="0073774C" w:rsidRDefault="002A7D27" w:rsidP="002A7D27">
      <w:pPr>
        <w:spacing w:line="480" w:lineRule="auto"/>
        <w:rPr>
          <w:rFonts w:cstheme="minorHAnsi"/>
          <w:sz w:val="22"/>
          <w:szCs w:val="22"/>
        </w:rPr>
      </w:pPr>
    </w:p>
    <w:p w14:paraId="6F215849" w14:textId="77777777" w:rsidR="002A7D27" w:rsidRDefault="002A7D27" w:rsidP="002A7D27">
      <w:pPr>
        <w:rPr>
          <w:rFonts w:cstheme="minorHAnsi"/>
          <w:sz w:val="22"/>
          <w:szCs w:val="22"/>
        </w:rPr>
      </w:pPr>
    </w:p>
    <w:p w14:paraId="35FF10FB" w14:textId="77777777" w:rsidR="001B3A2C" w:rsidRDefault="001B3A2C" w:rsidP="002A7D27">
      <w:pPr>
        <w:rPr>
          <w:rFonts w:cstheme="minorHAnsi"/>
          <w:sz w:val="22"/>
          <w:szCs w:val="22"/>
        </w:rPr>
      </w:pPr>
    </w:p>
    <w:p w14:paraId="1F0F181F" w14:textId="77777777" w:rsidR="001B3A2C" w:rsidRDefault="001B3A2C" w:rsidP="002A7D27">
      <w:pPr>
        <w:rPr>
          <w:rFonts w:cstheme="minorHAnsi"/>
          <w:sz w:val="22"/>
          <w:szCs w:val="22"/>
        </w:rPr>
      </w:pPr>
    </w:p>
    <w:p w14:paraId="73824F8B" w14:textId="77777777" w:rsidR="001B3A2C" w:rsidRDefault="001B3A2C" w:rsidP="002A7D27">
      <w:pPr>
        <w:rPr>
          <w:rFonts w:cstheme="minorHAnsi"/>
          <w:sz w:val="22"/>
          <w:szCs w:val="22"/>
        </w:rPr>
      </w:pPr>
    </w:p>
    <w:p w14:paraId="52A0CEF1" w14:textId="77777777" w:rsidR="001B3A2C" w:rsidRDefault="001B3A2C" w:rsidP="002A7D27">
      <w:pPr>
        <w:rPr>
          <w:rFonts w:cstheme="minorHAnsi"/>
          <w:sz w:val="22"/>
          <w:szCs w:val="22"/>
        </w:rPr>
      </w:pPr>
    </w:p>
    <w:p w14:paraId="0E59BF4D" w14:textId="77777777" w:rsidR="001B3A2C" w:rsidRDefault="001B3A2C" w:rsidP="002A7D27">
      <w:pPr>
        <w:rPr>
          <w:rFonts w:cstheme="minorHAnsi"/>
          <w:sz w:val="22"/>
          <w:szCs w:val="22"/>
        </w:rPr>
      </w:pPr>
    </w:p>
    <w:p w14:paraId="13856CAD" w14:textId="77777777" w:rsidR="001B3A2C" w:rsidRDefault="001B3A2C" w:rsidP="002A7D27">
      <w:pPr>
        <w:rPr>
          <w:rFonts w:cstheme="minorHAnsi"/>
          <w:sz w:val="22"/>
          <w:szCs w:val="22"/>
        </w:rPr>
      </w:pPr>
    </w:p>
    <w:p w14:paraId="321802EB" w14:textId="77777777" w:rsidR="003E22B5" w:rsidRDefault="003E22B5" w:rsidP="002A7D27">
      <w:pPr>
        <w:rPr>
          <w:rFonts w:cstheme="minorHAnsi"/>
          <w:sz w:val="22"/>
          <w:szCs w:val="22"/>
        </w:rPr>
      </w:pPr>
    </w:p>
    <w:p w14:paraId="2864FF50" w14:textId="77777777" w:rsidR="003E22B5" w:rsidRDefault="003E22B5" w:rsidP="002A7D27">
      <w:pPr>
        <w:rPr>
          <w:rFonts w:cstheme="minorHAnsi"/>
          <w:sz w:val="22"/>
          <w:szCs w:val="22"/>
        </w:rPr>
      </w:pPr>
    </w:p>
    <w:p w14:paraId="26699F90" w14:textId="77777777" w:rsidR="003E22B5" w:rsidRDefault="003E22B5" w:rsidP="002A7D27">
      <w:pPr>
        <w:rPr>
          <w:rFonts w:cstheme="minorHAnsi"/>
          <w:sz w:val="22"/>
          <w:szCs w:val="22"/>
        </w:rPr>
      </w:pPr>
    </w:p>
    <w:p w14:paraId="571138A6" w14:textId="77777777" w:rsidR="003E22B5" w:rsidRDefault="003E22B5" w:rsidP="002A7D27">
      <w:pPr>
        <w:rPr>
          <w:rFonts w:cstheme="minorHAnsi"/>
          <w:sz w:val="22"/>
          <w:szCs w:val="22"/>
        </w:rPr>
      </w:pPr>
    </w:p>
    <w:p w14:paraId="1E591711" w14:textId="77777777" w:rsidR="001B3A2C" w:rsidRDefault="001B3A2C" w:rsidP="002A7D27">
      <w:pPr>
        <w:rPr>
          <w:rFonts w:cstheme="minorHAnsi"/>
          <w:sz w:val="22"/>
          <w:szCs w:val="22"/>
        </w:rPr>
      </w:pPr>
    </w:p>
    <w:p w14:paraId="76709068" w14:textId="77777777" w:rsidR="001B3A2C" w:rsidRDefault="001B3A2C" w:rsidP="002A7D27">
      <w:pPr>
        <w:rPr>
          <w:rFonts w:cstheme="minorHAnsi"/>
          <w:sz w:val="22"/>
          <w:szCs w:val="22"/>
        </w:rPr>
      </w:pPr>
    </w:p>
    <w:p w14:paraId="3A91EFCF" w14:textId="77777777" w:rsidR="001B3A2C" w:rsidRPr="0073774C" w:rsidRDefault="001B3A2C" w:rsidP="002A7D27">
      <w:pPr>
        <w:rPr>
          <w:rFonts w:cstheme="minorHAnsi"/>
          <w:sz w:val="22"/>
          <w:szCs w:val="22"/>
        </w:rPr>
      </w:pPr>
    </w:p>
    <w:p w14:paraId="6D44C8BA" w14:textId="77777777" w:rsidR="002A7D27" w:rsidRPr="0073774C" w:rsidRDefault="002A7D27" w:rsidP="002A7D27">
      <w:pPr>
        <w:spacing w:line="276" w:lineRule="auto"/>
        <w:jc w:val="both"/>
        <w:rPr>
          <w:rFonts w:cstheme="minorHAnsi"/>
          <w:sz w:val="22"/>
          <w:szCs w:val="22"/>
        </w:rPr>
      </w:pPr>
    </w:p>
    <w:p w14:paraId="02D56A1B" w14:textId="77777777" w:rsidR="002A7D27" w:rsidRPr="0073774C" w:rsidRDefault="002A7D27" w:rsidP="002A7D27">
      <w:pPr>
        <w:spacing w:line="276" w:lineRule="auto"/>
        <w:jc w:val="both"/>
        <w:rPr>
          <w:rFonts w:cstheme="minorHAnsi"/>
          <w:sz w:val="22"/>
          <w:szCs w:val="22"/>
        </w:rPr>
      </w:pPr>
    </w:p>
    <w:p w14:paraId="50543BE4" w14:textId="3BB6C9A2" w:rsidR="002A7D27" w:rsidRPr="003E22B5" w:rsidRDefault="006A6D2F" w:rsidP="00B8286D">
      <w:pPr>
        <w:spacing w:line="276" w:lineRule="auto"/>
        <w:jc w:val="center"/>
        <w:rPr>
          <w:rFonts w:cstheme="minorHAnsi"/>
          <w:b/>
          <w:bCs/>
        </w:rPr>
      </w:pPr>
      <w:r w:rsidRPr="003E22B5">
        <w:rPr>
          <w:rFonts w:cstheme="minorHAnsi"/>
          <w:b/>
          <w:bCs/>
        </w:rPr>
        <w:t>Footnotes</w:t>
      </w:r>
    </w:p>
    <w:p w14:paraId="370D2F9D" w14:textId="77777777" w:rsidR="00140F0B" w:rsidRDefault="00140F0B" w:rsidP="00B8286D">
      <w:pPr>
        <w:spacing w:line="276" w:lineRule="auto"/>
        <w:jc w:val="center"/>
        <w:rPr>
          <w:rFonts w:cstheme="minorHAnsi"/>
          <w:b/>
          <w:bCs/>
          <w:sz w:val="22"/>
          <w:szCs w:val="22"/>
        </w:rPr>
      </w:pPr>
    </w:p>
    <w:p w14:paraId="2510C4E4" w14:textId="77777777" w:rsidR="00B72037" w:rsidRDefault="00B72037" w:rsidP="00B72037">
      <w:pPr>
        <w:jc w:val="center"/>
        <w:rPr>
          <w:b/>
          <w:bCs/>
        </w:rPr>
      </w:pPr>
      <w:r w:rsidRPr="003014B5">
        <w:rPr>
          <w:b/>
          <w:bCs/>
        </w:rPr>
        <w:t>Glossary</w:t>
      </w:r>
      <w:r>
        <w:rPr>
          <w:b/>
          <w:bCs/>
        </w:rPr>
        <w:t xml:space="preserve"> of Abbreviations</w:t>
      </w:r>
    </w:p>
    <w:p w14:paraId="0F5E23FE" w14:textId="77777777" w:rsidR="00B72037" w:rsidRPr="003014B5" w:rsidRDefault="00B72037" w:rsidP="00B72037">
      <w:pPr>
        <w:jc w:val="both"/>
        <w:rPr>
          <w:b/>
          <w:bCs/>
        </w:rPr>
      </w:pPr>
    </w:p>
    <w:p w14:paraId="29976D7D" w14:textId="77777777" w:rsidR="00B72037" w:rsidRPr="00BA6C2C" w:rsidRDefault="00B72037" w:rsidP="00B72037">
      <w:pPr>
        <w:jc w:val="both"/>
        <w:rPr>
          <w:b/>
          <w:bCs/>
        </w:rPr>
      </w:pPr>
      <w:r w:rsidRPr="00BA6C2C">
        <w:rPr>
          <w:b/>
          <w:bCs/>
        </w:rPr>
        <w:t>DfE – Department for Education</w:t>
      </w:r>
    </w:p>
    <w:p w14:paraId="31502050" w14:textId="77777777" w:rsidR="00B72037" w:rsidRPr="003014B5" w:rsidRDefault="00B72037" w:rsidP="00B72037">
      <w:pPr>
        <w:jc w:val="both"/>
      </w:pPr>
      <w:r w:rsidRPr="003014B5">
        <w:rPr>
          <w:rFonts w:cs="Arial"/>
          <w:color w:val="4D5156"/>
          <w:shd w:val="clear" w:color="auto" w:fill="FFFFFF"/>
        </w:rPr>
        <w:t xml:space="preserve">The Department for Education is </w:t>
      </w:r>
      <w:r w:rsidRPr="003014B5">
        <w:rPr>
          <w:rFonts w:cs="Arial"/>
          <w:color w:val="040C28"/>
        </w:rPr>
        <w:t>responsible for children's services and education, including early years, schools, higher and further education policy, apprenticeships and wider skills in England</w:t>
      </w:r>
      <w:r w:rsidRPr="003014B5">
        <w:rPr>
          <w:rFonts w:cs="Arial"/>
          <w:color w:val="4D5156"/>
          <w:shd w:val="clear" w:color="auto" w:fill="FFFFFF"/>
        </w:rPr>
        <w:t xml:space="preserve">. DfE is a ministerial department of the Government of the UK </w:t>
      </w:r>
    </w:p>
    <w:p w14:paraId="69F476F9" w14:textId="77777777" w:rsidR="00B72037" w:rsidRPr="00F648E2" w:rsidRDefault="00B72037" w:rsidP="00B72037">
      <w:pPr>
        <w:jc w:val="both"/>
        <w:rPr>
          <w:b/>
          <w:bCs/>
        </w:rPr>
      </w:pPr>
      <w:r w:rsidRPr="00F648E2">
        <w:rPr>
          <w:b/>
          <w:bCs/>
        </w:rPr>
        <w:t>ECE – Early Childhood Education</w:t>
      </w:r>
    </w:p>
    <w:p w14:paraId="62852D75" w14:textId="77777777" w:rsidR="00B72037" w:rsidRPr="003014B5" w:rsidRDefault="00B72037" w:rsidP="00B72037">
      <w:pPr>
        <w:jc w:val="both"/>
      </w:pPr>
      <w:r w:rsidRPr="003014B5">
        <w:rPr>
          <w:rFonts w:cs="Arial"/>
          <w:color w:val="202124"/>
          <w:shd w:val="clear" w:color="auto" w:fill="FFFFFF"/>
        </w:rPr>
        <w:t>Early childhood education (ECE) includes the formative years of</w:t>
      </w:r>
      <w:r w:rsidRPr="003014B5">
        <w:rPr>
          <w:rFonts w:cs="Arial"/>
          <w:color w:val="040C28"/>
        </w:rPr>
        <w:t xml:space="preserve"> teaching children (formally and informally) from birth up to the age of eight</w:t>
      </w:r>
      <w:r w:rsidRPr="003014B5">
        <w:rPr>
          <w:rFonts w:cs="Arial"/>
          <w:color w:val="202124"/>
          <w:shd w:val="clear" w:color="auto" w:fill="FFFFFF"/>
        </w:rPr>
        <w:t xml:space="preserve">. </w:t>
      </w:r>
    </w:p>
    <w:p w14:paraId="2A2DDD23" w14:textId="77777777" w:rsidR="00B72037" w:rsidRPr="00F648E2" w:rsidRDefault="00B72037" w:rsidP="00B72037">
      <w:pPr>
        <w:jc w:val="both"/>
        <w:rPr>
          <w:b/>
          <w:bCs/>
        </w:rPr>
      </w:pPr>
      <w:r w:rsidRPr="00F648E2">
        <w:rPr>
          <w:b/>
          <w:bCs/>
        </w:rPr>
        <w:t>MSD(s) – Musculoskeletal disorder(s)</w:t>
      </w:r>
    </w:p>
    <w:p w14:paraId="3C895651" w14:textId="77777777" w:rsidR="00B72037" w:rsidRPr="00960B13" w:rsidRDefault="00B72037" w:rsidP="00B72037">
      <w:pPr>
        <w:jc w:val="both"/>
        <w:rPr>
          <w:rFonts w:cs="Arial"/>
          <w:color w:val="202124"/>
          <w:shd w:val="clear" w:color="auto" w:fill="FFFFFF"/>
        </w:rPr>
      </w:pPr>
      <w:r w:rsidRPr="003014B5">
        <w:rPr>
          <w:rFonts w:cs="Arial"/>
          <w:color w:val="202124"/>
          <w:shd w:val="clear" w:color="auto" w:fill="FFFFFF"/>
        </w:rPr>
        <w:t>Musculoskeletal disorders </w:t>
      </w:r>
      <w:r w:rsidRPr="003014B5">
        <w:rPr>
          <w:rFonts w:cs="Arial"/>
          <w:color w:val="040C28"/>
        </w:rPr>
        <w:t>affect joints, bones, muscles, tendons, ligaments and sometimes associated tissues such as nerves</w:t>
      </w:r>
      <w:r w:rsidRPr="003014B5">
        <w:rPr>
          <w:rFonts w:cs="Arial"/>
          <w:color w:val="202124"/>
          <w:shd w:val="clear" w:color="auto" w:fill="FFFFFF"/>
        </w:rPr>
        <w:t>. MSDs can range from minor injuries to long-term conditions, leading to limitations in functioning and participation. They can develop quickly or build up over time.</w:t>
      </w:r>
      <w:r>
        <w:rPr>
          <w:rFonts w:cs="Arial"/>
          <w:color w:val="202124"/>
          <w:shd w:val="clear" w:color="auto" w:fill="FFFFFF"/>
        </w:rPr>
        <w:t xml:space="preserve"> </w:t>
      </w:r>
      <w:r w:rsidRPr="003014B5">
        <w:rPr>
          <w:rFonts w:cs="Arial"/>
          <w:color w:val="111111"/>
        </w:rPr>
        <w:t>Workers can have different kinds of MSDs at the same time.</w:t>
      </w:r>
    </w:p>
    <w:p w14:paraId="7BC129A7" w14:textId="77777777" w:rsidR="00B72037" w:rsidRPr="00F648E2" w:rsidRDefault="00B72037" w:rsidP="00B72037">
      <w:pPr>
        <w:jc w:val="both"/>
        <w:rPr>
          <w:b/>
          <w:bCs/>
        </w:rPr>
      </w:pPr>
      <w:r w:rsidRPr="00F648E2">
        <w:rPr>
          <w:b/>
          <w:bCs/>
        </w:rPr>
        <w:t xml:space="preserve">MSK </w:t>
      </w:r>
      <w:r>
        <w:rPr>
          <w:b/>
          <w:bCs/>
        </w:rPr>
        <w:t xml:space="preserve">health </w:t>
      </w:r>
      <w:r w:rsidRPr="00F648E2">
        <w:rPr>
          <w:b/>
          <w:bCs/>
        </w:rPr>
        <w:t>– Musculoskeletal</w:t>
      </w:r>
      <w:r>
        <w:rPr>
          <w:b/>
          <w:bCs/>
        </w:rPr>
        <w:t xml:space="preserve"> health</w:t>
      </w:r>
    </w:p>
    <w:p w14:paraId="3C67EFC4" w14:textId="77777777" w:rsidR="00B72037" w:rsidRPr="003C1871" w:rsidRDefault="00B72037" w:rsidP="00B72037">
      <w:pPr>
        <w:jc w:val="both"/>
      </w:pPr>
      <w:r w:rsidRPr="003014B5">
        <w:rPr>
          <w:rFonts w:cs="Noto Sans"/>
          <w:color w:val="3C4245"/>
          <w:shd w:val="clear" w:color="auto" w:fill="FFFFFF"/>
        </w:rPr>
        <w:t>Musculoskeletal health refers to the performance of the locomotor system, comprising efficient use of muscles, bones, joints and adjacent connective tissues. Musculoskeletal health is important across the life course – from childhood to older age. </w:t>
      </w:r>
    </w:p>
    <w:p w14:paraId="7A661508" w14:textId="77777777" w:rsidR="00B72037" w:rsidRPr="00F648E2" w:rsidRDefault="00B72037" w:rsidP="00B72037">
      <w:pPr>
        <w:spacing w:after="240"/>
        <w:jc w:val="both"/>
        <w:rPr>
          <w:rFonts w:cs="Arial"/>
          <w:b/>
          <w:bCs/>
          <w:color w:val="111111"/>
        </w:rPr>
      </w:pPr>
      <w:r w:rsidRPr="00F648E2">
        <w:rPr>
          <w:rFonts w:cs="Arial"/>
          <w:b/>
          <w:bCs/>
          <w:color w:val="111111"/>
        </w:rPr>
        <w:t>MSK risks</w:t>
      </w:r>
      <w:r>
        <w:rPr>
          <w:rFonts w:cs="Arial"/>
          <w:b/>
          <w:bCs/>
          <w:color w:val="111111"/>
        </w:rPr>
        <w:t xml:space="preserve"> – </w:t>
      </w:r>
      <w:r w:rsidRPr="00F648E2">
        <w:rPr>
          <w:b/>
          <w:bCs/>
        </w:rPr>
        <w:t>Musculoskeletal</w:t>
      </w:r>
      <w:r>
        <w:rPr>
          <w:b/>
          <w:bCs/>
        </w:rPr>
        <w:t xml:space="preserve"> risk</w:t>
      </w:r>
    </w:p>
    <w:p w14:paraId="3941C426" w14:textId="77777777" w:rsidR="00B72037" w:rsidRPr="003C1871" w:rsidRDefault="00B72037" w:rsidP="00B72037">
      <w:pPr>
        <w:spacing w:after="240"/>
        <w:jc w:val="both"/>
        <w:rPr>
          <w:rFonts w:cs="Arial"/>
          <w:color w:val="111111"/>
        </w:rPr>
      </w:pPr>
      <w:r w:rsidRPr="003014B5">
        <w:rPr>
          <w:rFonts w:cs="Arial"/>
          <w:color w:val="111111"/>
        </w:rPr>
        <w:t>MSK r</w:t>
      </w:r>
      <w:r w:rsidRPr="00BB6EAE">
        <w:rPr>
          <w:rFonts w:cs="Arial"/>
          <w:color w:val="111111"/>
        </w:rPr>
        <w:t xml:space="preserve">isk factors causing </w:t>
      </w:r>
      <w:r w:rsidRPr="003014B5">
        <w:rPr>
          <w:rFonts w:cs="Arial"/>
          <w:color w:val="111111"/>
        </w:rPr>
        <w:t>Musculoskeletal disorders</w:t>
      </w:r>
      <w:r w:rsidRPr="00BB6EAE">
        <w:rPr>
          <w:rFonts w:cs="Arial"/>
          <w:color w:val="111111"/>
        </w:rPr>
        <w:t xml:space="preserve"> </w:t>
      </w:r>
      <w:r w:rsidRPr="003014B5">
        <w:rPr>
          <w:rFonts w:cs="Arial"/>
          <w:color w:val="111111"/>
        </w:rPr>
        <w:t>are present in</w:t>
      </w:r>
      <w:r w:rsidRPr="00BB6EAE">
        <w:rPr>
          <w:rFonts w:cs="Arial"/>
          <w:color w:val="111111"/>
        </w:rPr>
        <w:t xml:space="preserve"> many work</w:t>
      </w:r>
      <w:r w:rsidRPr="003014B5">
        <w:rPr>
          <w:rFonts w:cs="Arial"/>
          <w:color w:val="111111"/>
        </w:rPr>
        <w:t xml:space="preserve">places. They include physical actions: </w:t>
      </w:r>
      <w:r w:rsidRPr="00BB6EAE">
        <w:rPr>
          <w:rFonts w:cs="Arial"/>
          <w:color w:val="111111"/>
        </w:rPr>
        <w:t>bending, crouching or stooping</w:t>
      </w:r>
      <w:r w:rsidRPr="003014B5">
        <w:rPr>
          <w:rFonts w:cs="Arial"/>
          <w:color w:val="111111"/>
        </w:rPr>
        <w:t xml:space="preserve">, </w:t>
      </w:r>
      <w:r w:rsidRPr="00BB6EAE">
        <w:rPr>
          <w:rFonts w:cs="Arial"/>
          <w:color w:val="111111"/>
        </w:rPr>
        <w:t xml:space="preserve">lifting </w:t>
      </w:r>
      <w:r w:rsidRPr="003014B5">
        <w:rPr>
          <w:rFonts w:cs="Arial"/>
          <w:color w:val="111111"/>
        </w:rPr>
        <w:t xml:space="preserve">heavy </w:t>
      </w:r>
      <w:r w:rsidRPr="00BB6EAE">
        <w:rPr>
          <w:rFonts w:cs="Arial"/>
          <w:color w:val="111111"/>
        </w:rPr>
        <w:t>loads</w:t>
      </w:r>
      <w:r w:rsidRPr="003014B5">
        <w:rPr>
          <w:rFonts w:cs="Arial"/>
          <w:color w:val="111111"/>
        </w:rPr>
        <w:t xml:space="preserve">. Poorly designed working environments and/or work organisation, a recent or existing injury and/or health condition and certain groups of workers are also at increased risk of MSDs (for example young people, disabled workers, pregnant/returning from pregnancy and those new to job role. Stress and other psychosocial factors can also be contributory MSK risk factors. </w:t>
      </w:r>
    </w:p>
    <w:p w14:paraId="2B0EC364" w14:textId="77777777" w:rsidR="00B72037" w:rsidRPr="003C1871" w:rsidRDefault="00B72037" w:rsidP="00B72037">
      <w:pPr>
        <w:jc w:val="both"/>
        <w:rPr>
          <w:b/>
          <w:bCs/>
        </w:rPr>
      </w:pPr>
      <w:r w:rsidRPr="003C1871">
        <w:rPr>
          <w:b/>
          <w:bCs/>
        </w:rPr>
        <w:t>MSP – Musculoskeletal Pain</w:t>
      </w:r>
    </w:p>
    <w:p w14:paraId="706AA825" w14:textId="77777777" w:rsidR="00B72037" w:rsidRDefault="00B72037" w:rsidP="00B72037">
      <w:pPr>
        <w:pStyle w:val="NoSpacing"/>
        <w:jc w:val="both"/>
        <w:rPr>
          <w:color w:val="4D5156"/>
          <w:shd w:val="clear" w:color="auto" w:fill="FFFFFF"/>
        </w:rPr>
      </w:pPr>
      <w:r w:rsidRPr="003014B5">
        <w:rPr>
          <w:color w:val="202124"/>
          <w:shd w:val="clear" w:color="auto" w:fill="FFFFFF"/>
        </w:rPr>
        <w:t>Musculoskeletal pain </w:t>
      </w:r>
      <w:r w:rsidRPr="003014B5">
        <w:rPr>
          <w:color w:val="040C28"/>
        </w:rPr>
        <w:t>affects the joints, bones, muscles, tendons, ligaments and sometimes associated tissues</w:t>
      </w:r>
      <w:r w:rsidRPr="003014B5">
        <w:rPr>
          <w:color w:val="202124"/>
          <w:shd w:val="clear" w:color="auto" w:fill="FFFFFF"/>
        </w:rPr>
        <w:t xml:space="preserve">. </w:t>
      </w:r>
      <w:r w:rsidRPr="003014B5">
        <w:t xml:space="preserve">It is the primary symptom of musculoskeletal disorders and can be felt in one localised body part or the entire body. Musculoskeletal pain can be mild or severe, sudden (acute) or long term (chronic). </w:t>
      </w:r>
      <w:r>
        <w:rPr>
          <w:color w:val="4D5156"/>
          <w:shd w:val="clear" w:color="auto" w:fill="FFFFFF"/>
        </w:rPr>
        <w:t>It</w:t>
      </w:r>
      <w:r w:rsidRPr="003014B5">
        <w:rPr>
          <w:color w:val="4D5156"/>
          <w:shd w:val="clear" w:color="auto" w:fill="FFFFFF"/>
        </w:rPr>
        <w:t xml:space="preserve"> often affects people's ability to work, socialise and exercise. </w:t>
      </w:r>
    </w:p>
    <w:p w14:paraId="46C184F5" w14:textId="77777777" w:rsidR="00B72037" w:rsidRPr="003014B5" w:rsidRDefault="00B72037" w:rsidP="00B72037">
      <w:pPr>
        <w:pStyle w:val="NoSpacing"/>
        <w:jc w:val="both"/>
      </w:pPr>
    </w:p>
    <w:p w14:paraId="09168C0A" w14:textId="77777777" w:rsidR="00B72037" w:rsidRPr="003014B5" w:rsidRDefault="00B72037" w:rsidP="00B72037">
      <w:pPr>
        <w:jc w:val="both"/>
      </w:pPr>
      <w:r w:rsidRPr="009A573C">
        <w:rPr>
          <w:b/>
          <w:bCs/>
        </w:rPr>
        <w:t>WHO</w:t>
      </w:r>
      <w:r w:rsidRPr="003014B5">
        <w:t xml:space="preserve"> – World Health Organisation</w:t>
      </w:r>
    </w:p>
    <w:p w14:paraId="410717BA" w14:textId="77777777" w:rsidR="00B72037" w:rsidRPr="003014B5" w:rsidRDefault="00B72037" w:rsidP="00B72037">
      <w:pPr>
        <w:jc w:val="both"/>
      </w:pPr>
      <w:r w:rsidRPr="009A573C">
        <w:rPr>
          <w:b/>
          <w:bCs/>
        </w:rPr>
        <w:t>IMHE</w:t>
      </w:r>
      <w:r w:rsidRPr="003014B5">
        <w:t xml:space="preserve"> – Institute for Health Metrics and Evaluation</w:t>
      </w:r>
    </w:p>
    <w:p w14:paraId="482607F9" w14:textId="77777777" w:rsidR="00B72037" w:rsidRPr="003014B5" w:rsidRDefault="00B72037" w:rsidP="00B72037">
      <w:pPr>
        <w:jc w:val="both"/>
      </w:pPr>
      <w:r w:rsidRPr="009A573C">
        <w:rPr>
          <w:b/>
          <w:bCs/>
        </w:rPr>
        <w:t>HSE</w:t>
      </w:r>
      <w:r w:rsidRPr="003014B5">
        <w:t xml:space="preserve"> – Health and Safety Executive </w:t>
      </w:r>
    </w:p>
    <w:p w14:paraId="760CA748" w14:textId="77777777" w:rsidR="00B72037" w:rsidRPr="003014B5" w:rsidRDefault="00B72037" w:rsidP="00B72037">
      <w:pPr>
        <w:jc w:val="both"/>
      </w:pPr>
      <w:r w:rsidRPr="009A573C">
        <w:rPr>
          <w:b/>
          <w:bCs/>
        </w:rPr>
        <w:t>UK</w:t>
      </w:r>
      <w:r w:rsidRPr="003014B5">
        <w:t xml:space="preserve"> – United Kingdom</w:t>
      </w:r>
    </w:p>
    <w:p w14:paraId="5E7A6E77" w14:textId="77777777" w:rsidR="00B72037" w:rsidRPr="003014B5" w:rsidRDefault="00B72037" w:rsidP="00B72037">
      <w:pPr>
        <w:jc w:val="both"/>
      </w:pPr>
      <w:r w:rsidRPr="009A573C">
        <w:rPr>
          <w:b/>
          <w:bCs/>
        </w:rPr>
        <w:t>ONS</w:t>
      </w:r>
      <w:r w:rsidRPr="003014B5">
        <w:t xml:space="preserve"> – Office for National Statistics</w:t>
      </w:r>
    </w:p>
    <w:p w14:paraId="19ECA812" w14:textId="77777777" w:rsidR="00B72037" w:rsidRPr="003014B5" w:rsidRDefault="00B72037" w:rsidP="00B72037">
      <w:pPr>
        <w:jc w:val="both"/>
      </w:pPr>
      <w:r w:rsidRPr="009A573C">
        <w:rPr>
          <w:b/>
          <w:bCs/>
        </w:rPr>
        <w:t>Prof.</w:t>
      </w:r>
      <w:r w:rsidRPr="003014B5">
        <w:t xml:space="preserve"> – Professor</w:t>
      </w:r>
    </w:p>
    <w:p w14:paraId="26F8700A" w14:textId="77777777" w:rsidR="00B72037" w:rsidRPr="003014B5" w:rsidRDefault="00B72037" w:rsidP="00B72037">
      <w:pPr>
        <w:jc w:val="both"/>
      </w:pPr>
      <w:r w:rsidRPr="00122C5D">
        <w:rPr>
          <w:b/>
          <w:bCs/>
        </w:rPr>
        <w:t>IBM SPSS 28</w:t>
      </w:r>
      <w:r w:rsidRPr="003014B5">
        <w:t xml:space="preserve"> – </w:t>
      </w:r>
      <w:r>
        <w:t>International</w:t>
      </w:r>
      <w:r w:rsidRPr="00122C5D">
        <w:t xml:space="preserve"> Business Machines Statistical Package for the Social Sciences</w:t>
      </w:r>
    </w:p>
    <w:p w14:paraId="23EEFDA3" w14:textId="77777777" w:rsidR="00B72037" w:rsidRPr="003014B5" w:rsidRDefault="00B72037" w:rsidP="00B72037">
      <w:pPr>
        <w:jc w:val="both"/>
      </w:pPr>
      <w:r w:rsidRPr="00784D74">
        <w:rPr>
          <w:b/>
          <w:bCs/>
        </w:rPr>
        <w:t>ROC</w:t>
      </w:r>
      <w:r w:rsidRPr="003014B5">
        <w:t xml:space="preserve"> - </w:t>
      </w:r>
      <w:r>
        <w:rPr>
          <w:rStyle w:val="hgkelc"/>
          <w:lang w:val="en"/>
        </w:rPr>
        <w:t>R</w:t>
      </w:r>
      <w:r w:rsidRPr="00784D74">
        <w:rPr>
          <w:rStyle w:val="hgkelc"/>
          <w:lang w:val="en"/>
        </w:rPr>
        <w:t>eceiver operating characteristic curve</w:t>
      </w:r>
    </w:p>
    <w:p w14:paraId="60E38A60" w14:textId="77777777" w:rsidR="00140F0B" w:rsidRDefault="00140F0B" w:rsidP="00B8286D">
      <w:pPr>
        <w:spacing w:line="276" w:lineRule="auto"/>
        <w:jc w:val="center"/>
        <w:rPr>
          <w:rFonts w:cstheme="minorHAnsi"/>
          <w:b/>
          <w:bCs/>
          <w:sz w:val="22"/>
          <w:szCs w:val="22"/>
        </w:rPr>
      </w:pPr>
    </w:p>
    <w:p w14:paraId="09582C4A" w14:textId="77777777" w:rsidR="00140F0B" w:rsidRDefault="00140F0B" w:rsidP="00B8286D">
      <w:pPr>
        <w:spacing w:line="276" w:lineRule="auto"/>
        <w:jc w:val="center"/>
        <w:rPr>
          <w:rFonts w:cstheme="minorHAnsi"/>
          <w:b/>
          <w:bCs/>
          <w:sz w:val="22"/>
          <w:szCs w:val="22"/>
        </w:rPr>
      </w:pPr>
    </w:p>
    <w:p w14:paraId="3B0A64C5" w14:textId="77777777" w:rsidR="00140F0B" w:rsidRDefault="00140F0B" w:rsidP="00B8286D">
      <w:pPr>
        <w:spacing w:line="276" w:lineRule="auto"/>
        <w:jc w:val="center"/>
        <w:rPr>
          <w:rFonts w:cstheme="minorHAnsi"/>
          <w:b/>
          <w:bCs/>
          <w:sz w:val="22"/>
          <w:szCs w:val="22"/>
        </w:rPr>
      </w:pPr>
    </w:p>
    <w:p w14:paraId="6674F001" w14:textId="77777777" w:rsidR="00140F0B" w:rsidRDefault="00140F0B" w:rsidP="00B8286D">
      <w:pPr>
        <w:spacing w:line="276" w:lineRule="auto"/>
        <w:jc w:val="center"/>
        <w:rPr>
          <w:rFonts w:cstheme="minorHAnsi"/>
          <w:b/>
          <w:bCs/>
          <w:sz w:val="22"/>
          <w:szCs w:val="22"/>
        </w:rPr>
      </w:pPr>
    </w:p>
    <w:p w14:paraId="35663A33" w14:textId="77777777" w:rsidR="00140F0B" w:rsidRPr="00B8286D" w:rsidRDefault="00140F0B" w:rsidP="00B8286D">
      <w:pPr>
        <w:spacing w:line="276" w:lineRule="auto"/>
        <w:jc w:val="center"/>
        <w:rPr>
          <w:rFonts w:cstheme="minorHAnsi"/>
          <w:b/>
          <w:bCs/>
          <w:sz w:val="22"/>
          <w:szCs w:val="22"/>
        </w:rPr>
      </w:pPr>
    </w:p>
    <w:p w14:paraId="431C6DB4" w14:textId="77777777" w:rsidR="006A6D2F" w:rsidRDefault="006A6D2F" w:rsidP="002A7D27">
      <w:pPr>
        <w:spacing w:line="276" w:lineRule="auto"/>
        <w:jc w:val="both"/>
        <w:rPr>
          <w:rFonts w:cstheme="minorHAnsi"/>
          <w:sz w:val="22"/>
          <w:szCs w:val="22"/>
        </w:rPr>
      </w:pPr>
    </w:p>
    <w:p w14:paraId="5FCA0636" w14:textId="750F56EE" w:rsidR="006A6D2F" w:rsidRPr="003E22B5" w:rsidRDefault="006A6D2F" w:rsidP="00B8286D">
      <w:pPr>
        <w:spacing w:line="276" w:lineRule="auto"/>
        <w:jc w:val="center"/>
        <w:rPr>
          <w:rFonts w:cstheme="minorHAnsi"/>
          <w:b/>
          <w:bCs/>
        </w:rPr>
      </w:pPr>
      <w:r w:rsidRPr="003E22B5">
        <w:rPr>
          <w:rFonts w:cstheme="minorHAnsi"/>
          <w:b/>
          <w:bCs/>
        </w:rPr>
        <w:t>Tables</w:t>
      </w:r>
    </w:p>
    <w:p w14:paraId="1717BBDB" w14:textId="77777777" w:rsidR="006A6D2F" w:rsidRDefault="006A6D2F" w:rsidP="002A7D27">
      <w:pPr>
        <w:spacing w:line="276" w:lineRule="auto"/>
        <w:jc w:val="both"/>
        <w:rPr>
          <w:rFonts w:cstheme="minorHAnsi"/>
          <w:sz w:val="22"/>
          <w:szCs w:val="22"/>
        </w:rPr>
      </w:pPr>
    </w:p>
    <w:p w14:paraId="322FDBBD" w14:textId="710DB37B" w:rsidR="00EF33F8" w:rsidRPr="003E22B5" w:rsidRDefault="00655BC1" w:rsidP="00655BC1">
      <w:pPr>
        <w:pStyle w:val="NormalWeb"/>
        <w:rPr>
          <w:rFonts w:cstheme="minorHAnsi"/>
          <w:b/>
          <w:bCs/>
        </w:rPr>
      </w:pPr>
      <w:r w:rsidRPr="003E22B5">
        <w:rPr>
          <w:rFonts w:cstheme="minorHAnsi"/>
          <w:b/>
          <w:bCs/>
        </w:rPr>
        <w:t>Table 1</w:t>
      </w:r>
    </w:p>
    <w:p w14:paraId="35459763" w14:textId="3C36C065" w:rsidR="00655BC1" w:rsidRPr="003E22B5" w:rsidRDefault="00985ED4" w:rsidP="002A7D27">
      <w:pPr>
        <w:spacing w:line="276" w:lineRule="auto"/>
        <w:jc w:val="both"/>
        <w:rPr>
          <w:rFonts w:cstheme="minorHAnsi"/>
          <w:b/>
          <w:bCs/>
        </w:rPr>
      </w:pPr>
      <w:r w:rsidRPr="003E22B5">
        <w:rPr>
          <w:rFonts w:cstheme="minorHAnsi"/>
          <w:b/>
          <w:bCs/>
        </w:rPr>
        <w:t xml:space="preserve">Sociodemographic </w:t>
      </w:r>
      <w:r w:rsidR="00524D3F">
        <w:rPr>
          <w:rFonts w:cstheme="minorHAnsi"/>
          <w:b/>
          <w:bCs/>
        </w:rPr>
        <w:t>c</w:t>
      </w:r>
      <w:r w:rsidRPr="003E22B5">
        <w:rPr>
          <w:rFonts w:cstheme="minorHAnsi"/>
          <w:b/>
          <w:bCs/>
        </w:rPr>
        <w:t xml:space="preserve">haracteristics of </w:t>
      </w:r>
      <w:r w:rsidR="00524D3F">
        <w:rPr>
          <w:rFonts w:cstheme="minorHAnsi"/>
          <w:b/>
          <w:bCs/>
        </w:rPr>
        <w:t>s</w:t>
      </w:r>
      <w:r w:rsidRPr="003E22B5">
        <w:rPr>
          <w:rFonts w:cstheme="minorHAnsi"/>
          <w:b/>
          <w:bCs/>
        </w:rPr>
        <w:t>ample.</w:t>
      </w:r>
    </w:p>
    <w:p w14:paraId="69D4DABA" w14:textId="77777777" w:rsidR="00655BC1" w:rsidRDefault="00655BC1" w:rsidP="002A7D27">
      <w:pPr>
        <w:spacing w:line="276" w:lineRule="auto"/>
        <w:jc w:val="both"/>
        <w:rPr>
          <w:rFonts w:cstheme="minorHAnsi"/>
          <w:sz w:val="22"/>
          <w:szCs w:val="22"/>
        </w:rPr>
      </w:pPr>
    </w:p>
    <w:tbl>
      <w:tblPr>
        <w:tblW w:w="9166" w:type="dxa"/>
        <w:tblLook w:val="04A0" w:firstRow="1" w:lastRow="0" w:firstColumn="1" w:lastColumn="0" w:noHBand="0" w:noVBand="1"/>
      </w:tblPr>
      <w:tblGrid>
        <w:gridCol w:w="1896"/>
        <w:gridCol w:w="1853"/>
        <w:gridCol w:w="1216"/>
        <w:gridCol w:w="2243"/>
        <w:gridCol w:w="1383"/>
        <w:gridCol w:w="1411"/>
      </w:tblGrid>
      <w:tr w:rsidR="00CD249C" w:rsidRPr="005563F8" w14:paraId="6C9D6384" w14:textId="77777777" w:rsidTr="00CD249C">
        <w:trPr>
          <w:trHeight w:val="341"/>
        </w:trPr>
        <w:tc>
          <w:tcPr>
            <w:tcW w:w="1896" w:type="dxa"/>
            <w:tcBorders>
              <w:top w:val="single" w:sz="8" w:space="0" w:color="auto"/>
              <w:left w:val="single" w:sz="8" w:space="0" w:color="auto"/>
              <w:bottom w:val="single" w:sz="8" w:space="0" w:color="auto"/>
              <w:right w:val="nil"/>
            </w:tcBorders>
            <w:shd w:val="clear" w:color="000000" w:fill="E7E6E6"/>
            <w:noWrap/>
            <w:vAlign w:val="center"/>
            <w:hideMark/>
          </w:tcPr>
          <w:p w14:paraId="5E36B648" w14:textId="77777777" w:rsidR="00CD249C" w:rsidRPr="005563F8" w:rsidRDefault="00CD249C" w:rsidP="00CD249C">
            <w:pPr>
              <w:jc w:val="center"/>
              <w:rPr>
                <w:color w:val="000000"/>
              </w:rPr>
            </w:pPr>
            <w:r w:rsidRPr="005563F8">
              <w:rPr>
                <w:color w:val="000000"/>
              </w:rPr>
              <w:t>Sex</w:t>
            </w:r>
          </w:p>
        </w:tc>
        <w:tc>
          <w:tcPr>
            <w:tcW w:w="1853" w:type="dxa"/>
            <w:tcBorders>
              <w:top w:val="single" w:sz="8" w:space="0" w:color="auto"/>
              <w:left w:val="nil"/>
              <w:bottom w:val="single" w:sz="8" w:space="0" w:color="auto"/>
              <w:right w:val="nil"/>
            </w:tcBorders>
            <w:shd w:val="clear" w:color="000000" w:fill="E7E6E6"/>
            <w:noWrap/>
            <w:vAlign w:val="center"/>
            <w:hideMark/>
          </w:tcPr>
          <w:p w14:paraId="73FBC271" w14:textId="77777777" w:rsidR="00CD249C" w:rsidRPr="005563F8" w:rsidRDefault="00CD249C" w:rsidP="00CD249C">
            <w:pPr>
              <w:rPr>
                <w:color w:val="000000"/>
              </w:rPr>
            </w:pPr>
            <w:r w:rsidRPr="005563F8">
              <w:rPr>
                <w:color w:val="000000"/>
              </w:rPr>
              <w:t> </w:t>
            </w:r>
          </w:p>
        </w:tc>
        <w:tc>
          <w:tcPr>
            <w:tcW w:w="884" w:type="dxa"/>
            <w:tcBorders>
              <w:top w:val="single" w:sz="8" w:space="0" w:color="auto"/>
              <w:left w:val="nil"/>
              <w:bottom w:val="single" w:sz="8" w:space="0" w:color="auto"/>
              <w:right w:val="single" w:sz="8" w:space="0" w:color="auto"/>
            </w:tcBorders>
            <w:shd w:val="clear" w:color="000000" w:fill="E7E6E6"/>
            <w:noWrap/>
            <w:vAlign w:val="center"/>
            <w:hideMark/>
          </w:tcPr>
          <w:p w14:paraId="1C5F6489" w14:textId="77777777" w:rsidR="00CD249C" w:rsidRPr="005563F8" w:rsidRDefault="00CD249C" w:rsidP="00CD249C">
            <w:pPr>
              <w:rPr>
                <w:color w:val="000000"/>
              </w:rPr>
            </w:pPr>
            <w:r w:rsidRPr="005563F8">
              <w:rPr>
                <w:color w:val="000000"/>
              </w:rPr>
              <w:t>Count</w:t>
            </w:r>
          </w:p>
        </w:tc>
        <w:tc>
          <w:tcPr>
            <w:tcW w:w="1739" w:type="dxa"/>
            <w:tcBorders>
              <w:top w:val="single" w:sz="8" w:space="0" w:color="auto"/>
              <w:left w:val="nil"/>
              <w:bottom w:val="single" w:sz="8" w:space="0" w:color="auto"/>
              <w:right w:val="nil"/>
            </w:tcBorders>
            <w:shd w:val="clear" w:color="000000" w:fill="E7E6E6"/>
            <w:noWrap/>
            <w:vAlign w:val="center"/>
            <w:hideMark/>
          </w:tcPr>
          <w:p w14:paraId="12A09C70" w14:textId="77777777" w:rsidR="00CD249C" w:rsidRPr="005563F8" w:rsidRDefault="00CD249C" w:rsidP="00CD249C">
            <w:pPr>
              <w:jc w:val="center"/>
              <w:rPr>
                <w:color w:val="000000"/>
              </w:rPr>
            </w:pPr>
            <w:r w:rsidRPr="005563F8">
              <w:rPr>
                <w:color w:val="000000"/>
              </w:rPr>
              <w:t>Days worked per week</w:t>
            </w:r>
          </w:p>
        </w:tc>
        <w:tc>
          <w:tcPr>
            <w:tcW w:w="1383" w:type="dxa"/>
            <w:tcBorders>
              <w:top w:val="single" w:sz="8" w:space="0" w:color="auto"/>
              <w:left w:val="nil"/>
              <w:bottom w:val="single" w:sz="8" w:space="0" w:color="auto"/>
              <w:right w:val="nil"/>
            </w:tcBorders>
            <w:shd w:val="clear" w:color="000000" w:fill="E7E6E6"/>
            <w:noWrap/>
            <w:vAlign w:val="center"/>
            <w:hideMark/>
          </w:tcPr>
          <w:p w14:paraId="369E1ECC" w14:textId="77777777" w:rsidR="00CD249C" w:rsidRPr="005563F8" w:rsidRDefault="00CD249C" w:rsidP="00CD249C">
            <w:pPr>
              <w:jc w:val="center"/>
              <w:rPr>
                <w:color w:val="000000"/>
              </w:rPr>
            </w:pPr>
            <w:r w:rsidRPr="005563F8">
              <w:rPr>
                <w:color w:val="000000"/>
              </w:rPr>
              <w:t>Count</w:t>
            </w:r>
          </w:p>
        </w:tc>
        <w:tc>
          <w:tcPr>
            <w:tcW w:w="1411" w:type="dxa"/>
            <w:tcBorders>
              <w:top w:val="single" w:sz="8" w:space="0" w:color="auto"/>
              <w:left w:val="nil"/>
              <w:bottom w:val="single" w:sz="8" w:space="0" w:color="auto"/>
              <w:right w:val="single" w:sz="8" w:space="0" w:color="auto"/>
            </w:tcBorders>
            <w:shd w:val="clear" w:color="000000" w:fill="E7E6E6"/>
            <w:noWrap/>
            <w:vAlign w:val="center"/>
            <w:hideMark/>
          </w:tcPr>
          <w:p w14:paraId="6B105518" w14:textId="77777777" w:rsidR="00CD249C" w:rsidRPr="005563F8" w:rsidRDefault="00CD249C" w:rsidP="00CD249C">
            <w:pPr>
              <w:jc w:val="center"/>
              <w:rPr>
                <w:color w:val="000000"/>
              </w:rPr>
            </w:pPr>
            <w:r w:rsidRPr="005563F8">
              <w:rPr>
                <w:color w:val="000000"/>
              </w:rPr>
              <w:t>%</w:t>
            </w:r>
          </w:p>
        </w:tc>
      </w:tr>
      <w:tr w:rsidR="00CD249C" w:rsidRPr="005563F8" w14:paraId="41332408"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6CFFAB12" w14:textId="77777777" w:rsidR="00CD249C" w:rsidRPr="005563F8" w:rsidRDefault="00CD249C" w:rsidP="00CD249C">
            <w:pPr>
              <w:rPr>
                <w:color w:val="000000"/>
              </w:rPr>
            </w:pPr>
            <w:r w:rsidRPr="005563F8">
              <w:rPr>
                <w:color w:val="000000"/>
              </w:rPr>
              <w:t> </w:t>
            </w:r>
          </w:p>
        </w:tc>
        <w:tc>
          <w:tcPr>
            <w:tcW w:w="1853" w:type="dxa"/>
            <w:tcBorders>
              <w:top w:val="nil"/>
              <w:left w:val="nil"/>
              <w:bottom w:val="nil"/>
              <w:right w:val="nil"/>
            </w:tcBorders>
            <w:shd w:val="clear" w:color="auto" w:fill="auto"/>
            <w:noWrap/>
            <w:vAlign w:val="center"/>
            <w:hideMark/>
          </w:tcPr>
          <w:p w14:paraId="2752D5F0" w14:textId="77777777" w:rsidR="00CD249C" w:rsidRPr="005563F8" w:rsidRDefault="00CD249C" w:rsidP="00CD249C">
            <w:pPr>
              <w:rPr>
                <w:color w:val="000000"/>
              </w:rPr>
            </w:pPr>
            <w:r w:rsidRPr="005563F8">
              <w:rPr>
                <w:color w:val="000000"/>
              </w:rPr>
              <w:t>Female</w:t>
            </w:r>
          </w:p>
        </w:tc>
        <w:tc>
          <w:tcPr>
            <w:tcW w:w="884" w:type="dxa"/>
            <w:tcBorders>
              <w:top w:val="nil"/>
              <w:left w:val="nil"/>
              <w:bottom w:val="nil"/>
              <w:right w:val="single" w:sz="8" w:space="0" w:color="auto"/>
            </w:tcBorders>
            <w:shd w:val="clear" w:color="auto" w:fill="auto"/>
            <w:noWrap/>
            <w:vAlign w:val="center"/>
            <w:hideMark/>
          </w:tcPr>
          <w:p w14:paraId="2FE63087" w14:textId="77777777" w:rsidR="00CD249C" w:rsidRPr="005563F8" w:rsidRDefault="00CD249C" w:rsidP="00CD249C">
            <w:pPr>
              <w:jc w:val="center"/>
              <w:rPr>
                <w:color w:val="000000"/>
              </w:rPr>
            </w:pPr>
            <w:r w:rsidRPr="005563F8">
              <w:rPr>
                <w:color w:val="000000"/>
              </w:rPr>
              <w:t>192</w:t>
            </w:r>
          </w:p>
        </w:tc>
        <w:tc>
          <w:tcPr>
            <w:tcW w:w="1739" w:type="dxa"/>
            <w:tcBorders>
              <w:top w:val="nil"/>
              <w:left w:val="nil"/>
              <w:bottom w:val="nil"/>
              <w:right w:val="nil"/>
            </w:tcBorders>
            <w:shd w:val="clear" w:color="auto" w:fill="auto"/>
            <w:noWrap/>
            <w:vAlign w:val="center"/>
            <w:hideMark/>
          </w:tcPr>
          <w:p w14:paraId="2CE08ACE" w14:textId="77777777" w:rsidR="00CD249C" w:rsidRPr="005563F8" w:rsidRDefault="00CD249C" w:rsidP="00CD249C">
            <w:pPr>
              <w:jc w:val="center"/>
              <w:rPr>
                <w:i/>
                <w:iCs/>
                <w:color w:val="000000"/>
              </w:rPr>
            </w:pPr>
            <w:r w:rsidRPr="005563F8">
              <w:rPr>
                <w:i/>
                <w:iCs/>
                <w:color w:val="000000"/>
              </w:rPr>
              <w:t>0</w:t>
            </w:r>
          </w:p>
        </w:tc>
        <w:tc>
          <w:tcPr>
            <w:tcW w:w="1383" w:type="dxa"/>
            <w:tcBorders>
              <w:top w:val="nil"/>
              <w:left w:val="nil"/>
              <w:bottom w:val="nil"/>
              <w:right w:val="nil"/>
            </w:tcBorders>
            <w:shd w:val="clear" w:color="auto" w:fill="auto"/>
            <w:noWrap/>
            <w:vAlign w:val="center"/>
            <w:hideMark/>
          </w:tcPr>
          <w:p w14:paraId="3D39B98F" w14:textId="77777777" w:rsidR="00CD249C" w:rsidRPr="005563F8" w:rsidRDefault="00CD249C" w:rsidP="00CD249C">
            <w:pPr>
              <w:jc w:val="center"/>
              <w:rPr>
                <w:color w:val="000000"/>
              </w:rPr>
            </w:pPr>
            <w:r w:rsidRPr="005563F8">
              <w:rPr>
                <w:color w:val="000000"/>
              </w:rPr>
              <w:t>1</w:t>
            </w:r>
          </w:p>
        </w:tc>
        <w:tc>
          <w:tcPr>
            <w:tcW w:w="1411" w:type="dxa"/>
            <w:tcBorders>
              <w:top w:val="nil"/>
              <w:left w:val="nil"/>
              <w:bottom w:val="nil"/>
              <w:right w:val="single" w:sz="8" w:space="0" w:color="auto"/>
            </w:tcBorders>
            <w:shd w:val="clear" w:color="auto" w:fill="auto"/>
            <w:noWrap/>
            <w:vAlign w:val="center"/>
            <w:hideMark/>
          </w:tcPr>
          <w:p w14:paraId="6A9069AE" w14:textId="77777777" w:rsidR="00CD249C" w:rsidRPr="005563F8" w:rsidRDefault="00CD249C" w:rsidP="00CD249C">
            <w:pPr>
              <w:jc w:val="center"/>
              <w:rPr>
                <w:color w:val="000000"/>
              </w:rPr>
            </w:pPr>
            <w:r w:rsidRPr="005563F8">
              <w:rPr>
                <w:color w:val="000000"/>
              </w:rPr>
              <w:t>0.5</w:t>
            </w:r>
          </w:p>
        </w:tc>
      </w:tr>
      <w:tr w:rsidR="00CD249C" w:rsidRPr="005563F8" w14:paraId="6FE4C904" w14:textId="77777777" w:rsidTr="00CD249C">
        <w:trPr>
          <w:trHeight w:val="341"/>
        </w:trPr>
        <w:tc>
          <w:tcPr>
            <w:tcW w:w="1896" w:type="dxa"/>
            <w:tcBorders>
              <w:top w:val="nil"/>
              <w:left w:val="single" w:sz="8" w:space="0" w:color="auto"/>
              <w:bottom w:val="nil"/>
              <w:right w:val="nil"/>
            </w:tcBorders>
            <w:shd w:val="clear" w:color="auto" w:fill="auto"/>
            <w:noWrap/>
            <w:vAlign w:val="center"/>
            <w:hideMark/>
          </w:tcPr>
          <w:p w14:paraId="61FA2F5B" w14:textId="77777777" w:rsidR="00CD249C" w:rsidRPr="005563F8" w:rsidRDefault="00CD249C" w:rsidP="00CD249C">
            <w:pPr>
              <w:rPr>
                <w:color w:val="000000"/>
              </w:rPr>
            </w:pPr>
            <w:r w:rsidRPr="005563F8">
              <w:rPr>
                <w:color w:val="000000"/>
              </w:rPr>
              <w:t> </w:t>
            </w:r>
          </w:p>
        </w:tc>
        <w:tc>
          <w:tcPr>
            <w:tcW w:w="1853" w:type="dxa"/>
            <w:tcBorders>
              <w:top w:val="nil"/>
              <w:left w:val="nil"/>
              <w:bottom w:val="nil"/>
              <w:right w:val="nil"/>
            </w:tcBorders>
            <w:shd w:val="clear" w:color="auto" w:fill="auto"/>
            <w:noWrap/>
            <w:vAlign w:val="center"/>
            <w:hideMark/>
          </w:tcPr>
          <w:p w14:paraId="55F797D7" w14:textId="77777777" w:rsidR="00CD249C" w:rsidRPr="005563F8" w:rsidRDefault="00CD249C" w:rsidP="00CD249C">
            <w:pPr>
              <w:rPr>
                <w:color w:val="000000"/>
              </w:rPr>
            </w:pPr>
            <w:r w:rsidRPr="005563F8">
              <w:rPr>
                <w:color w:val="000000"/>
              </w:rPr>
              <w:t>Male</w:t>
            </w:r>
          </w:p>
        </w:tc>
        <w:tc>
          <w:tcPr>
            <w:tcW w:w="884" w:type="dxa"/>
            <w:tcBorders>
              <w:top w:val="nil"/>
              <w:left w:val="nil"/>
              <w:bottom w:val="nil"/>
              <w:right w:val="single" w:sz="8" w:space="0" w:color="auto"/>
            </w:tcBorders>
            <w:shd w:val="clear" w:color="auto" w:fill="auto"/>
            <w:noWrap/>
            <w:vAlign w:val="center"/>
            <w:hideMark/>
          </w:tcPr>
          <w:p w14:paraId="1688EE85" w14:textId="77777777" w:rsidR="00CD249C" w:rsidRPr="005563F8" w:rsidRDefault="00CD249C" w:rsidP="00CD249C">
            <w:pPr>
              <w:jc w:val="center"/>
              <w:rPr>
                <w:color w:val="000000"/>
              </w:rPr>
            </w:pPr>
            <w:r w:rsidRPr="005563F8">
              <w:rPr>
                <w:color w:val="000000"/>
              </w:rPr>
              <w:t>3</w:t>
            </w:r>
          </w:p>
        </w:tc>
        <w:tc>
          <w:tcPr>
            <w:tcW w:w="1739" w:type="dxa"/>
            <w:tcBorders>
              <w:top w:val="nil"/>
              <w:left w:val="nil"/>
              <w:bottom w:val="nil"/>
              <w:right w:val="nil"/>
            </w:tcBorders>
            <w:shd w:val="clear" w:color="auto" w:fill="auto"/>
            <w:noWrap/>
            <w:vAlign w:val="center"/>
            <w:hideMark/>
          </w:tcPr>
          <w:p w14:paraId="1E332EDF" w14:textId="77777777" w:rsidR="00CD249C" w:rsidRPr="005563F8" w:rsidRDefault="00CD249C" w:rsidP="00CD249C">
            <w:pPr>
              <w:jc w:val="center"/>
              <w:rPr>
                <w:i/>
                <w:iCs/>
                <w:color w:val="000000"/>
              </w:rPr>
            </w:pPr>
            <w:r w:rsidRPr="005563F8">
              <w:rPr>
                <w:i/>
                <w:iCs/>
                <w:color w:val="000000"/>
              </w:rPr>
              <w:t>2</w:t>
            </w:r>
          </w:p>
        </w:tc>
        <w:tc>
          <w:tcPr>
            <w:tcW w:w="1383" w:type="dxa"/>
            <w:tcBorders>
              <w:top w:val="nil"/>
              <w:left w:val="nil"/>
              <w:bottom w:val="nil"/>
              <w:right w:val="nil"/>
            </w:tcBorders>
            <w:shd w:val="clear" w:color="auto" w:fill="auto"/>
            <w:noWrap/>
            <w:vAlign w:val="center"/>
            <w:hideMark/>
          </w:tcPr>
          <w:p w14:paraId="2C99F096" w14:textId="77777777" w:rsidR="00CD249C" w:rsidRPr="005563F8" w:rsidRDefault="00CD249C" w:rsidP="00CD249C">
            <w:pPr>
              <w:jc w:val="center"/>
              <w:rPr>
                <w:color w:val="000000"/>
              </w:rPr>
            </w:pPr>
            <w:r w:rsidRPr="005563F8">
              <w:rPr>
                <w:color w:val="000000"/>
              </w:rPr>
              <w:t>1</w:t>
            </w:r>
          </w:p>
        </w:tc>
        <w:tc>
          <w:tcPr>
            <w:tcW w:w="1411" w:type="dxa"/>
            <w:tcBorders>
              <w:top w:val="nil"/>
              <w:left w:val="nil"/>
              <w:bottom w:val="nil"/>
              <w:right w:val="single" w:sz="8" w:space="0" w:color="auto"/>
            </w:tcBorders>
            <w:shd w:val="clear" w:color="auto" w:fill="auto"/>
            <w:noWrap/>
            <w:vAlign w:val="center"/>
            <w:hideMark/>
          </w:tcPr>
          <w:p w14:paraId="28AF8096" w14:textId="77777777" w:rsidR="00CD249C" w:rsidRPr="005563F8" w:rsidRDefault="00CD249C" w:rsidP="00CD249C">
            <w:pPr>
              <w:jc w:val="center"/>
              <w:rPr>
                <w:color w:val="000000"/>
              </w:rPr>
            </w:pPr>
            <w:r w:rsidRPr="005563F8">
              <w:rPr>
                <w:color w:val="000000"/>
              </w:rPr>
              <w:t>0.5</w:t>
            </w:r>
          </w:p>
        </w:tc>
      </w:tr>
      <w:tr w:rsidR="00CD249C" w:rsidRPr="005563F8" w14:paraId="6EE316E5" w14:textId="77777777" w:rsidTr="00CD249C">
        <w:trPr>
          <w:trHeight w:val="341"/>
        </w:trPr>
        <w:tc>
          <w:tcPr>
            <w:tcW w:w="1896" w:type="dxa"/>
            <w:tcBorders>
              <w:top w:val="single" w:sz="8" w:space="0" w:color="auto"/>
              <w:left w:val="single" w:sz="8" w:space="0" w:color="auto"/>
              <w:bottom w:val="single" w:sz="8" w:space="0" w:color="auto"/>
              <w:right w:val="nil"/>
            </w:tcBorders>
            <w:shd w:val="clear" w:color="000000" w:fill="E7E6E6"/>
            <w:noWrap/>
            <w:vAlign w:val="center"/>
            <w:hideMark/>
          </w:tcPr>
          <w:p w14:paraId="37008614" w14:textId="77777777" w:rsidR="00CD249C" w:rsidRPr="005563F8" w:rsidRDefault="00CD249C" w:rsidP="00CD249C">
            <w:pPr>
              <w:jc w:val="center"/>
              <w:rPr>
                <w:color w:val="000000"/>
              </w:rPr>
            </w:pPr>
            <w:r w:rsidRPr="005563F8">
              <w:rPr>
                <w:color w:val="000000"/>
              </w:rPr>
              <w:t>Age</w:t>
            </w:r>
          </w:p>
        </w:tc>
        <w:tc>
          <w:tcPr>
            <w:tcW w:w="1853" w:type="dxa"/>
            <w:tcBorders>
              <w:top w:val="single" w:sz="8" w:space="0" w:color="auto"/>
              <w:left w:val="nil"/>
              <w:bottom w:val="single" w:sz="8" w:space="0" w:color="auto"/>
              <w:right w:val="nil"/>
            </w:tcBorders>
            <w:shd w:val="clear" w:color="000000" w:fill="E7E6E6"/>
            <w:noWrap/>
            <w:vAlign w:val="center"/>
            <w:hideMark/>
          </w:tcPr>
          <w:p w14:paraId="2A248F33" w14:textId="77777777" w:rsidR="00CD249C" w:rsidRPr="005563F8" w:rsidRDefault="00CD249C" w:rsidP="00CD249C">
            <w:pPr>
              <w:rPr>
                <w:color w:val="000000"/>
              </w:rPr>
            </w:pPr>
            <w:r w:rsidRPr="005563F8">
              <w:rPr>
                <w:color w:val="000000"/>
              </w:rPr>
              <w:t> </w:t>
            </w:r>
          </w:p>
        </w:tc>
        <w:tc>
          <w:tcPr>
            <w:tcW w:w="884" w:type="dxa"/>
            <w:tcBorders>
              <w:top w:val="single" w:sz="8" w:space="0" w:color="auto"/>
              <w:left w:val="nil"/>
              <w:bottom w:val="single" w:sz="8" w:space="0" w:color="auto"/>
              <w:right w:val="single" w:sz="8" w:space="0" w:color="auto"/>
            </w:tcBorders>
            <w:shd w:val="clear" w:color="000000" w:fill="E7E6E6"/>
            <w:noWrap/>
            <w:vAlign w:val="center"/>
            <w:hideMark/>
          </w:tcPr>
          <w:p w14:paraId="57965A83" w14:textId="77777777" w:rsidR="00CD249C" w:rsidRPr="005563F8" w:rsidRDefault="00CD249C" w:rsidP="00CD249C">
            <w:pPr>
              <w:rPr>
                <w:color w:val="000000"/>
              </w:rPr>
            </w:pPr>
            <w:r w:rsidRPr="005563F8">
              <w:rPr>
                <w:color w:val="000000"/>
              </w:rPr>
              <w:t> </w:t>
            </w:r>
          </w:p>
        </w:tc>
        <w:tc>
          <w:tcPr>
            <w:tcW w:w="1739" w:type="dxa"/>
            <w:tcBorders>
              <w:top w:val="nil"/>
              <w:left w:val="nil"/>
              <w:bottom w:val="nil"/>
              <w:right w:val="nil"/>
            </w:tcBorders>
            <w:shd w:val="clear" w:color="auto" w:fill="auto"/>
            <w:noWrap/>
            <w:vAlign w:val="center"/>
            <w:hideMark/>
          </w:tcPr>
          <w:p w14:paraId="3E1B3C44" w14:textId="77777777" w:rsidR="00CD249C" w:rsidRPr="005563F8" w:rsidRDefault="00CD249C" w:rsidP="00CD249C">
            <w:pPr>
              <w:jc w:val="center"/>
              <w:rPr>
                <w:i/>
                <w:iCs/>
                <w:color w:val="000000"/>
              </w:rPr>
            </w:pPr>
            <w:r w:rsidRPr="005563F8">
              <w:rPr>
                <w:i/>
                <w:iCs/>
                <w:color w:val="000000"/>
              </w:rPr>
              <w:t>3</w:t>
            </w:r>
          </w:p>
        </w:tc>
        <w:tc>
          <w:tcPr>
            <w:tcW w:w="1383" w:type="dxa"/>
            <w:tcBorders>
              <w:top w:val="nil"/>
              <w:left w:val="nil"/>
              <w:bottom w:val="nil"/>
              <w:right w:val="nil"/>
            </w:tcBorders>
            <w:shd w:val="clear" w:color="auto" w:fill="auto"/>
            <w:noWrap/>
            <w:vAlign w:val="center"/>
            <w:hideMark/>
          </w:tcPr>
          <w:p w14:paraId="35E3CD07" w14:textId="77777777" w:rsidR="00CD249C" w:rsidRPr="005563F8" w:rsidRDefault="00CD249C" w:rsidP="00CD249C">
            <w:pPr>
              <w:jc w:val="center"/>
              <w:rPr>
                <w:color w:val="000000"/>
              </w:rPr>
            </w:pPr>
            <w:r w:rsidRPr="005563F8">
              <w:rPr>
                <w:color w:val="000000"/>
              </w:rPr>
              <w:t>13</w:t>
            </w:r>
          </w:p>
        </w:tc>
        <w:tc>
          <w:tcPr>
            <w:tcW w:w="1411" w:type="dxa"/>
            <w:tcBorders>
              <w:top w:val="nil"/>
              <w:left w:val="nil"/>
              <w:bottom w:val="nil"/>
              <w:right w:val="single" w:sz="8" w:space="0" w:color="auto"/>
            </w:tcBorders>
            <w:shd w:val="clear" w:color="auto" w:fill="auto"/>
            <w:noWrap/>
            <w:vAlign w:val="center"/>
            <w:hideMark/>
          </w:tcPr>
          <w:p w14:paraId="7F3D5497" w14:textId="77777777" w:rsidR="00CD249C" w:rsidRPr="005563F8" w:rsidRDefault="00CD249C" w:rsidP="00CD249C">
            <w:pPr>
              <w:jc w:val="center"/>
              <w:rPr>
                <w:color w:val="000000"/>
              </w:rPr>
            </w:pPr>
            <w:r w:rsidRPr="005563F8">
              <w:rPr>
                <w:color w:val="000000"/>
              </w:rPr>
              <w:t>6.6</w:t>
            </w:r>
          </w:p>
        </w:tc>
      </w:tr>
      <w:tr w:rsidR="00CD249C" w:rsidRPr="005563F8" w14:paraId="4D7EF176" w14:textId="77777777" w:rsidTr="00CD249C">
        <w:trPr>
          <w:trHeight w:val="341"/>
        </w:trPr>
        <w:tc>
          <w:tcPr>
            <w:tcW w:w="1896" w:type="dxa"/>
            <w:tcBorders>
              <w:top w:val="nil"/>
              <w:left w:val="single" w:sz="8" w:space="0" w:color="auto"/>
              <w:bottom w:val="nil"/>
              <w:right w:val="nil"/>
            </w:tcBorders>
            <w:shd w:val="clear" w:color="auto" w:fill="auto"/>
            <w:noWrap/>
            <w:vAlign w:val="center"/>
            <w:hideMark/>
          </w:tcPr>
          <w:p w14:paraId="18F23AB7" w14:textId="77777777" w:rsidR="00CD249C" w:rsidRPr="005563F8" w:rsidRDefault="00CD249C" w:rsidP="00CD249C">
            <w:pPr>
              <w:rPr>
                <w:color w:val="000000"/>
              </w:rPr>
            </w:pPr>
            <w:r w:rsidRPr="005563F8">
              <w:rPr>
                <w:color w:val="000000"/>
              </w:rPr>
              <w:t> </w:t>
            </w:r>
          </w:p>
        </w:tc>
        <w:tc>
          <w:tcPr>
            <w:tcW w:w="1853" w:type="dxa"/>
            <w:tcBorders>
              <w:top w:val="nil"/>
              <w:left w:val="nil"/>
              <w:bottom w:val="nil"/>
              <w:right w:val="nil"/>
            </w:tcBorders>
            <w:shd w:val="clear" w:color="auto" w:fill="auto"/>
            <w:noWrap/>
            <w:vAlign w:val="center"/>
            <w:hideMark/>
          </w:tcPr>
          <w:p w14:paraId="1FC34B22" w14:textId="77777777" w:rsidR="00CD249C" w:rsidRPr="005563F8" w:rsidRDefault="00CD249C" w:rsidP="00CD249C">
            <w:pPr>
              <w:rPr>
                <w:color w:val="000000"/>
              </w:rPr>
            </w:pPr>
            <w:r w:rsidRPr="005563F8">
              <w:rPr>
                <w:color w:val="000000"/>
              </w:rPr>
              <w:t>Mean (SD)</w:t>
            </w:r>
          </w:p>
        </w:tc>
        <w:tc>
          <w:tcPr>
            <w:tcW w:w="884" w:type="dxa"/>
            <w:tcBorders>
              <w:top w:val="nil"/>
              <w:left w:val="nil"/>
              <w:bottom w:val="nil"/>
              <w:right w:val="single" w:sz="8" w:space="0" w:color="auto"/>
            </w:tcBorders>
            <w:shd w:val="clear" w:color="auto" w:fill="auto"/>
            <w:noWrap/>
            <w:vAlign w:val="center"/>
            <w:hideMark/>
          </w:tcPr>
          <w:p w14:paraId="22262A39" w14:textId="77777777" w:rsidR="00CD249C" w:rsidRPr="005563F8" w:rsidRDefault="00CD249C" w:rsidP="00CD249C">
            <w:pPr>
              <w:jc w:val="center"/>
              <w:rPr>
                <w:color w:val="000000"/>
              </w:rPr>
            </w:pPr>
            <w:r w:rsidRPr="005563F8">
              <w:rPr>
                <w:color w:val="000000"/>
              </w:rPr>
              <w:t>47.7(10.6)</w:t>
            </w:r>
          </w:p>
        </w:tc>
        <w:tc>
          <w:tcPr>
            <w:tcW w:w="1739" w:type="dxa"/>
            <w:tcBorders>
              <w:top w:val="nil"/>
              <w:left w:val="nil"/>
              <w:bottom w:val="nil"/>
              <w:right w:val="nil"/>
            </w:tcBorders>
            <w:shd w:val="clear" w:color="auto" w:fill="auto"/>
            <w:noWrap/>
            <w:vAlign w:val="center"/>
            <w:hideMark/>
          </w:tcPr>
          <w:p w14:paraId="2D2EA280" w14:textId="77777777" w:rsidR="00CD249C" w:rsidRPr="005563F8" w:rsidRDefault="00CD249C" w:rsidP="00CD249C">
            <w:pPr>
              <w:jc w:val="center"/>
              <w:rPr>
                <w:i/>
                <w:iCs/>
                <w:color w:val="000000"/>
              </w:rPr>
            </w:pPr>
            <w:r w:rsidRPr="005563F8">
              <w:rPr>
                <w:i/>
                <w:iCs/>
                <w:color w:val="000000"/>
              </w:rPr>
              <w:t>3.5</w:t>
            </w:r>
          </w:p>
        </w:tc>
        <w:tc>
          <w:tcPr>
            <w:tcW w:w="1383" w:type="dxa"/>
            <w:tcBorders>
              <w:top w:val="nil"/>
              <w:left w:val="nil"/>
              <w:bottom w:val="nil"/>
              <w:right w:val="nil"/>
            </w:tcBorders>
            <w:shd w:val="clear" w:color="auto" w:fill="auto"/>
            <w:noWrap/>
            <w:vAlign w:val="center"/>
            <w:hideMark/>
          </w:tcPr>
          <w:p w14:paraId="711CE183" w14:textId="77777777" w:rsidR="00CD249C" w:rsidRPr="005563F8" w:rsidRDefault="00CD249C" w:rsidP="00CD249C">
            <w:pPr>
              <w:jc w:val="center"/>
              <w:rPr>
                <w:color w:val="000000"/>
              </w:rPr>
            </w:pPr>
            <w:r w:rsidRPr="005563F8">
              <w:rPr>
                <w:color w:val="000000"/>
              </w:rPr>
              <w:t>1</w:t>
            </w:r>
          </w:p>
        </w:tc>
        <w:tc>
          <w:tcPr>
            <w:tcW w:w="1411" w:type="dxa"/>
            <w:tcBorders>
              <w:top w:val="nil"/>
              <w:left w:val="nil"/>
              <w:bottom w:val="nil"/>
              <w:right w:val="single" w:sz="8" w:space="0" w:color="auto"/>
            </w:tcBorders>
            <w:shd w:val="clear" w:color="auto" w:fill="auto"/>
            <w:noWrap/>
            <w:vAlign w:val="center"/>
            <w:hideMark/>
          </w:tcPr>
          <w:p w14:paraId="7C0456B2" w14:textId="77777777" w:rsidR="00CD249C" w:rsidRPr="005563F8" w:rsidRDefault="00CD249C" w:rsidP="00CD249C">
            <w:pPr>
              <w:jc w:val="center"/>
              <w:rPr>
                <w:color w:val="000000"/>
              </w:rPr>
            </w:pPr>
            <w:r w:rsidRPr="005563F8">
              <w:rPr>
                <w:color w:val="000000"/>
              </w:rPr>
              <w:t>0.5</w:t>
            </w:r>
          </w:p>
        </w:tc>
      </w:tr>
      <w:tr w:rsidR="00CD249C" w:rsidRPr="005563F8" w14:paraId="254C2502" w14:textId="77777777" w:rsidTr="00CD249C">
        <w:trPr>
          <w:trHeight w:val="341"/>
        </w:trPr>
        <w:tc>
          <w:tcPr>
            <w:tcW w:w="1896" w:type="dxa"/>
            <w:tcBorders>
              <w:top w:val="single" w:sz="8" w:space="0" w:color="auto"/>
              <w:left w:val="single" w:sz="8" w:space="0" w:color="auto"/>
              <w:bottom w:val="single" w:sz="8" w:space="0" w:color="auto"/>
              <w:right w:val="nil"/>
            </w:tcBorders>
            <w:shd w:val="clear" w:color="000000" w:fill="E7E6E6"/>
            <w:noWrap/>
            <w:vAlign w:val="center"/>
            <w:hideMark/>
          </w:tcPr>
          <w:p w14:paraId="1A020D04" w14:textId="77777777" w:rsidR="00CD249C" w:rsidRPr="005563F8" w:rsidRDefault="00CD249C" w:rsidP="00CD249C">
            <w:pPr>
              <w:jc w:val="center"/>
              <w:rPr>
                <w:color w:val="000000"/>
              </w:rPr>
            </w:pPr>
            <w:r w:rsidRPr="005563F8">
              <w:rPr>
                <w:color w:val="000000"/>
              </w:rPr>
              <w:t>Relationship Status</w:t>
            </w:r>
          </w:p>
        </w:tc>
        <w:tc>
          <w:tcPr>
            <w:tcW w:w="1853" w:type="dxa"/>
            <w:tcBorders>
              <w:top w:val="single" w:sz="8" w:space="0" w:color="auto"/>
              <w:left w:val="nil"/>
              <w:bottom w:val="single" w:sz="8" w:space="0" w:color="auto"/>
              <w:right w:val="nil"/>
            </w:tcBorders>
            <w:shd w:val="clear" w:color="000000" w:fill="E7E6E6"/>
            <w:noWrap/>
            <w:vAlign w:val="center"/>
            <w:hideMark/>
          </w:tcPr>
          <w:p w14:paraId="5BBA216D" w14:textId="77777777" w:rsidR="00CD249C" w:rsidRPr="005563F8" w:rsidRDefault="00CD249C" w:rsidP="00CD249C">
            <w:pPr>
              <w:jc w:val="center"/>
              <w:rPr>
                <w:color w:val="000000"/>
              </w:rPr>
            </w:pPr>
            <w:r w:rsidRPr="005563F8">
              <w:rPr>
                <w:color w:val="000000"/>
              </w:rPr>
              <w:t>count</w:t>
            </w:r>
          </w:p>
        </w:tc>
        <w:tc>
          <w:tcPr>
            <w:tcW w:w="884" w:type="dxa"/>
            <w:tcBorders>
              <w:top w:val="single" w:sz="8" w:space="0" w:color="auto"/>
              <w:left w:val="nil"/>
              <w:bottom w:val="single" w:sz="8" w:space="0" w:color="auto"/>
              <w:right w:val="single" w:sz="8" w:space="0" w:color="auto"/>
            </w:tcBorders>
            <w:shd w:val="clear" w:color="000000" w:fill="E7E6E6"/>
            <w:noWrap/>
            <w:vAlign w:val="center"/>
            <w:hideMark/>
          </w:tcPr>
          <w:p w14:paraId="0EA13DAC" w14:textId="77777777" w:rsidR="00CD249C" w:rsidRPr="005563F8" w:rsidRDefault="00CD249C" w:rsidP="00CD249C">
            <w:pPr>
              <w:jc w:val="center"/>
              <w:rPr>
                <w:color w:val="000000"/>
              </w:rPr>
            </w:pPr>
            <w:r w:rsidRPr="005563F8">
              <w:rPr>
                <w:color w:val="000000"/>
              </w:rPr>
              <w:t>%</w:t>
            </w:r>
          </w:p>
        </w:tc>
        <w:tc>
          <w:tcPr>
            <w:tcW w:w="1739" w:type="dxa"/>
            <w:tcBorders>
              <w:top w:val="nil"/>
              <w:left w:val="nil"/>
              <w:bottom w:val="nil"/>
              <w:right w:val="nil"/>
            </w:tcBorders>
            <w:shd w:val="clear" w:color="auto" w:fill="auto"/>
            <w:noWrap/>
            <w:vAlign w:val="center"/>
            <w:hideMark/>
          </w:tcPr>
          <w:p w14:paraId="5AC7B89D" w14:textId="77777777" w:rsidR="00CD249C" w:rsidRPr="005563F8" w:rsidRDefault="00CD249C" w:rsidP="00CD249C">
            <w:pPr>
              <w:jc w:val="center"/>
              <w:rPr>
                <w:i/>
                <w:iCs/>
                <w:color w:val="000000"/>
              </w:rPr>
            </w:pPr>
            <w:r w:rsidRPr="005563F8">
              <w:rPr>
                <w:i/>
                <w:iCs/>
                <w:color w:val="000000"/>
              </w:rPr>
              <w:t>4</w:t>
            </w:r>
          </w:p>
        </w:tc>
        <w:tc>
          <w:tcPr>
            <w:tcW w:w="1383" w:type="dxa"/>
            <w:tcBorders>
              <w:top w:val="nil"/>
              <w:left w:val="nil"/>
              <w:bottom w:val="nil"/>
              <w:right w:val="nil"/>
            </w:tcBorders>
            <w:shd w:val="clear" w:color="auto" w:fill="auto"/>
            <w:noWrap/>
            <w:vAlign w:val="center"/>
            <w:hideMark/>
          </w:tcPr>
          <w:p w14:paraId="3B0243AA" w14:textId="77777777" w:rsidR="00CD249C" w:rsidRPr="005563F8" w:rsidRDefault="00CD249C" w:rsidP="00CD249C">
            <w:pPr>
              <w:jc w:val="center"/>
              <w:rPr>
                <w:color w:val="000000"/>
              </w:rPr>
            </w:pPr>
            <w:r w:rsidRPr="005563F8">
              <w:rPr>
                <w:color w:val="000000"/>
              </w:rPr>
              <w:t>37</w:t>
            </w:r>
          </w:p>
        </w:tc>
        <w:tc>
          <w:tcPr>
            <w:tcW w:w="1411" w:type="dxa"/>
            <w:tcBorders>
              <w:top w:val="nil"/>
              <w:left w:val="nil"/>
              <w:bottom w:val="nil"/>
              <w:right w:val="single" w:sz="8" w:space="0" w:color="auto"/>
            </w:tcBorders>
            <w:shd w:val="clear" w:color="auto" w:fill="auto"/>
            <w:noWrap/>
            <w:vAlign w:val="center"/>
            <w:hideMark/>
          </w:tcPr>
          <w:p w14:paraId="60EAA86C" w14:textId="77777777" w:rsidR="00CD249C" w:rsidRPr="005563F8" w:rsidRDefault="00CD249C" w:rsidP="00CD249C">
            <w:pPr>
              <w:jc w:val="center"/>
              <w:rPr>
                <w:color w:val="000000"/>
              </w:rPr>
            </w:pPr>
            <w:r w:rsidRPr="005563F8">
              <w:rPr>
                <w:color w:val="000000"/>
              </w:rPr>
              <w:t>18.9</w:t>
            </w:r>
          </w:p>
        </w:tc>
      </w:tr>
      <w:tr w:rsidR="00CD249C" w:rsidRPr="005563F8" w14:paraId="7F294614"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7534752C" w14:textId="77777777" w:rsidR="00CD249C" w:rsidRPr="005563F8" w:rsidRDefault="00CD249C" w:rsidP="00CD249C">
            <w:pPr>
              <w:rPr>
                <w:i/>
                <w:iCs/>
                <w:color w:val="000000"/>
              </w:rPr>
            </w:pPr>
            <w:r w:rsidRPr="005563F8">
              <w:rPr>
                <w:i/>
                <w:iCs/>
                <w:color w:val="000000"/>
              </w:rPr>
              <w:t>Unmarried</w:t>
            </w:r>
          </w:p>
        </w:tc>
        <w:tc>
          <w:tcPr>
            <w:tcW w:w="1853" w:type="dxa"/>
            <w:tcBorders>
              <w:top w:val="nil"/>
              <w:left w:val="nil"/>
              <w:bottom w:val="nil"/>
              <w:right w:val="nil"/>
            </w:tcBorders>
            <w:shd w:val="clear" w:color="auto" w:fill="auto"/>
            <w:noWrap/>
            <w:vAlign w:val="center"/>
            <w:hideMark/>
          </w:tcPr>
          <w:p w14:paraId="788002B4" w14:textId="77777777" w:rsidR="00CD249C" w:rsidRPr="005563F8" w:rsidRDefault="00CD249C" w:rsidP="00CD249C">
            <w:pPr>
              <w:jc w:val="center"/>
              <w:rPr>
                <w:color w:val="000000"/>
              </w:rPr>
            </w:pPr>
            <w:r w:rsidRPr="005563F8">
              <w:rPr>
                <w:color w:val="000000"/>
              </w:rPr>
              <w:t>24</w:t>
            </w:r>
          </w:p>
        </w:tc>
        <w:tc>
          <w:tcPr>
            <w:tcW w:w="884" w:type="dxa"/>
            <w:tcBorders>
              <w:top w:val="nil"/>
              <w:left w:val="nil"/>
              <w:bottom w:val="nil"/>
              <w:right w:val="single" w:sz="8" w:space="0" w:color="auto"/>
            </w:tcBorders>
            <w:shd w:val="clear" w:color="auto" w:fill="auto"/>
            <w:noWrap/>
            <w:vAlign w:val="center"/>
            <w:hideMark/>
          </w:tcPr>
          <w:p w14:paraId="61F4BEFB" w14:textId="19F0B024" w:rsidR="00CD249C" w:rsidRPr="005563F8" w:rsidRDefault="00CD249C" w:rsidP="00CD249C">
            <w:pPr>
              <w:jc w:val="center"/>
              <w:rPr>
                <w:color w:val="000000"/>
              </w:rPr>
            </w:pPr>
            <w:r w:rsidRPr="005563F8">
              <w:rPr>
                <w:color w:val="000000"/>
              </w:rPr>
              <w:t>12.2</w:t>
            </w:r>
          </w:p>
        </w:tc>
        <w:tc>
          <w:tcPr>
            <w:tcW w:w="1739" w:type="dxa"/>
            <w:tcBorders>
              <w:top w:val="nil"/>
              <w:left w:val="nil"/>
              <w:bottom w:val="nil"/>
              <w:right w:val="nil"/>
            </w:tcBorders>
            <w:shd w:val="clear" w:color="auto" w:fill="auto"/>
            <w:noWrap/>
            <w:vAlign w:val="center"/>
            <w:hideMark/>
          </w:tcPr>
          <w:p w14:paraId="054F8C50" w14:textId="77777777" w:rsidR="00CD249C" w:rsidRPr="005563F8" w:rsidRDefault="00CD249C" w:rsidP="00CD249C">
            <w:pPr>
              <w:jc w:val="center"/>
              <w:rPr>
                <w:i/>
                <w:iCs/>
                <w:color w:val="000000"/>
              </w:rPr>
            </w:pPr>
            <w:r w:rsidRPr="005563F8">
              <w:rPr>
                <w:i/>
                <w:iCs/>
                <w:color w:val="000000"/>
              </w:rPr>
              <w:t>4.5</w:t>
            </w:r>
          </w:p>
        </w:tc>
        <w:tc>
          <w:tcPr>
            <w:tcW w:w="1383" w:type="dxa"/>
            <w:tcBorders>
              <w:top w:val="nil"/>
              <w:left w:val="nil"/>
              <w:bottom w:val="nil"/>
              <w:right w:val="nil"/>
            </w:tcBorders>
            <w:shd w:val="clear" w:color="auto" w:fill="auto"/>
            <w:noWrap/>
            <w:vAlign w:val="center"/>
            <w:hideMark/>
          </w:tcPr>
          <w:p w14:paraId="57C68678" w14:textId="77777777" w:rsidR="00CD249C" w:rsidRPr="005563F8" w:rsidRDefault="00CD249C" w:rsidP="00CD249C">
            <w:pPr>
              <w:jc w:val="center"/>
              <w:rPr>
                <w:color w:val="000000"/>
              </w:rPr>
            </w:pPr>
            <w:r w:rsidRPr="005563F8">
              <w:rPr>
                <w:color w:val="000000"/>
              </w:rPr>
              <w:t>1</w:t>
            </w:r>
          </w:p>
        </w:tc>
        <w:tc>
          <w:tcPr>
            <w:tcW w:w="1411" w:type="dxa"/>
            <w:tcBorders>
              <w:top w:val="nil"/>
              <w:left w:val="nil"/>
              <w:bottom w:val="nil"/>
              <w:right w:val="single" w:sz="8" w:space="0" w:color="auto"/>
            </w:tcBorders>
            <w:shd w:val="clear" w:color="auto" w:fill="auto"/>
            <w:noWrap/>
            <w:vAlign w:val="center"/>
            <w:hideMark/>
          </w:tcPr>
          <w:p w14:paraId="76218647" w14:textId="77777777" w:rsidR="00CD249C" w:rsidRPr="005563F8" w:rsidRDefault="00CD249C" w:rsidP="00CD249C">
            <w:pPr>
              <w:jc w:val="center"/>
              <w:rPr>
                <w:color w:val="000000"/>
              </w:rPr>
            </w:pPr>
            <w:r w:rsidRPr="005563F8">
              <w:rPr>
                <w:color w:val="000000"/>
              </w:rPr>
              <w:t>0.5</w:t>
            </w:r>
          </w:p>
        </w:tc>
      </w:tr>
      <w:tr w:rsidR="00CD249C" w:rsidRPr="005563F8" w14:paraId="0F6C4BD4"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6D7269DE" w14:textId="77777777" w:rsidR="00CD249C" w:rsidRPr="005563F8" w:rsidRDefault="00CD249C" w:rsidP="00CD249C">
            <w:pPr>
              <w:rPr>
                <w:i/>
                <w:iCs/>
                <w:color w:val="000000"/>
              </w:rPr>
            </w:pPr>
            <w:r w:rsidRPr="005563F8">
              <w:rPr>
                <w:i/>
                <w:iCs/>
                <w:color w:val="000000"/>
              </w:rPr>
              <w:t>Married</w:t>
            </w:r>
          </w:p>
        </w:tc>
        <w:tc>
          <w:tcPr>
            <w:tcW w:w="1853" w:type="dxa"/>
            <w:tcBorders>
              <w:top w:val="nil"/>
              <w:left w:val="nil"/>
              <w:bottom w:val="nil"/>
              <w:right w:val="nil"/>
            </w:tcBorders>
            <w:shd w:val="clear" w:color="auto" w:fill="auto"/>
            <w:noWrap/>
            <w:vAlign w:val="center"/>
            <w:hideMark/>
          </w:tcPr>
          <w:p w14:paraId="59546C8C" w14:textId="77777777" w:rsidR="00CD249C" w:rsidRPr="005563F8" w:rsidRDefault="00CD249C" w:rsidP="00CD249C">
            <w:pPr>
              <w:jc w:val="center"/>
              <w:rPr>
                <w:color w:val="000000"/>
              </w:rPr>
            </w:pPr>
            <w:r w:rsidRPr="005563F8">
              <w:rPr>
                <w:color w:val="000000"/>
              </w:rPr>
              <w:t>117</w:t>
            </w:r>
          </w:p>
        </w:tc>
        <w:tc>
          <w:tcPr>
            <w:tcW w:w="884" w:type="dxa"/>
            <w:tcBorders>
              <w:top w:val="nil"/>
              <w:left w:val="nil"/>
              <w:bottom w:val="nil"/>
              <w:right w:val="single" w:sz="8" w:space="0" w:color="auto"/>
            </w:tcBorders>
            <w:shd w:val="clear" w:color="auto" w:fill="auto"/>
            <w:noWrap/>
            <w:vAlign w:val="center"/>
            <w:hideMark/>
          </w:tcPr>
          <w:p w14:paraId="16D51D4A" w14:textId="1682C3F4" w:rsidR="00CD249C" w:rsidRPr="005563F8" w:rsidRDefault="00CD249C" w:rsidP="00CD249C">
            <w:pPr>
              <w:jc w:val="center"/>
              <w:rPr>
                <w:color w:val="000000"/>
              </w:rPr>
            </w:pPr>
            <w:r w:rsidRPr="005563F8">
              <w:rPr>
                <w:color w:val="000000"/>
              </w:rPr>
              <w:t>59.</w:t>
            </w:r>
            <w:r w:rsidR="00F91124">
              <w:rPr>
                <w:color w:val="000000"/>
              </w:rPr>
              <w:t>7</w:t>
            </w:r>
          </w:p>
        </w:tc>
        <w:tc>
          <w:tcPr>
            <w:tcW w:w="1739" w:type="dxa"/>
            <w:tcBorders>
              <w:top w:val="nil"/>
              <w:left w:val="nil"/>
              <w:bottom w:val="nil"/>
              <w:right w:val="nil"/>
            </w:tcBorders>
            <w:shd w:val="clear" w:color="auto" w:fill="auto"/>
            <w:noWrap/>
            <w:vAlign w:val="center"/>
            <w:hideMark/>
          </w:tcPr>
          <w:p w14:paraId="08D15EFA" w14:textId="77777777" w:rsidR="00CD249C" w:rsidRPr="005563F8" w:rsidRDefault="00CD249C" w:rsidP="00CD249C">
            <w:pPr>
              <w:jc w:val="center"/>
              <w:rPr>
                <w:i/>
                <w:iCs/>
                <w:color w:val="000000"/>
              </w:rPr>
            </w:pPr>
            <w:r w:rsidRPr="005563F8">
              <w:rPr>
                <w:i/>
                <w:iCs/>
                <w:color w:val="000000"/>
              </w:rPr>
              <w:t>5</w:t>
            </w:r>
          </w:p>
        </w:tc>
        <w:tc>
          <w:tcPr>
            <w:tcW w:w="1383" w:type="dxa"/>
            <w:tcBorders>
              <w:top w:val="nil"/>
              <w:left w:val="nil"/>
              <w:bottom w:val="nil"/>
              <w:right w:val="nil"/>
            </w:tcBorders>
            <w:shd w:val="clear" w:color="auto" w:fill="auto"/>
            <w:noWrap/>
            <w:vAlign w:val="center"/>
            <w:hideMark/>
          </w:tcPr>
          <w:p w14:paraId="63354E0C" w14:textId="77777777" w:rsidR="00CD249C" w:rsidRPr="005563F8" w:rsidRDefault="00CD249C" w:rsidP="00CD249C">
            <w:pPr>
              <w:jc w:val="center"/>
              <w:rPr>
                <w:color w:val="000000"/>
              </w:rPr>
            </w:pPr>
            <w:r w:rsidRPr="005563F8">
              <w:rPr>
                <w:color w:val="000000"/>
              </w:rPr>
              <w:t>127</w:t>
            </w:r>
          </w:p>
        </w:tc>
        <w:tc>
          <w:tcPr>
            <w:tcW w:w="1411" w:type="dxa"/>
            <w:tcBorders>
              <w:top w:val="nil"/>
              <w:left w:val="nil"/>
              <w:bottom w:val="nil"/>
              <w:right w:val="single" w:sz="8" w:space="0" w:color="auto"/>
            </w:tcBorders>
            <w:shd w:val="clear" w:color="auto" w:fill="auto"/>
            <w:noWrap/>
            <w:vAlign w:val="center"/>
            <w:hideMark/>
          </w:tcPr>
          <w:p w14:paraId="0F00092A" w14:textId="77777777" w:rsidR="00CD249C" w:rsidRPr="005563F8" w:rsidRDefault="00CD249C" w:rsidP="00CD249C">
            <w:pPr>
              <w:jc w:val="center"/>
              <w:rPr>
                <w:color w:val="000000"/>
              </w:rPr>
            </w:pPr>
            <w:r w:rsidRPr="005563F8">
              <w:rPr>
                <w:color w:val="000000"/>
              </w:rPr>
              <w:t>64.8</w:t>
            </w:r>
          </w:p>
        </w:tc>
      </w:tr>
      <w:tr w:rsidR="00CD249C" w:rsidRPr="005563F8" w14:paraId="2B55B399"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48A5C700" w14:textId="77777777" w:rsidR="00CD249C" w:rsidRPr="005563F8" w:rsidRDefault="00CD249C" w:rsidP="00CD249C">
            <w:pPr>
              <w:rPr>
                <w:i/>
                <w:iCs/>
                <w:color w:val="000000"/>
              </w:rPr>
            </w:pPr>
            <w:r w:rsidRPr="005563F8">
              <w:rPr>
                <w:i/>
                <w:iCs/>
                <w:color w:val="000000"/>
              </w:rPr>
              <w:t>In long term relationship</w:t>
            </w:r>
          </w:p>
        </w:tc>
        <w:tc>
          <w:tcPr>
            <w:tcW w:w="1853" w:type="dxa"/>
            <w:tcBorders>
              <w:top w:val="nil"/>
              <w:left w:val="nil"/>
              <w:bottom w:val="nil"/>
              <w:right w:val="nil"/>
            </w:tcBorders>
            <w:shd w:val="clear" w:color="auto" w:fill="auto"/>
            <w:noWrap/>
            <w:vAlign w:val="center"/>
            <w:hideMark/>
          </w:tcPr>
          <w:p w14:paraId="1AD033AD" w14:textId="77777777" w:rsidR="00CD249C" w:rsidRPr="005563F8" w:rsidRDefault="00CD249C" w:rsidP="00CD249C">
            <w:pPr>
              <w:jc w:val="center"/>
              <w:rPr>
                <w:color w:val="000000"/>
              </w:rPr>
            </w:pPr>
            <w:r w:rsidRPr="005563F8">
              <w:rPr>
                <w:color w:val="000000"/>
              </w:rPr>
              <w:t>32</w:t>
            </w:r>
          </w:p>
        </w:tc>
        <w:tc>
          <w:tcPr>
            <w:tcW w:w="884" w:type="dxa"/>
            <w:tcBorders>
              <w:top w:val="nil"/>
              <w:left w:val="nil"/>
              <w:bottom w:val="nil"/>
              <w:right w:val="single" w:sz="8" w:space="0" w:color="auto"/>
            </w:tcBorders>
            <w:shd w:val="clear" w:color="auto" w:fill="auto"/>
            <w:noWrap/>
            <w:vAlign w:val="center"/>
            <w:hideMark/>
          </w:tcPr>
          <w:p w14:paraId="405B442C" w14:textId="2811609C" w:rsidR="00CD249C" w:rsidRPr="005563F8" w:rsidRDefault="00CD249C" w:rsidP="00CD249C">
            <w:pPr>
              <w:jc w:val="center"/>
              <w:rPr>
                <w:color w:val="000000"/>
              </w:rPr>
            </w:pPr>
            <w:r w:rsidRPr="005563F8">
              <w:rPr>
                <w:color w:val="000000"/>
              </w:rPr>
              <w:t>16.3</w:t>
            </w:r>
          </w:p>
        </w:tc>
        <w:tc>
          <w:tcPr>
            <w:tcW w:w="1739" w:type="dxa"/>
            <w:tcBorders>
              <w:top w:val="nil"/>
              <w:left w:val="nil"/>
              <w:bottom w:val="nil"/>
              <w:right w:val="nil"/>
            </w:tcBorders>
            <w:shd w:val="clear" w:color="auto" w:fill="auto"/>
            <w:noWrap/>
            <w:vAlign w:val="center"/>
            <w:hideMark/>
          </w:tcPr>
          <w:p w14:paraId="08531B0A" w14:textId="77777777" w:rsidR="00CD249C" w:rsidRPr="005563F8" w:rsidRDefault="00CD249C" w:rsidP="00CD249C">
            <w:pPr>
              <w:jc w:val="center"/>
              <w:rPr>
                <w:i/>
                <w:iCs/>
                <w:color w:val="000000"/>
              </w:rPr>
            </w:pPr>
            <w:r w:rsidRPr="005563F8">
              <w:rPr>
                <w:i/>
                <w:iCs/>
                <w:color w:val="000000"/>
              </w:rPr>
              <w:t>6</w:t>
            </w:r>
          </w:p>
        </w:tc>
        <w:tc>
          <w:tcPr>
            <w:tcW w:w="1383" w:type="dxa"/>
            <w:tcBorders>
              <w:top w:val="nil"/>
              <w:left w:val="nil"/>
              <w:bottom w:val="nil"/>
              <w:right w:val="nil"/>
            </w:tcBorders>
            <w:shd w:val="clear" w:color="auto" w:fill="auto"/>
            <w:noWrap/>
            <w:vAlign w:val="center"/>
            <w:hideMark/>
          </w:tcPr>
          <w:p w14:paraId="7740F3F2" w14:textId="77777777" w:rsidR="00CD249C" w:rsidRPr="005563F8" w:rsidRDefault="00CD249C" w:rsidP="00CD249C">
            <w:pPr>
              <w:jc w:val="center"/>
              <w:rPr>
                <w:color w:val="000000"/>
              </w:rPr>
            </w:pPr>
            <w:r w:rsidRPr="005563F8">
              <w:rPr>
                <w:color w:val="000000"/>
              </w:rPr>
              <w:t>8</w:t>
            </w:r>
          </w:p>
        </w:tc>
        <w:tc>
          <w:tcPr>
            <w:tcW w:w="1411" w:type="dxa"/>
            <w:tcBorders>
              <w:top w:val="nil"/>
              <w:left w:val="nil"/>
              <w:bottom w:val="nil"/>
              <w:right w:val="single" w:sz="8" w:space="0" w:color="auto"/>
            </w:tcBorders>
            <w:shd w:val="clear" w:color="auto" w:fill="auto"/>
            <w:noWrap/>
            <w:vAlign w:val="center"/>
            <w:hideMark/>
          </w:tcPr>
          <w:p w14:paraId="11DB764A" w14:textId="77777777" w:rsidR="00CD249C" w:rsidRPr="005563F8" w:rsidRDefault="00CD249C" w:rsidP="00CD249C">
            <w:pPr>
              <w:jc w:val="center"/>
              <w:rPr>
                <w:color w:val="000000"/>
              </w:rPr>
            </w:pPr>
            <w:r w:rsidRPr="005563F8">
              <w:rPr>
                <w:color w:val="000000"/>
              </w:rPr>
              <w:t>4.1</w:t>
            </w:r>
          </w:p>
        </w:tc>
      </w:tr>
      <w:tr w:rsidR="00CD249C" w:rsidRPr="005563F8" w14:paraId="3C1AB36B" w14:textId="77777777" w:rsidTr="00CD249C">
        <w:trPr>
          <w:trHeight w:val="341"/>
        </w:trPr>
        <w:tc>
          <w:tcPr>
            <w:tcW w:w="1896" w:type="dxa"/>
            <w:tcBorders>
              <w:top w:val="nil"/>
              <w:left w:val="single" w:sz="8" w:space="0" w:color="auto"/>
              <w:bottom w:val="nil"/>
              <w:right w:val="nil"/>
            </w:tcBorders>
            <w:shd w:val="clear" w:color="auto" w:fill="auto"/>
            <w:noWrap/>
            <w:vAlign w:val="center"/>
            <w:hideMark/>
          </w:tcPr>
          <w:p w14:paraId="11D7CFB3" w14:textId="77777777" w:rsidR="00CD249C" w:rsidRPr="005563F8" w:rsidRDefault="00CD249C" w:rsidP="00CD249C">
            <w:pPr>
              <w:rPr>
                <w:i/>
                <w:iCs/>
                <w:color w:val="000000"/>
              </w:rPr>
            </w:pPr>
            <w:r w:rsidRPr="005563F8">
              <w:rPr>
                <w:i/>
                <w:iCs/>
                <w:color w:val="000000"/>
              </w:rPr>
              <w:t>Separated</w:t>
            </w:r>
          </w:p>
        </w:tc>
        <w:tc>
          <w:tcPr>
            <w:tcW w:w="1853" w:type="dxa"/>
            <w:tcBorders>
              <w:top w:val="nil"/>
              <w:left w:val="nil"/>
              <w:bottom w:val="nil"/>
              <w:right w:val="nil"/>
            </w:tcBorders>
            <w:shd w:val="clear" w:color="auto" w:fill="auto"/>
            <w:noWrap/>
            <w:vAlign w:val="center"/>
            <w:hideMark/>
          </w:tcPr>
          <w:p w14:paraId="1F47B4B6" w14:textId="77777777" w:rsidR="00CD249C" w:rsidRPr="005563F8" w:rsidRDefault="00CD249C" w:rsidP="00CD249C">
            <w:pPr>
              <w:jc w:val="center"/>
              <w:rPr>
                <w:color w:val="000000"/>
              </w:rPr>
            </w:pPr>
            <w:r w:rsidRPr="005563F8">
              <w:rPr>
                <w:color w:val="000000"/>
              </w:rPr>
              <w:t>3</w:t>
            </w:r>
          </w:p>
        </w:tc>
        <w:tc>
          <w:tcPr>
            <w:tcW w:w="884" w:type="dxa"/>
            <w:tcBorders>
              <w:top w:val="nil"/>
              <w:left w:val="nil"/>
              <w:bottom w:val="nil"/>
              <w:right w:val="single" w:sz="8" w:space="0" w:color="auto"/>
            </w:tcBorders>
            <w:shd w:val="clear" w:color="auto" w:fill="auto"/>
            <w:noWrap/>
            <w:vAlign w:val="center"/>
            <w:hideMark/>
          </w:tcPr>
          <w:p w14:paraId="1CEC63D0" w14:textId="70BA7B49" w:rsidR="00CD249C" w:rsidRPr="005563F8" w:rsidRDefault="00CD249C" w:rsidP="00CD249C">
            <w:pPr>
              <w:jc w:val="center"/>
              <w:rPr>
                <w:color w:val="000000"/>
              </w:rPr>
            </w:pPr>
            <w:r w:rsidRPr="005563F8">
              <w:rPr>
                <w:color w:val="000000"/>
              </w:rPr>
              <w:t>1.5</w:t>
            </w:r>
          </w:p>
        </w:tc>
        <w:tc>
          <w:tcPr>
            <w:tcW w:w="1739" w:type="dxa"/>
            <w:tcBorders>
              <w:top w:val="nil"/>
              <w:left w:val="nil"/>
              <w:bottom w:val="nil"/>
              <w:right w:val="nil"/>
            </w:tcBorders>
            <w:shd w:val="clear" w:color="auto" w:fill="auto"/>
            <w:noWrap/>
            <w:vAlign w:val="center"/>
            <w:hideMark/>
          </w:tcPr>
          <w:p w14:paraId="33BDF728" w14:textId="77777777" w:rsidR="00CD249C" w:rsidRPr="005563F8" w:rsidRDefault="00CD249C" w:rsidP="00CD249C">
            <w:pPr>
              <w:jc w:val="center"/>
              <w:rPr>
                <w:i/>
                <w:iCs/>
                <w:color w:val="000000"/>
              </w:rPr>
            </w:pPr>
            <w:r w:rsidRPr="005563F8">
              <w:rPr>
                <w:i/>
                <w:iCs/>
                <w:color w:val="000000"/>
              </w:rPr>
              <w:t>7</w:t>
            </w:r>
          </w:p>
        </w:tc>
        <w:tc>
          <w:tcPr>
            <w:tcW w:w="1383" w:type="dxa"/>
            <w:tcBorders>
              <w:top w:val="nil"/>
              <w:left w:val="nil"/>
              <w:bottom w:val="nil"/>
              <w:right w:val="nil"/>
            </w:tcBorders>
            <w:shd w:val="clear" w:color="auto" w:fill="auto"/>
            <w:noWrap/>
            <w:vAlign w:val="center"/>
            <w:hideMark/>
          </w:tcPr>
          <w:p w14:paraId="19BF9625" w14:textId="77777777" w:rsidR="00CD249C" w:rsidRPr="005563F8" w:rsidRDefault="00CD249C" w:rsidP="00CD249C">
            <w:pPr>
              <w:jc w:val="center"/>
              <w:rPr>
                <w:color w:val="000000"/>
              </w:rPr>
            </w:pPr>
            <w:r w:rsidRPr="005563F8">
              <w:rPr>
                <w:color w:val="000000"/>
              </w:rPr>
              <w:t>1</w:t>
            </w:r>
          </w:p>
        </w:tc>
        <w:tc>
          <w:tcPr>
            <w:tcW w:w="1411" w:type="dxa"/>
            <w:tcBorders>
              <w:top w:val="nil"/>
              <w:left w:val="nil"/>
              <w:bottom w:val="nil"/>
              <w:right w:val="single" w:sz="8" w:space="0" w:color="auto"/>
            </w:tcBorders>
            <w:shd w:val="clear" w:color="auto" w:fill="auto"/>
            <w:noWrap/>
            <w:vAlign w:val="center"/>
            <w:hideMark/>
          </w:tcPr>
          <w:p w14:paraId="65EFD066" w14:textId="77777777" w:rsidR="00CD249C" w:rsidRPr="005563F8" w:rsidRDefault="00CD249C" w:rsidP="00CD249C">
            <w:pPr>
              <w:jc w:val="center"/>
              <w:rPr>
                <w:color w:val="000000"/>
              </w:rPr>
            </w:pPr>
            <w:r w:rsidRPr="005563F8">
              <w:rPr>
                <w:color w:val="000000"/>
              </w:rPr>
              <w:t>0.5</w:t>
            </w:r>
          </w:p>
        </w:tc>
      </w:tr>
      <w:tr w:rsidR="00CD249C" w:rsidRPr="005563F8" w14:paraId="32433FA7" w14:textId="77777777" w:rsidTr="00CD249C">
        <w:trPr>
          <w:trHeight w:val="341"/>
        </w:trPr>
        <w:tc>
          <w:tcPr>
            <w:tcW w:w="1896" w:type="dxa"/>
            <w:tcBorders>
              <w:top w:val="nil"/>
              <w:left w:val="single" w:sz="8" w:space="0" w:color="auto"/>
              <w:bottom w:val="nil"/>
              <w:right w:val="nil"/>
            </w:tcBorders>
            <w:shd w:val="clear" w:color="auto" w:fill="auto"/>
            <w:noWrap/>
            <w:vAlign w:val="center"/>
            <w:hideMark/>
          </w:tcPr>
          <w:p w14:paraId="6761EBF5" w14:textId="77777777" w:rsidR="00CD249C" w:rsidRPr="005563F8" w:rsidRDefault="00CD249C" w:rsidP="00CD249C">
            <w:pPr>
              <w:rPr>
                <w:i/>
                <w:iCs/>
                <w:color w:val="000000"/>
              </w:rPr>
            </w:pPr>
            <w:r w:rsidRPr="005563F8">
              <w:rPr>
                <w:i/>
                <w:iCs/>
                <w:color w:val="000000"/>
              </w:rPr>
              <w:t>Divorced</w:t>
            </w:r>
          </w:p>
        </w:tc>
        <w:tc>
          <w:tcPr>
            <w:tcW w:w="1853" w:type="dxa"/>
            <w:tcBorders>
              <w:top w:val="nil"/>
              <w:left w:val="nil"/>
              <w:bottom w:val="nil"/>
              <w:right w:val="nil"/>
            </w:tcBorders>
            <w:shd w:val="clear" w:color="auto" w:fill="auto"/>
            <w:noWrap/>
            <w:vAlign w:val="center"/>
            <w:hideMark/>
          </w:tcPr>
          <w:p w14:paraId="32A5F8E9" w14:textId="77777777" w:rsidR="00CD249C" w:rsidRPr="005563F8" w:rsidRDefault="00CD249C" w:rsidP="00CD249C">
            <w:pPr>
              <w:jc w:val="center"/>
              <w:rPr>
                <w:color w:val="000000"/>
              </w:rPr>
            </w:pPr>
            <w:r w:rsidRPr="005563F8">
              <w:rPr>
                <w:color w:val="000000"/>
              </w:rPr>
              <w:t>17</w:t>
            </w:r>
          </w:p>
        </w:tc>
        <w:tc>
          <w:tcPr>
            <w:tcW w:w="884" w:type="dxa"/>
            <w:tcBorders>
              <w:top w:val="nil"/>
              <w:left w:val="nil"/>
              <w:bottom w:val="nil"/>
              <w:right w:val="nil"/>
            </w:tcBorders>
            <w:shd w:val="clear" w:color="auto" w:fill="auto"/>
            <w:noWrap/>
            <w:vAlign w:val="center"/>
            <w:hideMark/>
          </w:tcPr>
          <w:p w14:paraId="244AD37F" w14:textId="22098593" w:rsidR="00CD249C" w:rsidRPr="005563F8" w:rsidRDefault="00CD249C" w:rsidP="00CD249C">
            <w:pPr>
              <w:jc w:val="center"/>
              <w:rPr>
                <w:color w:val="000000"/>
              </w:rPr>
            </w:pPr>
            <w:r w:rsidRPr="005563F8">
              <w:rPr>
                <w:color w:val="000000"/>
              </w:rPr>
              <w:t>8.</w:t>
            </w:r>
            <w:r w:rsidR="00F91124">
              <w:rPr>
                <w:color w:val="000000"/>
              </w:rPr>
              <w:t>7</w:t>
            </w:r>
          </w:p>
        </w:tc>
        <w:tc>
          <w:tcPr>
            <w:tcW w:w="1739" w:type="dxa"/>
            <w:tcBorders>
              <w:top w:val="single" w:sz="8" w:space="0" w:color="auto"/>
              <w:left w:val="single" w:sz="8" w:space="0" w:color="auto"/>
              <w:bottom w:val="single" w:sz="8" w:space="0" w:color="auto"/>
              <w:right w:val="nil"/>
            </w:tcBorders>
            <w:shd w:val="clear" w:color="000000" w:fill="E7E6E6"/>
            <w:noWrap/>
            <w:vAlign w:val="center"/>
            <w:hideMark/>
          </w:tcPr>
          <w:p w14:paraId="65A0623C" w14:textId="77777777" w:rsidR="00CD249C" w:rsidRPr="005563F8" w:rsidRDefault="00CD249C" w:rsidP="00CD249C">
            <w:pPr>
              <w:jc w:val="center"/>
              <w:rPr>
                <w:color w:val="000000"/>
              </w:rPr>
            </w:pPr>
            <w:r w:rsidRPr="005563F8">
              <w:rPr>
                <w:color w:val="000000"/>
              </w:rPr>
              <w:t>Role</w:t>
            </w:r>
          </w:p>
        </w:tc>
        <w:tc>
          <w:tcPr>
            <w:tcW w:w="1383" w:type="dxa"/>
            <w:tcBorders>
              <w:top w:val="single" w:sz="8" w:space="0" w:color="auto"/>
              <w:left w:val="nil"/>
              <w:bottom w:val="single" w:sz="8" w:space="0" w:color="auto"/>
              <w:right w:val="nil"/>
            </w:tcBorders>
            <w:shd w:val="clear" w:color="000000" w:fill="E7E6E6"/>
            <w:noWrap/>
            <w:vAlign w:val="center"/>
            <w:hideMark/>
          </w:tcPr>
          <w:p w14:paraId="54E5935A" w14:textId="77777777" w:rsidR="00CD249C" w:rsidRPr="005563F8" w:rsidRDefault="00CD249C" w:rsidP="00CD249C">
            <w:pPr>
              <w:jc w:val="center"/>
              <w:rPr>
                <w:color w:val="000000"/>
              </w:rPr>
            </w:pPr>
            <w:r w:rsidRPr="005563F8">
              <w:rPr>
                <w:color w:val="000000"/>
              </w:rPr>
              <w:t>count</w:t>
            </w:r>
          </w:p>
        </w:tc>
        <w:tc>
          <w:tcPr>
            <w:tcW w:w="1411" w:type="dxa"/>
            <w:tcBorders>
              <w:top w:val="single" w:sz="8" w:space="0" w:color="auto"/>
              <w:left w:val="nil"/>
              <w:bottom w:val="single" w:sz="8" w:space="0" w:color="auto"/>
              <w:right w:val="single" w:sz="8" w:space="0" w:color="auto"/>
            </w:tcBorders>
            <w:shd w:val="clear" w:color="000000" w:fill="E7E6E6"/>
            <w:noWrap/>
            <w:vAlign w:val="center"/>
            <w:hideMark/>
          </w:tcPr>
          <w:p w14:paraId="0652D1B2" w14:textId="77777777" w:rsidR="00CD249C" w:rsidRPr="005563F8" w:rsidRDefault="00CD249C" w:rsidP="00CD249C">
            <w:pPr>
              <w:jc w:val="center"/>
              <w:rPr>
                <w:color w:val="000000"/>
              </w:rPr>
            </w:pPr>
            <w:r w:rsidRPr="005563F8">
              <w:rPr>
                <w:color w:val="000000"/>
              </w:rPr>
              <w:t>%</w:t>
            </w:r>
          </w:p>
        </w:tc>
      </w:tr>
      <w:tr w:rsidR="00CD249C" w:rsidRPr="005563F8" w14:paraId="4D3E0746"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58EDC707" w14:textId="77777777" w:rsidR="00CD249C" w:rsidRPr="005563F8" w:rsidRDefault="00CD249C" w:rsidP="00CD249C">
            <w:pPr>
              <w:rPr>
                <w:i/>
                <w:iCs/>
                <w:color w:val="000000"/>
              </w:rPr>
            </w:pPr>
            <w:r w:rsidRPr="005563F8">
              <w:rPr>
                <w:i/>
                <w:iCs/>
                <w:color w:val="000000"/>
              </w:rPr>
              <w:t>Widowed</w:t>
            </w:r>
          </w:p>
        </w:tc>
        <w:tc>
          <w:tcPr>
            <w:tcW w:w="1853" w:type="dxa"/>
            <w:tcBorders>
              <w:top w:val="nil"/>
              <w:left w:val="nil"/>
              <w:bottom w:val="nil"/>
              <w:right w:val="nil"/>
            </w:tcBorders>
            <w:shd w:val="clear" w:color="auto" w:fill="auto"/>
            <w:noWrap/>
            <w:vAlign w:val="center"/>
            <w:hideMark/>
          </w:tcPr>
          <w:p w14:paraId="34F93DD2" w14:textId="77777777" w:rsidR="00CD249C" w:rsidRPr="005563F8" w:rsidRDefault="00CD249C" w:rsidP="00CD249C">
            <w:pPr>
              <w:jc w:val="center"/>
              <w:rPr>
                <w:color w:val="000000"/>
              </w:rPr>
            </w:pPr>
            <w:r w:rsidRPr="005563F8">
              <w:rPr>
                <w:color w:val="000000"/>
              </w:rPr>
              <w:t>3</w:t>
            </w:r>
          </w:p>
        </w:tc>
        <w:tc>
          <w:tcPr>
            <w:tcW w:w="884" w:type="dxa"/>
            <w:tcBorders>
              <w:top w:val="nil"/>
              <w:left w:val="nil"/>
              <w:bottom w:val="nil"/>
              <w:right w:val="nil"/>
            </w:tcBorders>
            <w:shd w:val="clear" w:color="auto" w:fill="auto"/>
            <w:noWrap/>
            <w:vAlign w:val="center"/>
            <w:hideMark/>
          </w:tcPr>
          <w:p w14:paraId="58C578CE" w14:textId="7C5CFF47" w:rsidR="00CD249C" w:rsidRPr="005563F8" w:rsidRDefault="00CD249C" w:rsidP="00CD249C">
            <w:pPr>
              <w:jc w:val="center"/>
              <w:rPr>
                <w:color w:val="000000"/>
              </w:rPr>
            </w:pPr>
            <w:r w:rsidRPr="005563F8">
              <w:rPr>
                <w:color w:val="000000"/>
              </w:rPr>
              <w:t>1.5</w:t>
            </w:r>
          </w:p>
        </w:tc>
        <w:tc>
          <w:tcPr>
            <w:tcW w:w="1739" w:type="dxa"/>
            <w:tcBorders>
              <w:top w:val="nil"/>
              <w:left w:val="single" w:sz="8" w:space="0" w:color="auto"/>
              <w:bottom w:val="nil"/>
              <w:right w:val="nil"/>
            </w:tcBorders>
            <w:shd w:val="clear" w:color="auto" w:fill="auto"/>
            <w:noWrap/>
            <w:vAlign w:val="center"/>
            <w:hideMark/>
          </w:tcPr>
          <w:p w14:paraId="2AB856AC" w14:textId="77777777" w:rsidR="00CD249C" w:rsidRPr="005563F8" w:rsidRDefault="00CD249C" w:rsidP="00CD249C">
            <w:pPr>
              <w:rPr>
                <w:i/>
                <w:iCs/>
                <w:color w:val="000000"/>
              </w:rPr>
            </w:pPr>
            <w:r w:rsidRPr="005563F8">
              <w:rPr>
                <w:i/>
                <w:iCs/>
                <w:color w:val="000000"/>
              </w:rPr>
              <w:t>Administrator</w:t>
            </w:r>
          </w:p>
        </w:tc>
        <w:tc>
          <w:tcPr>
            <w:tcW w:w="1383" w:type="dxa"/>
            <w:tcBorders>
              <w:top w:val="nil"/>
              <w:left w:val="nil"/>
              <w:bottom w:val="nil"/>
              <w:right w:val="nil"/>
            </w:tcBorders>
            <w:shd w:val="clear" w:color="auto" w:fill="auto"/>
            <w:noWrap/>
            <w:vAlign w:val="center"/>
            <w:hideMark/>
          </w:tcPr>
          <w:p w14:paraId="7CE1C42C" w14:textId="77777777" w:rsidR="00CD249C" w:rsidRPr="005563F8" w:rsidRDefault="00CD249C" w:rsidP="00CD249C">
            <w:pPr>
              <w:jc w:val="center"/>
              <w:rPr>
                <w:color w:val="000000"/>
              </w:rPr>
            </w:pPr>
            <w:r w:rsidRPr="005563F8">
              <w:rPr>
                <w:color w:val="000000"/>
              </w:rPr>
              <w:t>3</w:t>
            </w:r>
          </w:p>
        </w:tc>
        <w:tc>
          <w:tcPr>
            <w:tcW w:w="1411" w:type="dxa"/>
            <w:tcBorders>
              <w:top w:val="nil"/>
              <w:left w:val="nil"/>
              <w:bottom w:val="nil"/>
              <w:right w:val="single" w:sz="8" w:space="0" w:color="auto"/>
            </w:tcBorders>
            <w:shd w:val="clear" w:color="auto" w:fill="auto"/>
            <w:noWrap/>
            <w:vAlign w:val="center"/>
            <w:hideMark/>
          </w:tcPr>
          <w:p w14:paraId="7C2FB4F5" w14:textId="77777777" w:rsidR="00CD249C" w:rsidRPr="005563F8" w:rsidRDefault="00CD249C" w:rsidP="00CD249C">
            <w:pPr>
              <w:jc w:val="center"/>
              <w:rPr>
                <w:color w:val="000000"/>
              </w:rPr>
            </w:pPr>
            <w:r w:rsidRPr="005563F8">
              <w:rPr>
                <w:color w:val="000000"/>
              </w:rPr>
              <w:t>1.5</w:t>
            </w:r>
          </w:p>
        </w:tc>
      </w:tr>
      <w:tr w:rsidR="00CD249C" w:rsidRPr="005563F8" w14:paraId="6EB8D65C" w14:textId="77777777" w:rsidTr="00CD249C">
        <w:trPr>
          <w:trHeight w:val="341"/>
        </w:trPr>
        <w:tc>
          <w:tcPr>
            <w:tcW w:w="1896" w:type="dxa"/>
            <w:tcBorders>
              <w:top w:val="nil"/>
              <w:left w:val="single" w:sz="8" w:space="0" w:color="auto"/>
              <w:bottom w:val="single" w:sz="8" w:space="0" w:color="auto"/>
              <w:right w:val="nil"/>
            </w:tcBorders>
            <w:shd w:val="clear" w:color="auto" w:fill="auto"/>
            <w:noWrap/>
            <w:vAlign w:val="center"/>
            <w:hideMark/>
          </w:tcPr>
          <w:p w14:paraId="5FA9F466" w14:textId="77777777" w:rsidR="00CD249C" w:rsidRPr="005563F8" w:rsidRDefault="00CD249C" w:rsidP="00CD249C">
            <w:pPr>
              <w:rPr>
                <w:color w:val="000000"/>
              </w:rPr>
            </w:pPr>
            <w:r w:rsidRPr="005563F8">
              <w:rPr>
                <w:color w:val="000000"/>
              </w:rPr>
              <w:t>no response</w:t>
            </w:r>
          </w:p>
        </w:tc>
        <w:tc>
          <w:tcPr>
            <w:tcW w:w="1853" w:type="dxa"/>
            <w:tcBorders>
              <w:top w:val="nil"/>
              <w:left w:val="nil"/>
              <w:bottom w:val="single" w:sz="8" w:space="0" w:color="auto"/>
              <w:right w:val="nil"/>
            </w:tcBorders>
            <w:shd w:val="clear" w:color="auto" w:fill="auto"/>
            <w:noWrap/>
            <w:vAlign w:val="center"/>
            <w:hideMark/>
          </w:tcPr>
          <w:p w14:paraId="1611E372" w14:textId="77777777" w:rsidR="00CD249C" w:rsidRPr="005563F8" w:rsidRDefault="00CD249C" w:rsidP="00CD249C">
            <w:pPr>
              <w:jc w:val="center"/>
              <w:rPr>
                <w:color w:val="000000"/>
              </w:rPr>
            </w:pPr>
            <w:r w:rsidRPr="005563F8">
              <w:rPr>
                <w:color w:val="000000"/>
              </w:rPr>
              <w:t>32</w:t>
            </w:r>
          </w:p>
        </w:tc>
        <w:tc>
          <w:tcPr>
            <w:tcW w:w="884" w:type="dxa"/>
            <w:tcBorders>
              <w:top w:val="nil"/>
              <w:left w:val="nil"/>
              <w:bottom w:val="single" w:sz="8" w:space="0" w:color="auto"/>
              <w:right w:val="nil"/>
            </w:tcBorders>
            <w:shd w:val="clear" w:color="auto" w:fill="auto"/>
            <w:noWrap/>
            <w:vAlign w:val="center"/>
            <w:hideMark/>
          </w:tcPr>
          <w:p w14:paraId="474F3F97" w14:textId="77777777" w:rsidR="00CD249C" w:rsidRPr="005563F8" w:rsidRDefault="00CD249C" w:rsidP="00CD249C">
            <w:pPr>
              <w:jc w:val="center"/>
              <w:rPr>
                <w:color w:val="000000"/>
              </w:rPr>
            </w:pPr>
            <w:r w:rsidRPr="005563F8">
              <w:rPr>
                <w:color w:val="000000"/>
              </w:rPr>
              <w:t>16.3</w:t>
            </w:r>
          </w:p>
        </w:tc>
        <w:tc>
          <w:tcPr>
            <w:tcW w:w="1739" w:type="dxa"/>
            <w:tcBorders>
              <w:top w:val="nil"/>
              <w:left w:val="single" w:sz="8" w:space="0" w:color="auto"/>
              <w:bottom w:val="nil"/>
              <w:right w:val="nil"/>
            </w:tcBorders>
            <w:shd w:val="clear" w:color="auto" w:fill="auto"/>
            <w:noWrap/>
            <w:vAlign w:val="center"/>
            <w:hideMark/>
          </w:tcPr>
          <w:p w14:paraId="46476004" w14:textId="77777777" w:rsidR="00CD249C" w:rsidRPr="005563F8" w:rsidRDefault="00CD249C" w:rsidP="00CD249C">
            <w:pPr>
              <w:rPr>
                <w:i/>
                <w:iCs/>
                <w:color w:val="000000"/>
              </w:rPr>
            </w:pPr>
            <w:r w:rsidRPr="005563F8">
              <w:rPr>
                <w:i/>
                <w:iCs/>
                <w:color w:val="000000"/>
              </w:rPr>
              <w:t>Assistant</w:t>
            </w:r>
          </w:p>
        </w:tc>
        <w:tc>
          <w:tcPr>
            <w:tcW w:w="1383" w:type="dxa"/>
            <w:tcBorders>
              <w:top w:val="nil"/>
              <w:left w:val="nil"/>
              <w:bottom w:val="nil"/>
              <w:right w:val="nil"/>
            </w:tcBorders>
            <w:shd w:val="clear" w:color="auto" w:fill="auto"/>
            <w:noWrap/>
            <w:vAlign w:val="center"/>
            <w:hideMark/>
          </w:tcPr>
          <w:p w14:paraId="3B3B6354" w14:textId="77777777" w:rsidR="00CD249C" w:rsidRPr="005563F8" w:rsidRDefault="00CD249C" w:rsidP="00CD249C">
            <w:pPr>
              <w:jc w:val="center"/>
              <w:rPr>
                <w:color w:val="000000"/>
              </w:rPr>
            </w:pPr>
            <w:r w:rsidRPr="005563F8">
              <w:rPr>
                <w:color w:val="000000"/>
              </w:rPr>
              <w:t>4</w:t>
            </w:r>
          </w:p>
        </w:tc>
        <w:tc>
          <w:tcPr>
            <w:tcW w:w="1411" w:type="dxa"/>
            <w:tcBorders>
              <w:top w:val="nil"/>
              <w:left w:val="nil"/>
              <w:bottom w:val="nil"/>
              <w:right w:val="single" w:sz="8" w:space="0" w:color="auto"/>
            </w:tcBorders>
            <w:shd w:val="clear" w:color="auto" w:fill="auto"/>
            <w:noWrap/>
            <w:vAlign w:val="center"/>
            <w:hideMark/>
          </w:tcPr>
          <w:p w14:paraId="705E5A3D" w14:textId="77777777" w:rsidR="00CD249C" w:rsidRPr="005563F8" w:rsidRDefault="00CD249C" w:rsidP="00CD249C">
            <w:pPr>
              <w:jc w:val="center"/>
              <w:rPr>
                <w:color w:val="000000"/>
              </w:rPr>
            </w:pPr>
            <w:r w:rsidRPr="005563F8">
              <w:rPr>
                <w:color w:val="000000"/>
              </w:rPr>
              <w:t>2</w:t>
            </w:r>
          </w:p>
        </w:tc>
      </w:tr>
      <w:tr w:rsidR="00CD249C" w:rsidRPr="005563F8" w14:paraId="56D41993" w14:textId="77777777" w:rsidTr="00CD249C">
        <w:trPr>
          <w:trHeight w:val="341"/>
        </w:trPr>
        <w:tc>
          <w:tcPr>
            <w:tcW w:w="1896" w:type="dxa"/>
            <w:tcBorders>
              <w:top w:val="nil"/>
              <w:left w:val="single" w:sz="8" w:space="0" w:color="auto"/>
              <w:bottom w:val="single" w:sz="8" w:space="0" w:color="auto"/>
              <w:right w:val="nil"/>
            </w:tcBorders>
            <w:shd w:val="clear" w:color="000000" w:fill="E7E6E6"/>
            <w:noWrap/>
            <w:vAlign w:val="center"/>
            <w:hideMark/>
          </w:tcPr>
          <w:p w14:paraId="44047F88" w14:textId="77777777" w:rsidR="00CD249C" w:rsidRPr="005563F8" w:rsidRDefault="00CD249C" w:rsidP="00CD249C">
            <w:pPr>
              <w:jc w:val="center"/>
              <w:rPr>
                <w:color w:val="000000"/>
              </w:rPr>
            </w:pPr>
            <w:r w:rsidRPr="005563F8">
              <w:rPr>
                <w:color w:val="000000"/>
              </w:rPr>
              <w:t>Is Parent</w:t>
            </w:r>
          </w:p>
        </w:tc>
        <w:tc>
          <w:tcPr>
            <w:tcW w:w="1853" w:type="dxa"/>
            <w:tcBorders>
              <w:top w:val="nil"/>
              <w:left w:val="nil"/>
              <w:bottom w:val="single" w:sz="8" w:space="0" w:color="auto"/>
              <w:right w:val="nil"/>
            </w:tcBorders>
            <w:shd w:val="clear" w:color="000000" w:fill="E7E6E6"/>
            <w:noWrap/>
            <w:vAlign w:val="center"/>
            <w:hideMark/>
          </w:tcPr>
          <w:p w14:paraId="7B9D64D6" w14:textId="77777777" w:rsidR="00CD249C" w:rsidRPr="005563F8" w:rsidRDefault="00CD249C" w:rsidP="00CD249C">
            <w:pPr>
              <w:jc w:val="center"/>
              <w:rPr>
                <w:color w:val="000000"/>
              </w:rPr>
            </w:pPr>
            <w:r w:rsidRPr="005563F8">
              <w:rPr>
                <w:color w:val="000000"/>
              </w:rPr>
              <w:t>count</w:t>
            </w:r>
          </w:p>
        </w:tc>
        <w:tc>
          <w:tcPr>
            <w:tcW w:w="884" w:type="dxa"/>
            <w:tcBorders>
              <w:top w:val="nil"/>
              <w:left w:val="nil"/>
              <w:bottom w:val="single" w:sz="8" w:space="0" w:color="auto"/>
              <w:right w:val="nil"/>
            </w:tcBorders>
            <w:shd w:val="clear" w:color="000000" w:fill="E7E6E6"/>
            <w:noWrap/>
            <w:vAlign w:val="center"/>
            <w:hideMark/>
          </w:tcPr>
          <w:p w14:paraId="60325D2D" w14:textId="77777777" w:rsidR="00CD249C" w:rsidRPr="005563F8" w:rsidRDefault="00CD249C" w:rsidP="00CD249C">
            <w:pPr>
              <w:jc w:val="center"/>
              <w:rPr>
                <w:color w:val="000000"/>
              </w:rPr>
            </w:pPr>
            <w:r w:rsidRPr="005563F8">
              <w:rPr>
                <w:color w:val="000000"/>
              </w:rPr>
              <w:t>%</w:t>
            </w:r>
          </w:p>
        </w:tc>
        <w:tc>
          <w:tcPr>
            <w:tcW w:w="1739" w:type="dxa"/>
            <w:tcBorders>
              <w:top w:val="nil"/>
              <w:left w:val="single" w:sz="8" w:space="0" w:color="auto"/>
              <w:bottom w:val="nil"/>
              <w:right w:val="nil"/>
            </w:tcBorders>
            <w:shd w:val="clear" w:color="auto" w:fill="auto"/>
            <w:noWrap/>
            <w:vAlign w:val="center"/>
            <w:hideMark/>
          </w:tcPr>
          <w:p w14:paraId="072D75DF" w14:textId="77777777" w:rsidR="00CD249C" w:rsidRPr="005563F8" w:rsidRDefault="00CD249C" w:rsidP="00CD249C">
            <w:pPr>
              <w:rPr>
                <w:i/>
                <w:iCs/>
                <w:color w:val="000000"/>
              </w:rPr>
            </w:pPr>
            <w:r w:rsidRPr="005563F8">
              <w:rPr>
                <w:i/>
                <w:iCs/>
                <w:color w:val="000000"/>
              </w:rPr>
              <w:t>Practitioner/Teacher</w:t>
            </w:r>
          </w:p>
        </w:tc>
        <w:tc>
          <w:tcPr>
            <w:tcW w:w="1383" w:type="dxa"/>
            <w:tcBorders>
              <w:top w:val="nil"/>
              <w:left w:val="nil"/>
              <w:bottom w:val="nil"/>
              <w:right w:val="nil"/>
            </w:tcBorders>
            <w:shd w:val="clear" w:color="auto" w:fill="auto"/>
            <w:noWrap/>
            <w:vAlign w:val="center"/>
            <w:hideMark/>
          </w:tcPr>
          <w:p w14:paraId="760F9C6A" w14:textId="77777777" w:rsidR="00CD249C" w:rsidRPr="005563F8" w:rsidRDefault="00CD249C" w:rsidP="00CD249C">
            <w:pPr>
              <w:jc w:val="center"/>
              <w:rPr>
                <w:color w:val="000000"/>
              </w:rPr>
            </w:pPr>
            <w:r w:rsidRPr="005563F8">
              <w:rPr>
                <w:color w:val="000000"/>
              </w:rPr>
              <w:t>65</w:t>
            </w:r>
          </w:p>
        </w:tc>
        <w:tc>
          <w:tcPr>
            <w:tcW w:w="1411" w:type="dxa"/>
            <w:tcBorders>
              <w:top w:val="nil"/>
              <w:left w:val="nil"/>
              <w:bottom w:val="nil"/>
              <w:right w:val="single" w:sz="8" w:space="0" w:color="auto"/>
            </w:tcBorders>
            <w:shd w:val="clear" w:color="auto" w:fill="auto"/>
            <w:noWrap/>
            <w:vAlign w:val="center"/>
            <w:hideMark/>
          </w:tcPr>
          <w:p w14:paraId="4FF07562" w14:textId="77777777" w:rsidR="00CD249C" w:rsidRPr="005563F8" w:rsidRDefault="00CD249C" w:rsidP="00CD249C">
            <w:pPr>
              <w:jc w:val="center"/>
              <w:rPr>
                <w:color w:val="000000"/>
              </w:rPr>
            </w:pPr>
            <w:r w:rsidRPr="005563F8">
              <w:rPr>
                <w:color w:val="000000"/>
              </w:rPr>
              <w:t>33.2</w:t>
            </w:r>
          </w:p>
        </w:tc>
      </w:tr>
      <w:tr w:rsidR="00CD249C" w:rsidRPr="005563F8" w14:paraId="746C5A24" w14:textId="77777777" w:rsidTr="00CD249C">
        <w:trPr>
          <w:trHeight w:val="341"/>
        </w:trPr>
        <w:tc>
          <w:tcPr>
            <w:tcW w:w="1896" w:type="dxa"/>
            <w:tcBorders>
              <w:top w:val="nil"/>
              <w:left w:val="single" w:sz="8" w:space="0" w:color="auto"/>
              <w:bottom w:val="nil"/>
              <w:right w:val="nil"/>
            </w:tcBorders>
            <w:shd w:val="clear" w:color="auto" w:fill="auto"/>
            <w:noWrap/>
            <w:vAlign w:val="center"/>
            <w:hideMark/>
          </w:tcPr>
          <w:p w14:paraId="21E6089A" w14:textId="77777777" w:rsidR="00CD249C" w:rsidRPr="005563F8" w:rsidRDefault="00CD249C" w:rsidP="00CD249C">
            <w:pPr>
              <w:rPr>
                <w:i/>
                <w:iCs/>
                <w:color w:val="000000"/>
              </w:rPr>
            </w:pPr>
            <w:r w:rsidRPr="005563F8">
              <w:rPr>
                <w:i/>
                <w:iCs/>
                <w:color w:val="000000"/>
              </w:rPr>
              <w:t>Yes</w:t>
            </w:r>
          </w:p>
        </w:tc>
        <w:tc>
          <w:tcPr>
            <w:tcW w:w="1853" w:type="dxa"/>
            <w:tcBorders>
              <w:top w:val="nil"/>
              <w:left w:val="nil"/>
              <w:bottom w:val="nil"/>
              <w:right w:val="nil"/>
            </w:tcBorders>
            <w:shd w:val="clear" w:color="auto" w:fill="auto"/>
            <w:noWrap/>
            <w:vAlign w:val="center"/>
            <w:hideMark/>
          </w:tcPr>
          <w:p w14:paraId="10E4BA83" w14:textId="77777777" w:rsidR="00CD249C" w:rsidRPr="005563F8" w:rsidRDefault="00CD249C" w:rsidP="00CD249C">
            <w:pPr>
              <w:jc w:val="center"/>
              <w:rPr>
                <w:color w:val="000000"/>
              </w:rPr>
            </w:pPr>
            <w:r w:rsidRPr="005563F8">
              <w:rPr>
                <w:color w:val="000000"/>
              </w:rPr>
              <w:t>161</w:t>
            </w:r>
          </w:p>
        </w:tc>
        <w:tc>
          <w:tcPr>
            <w:tcW w:w="884" w:type="dxa"/>
            <w:tcBorders>
              <w:top w:val="nil"/>
              <w:left w:val="nil"/>
              <w:bottom w:val="nil"/>
              <w:right w:val="nil"/>
            </w:tcBorders>
            <w:shd w:val="clear" w:color="auto" w:fill="auto"/>
            <w:noWrap/>
            <w:vAlign w:val="center"/>
            <w:hideMark/>
          </w:tcPr>
          <w:p w14:paraId="31D400C4" w14:textId="77777777" w:rsidR="00CD249C" w:rsidRPr="005563F8" w:rsidRDefault="00CD249C" w:rsidP="00CD249C">
            <w:pPr>
              <w:jc w:val="center"/>
              <w:rPr>
                <w:color w:val="000000"/>
              </w:rPr>
            </w:pPr>
            <w:r w:rsidRPr="005563F8">
              <w:rPr>
                <w:color w:val="000000"/>
              </w:rPr>
              <w:t>82.1</w:t>
            </w:r>
          </w:p>
        </w:tc>
        <w:tc>
          <w:tcPr>
            <w:tcW w:w="1739" w:type="dxa"/>
            <w:tcBorders>
              <w:top w:val="nil"/>
              <w:left w:val="single" w:sz="8" w:space="0" w:color="auto"/>
              <w:bottom w:val="single" w:sz="8" w:space="0" w:color="auto"/>
              <w:right w:val="nil"/>
            </w:tcBorders>
            <w:shd w:val="clear" w:color="auto" w:fill="auto"/>
            <w:noWrap/>
            <w:vAlign w:val="center"/>
            <w:hideMark/>
          </w:tcPr>
          <w:p w14:paraId="2D2E3C7E" w14:textId="77777777" w:rsidR="00CD249C" w:rsidRPr="005563F8" w:rsidRDefault="00CD249C" w:rsidP="00CD249C">
            <w:pPr>
              <w:rPr>
                <w:i/>
                <w:iCs/>
                <w:color w:val="000000"/>
              </w:rPr>
            </w:pPr>
            <w:r w:rsidRPr="005563F8">
              <w:rPr>
                <w:i/>
                <w:iCs/>
                <w:color w:val="000000"/>
              </w:rPr>
              <w:t>Manager/Leader</w:t>
            </w:r>
          </w:p>
        </w:tc>
        <w:tc>
          <w:tcPr>
            <w:tcW w:w="1383" w:type="dxa"/>
            <w:tcBorders>
              <w:top w:val="nil"/>
              <w:left w:val="nil"/>
              <w:bottom w:val="single" w:sz="8" w:space="0" w:color="auto"/>
              <w:right w:val="nil"/>
            </w:tcBorders>
            <w:shd w:val="clear" w:color="auto" w:fill="auto"/>
            <w:noWrap/>
            <w:vAlign w:val="center"/>
            <w:hideMark/>
          </w:tcPr>
          <w:p w14:paraId="61D366B8" w14:textId="77777777" w:rsidR="00CD249C" w:rsidRPr="005563F8" w:rsidRDefault="00CD249C" w:rsidP="00CD249C">
            <w:pPr>
              <w:jc w:val="center"/>
              <w:rPr>
                <w:color w:val="000000"/>
              </w:rPr>
            </w:pPr>
            <w:r w:rsidRPr="005563F8">
              <w:rPr>
                <w:color w:val="000000"/>
              </w:rPr>
              <w:t>123</w:t>
            </w:r>
          </w:p>
        </w:tc>
        <w:tc>
          <w:tcPr>
            <w:tcW w:w="1411" w:type="dxa"/>
            <w:tcBorders>
              <w:top w:val="nil"/>
              <w:left w:val="nil"/>
              <w:bottom w:val="single" w:sz="8" w:space="0" w:color="auto"/>
              <w:right w:val="single" w:sz="8" w:space="0" w:color="auto"/>
            </w:tcBorders>
            <w:shd w:val="clear" w:color="auto" w:fill="auto"/>
            <w:noWrap/>
            <w:vAlign w:val="center"/>
            <w:hideMark/>
          </w:tcPr>
          <w:p w14:paraId="06187C7C" w14:textId="77777777" w:rsidR="00CD249C" w:rsidRPr="005563F8" w:rsidRDefault="00CD249C" w:rsidP="00CD249C">
            <w:pPr>
              <w:jc w:val="center"/>
              <w:rPr>
                <w:color w:val="000000"/>
              </w:rPr>
            </w:pPr>
            <w:r w:rsidRPr="005563F8">
              <w:rPr>
                <w:color w:val="000000"/>
              </w:rPr>
              <w:t>62.8</w:t>
            </w:r>
          </w:p>
        </w:tc>
      </w:tr>
      <w:tr w:rsidR="00CD249C" w:rsidRPr="005563F8" w14:paraId="5A8739E8" w14:textId="77777777" w:rsidTr="00CD249C">
        <w:trPr>
          <w:trHeight w:val="341"/>
        </w:trPr>
        <w:tc>
          <w:tcPr>
            <w:tcW w:w="1896" w:type="dxa"/>
            <w:tcBorders>
              <w:top w:val="nil"/>
              <w:left w:val="single" w:sz="8" w:space="0" w:color="auto"/>
              <w:bottom w:val="nil"/>
              <w:right w:val="nil"/>
            </w:tcBorders>
            <w:shd w:val="clear" w:color="auto" w:fill="auto"/>
            <w:noWrap/>
            <w:vAlign w:val="center"/>
            <w:hideMark/>
          </w:tcPr>
          <w:p w14:paraId="7BCB00A6" w14:textId="77777777" w:rsidR="00CD249C" w:rsidRPr="005563F8" w:rsidRDefault="00CD249C" w:rsidP="00CD249C">
            <w:pPr>
              <w:rPr>
                <w:i/>
                <w:iCs/>
                <w:color w:val="000000"/>
              </w:rPr>
            </w:pPr>
            <w:r w:rsidRPr="005563F8">
              <w:rPr>
                <w:i/>
                <w:iCs/>
                <w:color w:val="000000"/>
              </w:rPr>
              <w:t>No</w:t>
            </w:r>
          </w:p>
        </w:tc>
        <w:tc>
          <w:tcPr>
            <w:tcW w:w="1853" w:type="dxa"/>
            <w:tcBorders>
              <w:top w:val="nil"/>
              <w:left w:val="nil"/>
              <w:bottom w:val="nil"/>
              <w:right w:val="nil"/>
            </w:tcBorders>
            <w:shd w:val="clear" w:color="auto" w:fill="auto"/>
            <w:noWrap/>
            <w:vAlign w:val="center"/>
            <w:hideMark/>
          </w:tcPr>
          <w:p w14:paraId="35E4DDF6" w14:textId="77777777" w:rsidR="00CD249C" w:rsidRPr="005563F8" w:rsidRDefault="00CD249C" w:rsidP="00CD249C">
            <w:pPr>
              <w:jc w:val="center"/>
              <w:rPr>
                <w:color w:val="000000"/>
              </w:rPr>
            </w:pPr>
            <w:r w:rsidRPr="005563F8">
              <w:rPr>
                <w:color w:val="000000"/>
              </w:rPr>
              <w:t>35</w:t>
            </w:r>
          </w:p>
        </w:tc>
        <w:tc>
          <w:tcPr>
            <w:tcW w:w="884" w:type="dxa"/>
            <w:tcBorders>
              <w:top w:val="nil"/>
              <w:left w:val="nil"/>
              <w:bottom w:val="nil"/>
              <w:right w:val="nil"/>
            </w:tcBorders>
            <w:shd w:val="clear" w:color="auto" w:fill="auto"/>
            <w:noWrap/>
            <w:vAlign w:val="center"/>
            <w:hideMark/>
          </w:tcPr>
          <w:p w14:paraId="2823F15F" w14:textId="77777777" w:rsidR="00CD249C" w:rsidRPr="005563F8" w:rsidRDefault="00CD249C" w:rsidP="00CD249C">
            <w:pPr>
              <w:jc w:val="center"/>
              <w:rPr>
                <w:color w:val="000000"/>
              </w:rPr>
            </w:pPr>
            <w:r w:rsidRPr="005563F8">
              <w:rPr>
                <w:color w:val="000000"/>
              </w:rPr>
              <w:t>17.9</w:t>
            </w:r>
          </w:p>
        </w:tc>
        <w:tc>
          <w:tcPr>
            <w:tcW w:w="1739" w:type="dxa"/>
            <w:tcBorders>
              <w:top w:val="nil"/>
              <w:left w:val="single" w:sz="8" w:space="0" w:color="auto"/>
              <w:bottom w:val="single" w:sz="8" w:space="0" w:color="auto"/>
              <w:right w:val="nil"/>
            </w:tcBorders>
            <w:shd w:val="clear" w:color="000000" w:fill="E7E6E6"/>
            <w:noWrap/>
            <w:vAlign w:val="center"/>
            <w:hideMark/>
          </w:tcPr>
          <w:p w14:paraId="05EF9C89" w14:textId="77777777" w:rsidR="00CD249C" w:rsidRPr="005563F8" w:rsidRDefault="00CD249C" w:rsidP="00CD249C">
            <w:pPr>
              <w:jc w:val="center"/>
              <w:rPr>
                <w:color w:val="000000"/>
              </w:rPr>
            </w:pPr>
            <w:r w:rsidRPr="005563F8">
              <w:rPr>
                <w:color w:val="000000"/>
              </w:rPr>
              <w:t>Years of Service</w:t>
            </w:r>
          </w:p>
        </w:tc>
        <w:tc>
          <w:tcPr>
            <w:tcW w:w="1383" w:type="dxa"/>
            <w:tcBorders>
              <w:top w:val="nil"/>
              <w:left w:val="nil"/>
              <w:bottom w:val="single" w:sz="8" w:space="0" w:color="auto"/>
              <w:right w:val="nil"/>
            </w:tcBorders>
            <w:shd w:val="clear" w:color="000000" w:fill="E7E6E6"/>
            <w:noWrap/>
            <w:vAlign w:val="center"/>
            <w:hideMark/>
          </w:tcPr>
          <w:p w14:paraId="5454F123" w14:textId="77777777" w:rsidR="00CD249C" w:rsidRPr="005563F8" w:rsidRDefault="00CD249C" w:rsidP="00CD249C">
            <w:pPr>
              <w:jc w:val="center"/>
              <w:rPr>
                <w:color w:val="000000"/>
              </w:rPr>
            </w:pPr>
            <w:r w:rsidRPr="005563F8">
              <w:rPr>
                <w:color w:val="000000"/>
              </w:rPr>
              <w:t>count</w:t>
            </w:r>
          </w:p>
        </w:tc>
        <w:tc>
          <w:tcPr>
            <w:tcW w:w="1411" w:type="dxa"/>
            <w:tcBorders>
              <w:top w:val="nil"/>
              <w:left w:val="nil"/>
              <w:bottom w:val="single" w:sz="8" w:space="0" w:color="auto"/>
              <w:right w:val="single" w:sz="8" w:space="0" w:color="auto"/>
            </w:tcBorders>
            <w:shd w:val="clear" w:color="000000" w:fill="E7E6E6"/>
            <w:noWrap/>
            <w:vAlign w:val="center"/>
            <w:hideMark/>
          </w:tcPr>
          <w:p w14:paraId="59B39C7C" w14:textId="77777777" w:rsidR="00CD249C" w:rsidRPr="005563F8" w:rsidRDefault="00CD249C" w:rsidP="00CD249C">
            <w:pPr>
              <w:jc w:val="center"/>
              <w:rPr>
                <w:color w:val="000000"/>
              </w:rPr>
            </w:pPr>
            <w:r w:rsidRPr="005563F8">
              <w:rPr>
                <w:color w:val="000000"/>
              </w:rPr>
              <w:t>%</w:t>
            </w:r>
          </w:p>
        </w:tc>
      </w:tr>
      <w:tr w:rsidR="00CD249C" w:rsidRPr="005563F8" w14:paraId="2EC3B599" w14:textId="77777777" w:rsidTr="00CD249C">
        <w:trPr>
          <w:trHeight w:val="341"/>
        </w:trPr>
        <w:tc>
          <w:tcPr>
            <w:tcW w:w="1896" w:type="dxa"/>
            <w:tcBorders>
              <w:top w:val="single" w:sz="8" w:space="0" w:color="auto"/>
              <w:left w:val="single" w:sz="8" w:space="0" w:color="auto"/>
              <w:bottom w:val="single" w:sz="8" w:space="0" w:color="auto"/>
              <w:right w:val="nil"/>
            </w:tcBorders>
            <w:shd w:val="clear" w:color="000000" w:fill="E7E6E6"/>
            <w:noWrap/>
            <w:vAlign w:val="center"/>
            <w:hideMark/>
          </w:tcPr>
          <w:p w14:paraId="10C55299" w14:textId="77777777" w:rsidR="00CD249C" w:rsidRPr="005563F8" w:rsidRDefault="00CD249C" w:rsidP="00CD249C">
            <w:pPr>
              <w:jc w:val="center"/>
              <w:rPr>
                <w:color w:val="000000"/>
              </w:rPr>
            </w:pPr>
            <w:r w:rsidRPr="005563F8">
              <w:rPr>
                <w:color w:val="000000"/>
              </w:rPr>
              <w:t>No. of children</w:t>
            </w:r>
          </w:p>
        </w:tc>
        <w:tc>
          <w:tcPr>
            <w:tcW w:w="1853" w:type="dxa"/>
            <w:tcBorders>
              <w:top w:val="single" w:sz="8" w:space="0" w:color="auto"/>
              <w:left w:val="nil"/>
              <w:bottom w:val="single" w:sz="8" w:space="0" w:color="auto"/>
              <w:right w:val="nil"/>
            </w:tcBorders>
            <w:shd w:val="clear" w:color="000000" w:fill="E7E6E6"/>
            <w:noWrap/>
            <w:vAlign w:val="center"/>
            <w:hideMark/>
          </w:tcPr>
          <w:p w14:paraId="7CFE7ED6" w14:textId="77777777" w:rsidR="00CD249C" w:rsidRPr="005563F8" w:rsidRDefault="00CD249C" w:rsidP="00CD249C">
            <w:pPr>
              <w:jc w:val="center"/>
              <w:rPr>
                <w:color w:val="000000"/>
              </w:rPr>
            </w:pPr>
            <w:r w:rsidRPr="005563F8">
              <w:rPr>
                <w:color w:val="000000"/>
              </w:rPr>
              <w:t>count</w:t>
            </w:r>
          </w:p>
        </w:tc>
        <w:tc>
          <w:tcPr>
            <w:tcW w:w="884" w:type="dxa"/>
            <w:tcBorders>
              <w:top w:val="single" w:sz="8" w:space="0" w:color="auto"/>
              <w:left w:val="nil"/>
              <w:bottom w:val="single" w:sz="8" w:space="0" w:color="auto"/>
              <w:right w:val="single" w:sz="8" w:space="0" w:color="auto"/>
            </w:tcBorders>
            <w:shd w:val="clear" w:color="000000" w:fill="E7E6E6"/>
            <w:noWrap/>
            <w:vAlign w:val="center"/>
            <w:hideMark/>
          </w:tcPr>
          <w:p w14:paraId="4A54CDFB" w14:textId="77777777" w:rsidR="00CD249C" w:rsidRPr="005563F8" w:rsidRDefault="00CD249C" w:rsidP="00CD249C">
            <w:pPr>
              <w:jc w:val="center"/>
              <w:rPr>
                <w:color w:val="000000"/>
              </w:rPr>
            </w:pPr>
            <w:r w:rsidRPr="005563F8">
              <w:rPr>
                <w:color w:val="000000"/>
              </w:rPr>
              <w:t>%</w:t>
            </w:r>
          </w:p>
        </w:tc>
        <w:tc>
          <w:tcPr>
            <w:tcW w:w="1739" w:type="dxa"/>
            <w:tcBorders>
              <w:top w:val="nil"/>
              <w:left w:val="nil"/>
              <w:bottom w:val="nil"/>
              <w:right w:val="nil"/>
            </w:tcBorders>
            <w:shd w:val="clear" w:color="auto" w:fill="auto"/>
            <w:noWrap/>
            <w:vAlign w:val="center"/>
            <w:hideMark/>
          </w:tcPr>
          <w:p w14:paraId="326EE1F0" w14:textId="77777777" w:rsidR="00CD249C" w:rsidRPr="005563F8" w:rsidRDefault="00CD249C" w:rsidP="00CD249C">
            <w:pPr>
              <w:rPr>
                <w:i/>
                <w:iCs/>
                <w:color w:val="000000"/>
              </w:rPr>
            </w:pPr>
            <w:r w:rsidRPr="005563F8">
              <w:rPr>
                <w:i/>
                <w:iCs/>
                <w:color w:val="000000"/>
              </w:rPr>
              <w:t>1 to 10 years</w:t>
            </w:r>
          </w:p>
        </w:tc>
        <w:tc>
          <w:tcPr>
            <w:tcW w:w="1383" w:type="dxa"/>
            <w:tcBorders>
              <w:top w:val="nil"/>
              <w:left w:val="nil"/>
              <w:bottom w:val="nil"/>
              <w:right w:val="nil"/>
            </w:tcBorders>
            <w:shd w:val="clear" w:color="auto" w:fill="auto"/>
            <w:noWrap/>
            <w:vAlign w:val="center"/>
            <w:hideMark/>
          </w:tcPr>
          <w:p w14:paraId="62DE802A" w14:textId="77777777" w:rsidR="00CD249C" w:rsidRPr="005563F8" w:rsidRDefault="00CD249C" w:rsidP="00CD249C">
            <w:pPr>
              <w:jc w:val="center"/>
              <w:rPr>
                <w:color w:val="000000"/>
              </w:rPr>
            </w:pPr>
            <w:r w:rsidRPr="005563F8">
              <w:rPr>
                <w:color w:val="000000"/>
              </w:rPr>
              <w:t>43</w:t>
            </w:r>
          </w:p>
        </w:tc>
        <w:tc>
          <w:tcPr>
            <w:tcW w:w="1411" w:type="dxa"/>
            <w:tcBorders>
              <w:top w:val="nil"/>
              <w:left w:val="nil"/>
              <w:bottom w:val="nil"/>
              <w:right w:val="single" w:sz="8" w:space="0" w:color="auto"/>
            </w:tcBorders>
            <w:shd w:val="clear" w:color="auto" w:fill="auto"/>
            <w:noWrap/>
            <w:vAlign w:val="center"/>
            <w:hideMark/>
          </w:tcPr>
          <w:p w14:paraId="0CE7AC25" w14:textId="77777777" w:rsidR="00CD249C" w:rsidRPr="005563F8" w:rsidRDefault="00CD249C" w:rsidP="00CD249C">
            <w:pPr>
              <w:jc w:val="center"/>
              <w:rPr>
                <w:color w:val="000000"/>
              </w:rPr>
            </w:pPr>
            <w:r w:rsidRPr="005563F8">
              <w:rPr>
                <w:color w:val="000000"/>
              </w:rPr>
              <w:t>21.8</w:t>
            </w:r>
          </w:p>
        </w:tc>
      </w:tr>
      <w:tr w:rsidR="00CD249C" w:rsidRPr="005563F8" w14:paraId="5DD41224"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251A843A" w14:textId="77777777" w:rsidR="00CD249C" w:rsidRPr="005563F8" w:rsidRDefault="00CD249C" w:rsidP="00CD249C">
            <w:pPr>
              <w:jc w:val="right"/>
              <w:rPr>
                <w:i/>
                <w:iCs/>
                <w:color w:val="000000"/>
              </w:rPr>
            </w:pPr>
            <w:r w:rsidRPr="005563F8">
              <w:rPr>
                <w:i/>
                <w:iCs/>
                <w:color w:val="000000"/>
              </w:rPr>
              <w:t>1</w:t>
            </w:r>
          </w:p>
        </w:tc>
        <w:tc>
          <w:tcPr>
            <w:tcW w:w="1853" w:type="dxa"/>
            <w:tcBorders>
              <w:top w:val="nil"/>
              <w:left w:val="nil"/>
              <w:bottom w:val="nil"/>
              <w:right w:val="nil"/>
            </w:tcBorders>
            <w:shd w:val="clear" w:color="auto" w:fill="auto"/>
            <w:noWrap/>
            <w:vAlign w:val="center"/>
            <w:hideMark/>
          </w:tcPr>
          <w:p w14:paraId="054F7027" w14:textId="77777777" w:rsidR="00CD249C" w:rsidRPr="005563F8" w:rsidRDefault="00CD249C" w:rsidP="00CD249C">
            <w:pPr>
              <w:jc w:val="center"/>
              <w:rPr>
                <w:color w:val="000000"/>
              </w:rPr>
            </w:pPr>
            <w:r w:rsidRPr="005563F8">
              <w:rPr>
                <w:color w:val="000000"/>
              </w:rPr>
              <w:t>24</w:t>
            </w:r>
          </w:p>
        </w:tc>
        <w:tc>
          <w:tcPr>
            <w:tcW w:w="884" w:type="dxa"/>
            <w:tcBorders>
              <w:top w:val="nil"/>
              <w:left w:val="nil"/>
              <w:bottom w:val="nil"/>
              <w:right w:val="nil"/>
            </w:tcBorders>
            <w:shd w:val="clear" w:color="auto" w:fill="auto"/>
            <w:noWrap/>
            <w:vAlign w:val="center"/>
            <w:hideMark/>
          </w:tcPr>
          <w:p w14:paraId="538E3BCB" w14:textId="77777777" w:rsidR="00CD249C" w:rsidRPr="005563F8" w:rsidRDefault="00CD249C" w:rsidP="00CD249C">
            <w:pPr>
              <w:jc w:val="center"/>
              <w:rPr>
                <w:color w:val="000000"/>
              </w:rPr>
            </w:pPr>
            <w:r w:rsidRPr="005563F8">
              <w:rPr>
                <w:color w:val="000000"/>
              </w:rPr>
              <w:t>12.2</w:t>
            </w:r>
          </w:p>
        </w:tc>
        <w:tc>
          <w:tcPr>
            <w:tcW w:w="1739" w:type="dxa"/>
            <w:tcBorders>
              <w:top w:val="nil"/>
              <w:left w:val="single" w:sz="8" w:space="0" w:color="auto"/>
              <w:bottom w:val="nil"/>
              <w:right w:val="nil"/>
            </w:tcBorders>
            <w:shd w:val="clear" w:color="auto" w:fill="auto"/>
            <w:noWrap/>
            <w:vAlign w:val="center"/>
            <w:hideMark/>
          </w:tcPr>
          <w:p w14:paraId="1298BA5C" w14:textId="77777777" w:rsidR="00CD249C" w:rsidRPr="005563F8" w:rsidRDefault="00CD249C" w:rsidP="00CD249C">
            <w:pPr>
              <w:rPr>
                <w:i/>
                <w:iCs/>
                <w:color w:val="000000"/>
              </w:rPr>
            </w:pPr>
            <w:r w:rsidRPr="005563F8">
              <w:rPr>
                <w:i/>
                <w:iCs/>
                <w:color w:val="000000"/>
              </w:rPr>
              <w:t>11 to 20 years</w:t>
            </w:r>
          </w:p>
        </w:tc>
        <w:tc>
          <w:tcPr>
            <w:tcW w:w="1383" w:type="dxa"/>
            <w:tcBorders>
              <w:top w:val="nil"/>
              <w:left w:val="nil"/>
              <w:bottom w:val="nil"/>
              <w:right w:val="nil"/>
            </w:tcBorders>
            <w:shd w:val="clear" w:color="auto" w:fill="auto"/>
            <w:noWrap/>
            <w:vAlign w:val="center"/>
            <w:hideMark/>
          </w:tcPr>
          <w:p w14:paraId="08320636" w14:textId="77777777" w:rsidR="00CD249C" w:rsidRPr="005563F8" w:rsidRDefault="00CD249C" w:rsidP="00CD249C">
            <w:pPr>
              <w:jc w:val="center"/>
              <w:rPr>
                <w:color w:val="000000"/>
              </w:rPr>
            </w:pPr>
            <w:r w:rsidRPr="005563F8">
              <w:rPr>
                <w:color w:val="000000"/>
              </w:rPr>
              <w:t>63</w:t>
            </w:r>
          </w:p>
        </w:tc>
        <w:tc>
          <w:tcPr>
            <w:tcW w:w="1411" w:type="dxa"/>
            <w:tcBorders>
              <w:top w:val="nil"/>
              <w:left w:val="nil"/>
              <w:bottom w:val="nil"/>
              <w:right w:val="single" w:sz="8" w:space="0" w:color="auto"/>
            </w:tcBorders>
            <w:shd w:val="clear" w:color="auto" w:fill="auto"/>
            <w:noWrap/>
            <w:vAlign w:val="center"/>
            <w:hideMark/>
          </w:tcPr>
          <w:p w14:paraId="0224EE3C" w14:textId="77777777" w:rsidR="00CD249C" w:rsidRPr="005563F8" w:rsidRDefault="00CD249C" w:rsidP="00CD249C">
            <w:pPr>
              <w:jc w:val="center"/>
              <w:rPr>
                <w:color w:val="000000"/>
              </w:rPr>
            </w:pPr>
            <w:r w:rsidRPr="005563F8">
              <w:rPr>
                <w:color w:val="000000"/>
              </w:rPr>
              <w:t>32.5</w:t>
            </w:r>
          </w:p>
        </w:tc>
      </w:tr>
      <w:tr w:rsidR="00CD249C" w:rsidRPr="005563F8" w14:paraId="00D3C01D"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2BC8DE93" w14:textId="77777777" w:rsidR="00CD249C" w:rsidRPr="005563F8" w:rsidRDefault="00CD249C" w:rsidP="00CD249C">
            <w:pPr>
              <w:jc w:val="right"/>
              <w:rPr>
                <w:i/>
                <w:iCs/>
                <w:color w:val="000000"/>
              </w:rPr>
            </w:pPr>
            <w:r w:rsidRPr="005563F8">
              <w:rPr>
                <w:i/>
                <w:iCs/>
                <w:color w:val="000000"/>
              </w:rPr>
              <w:t>2</w:t>
            </w:r>
          </w:p>
        </w:tc>
        <w:tc>
          <w:tcPr>
            <w:tcW w:w="1853" w:type="dxa"/>
            <w:tcBorders>
              <w:top w:val="nil"/>
              <w:left w:val="nil"/>
              <w:bottom w:val="nil"/>
              <w:right w:val="nil"/>
            </w:tcBorders>
            <w:shd w:val="clear" w:color="auto" w:fill="auto"/>
            <w:noWrap/>
            <w:vAlign w:val="center"/>
            <w:hideMark/>
          </w:tcPr>
          <w:p w14:paraId="540F82AB" w14:textId="77777777" w:rsidR="00CD249C" w:rsidRPr="005563F8" w:rsidRDefault="00CD249C" w:rsidP="00CD249C">
            <w:pPr>
              <w:jc w:val="center"/>
              <w:rPr>
                <w:color w:val="000000"/>
              </w:rPr>
            </w:pPr>
            <w:r w:rsidRPr="005563F8">
              <w:rPr>
                <w:color w:val="000000"/>
              </w:rPr>
              <w:t>96</w:t>
            </w:r>
          </w:p>
        </w:tc>
        <w:tc>
          <w:tcPr>
            <w:tcW w:w="884" w:type="dxa"/>
            <w:tcBorders>
              <w:top w:val="nil"/>
              <w:left w:val="nil"/>
              <w:bottom w:val="nil"/>
              <w:right w:val="nil"/>
            </w:tcBorders>
            <w:shd w:val="clear" w:color="auto" w:fill="auto"/>
            <w:noWrap/>
            <w:vAlign w:val="center"/>
            <w:hideMark/>
          </w:tcPr>
          <w:p w14:paraId="7214CF15" w14:textId="77777777" w:rsidR="00CD249C" w:rsidRPr="005563F8" w:rsidRDefault="00CD249C" w:rsidP="00CD249C">
            <w:pPr>
              <w:jc w:val="center"/>
              <w:rPr>
                <w:color w:val="000000"/>
              </w:rPr>
            </w:pPr>
            <w:r w:rsidRPr="005563F8">
              <w:rPr>
                <w:color w:val="000000"/>
              </w:rPr>
              <w:t>49</w:t>
            </w:r>
          </w:p>
        </w:tc>
        <w:tc>
          <w:tcPr>
            <w:tcW w:w="1739" w:type="dxa"/>
            <w:tcBorders>
              <w:top w:val="nil"/>
              <w:left w:val="single" w:sz="8" w:space="0" w:color="auto"/>
              <w:bottom w:val="nil"/>
              <w:right w:val="nil"/>
            </w:tcBorders>
            <w:shd w:val="clear" w:color="auto" w:fill="auto"/>
            <w:noWrap/>
            <w:vAlign w:val="center"/>
            <w:hideMark/>
          </w:tcPr>
          <w:p w14:paraId="2359473A" w14:textId="77777777" w:rsidR="00CD249C" w:rsidRPr="005563F8" w:rsidRDefault="00CD249C" w:rsidP="00CD249C">
            <w:pPr>
              <w:rPr>
                <w:i/>
                <w:iCs/>
                <w:color w:val="000000"/>
              </w:rPr>
            </w:pPr>
            <w:r w:rsidRPr="005563F8">
              <w:rPr>
                <w:i/>
                <w:iCs/>
                <w:color w:val="000000"/>
              </w:rPr>
              <w:t>21 to 30 years</w:t>
            </w:r>
          </w:p>
        </w:tc>
        <w:tc>
          <w:tcPr>
            <w:tcW w:w="1383" w:type="dxa"/>
            <w:tcBorders>
              <w:top w:val="nil"/>
              <w:left w:val="nil"/>
              <w:bottom w:val="nil"/>
              <w:right w:val="nil"/>
            </w:tcBorders>
            <w:shd w:val="clear" w:color="auto" w:fill="auto"/>
            <w:noWrap/>
            <w:vAlign w:val="center"/>
            <w:hideMark/>
          </w:tcPr>
          <w:p w14:paraId="330E3372" w14:textId="77777777" w:rsidR="00CD249C" w:rsidRPr="005563F8" w:rsidRDefault="00CD249C" w:rsidP="00CD249C">
            <w:pPr>
              <w:jc w:val="center"/>
              <w:rPr>
                <w:color w:val="000000"/>
              </w:rPr>
            </w:pPr>
            <w:r w:rsidRPr="005563F8">
              <w:rPr>
                <w:color w:val="000000"/>
              </w:rPr>
              <w:t>67</w:t>
            </w:r>
          </w:p>
        </w:tc>
        <w:tc>
          <w:tcPr>
            <w:tcW w:w="1411" w:type="dxa"/>
            <w:tcBorders>
              <w:top w:val="nil"/>
              <w:left w:val="nil"/>
              <w:bottom w:val="nil"/>
              <w:right w:val="single" w:sz="8" w:space="0" w:color="auto"/>
            </w:tcBorders>
            <w:shd w:val="clear" w:color="auto" w:fill="auto"/>
            <w:noWrap/>
            <w:vAlign w:val="center"/>
            <w:hideMark/>
          </w:tcPr>
          <w:p w14:paraId="42D858CE" w14:textId="77777777" w:rsidR="00CD249C" w:rsidRPr="005563F8" w:rsidRDefault="00CD249C" w:rsidP="00CD249C">
            <w:pPr>
              <w:jc w:val="center"/>
              <w:rPr>
                <w:color w:val="000000"/>
              </w:rPr>
            </w:pPr>
            <w:r w:rsidRPr="005563F8">
              <w:rPr>
                <w:color w:val="000000"/>
              </w:rPr>
              <w:t>34.2</w:t>
            </w:r>
          </w:p>
        </w:tc>
      </w:tr>
      <w:tr w:rsidR="00CD249C" w:rsidRPr="005563F8" w14:paraId="2713CC16"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567DD3E1" w14:textId="77777777" w:rsidR="00CD249C" w:rsidRPr="005563F8" w:rsidRDefault="00CD249C" w:rsidP="00CD249C">
            <w:pPr>
              <w:jc w:val="right"/>
              <w:rPr>
                <w:i/>
                <w:iCs/>
                <w:color w:val="000000"/>
              </w:rPr>
            </w:pPr>
            <w:r w:rsidRPr="005563F8">
              <w:rPr>
                <w:i/>
                <w:iCs/>
                <w:color w:val="000000"/>
              </w:rPr>
              <w:t>3</w:t>
            </w:r>
          </w:p>
        </w:tc>
        <w:tc>
          <w:tcPr>
            <w:tcW w:w="1853" w:type="dxa"/>
            <w:tcBorders>
              <w:top w:val="nil"/>
              <w:left w:val="nil"/>
              <w:bottom w:val="nil"/>
              <w:right w:val="nil"/>
            </w:tcBorders>
            <w:shd w:val="clear" w:color="auto" w:fill="auto"/>
            <w:noWrap/>
            <w:vAlign w:val="center"/>
            <w:hideMark/>
          </w:tcPr>
          <w:p w14:paraId="3436332F" w14:textId="77777777" w:rsidR="00CD249C" w:rsidRPr="005563F8" w:rsidRDefault="00CD249C" w:rsidP="00CD249C">
            <w:pPr>
              <w:jc w:val="center"/>
              <w:rPr>
                <w:color w:val="000000"/>
              </w:rPr>
            </w:pPr>
            <w:r w:rsidRPr="005563F8">
              <w:rPr>
                <w:color w:val="000000"/>
              </w:rPr>
              <w:t>25</w:t>
            </w:r>
          </w:p>
        </w:tc>
        <w:tc>
          <w:tcPr>
            <w:tcW w:w="884" w:type="dxa"/>
            <w:tcBorders>
              <w:top w:val="nil"/>
              <w:left w:val="nil"/>
              <w:bottom w:val="nil"/>
              <w:right w:val="nil"/>
            </w:tcBorders>
            <w:shd w:val="clear" w:color="auto" w:fill="auto"/>
            <w:noWrap/>
            <w:vAlign w:val="center"/>
            <w:hideMark/>
          </w:tcPr>
          <w:p w14:paraId="1E566C37" w14:textId="77777777" w:rsidR="00CD249C" w:rsidRPr="005563F8" w:rsidRDefault="00CD249C" w:rsidP="00CD249C">
            <w:pPr>
              <w:jc w:val="center"/>
              <w:rPr>
                <w:color w:val="000000"/>
              </w:rPr>
            </w:pPr>
            <w:r w:rsidRPr="005563F8">
              <w:rPr>
                <w:color w:val="000000"/>
              </w:rPr>
              <w:t>12.8</w:t>
            </w:r>
          </w:p>
        </w:tc>
        <w:tc>
          <w:tcPr>
            <w:tcW w:w="1739" w:type="dxa"/>
            <w:tcBorders>
              <w:top w:val="nil"/>
              <w:left w:val="single" w:sz="8" w:space="0" w:color="auto"/>
              <w:bottom w:val="nil"/>
              <w:right w:val="nil"/>
            </w:tcBorders>
            <w:shd w:val="clear" w:color="auto" w:fill="auto"/>
            <w:noWrap/>
            <w:vAlign w:val="center"/>
            <w:hideMark/>
          </w:tcPr>
          <w:p w14:paraId="74824129" w14:textId="77777777" w:rsidR="00CD249C" w:rsidRPr="005563F8" w:rsidRDefault="00CD249C" w:rsidP="00CD249C">
            <w:pPr>
              <w:rPr>
                <w:i/>
                <w:iCs/>
                <w:color w:val="000000"/>
              </w:rPr>
            </w:pPr>
            <w:r w:rsidRPr="005563F8">
              <w:rPr>
                <w:i/>
                <w:iCs/>
                <w:color w:val="000000"/>
              </w:rPr>
              <w:t>31 to 40 years</w:t>
            </w:r>
          </w:p>
        </w:tc>
        <w:tc>
          <w:tcPr>
            <w:tcW w:w="1383" w:type="dxa"/>
            <w:tcBorders>
              <w:top w:val="nil"/>
              <w:left w:val="nil"/>
              <w:bottom w:val="nil"/>
              <w:right w:val="nil"/>
            </w:tcBorders>
            <w:shd w:val="clear" w:color="auto" w:fill="auto"/>
            <w:noWrap/>
            <w:vAlign w:val="center"/>
            <w:hideMark/>
          </w:tcPr>
          <w:p w14:paraId="440AB12A" w14:textId="77777777" w:rsidR="00CD249C" w:rsidRPr="005563F8" w:rsidRDefault="00CD249C" w:rsidP="00CD249C">
            <w:pPr>
              <w:jc w:val="center"/>
              <w:rPr>
                <w:color w:val="000000"/>
              </w:rPr>
            </w:pPr>
            <w:r w:rsidRPr="005563F8">
              <w:rPr>
                <w:color w:val="000000"/>
              </w:rPr>
              <w:t>17</w:t>
            </w:r>
          </w:p>
        </w:tc>
        <w:tc>
          <w:tcPr>
            <w:tcW w:w="1411" w:type="dxa"/>
            <w:tcBorders>
              <w:top w:val="nil"/>
              <w:left w:val="nil"/>
              <w:bottom w:val="nil"/>
              <w:right w:val="single" w:sz="8" w:space="0" w:color="auto"/>
            </w:tcBorders>
            <w:shd w:val="clear" w:color="auto" w:fill="auto"/>
            <w:noWrap/>
            <w:vAlign w:val="center"/>
            <w:hideMark/>
          </w:tcPr>
          <w:p w14:paraId="693B680E" w14:textId="77777777" w:rsidR="00CD249C" w:rsidRPr="005563F8" w:rsidRDefault="00CD249C" w:rsidP="00CD249C">
            <w:pPr>
              <w:jc w:val="center"/>
              <w:rPr>
                <w:color w:val="000000"/>
              </w:rPr>
            </w:pPr>
            <w:r w:rsidRPr="005563F8">
              <w:rPr>
                <w:color w:val="000000"/>
              </w:rPr>
              <w:t>8.5</w:t>
            </w:r>
          </w:p>
        </w:tc>
      </w:tr>
      <w:tr w:rsidR="00CD249C" w:rsidRPr="005563F8" w14:paraId="35C6351C" w14:textId="77777777" w:rsidTr="00CD249C">
        <w:trPr>
          <w:trHeight w:val="341"/>
        </w:trPr>
        <w:tc>
          <w:tcPr>
            <w:tcW w:w="1896" w:type="dxa"/>
            <w:tcBorders>
              <w:top w:val="nil"/>
              <w:left w:val="single" w:sz="8" w:space="0" w:color="auto"/>
              <w:bottom w:val="nil"/>
              <w:right w:val="nil"/>
            </w:tcBorders>
            <w:shd w:val="clear" w:color="auto" w:fill="auto"/>
            <w:noWrap/>
            <w:vAlign w:val="center"/>
            <w:hideMark/>
          </w:tcPr>
          <w:p w14:paraId="3D892A28" w14:textId="77777777" w:rsidR="00CD249C" w:rsidRPr="005563F8" w:rsidRDefault="00CD249C" w:rsidP="00CD249C">
            <w:pPr>
              <w:jc w:val="right"/>
              <w:rPr>
                <w:i/>
                <w:iCs/>
                <w:color w:val="000000"/>
              </w:rPr>
            </w:pPr>
            <w:r w:rsidRPr="005563F8">
              <w:rPr>
                <w:i/>
                <w:iCs/>
                <w:color w:val="000000"/>
              </w:rPr>
              <w:t>4</w:t>
            </w:r>
          </w:p>
        </w:tc>
        <w:tc>
          <w:tcPr>
            <w:tcW w:w="1853" w:type="dxa"/>
            <w:tcBorders>
              <w:top w:val="nil"/>
              <w:left w:val="nil"/>
              <w:bottom w:val="nil"/>
              <w:right w:val="nil"/>
            </w:tcBorders>
            <w:shd w:val="clear" w:color="auto" w:fill="auto"/>
            <w:noWrap/>
            <w:vAlign w:val="center"/>
            <w:hideMark/>
          </w:tcPr>
          <w:p w14:paraId="522302EB" w14:textId="77777777" w:rsidR="00CD249C" w:rsidRPr="005563F8" w:rsidRDefault="00CD249C" w:rsidP="00CD249C">
            <w:pPr>
              <w:jc w:val="center"/>
              <w:rPr>
                <w:color w:val="000000"/>
              </w:rPr>
            </w:pPr>
            <w:r w:rsidRPr="005563F8">
              <w:rPr>
                <w:color w:val="000000"/>
              </w:rPr>
              <w:t>14</w:t>
            </w:r>
          </w:p>
        </w:tc>
        <w:tc>
          <w:tcPr>
            <w:tcW w:w="884" w:type="dxa"/>
            <w:tcBorders>
              <w:top w:val="nil"/>
              <w:left w:val="nil"/>
              <w:bottom w:val="nil"/>
              <w:right w:val="nil"/>
            </w:tcBorders>
            <w:shd w:val="clear" w:color="auto" w:fill="auto"/>
            <w:noWrap/>
            <w:vAlign w:val="center"/>
            <w:hideMark/>
          </w:tcPr>
          <w:p w14:paraId="2433C8AA" w14:textId="77777777" w:rsidR="00CD249C" w:rsidRPr="005563F8" w:rsidRDefault="00CD249C" w:rsidP="00CD249C">
            <w:pPr>
              <w:jc w:val="center"/>
              <w:rPr>
                <w:color w:val="000000"/>
              </w:rPr>
            </w:pPr>
            <w:r w:rsidRPr="005563F8">
              <w:rPr>
                <w:color w:val="000000"/>
              </w:rPr>
              <w:t>7.1</w:t>
            </w:r>
          </w:p>
        </w:tc>
        <w:tc>
          <w:tcPr>
            <w:tcW w:w="1739" w:type="dxa"/>
            <w:tcBorders>
              <w:top w:val="nil"/>
              <w:left w:val="single" w:sz="8" w:space="0" w:color="auto"/>
              <w:bottom w:val="single" w:sz="8" w:space="0" w:color="auto"/>
              <w:right w:val="nil"/>
            </w:tcBorders>
            <w:shd w:val="clear" w:color="auto" w:fill="auto"/>
            <w:noWrap/>
            <w:vAlign w:val="center"/>
            <w:hideMark/>
          </w:tcPr>
          <w:p w14:paraId="71A5ECAF" w14:textId="77777777" w:rsidR="00CD249C" w:rsidRPr="005563F8" w:rsidRDefault="00CD249C" w:rsidP="00CD249C">
            <w:pPr>
              <w:rPr>
                <w:i/>
                <w:iCs/>
                <w:color w:val="000000"/>
              </w:rPr>
            </w:pPr>
            <w:r w:rsidRPr="005563F8">
              <w:rPr>
                <w:i/>
                <w:iCs/>
                <w:color w:val="000000"/>
              </w:rPr>
              <w:t>40+ Years</w:t>
            </w:r>
          </w:p>
        </w:tc>
        <w:tc>
          <w:tcPr>
            <w:tcW w:w="1383" w:type="dxa"/>
            <w:tcBorders>
              <w:top w:val="nil"/>
              <w:left w:val="nil"/>
              <w:bottom w:val="single" w:sz="8" w:space="0" w:color="auto"/>
              <w:right w:val="nil"/>
            </w:tcBorders>
            <w:shd w:val="clear" w:color="auto" w:fill="auto"/>
            <w:noWrap/>
            <w:vAlign w:val="center"/>
            <w:hideMark/>
          </w:tcPr>
          <w:p w14:paraId="0575E7FE" w14:textId="77777777" w:rsidR="00CD249C" w:rsidRPr="005563F8" w:rsidRDefault="00CD249C" w:rsidP="00CD249C">
            <w:pPr>
              <w:jc w:val="center"/>
              <w:rPr>
                <w:color w:val="000000"/>
              </w:rPr>
            </w:pPr>
            <w:r w:rsidRPr="005563F8">
              <w:rPr>
                <w:color w:val="000000"/>
              </w:rPr>
              <w:t>6</w:t>
            </w:r>
          </w:p>
        </w:tc>
        <w:tc>
          <w:tcPr>
            <w:tcW w:w="1411" w:type="dxa"/>
            <w:tcBorders>
              <w:top w:val="nil"/>
              <w:left w:val="nil"/>
              <w:bottom w:val="single" w:sz="8" w:space="0" w:color="auto"/>
              <w:right w:val="single" w:sz="8" w:space="0" w:color="auto"/>
            </w:tcBorders>
            <w:shd w:val="clear" w:color="auto" w:fill="auto"/>
            <w:noWrap/>
            <w:vAlign w:val="center"/>
            <w:hideMark/>
          </w:tcPr>
          <w:p w14:paraId="1751BCD7" w14:textId="77777777" w:rsidR="00CD249C" w:rsidRPr="005563F8" w:rsidRDefault="00CD249C" w:rsidP="00CD249C">
            <w:pPr>
              <w:jc w:val="center"/>
              <w:rPr>
                <w:color w:val="000000"/>
              </w:rPr>
            </w:pPr>
            <w:r w:rsidRPr="005563F8">
              <w:rPr>
                <w:color w:val="000000"/>
              </w:rPr>
              <w:t>3</w:t>
            </w:r>
          </w:p>
        </w:tc>
      </w:tr>
      <w:tr w:rsidR="00CD249C" w:rsidRPr="005563F8" w14:paraId="68D46D2A" w14:textId="77777777" w:rsidTr="00CD249C">
        <w:trPr>
          <w:trHeight w:val="341"/>
        </w:trPr>
        <w:tc>
          <w:tcPr>
            <w:tcW w:w="1896" w:type="dxa"/>
            <w:tcBorders>
              <w:top w:val="nil"/>
              <w:left w:val="single" w:sz="8" w:space="0" w:color="auto"/>
              <w:bottom w:val="nil"/>
              <w:right w:val="nil"/>
            </w:tcBorders>
            <w:shd w:val="clear" w:color="auto" w:fill="auto"/>
            <w:noWrap/>
            <w:vAlign w:val="center"/>
            <w:hideMark/>
          </w:tcPr>
          <w:p w14:paraId="0FF04512" w14:textId="77777777" w:rsidR="00CD249C" w:rsidRPr="005563F8" w:rsidRDefault="00CD249C" w:rsidP="00CD249C">
            <w:pPr>
              <w:jc w:val="right"/>
              <w:rPr>
                <w:i/>
                <w:iCs/>
                <w:color w:val="000000"/>
              </w:rPr>
            </w:pPr>
            <w:r w:rsidRPr="005563F8">
              <w:rPr>
                <w:i/>
                <w:iCs/>
                <w:color w:val="000000"/>
              </w:rPr>
              <w:t>5</w:t>
            </w:r>
          </w:p>
        </w:tc>
        <w:tc>
          <w:tcPr>
            <w:tcW w:w="1853" w:type="dxa"/>
            <w:tcBorders>
              <w:top w:val="nil"/>
              <w:left w:val="nil"/>
              <w:bottom w:val="nil"/>
              <w:right w:val="nil"/>
            </w:tcBorders>
            <w:shd w:val="clear" w:color="auto" w:fill="auto"/>
            <w:noWrap/>
            <w:vAlign w:val="center"/>
            <w:hideMark/>
          </w:tcPr>
          <w:p w14:paraId="0F968B79" w14:textId="77777777" w:rsidR="00CD249C" w:rsidRPr="005563F8" w:rsidRDefault="00CD249C" w:rsidP="00CD249C">
            <w:pPr>
              <w:jc w:val="center"/>
              <w:rPr>
                <w:color w:val="000000"/>
              </w:rPr>
            </w:pPr>
            <w:r w:rsidRPr="005563F8">
              <w:rPr>
                <w:color w:val="000000"/>
              </w:rPr>
              <w:t>1</w:t>
            </w:r>
          </w:p>
        </w:tc>
        <w:tc>
          <w:tcPr>
            <w:tcW w:w="884" w:type="dxa"/>
            <w:tcBorders>
              <w:top w:val="nil"/>
              <w:left w:val="nil"/>
              <w:bottom w:val="nil"/>
              <w:right w:val="nil"/>
            </w:tcBorders>
            <w:shd w:val="clear" w:color="auto" w:fill="auto"/>
            <w:noWrap/>
            <w:vAlign w:val="center"/>
            <w:hideMark/>
          </w:tcPr>
          <w:p w14:paraId="1D7162D2" w14:textId="77777777" w:rsidR="00CD249C" w:rsidRPr="005563F8" w:rsidRDefault="00CD249C" w:rsidP="00CD249C">
            <w:pPr>
              <w:jc w:val="center"/>
              <w:rPr>
                <w:color w:val="000000"/>
              </w:rPr>
            </w:pPr>
            <w:r w:rsidRPr="005563F8">
              <w:rPr>
                <w:color w:val="000000"/>
              </w:rPr>
              <w:t>0.5</w:t>
            </w:r>
          </w:p>
        </w:tc>
        <w:tc>
          <w:tcPr>
            <w:tcW w:w="1739" w:type="dxa"/>
            <w:tcBorders>
              <w:top w:val="nil"/>
              <w:left w:val="single" w:sz="8" w:space="0" w:color="auto"/>
              <w:bottom w:val="single" w:sz="8" w:space="0" w:color="auto"/>
              <w:right w:val="nil"/>
            </w:tcBorders>
            <w:shd w:val="clear" w:color="000000" w:fill="E7E6E6"/>
            <w:noWrap/>
            <w:vAlign w:val="center"/>
            <w:hideMark/>
          </w:tcPr>
          <w:p w14:paraId="21E8DF2B" w14:textId="77777777" w:rsidR="00CD249C" w:rsidRPr="005563F8" w:rsidRDefault="00CD249C" w:rsidP="00CD249C">
            <w:pPr>
              <w:jc w:val="center"/>
              <w:rPr>
                <w:color w:val="000000"/>
              </w:rPr>
            </w:pPr>
            <w:r w:rsidRPr="005563F8">
              <w:rPr>
                <w:color w:val="000000"/>
              </w:rPr>
              <w:t>Practical % of role</w:t>
            </w:r>
          </w:p>
        </w:tc>
        <w:tc>
          <w:tcPr>
            <w:tcW w:w="1383" w:type="dxa"/>
            <w:tcBorders>
              <w:top w:val="nil"/>
              <w:left w:val="nil"/>
              <w:bottom w:val="single" w:sz="8" w:space="0" w:color="auto"/>
              <w:right w:val="nil"/>
            </w:tcBorders>
            <w:shd w:val="clear" w:color="000000" w:fill="E7E6E6"/>
            <w:noWrap/>
            <w:vAlign w:val="center"/>
            <w:hideMark/>
          </w:tcPr>
          <w:p w14:paraId="7DC63608" w14:textId="77777777" w:rsidR="00CD249C" w:rsidRPr="005563F8" w:rsidRDefault="00CD249C" w:rsidP="00CD249C">
            <w:pPr>
              <w:jc w:val="center"/>
              <w:rPr>
                <w:color w:val="000000"/>
              </w:rPr>
            </w:pPr>
            <w:r w:rsidRPr="005563F8">
              <w:rPr>
                <w:color w:val="000000"/>
              </w:rPr>
              <w:t>count</w:t>
            </w:r>
          </w:p>
        </w:tc>
        <w:tc>
          <w:tcPr>
            <w:tcW w:w="1411" w:type="dxa"/>
            <w:tcBorders>
              <w:top w:val="nil"/>
              <w:left w:val="nil"/>
              <w:bottom w:val="single" w:sz="8" w:space="0" w:color="auto"/>
              <w:right w:val="single" w:sz="8" w:space="0" w:color="auto"/>
            </w:tcBorders>
            <w:shd w:val="clear" w:color="000000" w:fill="E7E6E6"/>
            <w:noWrap/>
            <w:vAlign w:val="center"/>
            <w:hideMark/>
          </w:tcPr>
          <w:p w14:paraId="3813C0B3" w14:textId="77777777" w:rsidR="00CD249C" w:rsidRPr="005563F8" w:rsidRDefault="00CD249C" w:rsidP="00CD249C">
            <w:pPr>
              <w:jc w:val="center"/>
              <w:rPr>
                <w:color w:val="000000"/>
              </w:rPr>
            </w:pPr>
            <w:r w:rsidRPr="005563F8">
              <w:rPr>
                <w:color w:val="000000"/>
              </w:rPr>
              <w:t>%</w:t>
            </w:r>
          </w:p>
        </w:tc>
      </w:tr>
      <w:tr w:rsidR="00CD249C" w:rsidRPr="005563F8" w14:paraId="2A345150" w14:textId="77777777" w:rsidTr="00CD249C">
        <w:trPr>
          <w:trHeight w:val="341"/>
        </w:trPr>
        <w:tc>
          <w:tcPr>
            <w:tcW w:w="1896" w:type="dxa"/>
            <w:tcBorders>
              <w:top w:val="single" w:sz="8" w:space="0" w:color="auto"/>
              <w:left w:val="single" w:sz="8" w:space="0" w:color="auto"/>
              <w:bottom w:val="single" w:sz="8" w:space="0" w:color="auto"/>
              <w:right w:val="nil"/>
            </w:tcBorders>
            <w:shd w:val="clear" w:color="000000" w:fill="E7E6E6"/>
            <w:noWrap/>
            <w:vAlign w:val="center"/>
            <w:hideMark/>
          </w:tcPr>
          <w:p w14:paraId="386CD1CE" w14:textId="77777777" w:rsidR="00CD249C" w:rsidRPr="005563F8" w:rsidRDefault="00CD249C" w:rsidP="00CD249C">
            <w:pPr>
              <w:jc w:val="center"/>
              <w:rPr>
                <w:color w:val="000000"/>
              </w:rPr>
            </w:pPr>
            <w:r w:rsidRPr="005563F8">
              <w:rPr>
                <w:color w:val="000000"/>
              </w:rPr>
              <w:t>Education Level</w:t>
            </w:r>
          </w:p>
        </w:tc>
        <w:tc>
          <w:tcPr>
            <w:tcW w:w="1853" w:type="dxa"/>
            <w:tcBorders>
              <w:top w:val="single" w:sz="8" w:space="0" w:color="auto"/>
              <w:left w:val="nil"/>
              <w:bottom w:val="single" w:sz="8" w:space="0" w:color="auto"/>
              <w:right w:val="nil"/>
            </w:tcBorders>
            <w:shd w:val="clear" w:color="000000" w:fill="E7E6E6"/>
            <w:noWrap/>
            <w:vAlign w:val="center"/>
            <w:hideMark/>
          </w:tcPr>
          <w:p w14:paraId="41B994BE" w14:textId="77777777" w:rsidR="00CD249C" w:rsidRPr="005563F8" w:rsidRDefault="00CD249C" w:rsidP="00CD249C">
            <w:pPr>
              <w:jc w:val="center"/>
              <w:rPr>
                <w:color w:val="000000"/>
              </w:rPr>
            </w:pPr>
            <w:r w:rsidRPr="005563F8">
              <w:rPr>
                <w:color w:val="000000"/>
              </w:rPr>
              <w:t>count</w:t>
            </w:r>
          </w:p>
        </w:tc>
        <w:tc>
          <w:tcPr>
            <w:tcW w:w="884" w:type="dxa"/>
            <w:tcBorders>
              <w:top w:val="single" w:sz="8" w:space="0" w:color="auto"/>
              <w:left w:val="nil"/>
              <w:bottom w:val="single" w:sz="8" w:space="0" w:color="auto"/>
              <w:right w:val="single" w:sz="8" w:space="0" w:color="auto"/>
            </w:tcBorders>
            <w:shd w:val="clear" w:color="000000" w:fill="E7E6E6"/>
            <w:noWrap/>
            <w:vAlign w:val="center"/>
            <w:hideMark/>
          </w:tcPr>
          <w:p w14:paraId="078C0CC0" w14:textId="77777777" w:rsidR="00CD249C" w:rsidRPr="005563F8" w:rsidRDefault="00CD249C" w:rsidP="00CD249C">
            <w:pPr>
              <w:jc w:val="center"/>
              <w:rPr>
                <w:color w:val="000000"/>
              </w:rPr>
            </w:pPr>
            <w:r w:rsidRPr="005563F8">
              <w:rPr>
                <w:color w:val="000000"/>
              </w:rPr>
              <w:t>%</w:t>
            </w:r>
          </w:p>
        </w:tc>
        <w:tc>
          <w:tcPr>
            <w:tcW w:w="1739" w:type="dxa"/>
            <w:tcBorders>
              <w:top w:val="nil"/>
              <w:left w:val="nil"/>
              <w:bottom w:val="nil"/>
              <w:right w:val="nil"/>
            </w:tcBorders>
            <w:shd w:val="clear" w:color="auto" w:fill="auto"/>
            <w:noWrap/>
            <w:vAlign w:val="center"/>
            <w:hideMark/>
          </w:tcPr>
          <w:p w14:paraId="22D1DF6B" w14:textId="77777777" w:rsidR="00CD249C" w:rsidRPr="005563F8" w:rsidRDefault="00CD249C" w:rsidP="00CD249C">
            <w:pPr>
              <w:rPr>
                <w:i/>
                <w:iCs/>
                <w:color w:val="000000"/>
              </w:rPr>
            </w:pPr>
            <w:r w:rsidRPr="005563F8">
              <w:rPr>
                <w:i/>
                <w:iCs/>
                <w:color w:val="000000"/>
              </w:rPr>
              <w:t>0-20%</w:t>
            </w:r>
          </w:p>
        </w:tc>
        <w:tc>
          <w:tcPr>
            <w:tcW w:w="1383" w:type="dxa"/>
            <w:tcBorders>
              <w:top w:val="nil"/>
              <w:left w:val="nil"/>
              <w:bottom w:val="nil"/>
              <w:right w:val="nil"/>
            </w:tcBorders>
            <w:shd w:val="clear" w:color="auto" w:fill="auto"/>
            <w:noWrap/>
            <w:vAlign w:val="center"/>
            <w:hideMark/>
          </w:tcPr>
          <w:p w14:paraId="6874D227" w14:textId="77777777" w:rsidR="00CD249C" w:rsidRPr="005563F8" w:rsidRDefault="00CD249C" w:rsidP="00CD249C">
            <w:pPr>
              <w:jc w:val="center"/>
              <w:rPr>
                <w:color w:val="000000"/>
              </w:rPr>
            </w:pPr>
            <w:r w:rsidRPr="005563F8">
              <w:rPr>
                <w:color w:val="000000"/>
              </w:rPr>
              <w:t>21</w:t>
            </w:r>
          </w:p>
        </w:tc>
        <w:tc>
          <w:tcPr>
            <w:tcW w:w="1411" w:type="dxa"/>
            <w:tcBorders>
              <w:top w:val="nil"/>
              <w:left w:val="nil"/>
              <w:bottom w:val="nil"/>
              <w:right w:val="single" w:sz="8" w:space="0" w:color="auto"/>
            </w:tcBorders>
            <w:shd w:val="clear" w:color="auto" w:fill="auto"/>
            <w:noWrap/>
            <w:vAlign w:val="center"/>
            <w:hideMark/>
          </w:tcPr>
          <w:p w14:paraId="64AF0A8B" w14:textId="77777777" w:rsidR="00CD249C" w:rsidRPr="005563F8" w:rsidRDefault="00CD249C" w:rsidP="00CD249C">
            <w:pPr>
              <w:jc w:val="center"/>
              <w:rPr>
                <w:color w:val="000000"/>
              </w:rPr>
            </w:pPr>
            <w:r w:rsidRPr="005563F8">
              <w:rPr>
                <w:color w:val="000000"/>
              </w:rPr>
              <w:t>10.7</w:t>
            </w:r>
          </w:p>
        </w:tc>
      </w:tr>
      <w:tr w:rsidR="00CD249C" w:rsidRPr="005563F8" w14:paraId="35D1169D"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3420233C" w14:textId="77777777" w:rsidR="00CD249C" w:rsidRPr="005563F8" w:rsidRDefault="00CD249C" w:rsidP="00CD249C">
            <w:pPr>
              <w:rPr>
                <w:i/>
                <w:iCs/>
                <w:color w:val="000000"/>
              </w:rPr>
            </w:pPr>
            <w:r w:rsidRPr="005563F8">
              <w:rPr>
                <w:i/>
                <w:iCs/>
                <w:color w:val="000000"/>
              </w:rPr>
              <w:t>GCSE</w:t>
            </w:r>
          </w:p>
        </w:tc>
        <w:tc>
          <w:tcPr>
            <w:tcW w:w="1853" w:type="dxa"/>
            <w:tcBorders>
              <w:top w:val="nil"/>
              <w:left w:val="nil"/>
              <w:bottom w:val="nil"/>
              <w:right w:val="nil"/>
            </w:tcBorders>
            <w:shd w:val="clear" w:color="auto" w:fill="auto"/>
            <w:noWrap/>
            <w:vAlign w:val="center"/>
            <w:hideMark/>
          </w:tcPr>
          <w:p w14:paraId="4FF47EFA" w14:textId="77777777" w:rsidR="00CD249C" w:rsidRPr="005563F8" w:rsidRDefault="00CD249C" w:rsidP="00CD249C">
            <w:pPr>
              <w:jc w:val="center"/>
              <w:rPr>
                <w:color w:val="000000"/>
              </w:rPr>
            </w:pPr>
            <w:r w:rsidRPr="005563F8">
              <w:rPr>
                <w:color w:val="000000"/>
              </w:rPr>
              <w:t>16</w:t>
            </w:r>
          </w:p>
        </w:tc>
        <w:tc>
          <w:tcPr>
            <w:tcW w:w="884" w:type="dxa"/>
            <w:tcBorders>
              <w:top w:val="nil"/>
              <w:left w:val="nil"/>
              <w:bottom w:val="nil"/>
              <w:right w:val="single" w:sz="8" w:space="0" w:color="auto"/>
            </w:tcBorders>
            <w:shd w:val="clear" w:color="auto" w:fill="auto"/>
            <w:noWrap/>
            <w:vAlign w:val="center"/>
            <w:hideMark/>
          </w:tcPr>
          <w:p w14:paraId="71B80FEA" w14:textId="77777777" w:rsidR="00CD249C" w:rsidRPr="005563F8" w:rsidRDefault="00CD249C" w:rsidP="00CD249C">
            <w:pPr>
              <w:jc w:val="center"/>
              <w:rPr>
                <w:color w:val="000000"/>
              </w:rPr>
            </w:pPr>
            <w:r w:rsidRPr="005563F8">
              <w:rPr>
                <w:color w:val="000000"/>
              </w:rPr>
              <w:t>8.2</w:t>
            </w:r>
          </w:p>
        </w:tc>
        <w:tc>
          <w:tcPr>
            <w:tcW w:w="1739" w:type="dxa"/>
            <w:tcBorders>
              <w:top w:val="nil"/>
              <w:left w:val="nil"/>
              <w:bottom w:val="nil"/>
              <w:right w:val="nil"/>
            </w:tcBorders>
            <w:shd w:val="clear" w:color="auto" w:fill="auto"/>
            <w:noWrap/>
            <w:vAlign w:val="center"/>
            <w:hideMark/>
          </w:tcPr>
          <w:p w14:paraId="3D476EB5" w14:textId="77777777" w:rsidR="00CD249C" w:rsidRPr="005563F8" w:rsidRDefault="00CD249C" w:rsidP="00CD249C">
            <w:pPr>
              <w:rPr>
                <w:i/>
                <w:iCs/>
                <w:color w:val="000000"/>
              </w:rPr>
            </w:pPr>
            <w:r w:rsidRPr="005563F8">
              <w:rPr>
                <w:i/>
                <w:iCs/>
                <w:color w:val="000000"/>
              </w:rPr>
              <w:t>21-40%</w:t>
            </w:r>
          </w:p>
        </w:tc>
        <w:tc>
          <w:tcPr>
            <w:tcW w:w="1383" w:type="dxa"/>
            <w:tcBorders>
              <w:top w:val="nil"/>
              <w:left w:val="nil"/>
              <w:bottom w:val="nil"/>
              <w:right w:val="nil"/>
            </w:tcBorders>
            <w:shd w:val="clear" w:color="auto" w:fill="auto"/>
            <w:noWrap/>
            <w:vAlign w:val="center"/>
            <w:hideMark/>
          </w:tcPr>
          <w:p w14:paraId="786EE267" w14:textId="77777777" w:rsidR="00CD249C" w:rsidRPr="005563F8" w:rsidRDefault="00CD249C" w:rsidP="00CD249C">
            <w:pPr>
              <w:jc w:val="center"/>
              <w:rPr>
                <w:color w:val="000000"/>
              </w:rPr>
            </w:pPr>
            <w:r w:rsidRPr="005563F8">
              <w:rPr>
                <w:color w:val="000000"/>
              </w:rPr>
              <w:t>32</w:t>
            </w:r>
          </w:p>
        </w:tc>
        <w:tc>
          <w:tcPr>
            <w:tcW w:w="1411" w:type="dxa"/>
            <w:tcBorders>
              <w:top w:val="nil"/>
              <w:left w:val="nil"/>
              <w:bottom w:val="nil"/>
              <w:right w:val="single" w:sz="8" w:space="0" w:color="auto"/>
            </w:tcBorders>
            <w:shd w:val="clear" w:color="auto" w:fill="auto"/>
            <w:noWrap/>
            <w:vAlign w:val="center"/>
            <w:hideMark/>
          </w:tcPr>
          <w:p w14:paraId="50F082A7" w14:textId="77777777" w:rsidR="00CD249C" w:rsidRPr="005563F8" w:rsidRDefault="00CD249C" w:rsidP="00CD249C">
            <w:pPr>
              <w:jc w:val="center"/>
              <w:rPr>
                <w:color w:val="000000"/>
              </w:rPr>
            </w:pPr>
            <w:r w:rsidRPr="005563F8">
              <w:rPr>
                <w:color w:val="000000"/>
              </w:rPr>
              <w:t>16.3</w:t>
            </w:r>
          </w:p>
        </w:tc>
      </w:tr>
      <w:tr w:rsidR="00CD249C" w:rsidRPr="005563F8" w14:paraId="1F165812"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315D45A0" w14:textId="77777777" w:rsidR="00CD249C" w:rsidRPr="005563F8" w:rsidRDefault="00CD249C" w:rsidP="00CD249C">
            <w:pPr>
              <w:rPr>
                <w:i/>
                <w:iCs/>
                <w:color w:val="000000"/>
              </w:rPr>
            </w:pPr>
            <w:r w:rsidRPr="005563F8">
              <w:rPr>
                <w:i/>
                <w:iCs/>
                <w:color w:val="000000"/>
              </w:rPr>
              <w:t>A-Level</w:t>
            </w:r>
          </w:p>
        </w:tc>
        <w:tc>
          <w:tcPr>
            <w:tcW w:w="1853" w:type="dxa"/>
            <w:tcBorders>
              <w:top w:val="nil"/>
              <w:left w:val="nil"/>
              <w:bottom w:val="nil"/>
              <w:right w:val="nil"/>
            </w:tcBorders>
            <w:shd w:val="clear" w:color="auto" w:fill="auto"/>
            <w:noWrap/>
            <w:vAlign w:val="center"/>
            <w:hideMark/>
          </w:tcPr>
          <w:p w14:paraId="6244D4A1" w14:textId="77777777" w:rsidR="00CD249C" w:rsidRPr="005563F8" w:rsidRDefault="00CD249C" w:rsidP="00CD249C">
            <w:pPr>
              <w:jc w:val="center"/>
              <w:rPr>
                <w:color w:val="000000"/>
              </w:rPr>
            </w:pPr>
            <w:r w:rsidRPr="005563F8">
              <w:rPr>
                <w:color w:val="000000"/>
              </w:rPr>
              <w:t>15</w:t>
            </w:r>
          </w:p>
        </w:tc>
        <w:tc>
          <w:tcPr>
            <w:tcW w:w="884" w:type="dxa"/>
            <w:tcBorders>
              <w:top w:val="nil"/>
              <w:left w:val="nil"/>
              <w:bottom w:val="nil"/>
              <w:right w:val="single" w:sz="8" w:space="0" w:color="auto"/>
            </w:tcBorders>
            <w:shd w:val="clear" w:color="auto" w:fill="auto"/>
            <w:noWrap/>
            <w:vAlign w:val="center"/>
            <w:hideMark/>
          </w:tcPr>
          <w:p w14:paraId="059E0599" w14:textId="77777777" w:rsidR="00CD249C" w:rsidRPr="005563F8" w:rsidRDefault="00CD249C" w:rsidP="00CD249C">
            <w:pPr>
              <w:jc w:val="center"/>
              <w:rPr>
                <w:color w:val="000000"/>
              </w:rPr>
            </w:pPr>
            <w:r w:rsidRPr="005563F8">
              <w:rPr>
                <w:color w:val="000000"/>
              </w:rPr>
              <w:t>7.7</w:t>
            </w:r>
          </w:p>
        </w:tc>
        <w:tc>
          <w:tcPr>
            <w:tcW w:w="1739" w:type="dxa"/>
            <w:tcBorders>
              <w:top w:val="nil"/>
              <w:left w:val="nil"/>
              <w:bottom w:val="nil"/>
              <w:right w:val="nil"/>
            </w:tcBorders>
            <w:shd w:val="clear" w:color="auto" w:fill="auto"/>
            <w:noWrap/>
            <w:vAlign w:val="center"/>
            <w:hideMark/>
          </w:tcPr>
          <w:p w14:paraId="1A4981A5" w14:textId="77777777" w:rsidR="00CD249C" w:rsidRPr="005563F8" w:rsidRDefault="00CD249C" w:rsidP="00CD249C">
            <w:pPr>
              <w:rPr>
                <w:i/>
                <w:iCs/>
                <w:color w:val="000000"/>
              </w:rPr>
            </w:pPr>
            <w:r w:rsidRPr="005563F8">
              <w:rPr>
                <w:i/>
                <w:iCs/>
                <w:color w:val="000000"/>
              </w:rPr>
              <w:t>41-60%</w:t>
            </w:r>
          </w:p>
        </w:tc>
        <w:tc>
          <w:tcPr>
            <w:tcW w:w="1383" w:type="dxa"/>
            <w:tcBorders>
              <w:top w:val="nil"/>
              <w:left w:val="nil"/>
              <w:bottom w:val="nil"/>
              <w:right w:val="nil"/>
            </w:tcBorders>
            <w:shd w:val="clear" w:color="auto" w:fill="auto"/>
            <w:noWrap/>
            <w:vAlign w:val="center"/>
            <w:hideMark/>
          </w:tcPr>
          <w:p w14:paraId="10FF6039" w14:textId="77777777" w:rsidR="00CD249C" w:rsidRPr="005563F8" w:rsidRDefault="00CD249C" w:rsidP="00CD249C">
            <w:pPr>
              <w:jc w:val="center"/>
              <w:rPr>
                <w:color w:val="000000"/>
              </w:rPr>
            </w:pPr>
            <w:r w:rsidRPr="005563F8">
              <w:rPr>
                <w:color w:val="000000"/>
              </w:rPr>
              <w:t>47</w:t>
            </w:r>
          </w:p>
        </w:tc>
        <w:tc>
          <w:tcPr>
            <w:tcW w:w="1411" w:type="dxa"/>
            <w:tcBorders>
              <w:top w:val="nil"/>
              <w:left w:val="nil"/>
              <w:bottom w:val="nil"/>
              <w:right w:val="single" w:sz="8" w:space="0" w:color="auto"/>
            </w:tcBorders>
            <w:shd w:val="clear" w:color="auto" w:fill="auto"/>
            <w:noWrap/>
            <w:vAlign w:val="center"/>
            <w:hideMark/>
          </w:tcPr>
          <w:p w14:paraId="301B36E9" w14:textId="77777777" w:rsidR="00CD249C" w:rsidRPr="005563F8" w:rsidRDefault="00CD249C" w:rsidP="00CD249C">
            <w:pPr>
              <w:jc w:val="center"/>
              <w:rPr>
                <w:color w:val="000000"/>
              </w:rPr>
            </w:pPr>
            <w:r w:rsidRPr="005563F8">
              <w:rPr>
                <w:color w:val="000000"/>
              </w:rPr>
              <w:t>23.9</w:t>
            </w:r>
          </w:p>
        </w:tc>
      </w:tr>
      <w:tr w:rsidR="00CD249C" w:rsidRPr="005563F8" w14:paraId="27A7A145"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373D72B2" w14:textId="77777777" w:rsidR="00CD249C" w:rsidRPr="005563F8" w:rsidRDefault="00CD249C" w:rsidP="00CD249C">
            <w:pPr>
              <w:rPr>
                <w:i/>
                <w:iCs/>
                <w:color w:val="000000"/>
              </w:rPr>
            </w:pPr>
            <w:r w:rsidRPr="005563F8">
              <w:rPr>
                <w:i/>
                <w:iCs/>
                <w:color w:val="000000"/>
              </w:rPr>
              <w:t>College</w:t>
            </w:r>
          </w:p>
        </w:tc>
        <w:tc>
          <w:tcPr>
            <w:tcW w:w="1853" w:type="dxa"/>
            <w:tcBorders>
              <w:top w:val="nil"/>
              <w:left w:val="nil"/>
              <w:bottom w:val="nil"/>
              <w:right w:val="nil"/>
            </w:tcBorders>
            <w:shd w:val="clear" w:color="auto" w:fill="auto"/>
            <w:noWrap/>
            <w:vAlign w:val="center"/>
            <w:hideMark/>
          </w:tcPr>
          <w:p w14:paraId="4B65ED6E" w14:textId="77777777" w:rsidR="00CD249C" w:rsidRPr="005563F8" w:rsidRDefault="00CD249C" w:rsidP="00CD249C">
            <w:pPr>
              <w:jc w:val="center"/>
              <w:rPr>
                <w:color w:val="000000"/>
              </w:rPr>
            </w:pPr>
            <w:r w:rsidRPr="005563F8">
              <w:rPr>
                <w:color w:val="000000"/>
              </w:rPr>
              <w:t>53</w:t>
            </w:r>
          </w:p>
        </w:tc>
        <w:tc>
          <w:tcPr>
            <w:tcW w:w="884" w:type="dxa"/>
            <w:tcBorders>
              <w:top w:val="nil"/>
              <w:left w:val="nil"/>
              <w:bottom w:val="nil"/>
              <w:right w:val="single" w:sz="8" w:space="0" w:color="auto"/>
            </w:tcBorders>
            <w:shd w:val="clear" w:color="auto" w:fill="auto"/>
            <w:noWrap/>
            <w:vAlign w:val="center"/>
            <w:hideMark/>
          </w:tcPr>
          <w:p w14:paraId="20527BD7" w14:textId="77777777" w:rsidR="00CD249C" w:rsidRPr="005563F8" w:rsidRDefault="00CD249C" w:rsidP="00CD249C">
            <w:pPr>
              <w:jc w:val="center"/>
              <w:rPr>
                <w:color w:val="000000"/>
              </w:rPr>
            </w:pPr>
            <w:r w:rsidRPr="005563F8">
              <w:rPr>
                <w:color w:val="000000"/>
              </w:rPr>
              <w:t>27</w:t>
            </w:r>
          </w:p>
        </w:tc>
        <w:tc>
          <w:tcPr>
            <w:tcW w:w="1739" w:type="dxa"/>
            <w:tcBorders>
              <w:top w:val="nil"/>
              <w:left w:val="nil"/>
              <w:bottom w:val="nil"/>
              <w:right w:val="nil"/>
            </w:tcBorders>
            <w:shd w:val="clear" w:color="auto" w:fill="auto"/>
            <w:noWrap/>
            <w:vAlign w:val="center"/>
            <w:hideMark/>
          </w:tcPr>
          <w:p w14:paraId="1765A9A5" w14:textId="77777777" w:rsidR="00CD249C" w:rsidRPr="005563F8" w:rsidRDefault="00CD249C" w:rsidP="00CD249C">
            <w:pPr>
              <w:rPr>
                <w:i/>
                <w:iCs/>
                <w:color w:val="000000"/>
              </w:rPr>
            </w:pPr>
            <w:r w:rsidRPr="005563F8">
              <w:rPr>
                <w:i/>
                <w:iCs/>
                <w:color w:val="000000"/>
              </w:rPr>
              <w:t>61-80%</w:t>
            </w:r>
          </w:p>
        </w:tc>
        <w:tc>
          <w:tcPr>
            <w:tcW w:w="1383" w:type="dxa"/>
            <w:tcBorders>
              <w:top w:val="nil"/>
              <w:left w:val="nil"/>
              <w:bottom w:val="nil"/>
              <w:right w:val="nil"/>
            </w:tcBorders>
            <w:shd w:val="clear" w:color="auto" w:fill="auto"/>
            <w:noWrap/>
            <w:vAlign w:val="center"/>
            <w:hideMark/>
          </w:tcPr>
          <w:p w14:paraId="3229DDCF" w14:textId="77777777" w:rsidR="00CD249C" w:rsidRPr="005563F8" w:rsidRDefault="00CD249C" w:rsidP="00CD249C">
            <w:pPr>
              <w:jc w:val="center"/>
              <w:rPr>
                <w:color w:val="000000"/>
              </w:rPr>
            </w:pPr>
            <w:r w:rsidRPr="005563F8">
              <w:rPr>
                <w:color w:val="000000"/>
              </w:rPr>
              <w:t>54</w:t>
            </w:r>
          </w:p>
        </w:tc>
        <w:tc>
          <w:tcPr>
            <w:tcW w:w="1411" w:type="dxa"/>
            <w:tcBorders>
              <w:top w:val="nil"/>
              <w:left w:val="nil"/>
              <w:bottom w:val="nil"/>
              <w:right w:val="single" w:sz="8" w:space="0" w:color="auto"/>
            </w:tcBorders>
            <w:shd w:val="clear" w:color="auto" w:fill="auto"/>
            <w:noWrap/>
            <w:vAlign w:val="center"/>
            <w:hideMark/>
          </w:tcPr>
          <w:p w14:paraId="0B2F10E4" w14:textId="77777777" w:rsidR="00CD249C" w:rsidRPr="005563F8" w:rsidRDefault="00CD249C" w:rsidP="00CD249C">
            <w:pPr>
              <w:jc w:val="center"/>
              <w:rPr>
                <w:color w:val="000000"/>
              </w:rPr>
            </w:pPr>
            <w:r w:rsidRPr="005563F8">
              <w:rPr>
                <w:color w:val="000000"/>
              </w:rPr>
              <w:t>27.6</w:t>
            </w:r>
          </w:p>
        </w:tc>
      </w:tr>
      <w:tr w:rsidR="00CD249C" w:rsidRPr="005563F8" w14:paraId="79D4032E" w14:textId="77777777" w:rsidTr="00CD249C">
        <w:trPr>
          <w:trHeight w:val="341"/>
        </w:trPr>
        <w:tc>
          <w:tcPr>
            <w:tcW w:w="1896" w:type="dxa"/>
            <w:tcBorders>
              <w:top w:val="nil"/>
              <w:left w:val="single" w:sz="8" w:space="0" w:color="auto"/>
              <w:bottom w:val="nil"/>
              <w:right w:val="nil"/>
            </w:tcBorders>
            <w:shd w:val="clear" w:color="auto" w:fill="auto"/>
            <w:noWrap/>
            <w:vAlign w:val="center"/>
            <w:hideMark/>
          </w:tcPr>
          <w:p w14:paraId="64E28E82" w14:textId="77777777" w:rsidR="00CD249C" w:rsidRPr="005563F8" w:rsidRDefault="00CD249C" w:rsidP="00CD249C">
            <w:pPr>
              <w:rPr>
                <w:i/>
                <w:iCs/>
                <w:color w:val="000000"/>
              </w:rPr>
            </w:pPr>
            <w:r w:rsidRPr="005563F8">
              <w:rPr>
                <w:i/>
                <w:iCs/>
                <w:color w:val="000000"/>
              </w:rPr>
              <w:t>Undergraduate</w:t>
            </w:r>
          </w:p>
        </w:tc>
        <w:tc>
          <w:tcPr>
            <w:tcW w:w="1853" w:type="dxa"/>
            <w:tcBorders>
              <w:top w:val="nil"/>
              <w:left w:val="nil"/>
              <w:bottom w:val="nil"/>
              <w:right w:val="nil"/>
            </w:tcBorders>
            <w:shd w:val="clear" w:color="auto" w:fill="auto"/>
            <w:noWrap/>
            <w:vAlign w:val="center"/>
            <w:hideMark/>
          </w:tcPr>
          <w:p w14:paraId="62820524" w14:textId="77777777" w:rsidR="00CD249C" w:rsidRPr="005563F8" w:rsidRDefault="00CD249C" w:rsidP="00CD249C">
            <w:pPr>
              <w:jc w:val="center"/>
              <w:rPr>
                <w:color w:val="000000"/>
              </w:rPr>
            </w:pPr>
            <w:r w:rsidRPr="005563F8">
              <w:rPr>
                <w:color w:val="000000"/>
              </w:rPr>
              <w:t>39</w:t>
            </w:r>
          </w:p>
        </w:tc>
        <w:tc>
          <w:tcPr>
            <w:tcW w:w="884" w:type="dxa"/>
            <w:tcBorders>
              <w:top w:val="nil"/>
              <w:left w:val="nil"/>
              <w:bottom w:val="nil"/>
              <w:right w:val="single" w:sz="8" w:space="0" w:color="auto"/>
            </w:tcBorders>
            <w:shd w:val="clear" w:color="auto" w:fill="auto"/>
            <w:noWrap/>
            <w:vAlign w:val="center"/>
            <w:hideMark/>
          </w:tcPr>
          <w:p w14:paraId="310C0FD8" w14:textId="77777777" w:rsidR="00CD249C" w:rsidRPr="005563F8" w:rsidRDefault="00CD249C" w:rsidP="00CD249C">
            <w:pPr>
              <w:jc w:val="center"/>
              <w:rPr>
                <w:color w:val="000000"/>
              </w:rPr>
            </w:pPr>
            <w:r w:rsidRPr="005563F8">
              <w:rPr>
                <w:color w:val="000000"/>
              </w:rPr>
              <w:t>19.9</w:t>
            </w:r>
          </w:p>
        </w:tc>
        <w:tc>
          <w:tcPr>
            <w:tcW w:w="1739" w:type="dxa"/>
            <w:tcBorders>
              <w:top w:val="nil"/>
              <w:left w:val="nil"/>
              <w:bottom w:val="single" w:sz="8" w:space="0" w:color="auto"/>
              <w:right w:val="nil"/>
            </w:tcBorders>
            <w:shd w:val="clear" w:color="auto" w:fill="auto"/>
            <w:noWrap/>
            <w:vAlign w:val="center"/>
            <w:hideMark/>
          </w:tcPr>
          <w:p w14:paraId="36C89C2C" w14:textId="77777777" w:rsidR="00CD249C" w:rsidRPr="005563F8" w:rsidRDefault="00CD249C" w:rsidP="00CD249C">
            <w:pPr>
              <w:rPr>
                <w:i/>
                <w:iCs/>
                <w:color w:val="000000"/>
              </w:rPr>
            </w:pPr>
            <w:r w:rsidRPr="005563F8">
              <w:rPr>
                <w:i/>
                <w:iCs/>
                <w:color w:val="000000"/>
              </w:rPr>
              <w:t>80-100%</w:t>
            </w:r>
          </w:p>
        </w:tc>
        <w:tc>
          <w:tcPr>
            <w:tcW w:w="1383" w:type="dxa"/>
            <w:tcBorders>
              <w:top w:val="nil"/>
              <w:left w:val="nil"/>
              <w:bottom w:val="single" w:sz="8" w:space="0" w:color="auto"/>
              <w:right w:val="nil"/>
            </w:tcBorders>
            <w:shd w:val="clear" w:color="auto" w:fill="auto"/>
            <w:noWrap/>
            <w:vAlign w:val="center"/>
            <w:hideMark/>
          </w:tcPr>
          <w:p w14:paraId="491C217F" w14:textId="77777777" w:rsidR="00CD249C" w:rsidRPr="005563F8" w:rsidRDefault="00CD249C" w:rsidP="00CD249C">
            <w:pPr>
              <w:jc w:val="center"/>
              <w:rPr>
                <w:color w:val="000000"/>
              </w:rPr>
            </w:pPr>
            <w:r w:rsidRPr="005563F8">
              <w:rPr>
                <w:color w:val="000000"/>
              </w:rPr>
              <w:t>42</w:t>
            </w:r>
          </w:p>
        </w:tc>
        <w:tc>
          <w:tcPr>
            <w:tcW w:w="1411" w:type="dxa"/>
            <w:tcBorders>
              <w:top w:val="nil"/>
              <w:left w:val="nil"/>
              <w:bottom w:val="single" w:sz="8" w:space="0" w:color="auto"/>
              <w:right w:val="single" w:sz="8" w:space="0" w:color="auto"/>
            </w:tcBorders>
            <w:shd w:val="clear" w:color="auto" w:fill="auto"/>
            <w:noWrap/>
            <w:vAlign w:val="center"/>
            <w:hideMark/>
          </w:tcPr>
          <w:p w14:paraId="573DD2FC" w14:textId="77777777" w:rsidR="00CD249C" w:rsidRPr="005563F8" w:rsidRDefault="00CD249C" w:rsidP="00CD249C">
            <w:pPr>
              <w:jc w:val="center"/>
              <w:rPr>
                <w:color w:val="000000"/>
              </w:rPr>
            </w:pPr>
            <w:r w:rsidRPr="005563F8">
              <w:rPr>
                <w:color w:val="000000"/>
              </w:rPr>
              <w:t>21.5</w:t>
            </w:r>
          </w:p>
        </w:tc>
      </w:tr>
      <w:tr w:rsidR="00CD249C" w:rsidRPr="005563F8" w14:paraId="595792E7" w14:textId="77777777" w:rsidTr="00CD249C">
        <w:trPr>
          <w:trHeight w:val="341"/>
        </w:trPr>
        <w:tc>
          <w:tcPr>
            <w:tcW w:w="1896" w:type="dxa"/>
            <w:tcBorders>
              <w:top w:val="nil"/>
              <w:left w:val="single" w:sz="8" w:space="0" w:color="auto"/>
              <w:bottom w:val="single" w:sz="8" w:space="0" w:color="auto"/>
              <w:right w:val="nil"/>
            </w:tcBorders>
            <w:shd w:val="clear" w:color="auto" w:fill="auto"/>
            <w:noWrap/>
            <w:vAlign w:val="center"/>
            <w:hideMark/>
          </w:tcPr>
          <w:p w14:paraId="558B02A8" w14:textId="77777777" w:rsidR="00CD249C" w:rsidRPr="005563F8" w:rsidRDefault="00CD249C" w:rsidP="00CD249C">
            <w:pPr>
              <w:rPr>
                <w:i/>
                <w:iCs/>
                <w:color w:val="000000"/>
              </w:rPr>
            </w:pPr>
            <w:r w:rsidRPr="005563F8">
              <w:rPr>
                <w:i/>
                <w:iCs/>
                <w:color w:val="000000"/>
              </w:rPr>
              <w:t>Postgraduate</w:t>
            </w:r>
          </w:p>
        </w:tc>
        <w:tc>
          <w:tcPr>
            <w:tcW w:w="1853" w:type="dxa"/>
            <w:tcBorders>
              <w:top w:val="nil"/>
              <w:left w:val="nil"/>
              <w:bottom w:val="single" w:sz="8" w:space="0" w:color="auto"/>
              <w:right w:val="nil"/>
            </w:tcBorders>
            <w:shd w:val="clear" w:color="auto" w:fill="auto"/>
            <w:noWrap/>
            <w:vAlign w:val="center"/>
            <w:hideMark/>
          </w:tcPr>
          <w:p w14:paraId="50F1C61D" w14:textId="77777777" w:rsidR="00CD249C" w:rsidRPr="005563F8" w:rsidRDefault="00CD249C" w:rsidP="00CD249C">
            <w:pPr>
              <w:jc w:val="center"/>
              <w:rPr>
                <w:color w:val="000000"/>
              </w:rPr>
            </w:pPr>
            <w:r w:rsidRPr="005563F8">
              <w:rPr>
                <w:color w:val="000000"/>
              </w:rPr>
              <w:t>73</w:t>
            </w:r>
          </w:p>
        </w:tc>
        <w:tc>
          <w:tcPr>
            <w:tcW w:w="884" w:type="dxa"/>
            <w:tcBorders>
              <w:top w:val="nil"/>
              <w:left w:val="nil"/>
              <w:bottom w:val="single" w:sz="8" w:space="0" w:color="auto"/>
              <w:right w:val="single" w:sz="8" w:space="0" w:color="auto"/>
            </w:tcBorders>
            <w:shd w:val="clear" w:color="auto" w:fill="auto"/>
            <w:noWrap/>
            <w:vAlign w:val="center"/>
            <w:hideMark/>
          </w:tcPr>
          <w:p w14:paraId="664A33A1" w14:textId="77777777" w:rsidR="00CD249C" w:rsidRPr="005563F8" w:rsidRDefault="00CD249C" w:rsidP="00CD249C">
            <w:pPr>
              <w:jc w:val="center"/>
              <w:rPr>
                <w:color w:val="000000"/>
              </w:rPr>
            </w:pPr>
            <w:r w:rsidRPr="005563F8">
              <w:rPr>
                <w:color w:val="000000"/>
              </w:rPr>
              <w:t>37.2</w:t>
            </w:r>
          </w:p>
        </w:tc>
        <w:tc>
          <w:tcPr>
            <w:tcW w:w="1739" w:type="dxa"/>
            <w:tcBorders>
              <w:top w:val="nil"/>
              <w:left w:val="nil"/>
              <w:bottom w:val="nil"/>
              <w:right w:val="nil"/>
            </w:tcBorders>
            <w:shd w:val="clear" w:color="auto" w:fill="auto"/>
            <w:noWrap/>
            <w:vAlign w:val="center"/>
            <w:hideMark/>
          </w:tcPr>
          <w:p w14:paraId="47AB934F" w14:textId="77777777" w:rsidR="00CD249C" w:rsidRPr="005563F8" w:rsidRDefault="00CD249C" w:rsidP="00CD249C">
            <w:pPr>
              <w:jc w:val="center"/>
              <w:rPr>
                <w:color w:val="000000"/>
              </w:rPr>
            </w:pPr>
          </w:p>
        </w:tc>
        <w:tc>
          <w:tcPr>
            <w:tcW w:w="1383" w:type="dxa"/>
            <w:tcBorders>
              <w:top w:val="nil"/>
              <w:left w:val="nil"/>
              <w:bottom w:val="nil"/>
              <w:right w:val="nil"/>
            </w:tcBorders>
            <w:shd w:val="clear" w:color="auto" w:fill="auto"/>
            <w:noWrap/>
            <w:vAlign w:val="center"/>
            <w:hideMark/>
          </w:tcPr>
          <w:p w14:paraId="1C3F2627" w14:textId="77777777" w:rsidR="00CD249C" w:rsidRPr="005563F8" w:rsidRDefault="00CD249C" w:rsidP="00CD249C">
            <w:pPr>
              <w:jc w:val="right"/>
            </w:pPr>
          </w:p>
        </w:tc>
        <w:tc>
          <w:tcPr>
            <w:tcW w:w="1411" w:type="dxa"/>
            <w:tcBorders>
              <w:top w:val="nil"/>
              <w:left w:val="nil"/>
              <w:bottom w:val="nil"/>
              <w:right w:val="nil"/>
            </w:tcBorders>
            <w:shd w:val="clear" w:color="auto" w:fill="auto"/>
            <w:noWrap/>
            <w:vAlign w:val="center"/>
            <w:hideMark/>
          </w:tcPr>
          <w:p w14:paraId="3DA76196" w14:textId="77777777" w:rsidR="00CD249C" w:rsidRPr="005563F8" w:rsidRDefault="00CD249C" w:rsidP="00CD249C">
            <w:pPr>
              <w:jc w:val="center"/>
            </w:pPr>
          </w:p>
        </w:tc>
      </w:tr>
      <w:tr w:rsidR="00CD249C" w:rsidRPr="005563F8" w14:paraId="23C183C4" w14:textId="77777777" w:rsidTr="00CD249C">
        <w:trPr>
          <w:trHeight w:val="341"/>
        </w:trPr>
        <w:tc>
          <w:tcPr>
            <w:tcW w:w="1896" w:type="dxa"/>
            <w:tcBorders>
              <w:top w:val="nil"/>
              <w:left w:val="single" w:sz="8" w:space="0" w:color="auto"/>
              <w:bottom w:val="single" w:sz="8" w:space="0" w:color="auto"/>
              <w:right w:val="nil"/>
            </w:tcBorders>
            <w:shd w:val="clear" w:color="000000" w:fill="E7E6E6"/>
            <w:noWrap/>
            <w:vAlign w:val="center"/>
            <w:hideMark/>
          </w:tcPr>
          <w:p w14:paraId="0FAB98D7" w14:textId="77777777" w:rsidR="00CD249C" w:rsidRPr="005563F8" w:rsidRDefault="00CD249C" w:rsidP="00CD249C">
            <w:pPr>
              <w:jc w:val="center"/>
              <w:rPr>
                <w:color w:val="000000"/>
              </w:rPr>
            </w:pPr>
            <w:r w:rsidRPr="005563F8">
              <w:rPr>
                <w:color w:val="000000"/>
              </w:rPr>
              <w:t>Hours worked</w:t>
            </w:r>
          </w:p>
        </w:tc>
        <w:tc>
          <w:tcPr>
            <w:tcW w:w="1853" w:type="dxa"/>
            <w:tcBorders>
              <w:top w:val="nil"/>
              <w:left w:val="nil"/>
              <w:bottom w:val="single" w:sz="8" w:space="0" w:color="auto"/>
              <w:right w:val="nil"/>
            </w:tcBorders>
            <w:shd w:val="clear" w:color="000000" w:fill="E7E6E6"/>
            <w:noWrap/>
            <w:vAlign w:val="center"/>
            <w:hideMark/>
          </w:tcPr>
          <w:p w14:paraId="45131951" w14:textId="77777777" w:rsidR="00CD249C" w:rsidRPr="005563F8" w:rsidRDefault="00CD249C" w:rsidP="00CD249C">
            <w:pPr>
              <w:jc w:val="center"/>
              <w:rPr>
                <w:color w:val="000000"/>
              </w:rPr>
            </w:pPr>
            <w:r w:rsidRPr="005563F8">
              <w:rPr>
                <w:color w:val="000000"/>
              </w:rPr>
              <w:t>count</w:t>
            </w:r>
          </w:p>
        </w:tc>
        <w:tc>
          <w:tcPr>
            <w:tcW w:w="884" w:type="dxa"/>
            <w:tcBorders>
              <w:top w:val="nil"/>
              <w:left w:val="nil"/>
              <w:bottom w:val="single" w:sz="8" w:space="0" w:color="auto"/>
              <w:right w:val="single" w:sz="8" w:space="0" w:color="auto"/>
            </w:tcBorders>
            <w:shd w:val="clear" w:color="000000" w:fill="E7E6E6"/>
            <w:noWrap/>
            <w:vAlign w:val="center"/>
            <w:hideMark/>
          </w:tcPr>
          <w:p w14:paraId="08BF0E86" w14:textId="77777777" w:rsidR="00CD249C" w:rsidRPr="005563F8" w:rsidRDefault="00CD249C" w:rsidP="00CD249C">
            <w:pPr>
              <w:jc w:val="center"/>
              <w:rPr>
                <w:color w:val="000000"/>
              </w:rPr>
            </w:pPr>
            <w:r w:rsidRPr="005563F8">
              <w:rPr>
                <w:color w:val="000000"/>
              </w:rPr>
              <w:t>%</w:t>
            </w:r>
          </w:p>
        </w:tc>
        <w:tc>
          <w:tcPr>
            <w:tcW w:w="1739" w:type="dxa"/>
            <w:tcBorders>
              <w:top w:val="nil"/>
              <w:left w:val="nil"/>
              <w:bottom w:val="nil"/>
              <w:right w:val="nil"/>
            </w:tcBorders>
            <w:shd w:val="clear" w:color="auto" w:fill="auto"/>
            <w:noWrap/>
            <w:vAlign w:val="bottom"/>
            <w:hideMark/>
          </w:tcPr>
          <w:p w14:paraId="249CD2D8" w14:textId="77777777" w:rsidR="00CD249C" w:rsidRPr="005563F8" w:rsidRDefault="00CD249C" w:rsidP="00CD249C">
            <w:pPr>
              <w:jc w:val="center"/>
              <w:rPr>
                <w:color w:val="000000"/>
              </w:rPr>
            </w:pPr>
          </w:p>
        </w:tc>
        <w:tc>
          <w:tcPr>
            <w:tcW w:w="1383" w:type="dxa"/>
            <w:tcBorders>
              <w:top w:val="nil"/>
              <w:left w:val="nil"/>
              <w:bottom w:val="nil"/>
              <w:right w:val="nil"/>
            </w:tcBorders>
            <w:shd w:val="clear" w:color="auto" w:fill="auto"/>
            <w:noWrap/>
            <w:vAlign w:val="bottom"/>
            <w:hideMark/>
          </w:tcPr>
          <w:p w14:paraId="2F5169BC" w14:textId="77777777" w:rsidR="00CD249C" w:rsidRPr="005563F8" w:rsidRDefault="00CD249C" w:rsidP="00CD249C"/>
        </w:tc>
        <w:tc>
          <w:tcPr>
            <w:tcW w:w="1411" w:type="dxa"/>
            <w:tcBorders>
              <w:top w:val="nil"/>
              <w:left w:val="nil"/>
              <w:bottom w:val="nil"/>
              <w:right w:val="nil"/>
            </w:tcBorders>
            <w:shd w:val="clear" w:color="auto" w:fill="auto"/>
            <w:noWrap/>
            <w:vAlign w:val="bottom"/>
            <w:hideMark/>
          </w:tcPr>
          <w:p w14:paraId="61520CCA" w14:textId="77777777" w:rsidR="00CD249C" w:rsidRPr="005563F8" w:rsidRDefault="00CD249C" w:rsidP="00CD249C"/>
        </w:tc>
      </w:tr>
      <w:tr w:rsidR="00CD249C" w:rsidRPr="005563F8" w14:paraId="2850E151"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51E8BCA3" w14:textId="77777777" w:rsidR="00CD249C" w:rsidRPr="005563F8" w:rsidRDefault="00CD249C" w:rsidP="00CD249C">
            <w:pPr>
              <w:rPr>
                <w:i/>
                <w:iCs/>
                <w:color w:val="000000"/>
              </w:rPr>
            </w:pPr>
            <w:r w:rsidRPr="005563F8">
              <w:rPr>
                <w:i/>
                <w:iCs/>
                <w:color w:val="000000"/>
              </w:rPr>
              <w:t>1 to 10 hours</w:t>
            </w:r>
          </w:p>
        </w:tc>
        <w:tc>
          <w:tcPr>
            <w:tcW w:w="1853" w:type="dxa"/>
            <w:tcBorders>
              <w:top w:val="nil"/>
              <w:left w:val="nil"/>
              <w:bottom w:val="nil"/>
              <w:right w:val="nil"/>
            </w:tcBorders>
            <w:shd w:val="clear" w:color="auto" w:fill="auto"/>
            <w:noWrap/>
            <w:vAlign w:val="center"/>
            <w:hideMark/>
          </w:tcPr>
          <w:p w14:paraId="68998929" w14:textId="77777777" w:rsidR="00CD249C" w:rsidRPr="005563F8" w:rsidRDefault="00CD249C" w:rsidP="00CD249C">
            <w:pPr>
              <w:jc w:val="right"/>
              <w:rPr>
                <w:color w:val="000000"/>
              </w:rPr>
            </w:pPr>
            <w:r w:rsidRPr="005563F8">
              <w:rPr>
                <w:color w:val="000000"/>
              </w:rPr>
              <w:t>6</w:t>
            </w:r>
          </w:p>
        </w:tc>
        <w:tc>
          <w:tcPr>
            <w:tcW w:w="884" w:type="dxa"/>
            <w:tcBorders>
              <w:top w:val="nil"/>
              <w:left w:val="nil"/>
              <w:bottom w:val="nil"/>
              <w:right w:val="single" w:sz="8" w:space="0" w:color="auto"/>
            </w:tcBorders>
            <w:shd w:val="clear" w:color="auto" w:fill="auto"/>
            <w:noWrap/>
            <w:vAlign w:val="center"/>
            <w:hideMark/>
          </w:tcPr>
          <w:p w14:paraId="652FE2D4" w14:textId="77777777" w:rsidR="00CD249C" w:rsidRPr="005563F8" w:rsidRDefault="00CD249C" w:rsidP="00CD249C">
            <w:pPr>
              <w:jc w:val="right"/>
              <w:rPr>
                <w:color w:val="000000"/>
              </w:rPr>
            </w:pPr>
            <w:r w:rsidRPr="005563F8">
              <w:rPr>
                <w:color w:val="000000"/>
              </w:rPr>
              <w:t>3</w:t>
            </w:r>
          </w:p>
        </w:tc>
        <w:tc>
          <w:tcPr>
            <w:tcW w:w="1739" w:type="dxa"/>
            <w:tcBorders>
              <w:top w:val="nil"/>
              <w:left w:val="nil"/>
              <w:bottom w:val="nil"/>
              <w:right w:val="nil"/>
            </w:tcBorders>
            <w:shd w:val="clear" w:color="auto" w:fill="auto"/>
            <w:noWrap/>
            <w:vAlign w:val="bottom"/>
            <w:hideMark/>
          </w:tcPr>
          <w:p w14:paraId="791DBF4C" w14:textId="77777777" w:rsidR="00CD249C" w:rsidRPr="005563F8" w:rsidRDefault="00CD249C" w:rsidP="00CD249C">
            <w:pPr>
              <w:jc w:val="right"/>
              <w:rPr>
                <w:color w:val="000000"/>
              </w:rPr>
            </w:pPr>
          </w:p>
        </w:tc>
        <w:tc>
          <w:tcPr>
            <w:tcW w:w="1383" w:type="dxa"/>
            <w:tcBorders>
              <w:top w:val="nil"/>
              <w:left w:val="nil"/>
              <w:bottom w:val="nil"/>
              <w:right w:val="nil"/>
            </w:tcBorders>
            <w:shd w:val="clear" w:color="auto" w:fill="auto"/>
            <w:noWrap/>
            <w:vAlign w:val="bottom"/>
            <w:hideMark/>
          </w:tcPr>
          <w:p w14:paraId="0540B01D" w14:textId="77777777" w:rsidR="00CD249C" w:rsidRPr="005563F8" w:rsidRDefault="00CD249C" w:rsidP="00CD249C"/>
        </w:tc>
        <w:tc>
          <w:tcPr>
            <w:tcW w:w="1411" w:type="dxa"/>
            <w:tcBorders>
              <w:top w:val="nil"/>
              <w:left w:val="nil"/>
              <w:bottom w:val="nil"/>
              <w:right w:val="nil"/>
            </w:tcBorders>
            <w:shd w:val="clear" w:color="auto" w:fill="auto"/>
            <w:noWrap/>
            <w:vAlign w:val="bottom"/>
            <w:hideMark/>
          </w:tcPr>
          <w:p w14:paraId="1DB0F26C" w14:textId="77777777" w:rsidR="00CD249C" w:rsidRPr="005563F8" w:rsidRDefault="00CD249C" w:rsidP="00CD249C"/>
        </w:tc>
      </w:tr>
      <w:tr w:rsidR="00CD249C" w:rsidRPr="005563F8" w14:paraId="3A93E431"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41E0B03A" w14:textId="77777777" w:rsidR="00CD249C" w:rsidRPr="005563F8" w:rsidRDefault="00CD249C" w:rsidP="00CD249C">
            <w:pPr>
              <w:rPr>
                <w:i/>
                <w:iCs/>
                <w:color w:val="000000"/>
              </w:rPr>
            </w:pPr>
            <w:r w:rsidRPr="005563F8">
              <w:rPr>
                <w:i/>
                <w:iCs/>
                <w:color w:val="000000"/>
              </w:rPr>
              <w:t>11 to 20 hours</w:t>
            </w:r>
          </w:p>
        </w:tc>
        <w:tc>
          <w:tcPr>
            <w:tcW w:w="1853" w:type="dxa"/>
            <w:tcBorders>
              <w:top w:val="nil"/>
              <w:left w:val="nil"/>
              <w:bottom w:val="nil"/>
              <w:right w:val="nil"/>
            </w:tcBorders>
            <w:shd w:val="clear" w:color="auto" w:fill="auto"/>
            <w:noWrap/>
            <w:vAlign w:val="center"/>
            <w:hideMark/>
          </w:tcPr>
          <w:p w14:paraId="63D565B4" w14:textId="77777777" w:rsidR="00CD249C" w:rsidRPr="005563F8" w:rsidRDefault="00CD249C" w:rsidP="00CD249C">
            <w:pPr>
              <w:jc w:val="right"/>
              <w:rPr>
                <w:color w:val="000000"/>
              </w:rPr>
            </w:pPr>
            <w:r w:rsidRPr="005563F8">
              <w:rPr>
                <w:color w:val="000000"/>
              </w:rPr>
              <w:t>16</w:t>
            </w:r>
          </w:p>
        </w:tc>
        <w:tc>
          <w:tcPr>
            <w:tcW w:w="884" w:type="dxa"/>
            <w:tcBorders>
              <w:top w:val="nil"/>
              <w:left w:val="nil"/>
              <w:bottom w:val="nil"/>
              <w:right w:val="single" w:sz="8" w:space="0" w:color="auto"/>
            </w:tcBorders>
            <w:shd w:val="clear" w:color="auto" w:fill="auto"/>
            <w:noWrap/>
            <w:vAlign w:val="center"/>
            <w:hideMark/>
          </w:tcPr>
          <w:p w14:paraId="0CAB92EB" w14:textId="77777777" w:rsidR="00CD249C" w:rsidRPr="005563F8" w:rsidRDefault="00CD249C" w:rsidP="00CD249C">
            <w:pPr>
              <w:jc w:val="right"/>
              <w:rPr>
                <w:color w:val="000000"/>
              </w:rPr>
            </w:pPr>
            <w:r w:rsidRPr="005563F8">
              <w:rPr>
                <w:color w:val="000000"/>
              </w:rPr>
              <w:t>8.1</w:t>
            </w:r>
          </w:p>
        </w:tc>
        <w:tc>
          <w:tcPr>
            <w:tcW w:w="1739" w:type="dxa"/>
            <w:tcBorders>
              <w:top w:val="nil"/>
              <w:left w:val="nil"/>
              <w:bottom w:val="nil"/>
              <w:right w:val="nil"/>
            </w:tcBorders>
            <w:shd w:val="clear" w:color="auto" w:fill="auto"/>
            <w:noWrap/>
            <w:vAlign w:val="bottom"/>
            <w:hideMark/>
          </w:tcPr>
          <w:p w14:paraId="2D3003C2" w14:textId="77777777" w:rsidR="00CD249C" w:rsidRPr="005563F8" w:rsidRDefault="00CD249C" w:rsidP="00CD249C">
            <w:pPr>
              <w:jc w:val="right"/>
              <w:rPr>
                <w:color w:val="000000"/>
              </w:rPr>
            </w:pPr>
          </w:p>
        </w:tc>
        <w:tc>
          <w:tcPr>
            <w:tcW w:w="1383" w:type="dxa"/>
            <w:tcBorders>
              <w:top w:val="nil"/>
              <w:left w:val="nil"/>
              <w:bottom w:val="nil"/>
              <w:right w:val="nil"/>
            </w:tcBorders>
            <w:shd w:val="clear" w:color="auto" w:fill="auto"/>
            <w:noWrap/>
            <w:vAlign w:val="bottom"/>
            <w:hideMark/>
          </w:tcPr>
          <w:p w14:paraId="260D00C5" w14:textId="77777777" w:rsidR="00CD249C" w:rsidRPr="005563F8" w:rsidRDefault="00CD249C" w:rsidP="00CD249C"/>
        </w:tc>
        <w:tc>
          <w:tcPr>
            <w:tcW w:w="1411" w:type="dxa"/>
            <w:tcBorders>
              <w:top w:val="nil"/>
              <w:left w:val="nil"/>
              <w:bottom w:val="nil"/>
              <w:right w:val="nil"/>
            </w:tcBorders>
            <w:shd w:val="clear" w:color="auto" w:fill="auto"/>
            <w:noWrap/>
            <w:vAlign w:val="bottom"/>
            <w:hideMark/>
          </w:tcPr>
          <w:p w14:paraId="5BE3507E" w14:textId="77777777" w:rsidR="00CD249C" w:rsidRPr="005563F8" w:rsidRDefault="00CD249C" w:rsidP="00CD249C"/>
        </w:tc>
      </w:tr>
      <w:tr w:rsidR="00CD249C" w:rsidRPr="005563F8" w14:paraId="637AE310"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56A5ED49" w14:textId="77777777" w:rsidR="00CD249C" w:rsidRPr="005563F8" w:rsidRDefault="00CD249C" w:rsidP="00CD249C">
            <w:pPr>
              <w:rPr>
                <w:i/>
                <w:iCs/>
                <w:color w:val="000000"/>
              </w:rPr>
            </w:pPr>
            <w:r w:rsidRPr="005563F8">
              <w:rPr>
                <w:i/>
                <w:iCs/>
                <w:color w:val="000000"/>
              </w:rPr>
              <w:lastRenderedPageBreak/>
              <w:t>21 to 30 hours</w:t>
            </w:r>
          </w:p>
        </w:tc>
        <w:tc>
          <w:tcPr>
            <w:tcW w:w="1853" w:type="dxa"/>
            <w:tcBorders>
              <w:top w:val="nil"/>
              <w:left w:val="nil"/>
              <w:bottom w:val="nil"/>
              <w:right w:val="nil"/>
            </w:tcBorders>
            <w:shd w:val="clear" w:color="auto" w:fill="auto"/>
            <w:noWrap/>
            <w:vAlign w:val="center"/>
            <w:hideMark/>
          </w:tcPr>
          <w:p w14:paraId="368D0048" w14:textId="77777777" w:rsidR="00CD249C" w:rsidRPr="005563F8" w:rsidRDefault="00CD249C" w:rsidP="00CD249C">
            <w:pPr>
              <w:jc w:val="right"/>
              <w:rPr>
                <w:color w:val="000000"/>
              </w:rPr>
            </w:pPr>
            <w:r w:rsidRPr="005563F8">
              <w:rPr>
                <w:color w:val="000000"/>
              </w:rPr>
              <w:t>28</w:t>
            </w:r>
          </w:p>
        </w:tc>
        <w:tc>
          <w:tcPr>
            <w:tcW w:w="884" w:type="dxa"/>
            <w:tcBorders>
              <w:top w:val="nil"/>
              <w:left w:val="nil"/>
              <w:bottom w:val="nil"/>
              <w:right w:val="single" w:sz="8" w:space="0" w:color="auto"/>
            </w:tcBorders>
            <w:shd w:val="clear" w:color="auto" w:fill="auto"/>
            <w:noWrap/>
            <w:vAlign w:val="center"/>
            <w:hideMark/>
          </w:tcPr>
          <w:p w14:paraId="5A50A02C" w14:textId="77777777" w:rsidR="00CD249C" w:rsidRPr="005563F8" w:rsidRDefault="00CD249C" w:rsidP="00CD249C">
            <w:pPr>
              <w:jc w:val="right"/>
              <w:rPr>
                <w:color w:val="000000"/>
              </w:rPr>
            </w:pPr>
            <w:r w:rsidRPr="005563F8">
              <w:rPr>
                <w:color w:val="000000"/>
              </w:rPr>
              <w:t>14.2</w:t>
            </w:r>
          </w:p>
        </w:tc>
        <w:tc>
          <w:tcPr>
            <w:tcW w:w="1739" w:type="dxa"/>
            <w:tcBorders>
              <w:top w:val="nil"/>
              <w:left w:val="nil"/>
              <w:bottom w:val="nil"/>
              <w:right w:val="nil"/>
            </w:tcBorders>
            <w:shd w:val="clear" w:color="auto" w:fill="auto"/>
            <w:noWrap/>
            <w:vAlign w:val="bottom"/>
            <w:hideMark/>
          </w:tcPr>
          <w:p w14:paraId="621DA5E7" w14:textId="77777777" w:rsidR="00CD249C" w:rsidRPr="005563F8" w:rsidRDefault="00CD249C" w:rsidP="00CD249C">
            <w:pPr>
              <w:jc w:val="right"/>
              <w:rPr>
                <w:color w:val="000000"/>
              </w:rPr>
            </w:pPr>
          </w:p>
        </w:tc>
        <w:tc>
          <w:tcPr>
            <w:tcW w:w="1383" w:type="dxa"/>
            <w:tcBorders>
              <w:top w:val="nil"/>
              <w:left w:val="nil"/>
              <w:bottom w:val="nil"/>
              <w:right w:val="nil"/>
            </w:tcBorders>
            <w:shd w:val="clear" w:color="auto" w:fill="auto"/>
            <w:noWrap/>
            <w:vAlign w:val="bottom"/>
            <w:hideMark/>
          </w:tcPr>
          <w:p w14:paraId="26727AAB" w14:textId="77777777" w:rsidR="00CD249C" w:rsidRPr="005563F8" w:rsidRDefault="00CD249C" w:rsidP="00CD249C"/>
        </w:tc>
        <w:tc>
          <w:tcPr>
            <w:tcW w:w="1411" w:type="dxa"/>
            <w:tcBorders>
              <w:top w:val="nil"/>
              <w:left w:val="nil"/>
              <w:bottom w:val="nil"/>
              <w:right w:val="nil"/>
            </w:tcBorders>
            <w:shd w:val="clear" w:color="auto" w:fill="auto"/>
            <w:noWrap/>
            <w:vAlign w:val="bottom"/>
            <w:hideMark/>
          </w:tcPr>
          <w:p w14:paraId="10D8AD3E" w14:textId="77777777" w:rsidR="00CD249C" w:rsidRPr="005563F8" w:rsidRDefault="00CD249C" w:rsidP="00CD249C"/>
        </w:tc>
      </w:tr>
      <w:tr w:rsidR="00CD249C" w:rsidRPr="005563F8" w14:paraId="2D7A3FC4"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7C65B7D9" w14:textId="77777777" w:rsidR="00CD249C" w:rsidRPr="005563F8" w:rsidRDefault="00CD249C" w:rsidP="00CD249C">
            <w:pPr>
              <w:rPr>
                <w:i/>
                <w:iCs/>
                <w:color w:val="000000"/>
              </w:rPr>
            </w:pPr>
            <w:r w:rsidRPr="005563F8">
              <w:rPr>
                <w:i/>
                <w:iCs/>
                <w:color w:val="000000"/>
              </w:rPr>
              <w:t>31 to 40 hours</w:t>
            </w:r>
          </w:p>
        </w:tc>
        <w:tc>
          <w:tcPr>
            <w:tcW w:w="1853" w:type="dxa"/>
            <w:tcBorders>
              <w:top w:val="nil"/>
              <w:left w:val="nil"/>
              <w:bottom w:val="nil"/>
              <w:right w:val="nil"/>
            </w:tcBorders>
            <w:shd w:val="clear" w:color="auto" w:fill="auto"/>
            <w:noWrap/>
            <w:vAlign w:val="center"/>
            <w:hideMark/>
          </w:tcPr>
          <w:p w14:paraId="654AF445" w14:textId="77777777" w:rsidR="00CD249C" w:rsidRPr="005563F8" w:rsidRDefault="00CD249C" w:rsidP="00CD249C">
            <w:pPr>
              <w:jc w:val="right"/>
              <w:rPr>
                <w:color w:val="000000"/>
              </w:rPr>
            </w:pPr>
            <w:r w:rsidRPr="005563F8">
              <w:rPr>
                <w:color w:val="000000"/>
              </w:rPr>
              <w:t>55</w:t>
            </w:r>
          </w:p>
        </w:tc>
        <w:tc>
          <w:tcPr>
            <w:tcW w:w="884" w:type="dxa"/>
            <w:tcBorders>
              <w:top w:val="nil"/>
              <w:left w:val="nil"/>
              <w:bottom w:val="nil"/>
              <w:right w:val="single" w:sz="8" w:space="0" w:color="auto"/>
            </w:tcBorders>
            <w:shd w:val="clear" w:color="auto" w:fill="auto"/>
            <w:noWrap/>
            <w:vAlign w:val="center"/>
            <w:hideMark/>
          </w:tcPr>
          <w:p w14:paraId="0789DF66" w14:textId="77777777" w:rsidR="00CD249C" w:rsidRPr="005563F8" w:rsidRDefault="00CD249C" w:rsidP="00CD249C">
            <w:pPr>
              <w:jc w:val="right"/>
              <w:rPr>
                <w:color w:val="000000"/>
              </w:rPr>
            </w:pPr>
            <w:r w:rsidRPr="005563F8">
              <w:rPr>
                <w:color w:val="000000"/>
              </w:rPr>
              <w:t>28</w:t>
            </w:r>
          </w:p>
        </w:tc>
        <w:tc>
          <w:tcPr>
            <w:tcW w:w="1739" w:type="dxa"/>
            <w:tcBorders>
              <w:top w:val="nil"/>
              <w:left w:val="nil"/>
              <w:bottom w:val="nil"/>
              <w:right w:val="nil"/>
            </w:tcBorders>
            <w:shd w:val="clear" w:color="auto" w:fill="auto"/>
            <w:noWrap/>
            <w:vAlign w:val="bottom"/>
            <w:hideMark/>
          </w:tcPr>
          <w:p w14:paraId="4F4C07D9" w14:textId="77777777" w:rsidR="00CD249C" w:rsidRPr="005563F8" w:rsidRDefault="00CD249C" w:rsidP="00CD249C">
            <w:pPr>
              <w:jc w:val="right"/>
              <w:rPr>
                <w:color w:val="000000"/>
              </w:rPr>
            </w:pPr>
          </w:p>
        </w:tc>
        <w:tc>
          <w:tcPr>
            <w:tcW w:w="1383" w:type="dxa"/>
            <w:tcBorders>
              <w:top w:val="nil"/>
              <w:left w:val="nil"/>
              <w:bottom w:val="nil"/>
              <w:right w:val="nil"/>
            </w:tcBorders>
            <w:shd w:val="clear" w:color="auto" w:fill="auto"/>
            <w:noWrap/>
            <w:vAlign w:val="bottom"/>
            <w:hideMark/>
          </w:tcPr>
          <w:p w14:paraId="32D5E7B9" w14:textId="77777777" w:rsidR="00CD249C" w:rsidRPr="005563F8" w:rsidRDefault="00CD249C" w:rsidP="00CD249C"/>
        </w:tc>
        <w:tc>
          <w:tcPr>
            <w:tcW w:w="1411" w:type="dxa"/>
            <w:tcBorders>
              <w:top w:val="nil"/>
              <w:left w:val="nil"/>
              <w:bottom w:val="nil"/>
              <w:right w:val="nil"/>
            </w:tcBorders>
            <w:shd w:val="clear" w:color="auto" w:fill="auto"/>
            <w:noWrap/>
            <w:vAlign w:val="bottom"/>
            <w:hideMark/>
          </w:tcPr>
          <w:p w14:paraId="53278085" w14:textId="77777777" w:rsidR="00CD249C" w:rsidRPr="005563F8" w:rsidRDefault="00CD249C" w:rsidP="00CD249C"/>
        </w:tc>
      </w:tr>
      <w:tr w:rsidR="00CD249C" w:rsidRPr="005563F8" w14:paraId="7660C94C"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45ED06B0" w14:textId="77777777" w:rsidR="00CD249C" w:rsidRPr="005563F8" w:rsidRDefault="00CD249C" w:rsidP="00CD249C">
            <w:pPr>
              <w:rPr>
                <w:i/>
                <w:iCs/>
                <w:color w:val="000000"/>
              </w:rPr>
            </w:pPr>
            <w:r w:rsidRPr="005563F8">
              <w:rPr>
                <w:i/>
                <w:iCs/>
                <w:color w:val="000000"/>
              </w:rPr>
              <w:t>41 to 50 hours</w:t>
            </w:r>
          </w:p>
        </w:tc>
        <w:tc>
          <w:tcPr>
            <w:tcW w:w="1853" w:type="dxa"/>
            <w:tcBorders>
              <w:top w:val="nil"/>
              <w:left w:val="nil"/>
              <w:bottom w:val="nil"/>
              <w:right w:val="nil"/>
            </w:tcBorders>
            <w:shd w:val="clear" w:color="auto" w:fill="auto"/>
            <w:noWrap/>
            <w:vAlign w:val="center"/>
            <w:hideMark/>
          </w:tcPr>
          <w:p w14:paraId="31266887" w14:textId="77777777" w:rsidR="00CD249C" w:rsidRPr="005563F8" w:rsidRDefault="00CD249C" w:rsidP="00CD249C">
            <w:pPr>
              <w:jc w:val="right"/>
              <w:rPr>
                <w:color w:val="000000"/>
              </w:rPr>
            </w:pPr>
            <w:r w:rsidRPr="005563F8">
              <w:rPr>
                <w:color w:val="000000"/>
              </w:rPr>
              <w:t>70</w:t>
            </w:r>
          </w:p>
        </w:tc>
        <w:tc>
          <w:tcPr>
            <w:tcW w:w="884" w:type="dxa"/>
            <w:tcBorders>
              <w:top w:val="nil"/>
              <w:left w:val="nil"/>
              <w:bottom w:val="nil"/>
              <w:right w:val="single" w:sz="8" w:space="0" w:color="auto"/>
            </w:tcBorders>
            <w:shd w:val="clear" w:color="auto" w:fill="auto"/>
            <w:noWrap/>
            <w:vAlign w:val="center"/>
            <w:hideMark/>
          </w:tcPr>
          <w:p w14:paraId="2984CDAC" w14:textId="77777777" w:rsidR="00CD249C" w:rsidRPr="005563F8" w:rsidRDefault="00CD249C" w:rsidP="00CD249C">
            <w:pPr>
              <w:jc w:val="right"/>
              <w:rPr>
                <w:color w:val="000000"/>
              </w:rPr>
            </w:pPr>
            <w:r w:rsidRPr="005563F8">
              <w:rPr>
                <w:color w:val="000000"/>
              </w:rPr>
              <w:t>35.6</w:t>
            </w:r>
          </w:p>
        </w:tc>
        <w:tc>
          <w:tcPr>
            <w:tcW w:w="1739" w:type="dxa"/>
            <w:tcBorders>
              <w:top w:val="nil"/>
              <w:left w:val="nil"/>
              <w:bottom w:val="nil"/>
              <w:right w:val="nil"/>
            </w:tcBorders>
            <w:shd w:val="clear" w:color="auto" w:fill="auto"/>
            <w:noWrap/>
            <w:vAlign w:val="bottom"/>
            <w:hideMark/>
          </w:tcPr>
          <w:p w14:paraId="66D31606" w14:textId="77777777" w:rsidR="00CD249C" w:rsidRPr="005563F8" w:rsidRDefault="00CD249C" w:rsidP="00CD249C">
            <w:pPr>
              <w:jc w:val="right"/>
              <w:rPr>
                <w:color w:val="000000"/>
              </w:rPr>
            </w:pPr>
          </w:p>
        </w:tc>
        <w:tc>
          <w:tcPr>
            <w:tcW w:w="1383" w:type="dxa"/>
            <w:tcBorders>
              <w:top w:val="nil"/>
              <w:left w:val="nil"/>
              <w:bottom w:val="nil"/>
              <w:right w:val="nil"/>
            </w:tcBorders>
            <w:shd w:val="clear" w:color="auto" w:fill="auto"/>
            <w:noWrap/>
            <w:vAlign w:val="bottom"/>
            <w:hideMark/>
          </w:tcPr>
          <w:p w14:paraId="4B00DC84" w14:textId="77777777" w:rsidR="00CD249C" w:rsidRPr="005563F8" w:rsidRDefault="00CD249C" w:rsidP="00CD249C"/>
        </w:tc>
        <w:tc>
          <w:tcPr>
            <w:tcW w:w="1411" w:type="dxa"/>
            <w:tcBorders>
              <w:top w:val="nil"/>
              <w:left w:val="nil"/>
              <w:bottom w:val="nil"/>
              <w:right w:val="nil"/>
            </w:tcBorders>
            <w:shd w:val="clear" w:color="auto" w:fill="auto"/>
            <w:noWrap/>
            <w:vAlign w:val="bottom"/>
            <w:hideMark/>
          </w:tcPr>
          <w:p w14:paraId="7B1882D9" w14:textId="77777777" w:rsidR="00CD249C" w:rsidRPr="005563F8" w:rsidRDefault="00CD249C" w:rsidP="00CD249C"/>
        </w:tc>
      </w:tr>
      <w:tr w:rsidR="00CD249C" w:rsidRPr="005563F8" w14:paraId="5E0A9516" w14:textId="77777777" w:rsidTr="00CD249C">
        <w:trPr>
          <w:trHeight w:val="321"/>
        </w:trPr>
        <w:tc>
          <w:tcPr>
            <w:tcW w:w="1896" w:type="dxa"/>
            <w:tcBorders>
              <w:top w:val="nil"/>
              <w:left w:val="single" w:sz="8" w:space="0" w:color="auto"/>
              <w:bottom w:val="nil"/>
              <w:right w:val="nil"/>
            </w:tcBorders>
            <w:shd w:val="clear" w:color="auto" w:fill="auto"/>
            <w:noWrap/>
            <w:vAlign w:val="center"/>
            <w:hideMark/>
          </w:tcPr>
          <w:p w14:paraId="7A175C38" w14:textId="77777777" w:rsidR="00CD249C" w:rsidRPr="005563F8" w:rsidRDefault="00CD249C" w:rsidP="00CD249C">
            <w:pPr>
              <w:rPr>
                <w:i/>
                <w:iCs/>
                <w:color w:val="000000"/>
              </w:rPr>
            </w:pPr>
            <w:r w:rsidRPr="005563F8">
              <w:rPr>
                <w:i/>
                <w:iCs/>
                <w:color w:val="000000"/>
              </w:rPr>
              <w:t>51 to 60 hours</w:t>
            </w:r>
          </w:p>
        </w:tc>
        <w:tc>
          <w:tcPr>
            <w:tcW w:w="1853" w:type="dxa"/>
            <w:tcBorders>
              <w:top w:val="nil"/>
              <w:left w:val="nil"/>
              <w:bottom w:val="nil"/>
              <w:right w:val="nil"/>
            </w:tcBorders>
            <w:shd w:val="clear" w:color="auto" w:fill="auto"/>
            <w:noWrap/>
            <w:vAlign w:val="center"/>
            <w:hideMark/>
          </w:tcPr>
          <w:p w14:paraId="6D39DB09" w14:textId="77777777" w:rsidR="00CD249C" w:rsidRPr="005563F8" w:rsidRDefault="00CD249C" w:rsidP="00CD249C">
            <w:pPr>
              <w:jc w:val="right"/>
              <w:rPr>
                <w:color w:val="000000"/>
              </w:rPr>
            </w:pPr>
            <w:r w:rsidRPr="005563F8">
              <w:rPr>
                <w:color w:val="000000"/>
              </w:rPr>
              <w:t>17</w:t>
            </w:r>
          </w:p>
        </w:tc>
        <w:tc>
          <w:tcPr>
            <w:tcW w:w="884" w:type="dxa"/>
            <w:tcBorders>
              <w:top w:val="nil"/>
              <w:left w:val="nil"/>
              <w:bottom w:val="nil"/>
              <w:right w:val="single" w:sz="8" w:space="0" w:color="auto"/>
            </w:tcBorders>
            <w:shd w:val="clear" w:color="auto" w:fill="auto"/>
            <w:noWrap/>
            <w:vAlign w:val="center"/>
            <w:hideMark/>
          </w:tcPr>
          <w:p w14:paraId="5F94CA80" w14:textId="77777777" w:rsidR="00CD249C" w:rsidRPr="005563F8" w:rsidRDefault="00CD249C" w:rsidP="00CD249C">
            <w:pPr>
              <w:jc w:val="right"/>
              <w:rPr>
                <w:color w:val="000000"/>
              </w:rPr>
            </w:pPr>
            <w:r w:rsidRPr="005563F8">
              <w:rPr>
                <w:color w:val="000000"/>
              </w:rPr>
              <w:t>8.6</w:t>
            </w:r>
          </w:p>
        </w:tc>
        <w:tc>
          <w:tcPr>
            <w:tcW w:w="1739" w:type="dxa"/>
            <w:tcBorders>
              <w:top w:val="nil"/>
              <w:left w:val="nil"/>
              <w:bottom w:val="nil"/>
              <w:right w:val="nil"/>
            </w:tcBorders>
            <w:shd w:val="clear" w:color="auto" w:fill="auto"/>
            <w:noWrap/>
            <w:vAlign w:val="center"/>
            <w:hideMark/>
          </w:tcPr>
          <w:p w14:paraId="6A296F6F" w14:textId="77777777" w:rsidR="00CD249C" w:rsidRPr="005563F8" w:rsidRDefault="00CD249C" w:rsidP="00CD249C">
            <w:pPr>
              <w:jc w:val="right"/>
              <w:rPr>
                <w:color w:val="000000"/>
              </w:rPr>
            </w:pPr>
          </w:p>
        </w:tc>
        <w:tc>
          <w:tcPr>
            <w:tcW w:w="1383" w:type="dxa"/>
            <w:tcBorders>
              <w:top w:val="nil"/>
              <w:left w:val="nil"/>
              <w:bottom w:val="nil"/>
              <w:right w:val="nil"/>
            </w:tcBorders>
            <w:shd w:val="clear" w:color="auto" w:fill="auto"/>
            <w:noWrap/>
            <w:vAlign w:val="center"/>
            <w:hideMark/>
          </w:tcPr>
          <w:p w14:paraId="52A4D47B" w14:textId="77777777" w:rsidR="00CD249C" w:rsidRPr="005563F8" w:rsidRDefault="00CD249C" w:rsidP="00CD249C">
            <w:pPr>
              <w:jc w:val="right"/>
            </w:pPr>
          </w:p>
        </w:tc>
        <w:tc>
          <w:tcPr>
            <w:tcW w:w="1411" w:type="dxa"/>
            <w:tcBorders>
              <w:top w:val="nil"/>
              <w:left w:val="nil"/>
              <w:bottom w:val="nil"/>
              <w:right w:val="nil"/>
            </w:tcBorders>
            <w:shd w:val="clear" w:color="auto" w:fill="auto"/>
            <w:noWrap/>
            <w:vAlign w:val="center"/>
            <w:hideMark/>
          </w:tcPr>
          <w:p w14:paraId="187866C0" w14:textId="77777777" w:rsidR="00CD249C" w:rsidRPr="005563F8" w:rsidRDefault="00CD249C" w:rsidP="00CD249C">
            <w:pPr>
              <w:jc w:val="center"/>
            </w:pPr>
          </w:p>
        </w:tc>
      </w:tr>
      <w:tr w:rsidR="00CD249C" w:rsidRPr="005563F8" w14:paraId="75DC21EF" w14:textId="77777777" w:rsidTr="00CD249C">
        <w:trPr>
          <w:trHeight w:val="341"/>
        </w:trPr>
        <w:tc>
          <w:tcPr>
            <w:tcW w:w="1896" w:type="dxa"/>
            <w:tcBorders>
              <w:top w:val="nil"/>
              <w:left w:val="single" w:sz="8" w:space="0" w:color="auto"/>
              <w:bottom w:val="single" w:sz="8" w:space="0" w:color="auto"/>
              <w:right w:val="nil"/>
            </w:tcBorders>
            <w:shd w:val="clear" w:color="auto" w:fill="auto"/>
            <w:noWrap/>
            <w:vAlign w:val="center"/>
            <w:hideMark/>
          </w:tcPr>
          <w:p w14:paraId="570655D1" w14:textId="77777777" w:rsidR="00CD249C" w:rsidRPr="005563F8" w:rsidRDefault="00CD249C" w:rsidP="00CD249C">
            <w:pPr>
              <w:rPr>
                <w:i/>
                <w:iCs/>
                <w:color w:val="000000"/>
              </w:rPr>
            </w:pPr>
            <w:r w:rsidRPr="005563F8">
              <w:rPr>
                <w:i/>
                <w:iCs/>
                <w:color w:val="000000"/>
              </w:rPr>
              <w:t>61 to 70 hours</w:t>
            </w:r>
          </w:p>
        </w:tc>
        <w:tc>
          <w:tcPr>
            <w:tcW w:w="1853" w:type="dxa"/>
            <w:tcBorders>
              <w:top w:val="nil"/>
              <w:left w:val="nil"/>
              <w:bottom w:val="single" w:sz="8" w:space="0" w:color="auto"/>
              <w:right w:val="nil"/>
            </w:tcBorders>
            <w:shd w:val="clear" w:color="auto" w:fill="auto"/>
            <w:noWrap/>
            <w:vAlign w:val="center"/>
            <w:hideMark/>
          </w:tcPr>
          <w:p w14:paraId="29171130" w14:textId="77777777" w:rsidR="00CD249C" w:rsidRPr="005563F8" w:rsidRDefault="00CD249C" w:rsidP="00CD249C">
            <w:pPr>
              <w:jc w:val="right"/>
              <w:rPr>
                <w:color w:val="000000"/>
              </w:rPr>
            </w:pPr>
            <w:r w:rsidRPr="005563F8">
              <w:rPr>
                <w:color w:val="000000"/>
              </w:rPr>
              <w:t>3</w:t>
            </w:r>
          </w:p>
        </w:tc>
        <w:tc>
          <w:tcPr>
            <w:tcW w:w="884" w:type="dxa"/>
            <w:tcBorders>
              <w:top w:val="nil"/>
              <w:left w:val="nil"/>
              <w:bottom w:val="single" w:sz="8" w:space="0" w:color="auto"/>
              <w:right w:val="single" w:sz="8" w:space="0" w:color="auto"/>
            </w:tcBorders>
            <w:shd w:val="clear" w:color="auto" w:fill="auto"/>
            <w:noWrap/>
            <w:vAlign w:val="center"/>
            <w:hideMark/>
          </w:tcPr>
          <w:p w14:paraId="74FB253E" w14:textId="77777777" w:rsidR="00CD249C" w:rsidRPr="005563F8" w:rsidRDefault="00CD249C" w:rsidP="00CD249C">
            <w:pPr>
              <w:jc w:val="right"/>
              <w:rPr>
                <w:color w:val="000000"/>
              </w:rPr>
            </w:pPr>
            <w:r w:rsidRPr="005563F8">
              <w:rPr>
                <w:color w:val="000000"/>
              </w:rPr>
              <w:t>1.5</w:t>
            </w:r>
          </w:p>
        </w:tc>
        <w:tc>
          <w:tcPr>
            <w:tcW w:w="1739" w:type="dxa"/>
            <w:tcBorders>
              <w:top w:val="nil"/>
              <w:left w:val="nil"/>
              <w:bottom w:val="nil"/>
              <w:right w:val="nil"/>
            </w:tcBorders>
            <w:shd w:val="clear" w:color="auto" w:fill="auto"/>
            <w:noWrap/>
            <w:vAlign w:val="bottom"/>
            <w:hideMark/>
          </w:tcPr>
          <w:p w14:paraId="61D0AE50" w14:textId="77777777" w:rsidR="00CD249C" w:rsidRPr="005563F8" w:rsidRDefault="00CD249C" w:rsidP="00CD249C">
            <w:pPr>
              <w:jc w:val="right"/>
              <w:rPr>
                <w:color w:val="000000"/>
              </w:rPr>
            </w:pPr>
          </w:p>
        </w:tc>
        <w:tc>
          <w:tcPr>
            <w:tcW w:w="1383" w:type="dxa"/>
            <w:tcBorders>
              <w:top w:val="nil"/>
              <w:left w:val="nil"/>
              <w:bottom w:val="nil"/>
              <w:right w:val="nil"/>
            </w:tcBorders>
            <w:shd w:val="clear" w:color="auto" w:fill="auto"/>
            <w:noWrap/>
            <w:vAlign w:val="bottom"/>
            <w:hideMark/>
          </w:tcPr>
          <w:p w14:paraId="1DBC1765" w14:textId="77777777" w:rsidR="00CD249C" w:rsidRPr="005563F8" w:rsidRDefault="00CD249C" w:rsidP="00CD249C"/>
        </w:tc>
        <w:tc>
          <w:tcPr>
            <w:tcW w:w="1411" w:type="dxa"/>
            <w:tcBorders>
              <w:top w:val="nil"/>
              <w:left w:val="nil"/>
              <w:bottom w:val="nil"/>
              <w:right w:val="nil"/>
            </w:tcBorders>
            <w:shd w:val="clear" w:color="auto" w:fill="auto"/>
            <w:noWrap/>
            <w:vAlign w:val="bottom"/>
            <w:hideMark/>
          </w:tcPr>
          <w:p w14:paraId="53DA397C" w14:textId="77777777" w:rsidR="00CD249C" w:rsidRPr="005563F8" w:rsidRDefault="00CD249C" w:rsidP="00CD249C"/>
        </w:tc>
      </w:tr>
    </w:tbl>
    <w:p w14:paraId="6BF7418C" w14:textId="77777777" w:rsidR="006A6D2F" w:rsidRDefault="006A6D2F" w:rsidP="002A7D27">
      <w:pPr>
        <w:spacing w:line="276" w:lineRule="auto"/>
        <w:jc w:val="both"/>
        <w:rPr>
          <w:rFonts w:cstheme="minorHAnsi"/>
          <w:sz w:val="22"/>
          <w:szCs w:val="22"/>
        </w:rPr>
      </w:pPr>
    </w:p>
    <w:p w14:paraId="7BC12AF8" w14:textId="77777777" w:rsidR="00882AEF" w:rsidRDefault="00882AEF" w:rsidP="002A7D27">
      <w:pPr>
        <w:spacing w:line="276" w:lineRule="auto"/>
        <w:jc w:val="both"/>
        <w:rPr>
          <w:rFonts w:cstheme="minorHAnsi"/>
          <w:sz w:val="22"/>
          <w:szCs w:val="22"/>
        </w:rPr>
      </w:pPr>
    </w:p>
    <w:p w14:paraId="09ACC335" w14:textId="483736EF" w:rsidR="00882AEF" w:rsidRPr="005563F8" w:rsidRDefault="00882AEF" w:rsidP="002A7D27">
      <w:pPr>
        <w:spacing w:line="276" w:lineRule="auto"/>
        <w:jc w:val="both"/>
        <w:rPr>
          <w:rFonts w:cstheme="minorHAnsi"/>
          <w:b/>
          <w:bCs/>
        </w:rPr>
      </w:pPr>
      <w:r w:rsidRPr="005563F8">
        <w:rPr>
          <w:rFonts w:cstheme="minorHAnsi"/>
          <w:b/>
          <w:bCs/>
        </w:rPr>
        <w:t>Table 2</w:t>
      </w:r>
    </w:p>
    <w:p w14:paraId="76B48301" w14:textId="77777777" w:rsidR="00882AEF" w:rsidRPr="005563F8" w:rsidRDefault="00882AEF" w:rsidP="002A7D27">
      <w:pPr>
        <w:spacing w:line="276" w:lineRule="auto"/>
        <w:jc w:val="both"/>
        <w:rPr>
          <w:rFonts w:cstheme="minorHAnsi"/>
        </w:rPr>
      </w:pPr>
    </w:p>
    <w:p w14:paraId="14E56C43" w14:textId="0B9D4FA3" w:rsidR="00F60A20" w:rsidRPr="00524D3F" w:rsidRDefault="008E24C8" w:rsidP="00985ED4">
      <w:pPr>
        <w:spacing w:line="276" w:lineRule="auto"/>
        <w:jc w:val="both"/>
        <w:rPr>
          <w:rFonts w:cstheme="minorHAnsi"/>
          <w:b/>
          <w:bCs/>
        </w:rPr>
      </w:pPr>
      <w:r w:rsidRPr="00524D3F">
        <w:rPr>
          <w:rFonts w:cstheme="minorHAnsi"/>
          <w:b/>
          <w:bCs/>
        </w:rPr>
        <w:t xml:space="preserve">Mean </w:t>
      </w:r>
      <w:r w:rsidR="00524D3F" w:rsidRPr="00524D3F">
        <w:rPr>
          <w:rFonts w:cstheme="minorHAnsi"/>
          <w:b/>
          <w:bCs/>
        </w:rPr>
        <w:t>p</w:t>
      </w:r>
      <w:r w:rsidR="00985ED4" w:rsidRPr="00524D3F">
        <w:rPr>
          <w:rFonts w:cstheme="minorHAnsi"/>
          <w:b/>
          <w:bCs/>
        </w:rPr>
        <w:t xml:space="preserve">ain </w:t>
      </w:r>
      <w:r w:rsidR="00524D3F" w:rsidRPr="00524D3F">
        <w:rPr>
          <w:rFonts w:cstheme="minorHAnsi"/>
          <w:b/>
          <w:bCs/>
        </w:rPr>
        <w:t>o</w:t>
      </w:r>
      <w:r w:rsidR="00985ED4" w:rsidRPr="00524D3F">
        <w:rPr>
          <w:rFonts w:cstheme="minorHAnsi"/>
          <w:b/>
          <w:bCs/>
        </w:rPr>
        <w:t xml:space="preserve">utcomes </w:t>
      </w:r>
      <w:r w:rsidR="00F95449" w:rsidRPr="00524D3F">
        <w:rPr>
          <w:rFonts w:cstheme="minorHAnsi"/>
          <w:b/>
          <w:bCs/>
        </w:rPr>
        <w:t>for</w:t>
      </w:r>
      <w:r w:rsidR="00985ED4" w:rsidRPr="00524D3F">
        <w:rPr>
          <w:rFonts w:cstheme="minorHAnsi"/>
          <w:b/>
          <w:bCs/>
        </w:rPr>
        <w:t xml:space="preserve"> </w:t>
      </w:r>
      <w:r w:rsidR="00524D3F" w:rsidRPr="00524D3F">
        <w:rPr>
          <w:rFonts w:cstheme="minorHAnsi"/>
          <w:b/>
          <w:bCs/>
        </w:rPr>
        <w:t>a</w:t>
      </w:r>
      <w:r w:rsidR="0092342E" w:rsidRPr="00524D3F">
        <w:rPr>
          <w:rFonts w:cstheme="minorHAnsi"/>
          <w:b/>
          <w:bCs/>
        </w:rPr>
        <w:t xml:space="preserve">ll </w:t>
      </w:r>
      <w:r w:rsidR="00524D3F" w:rsidRPr="00524D3F">
        <w:rPr>
          <w:rFonts w:cstheme="minorHAnsi"/>
          <w:b/>
          <w:bCs/>
        </w:rPr>
        <w:t>p</w:t>
      </w:r>
      <w:r w:rsidR="0092342E" w:rsidRPr="00524D3F">
        <w:rPr>
          <w:rFonts w:cstheme="minorHAnsi"/>
          <w:b/>
          <w:bCs/>
        </w:rPr>
        <w:t>articipants</w:t>
      </w:r>
    </w:p>
    <w:p w14:paraId="0205DBA1" w14:textId="77777777" w:rsidR="00985ED4" w:rsidRPr="0073774C" w:rsidRDefault="00985ED4" w:rsidP="00985ED4">
      <w:pPr>
        <w:spacing w:line="276" w:lineRule="auto"/>
        <w:jc w:val="both"/>
        <w:rPr>
          <w:rFonts w:cstheme="minorHAnsi"/>
          <w:sz w:val="22"/>
          <w:szCs w:val="22"/>
        </w:rPr>
      </w:pPr>
    </w:p>
    <w:tbl>
      <w:tblPr>
        <w:tblW w:w="9100" w:type="dxa"/>
        <w:tblLook w:val="04A0" w:firstRow="1" w:lastRow="0" w:firstColumn="1" w:lastColumn="0" w:noHBand="0" w:noVBand="1"/>
      </w:tblPr>
      <w:tblGrid>
        <w:gridCol w:w="1336"/>
        <w:gridCol w:w="1300"/>
        <w:gridCol w:w="1300"/>
        <w:gridCol w:w="1300"/>
        <w:gridCol w:w="1300"/>
        <w:gridCol w:w="1300"/>
        <w:gridCol w:w="1300"/>
      </w:tblGrid>
      <w:tr w:rsidR="003B7576" w:rsidRPr="00757ED8" w14:paraId="03B01948" w14:textId="77777777" w:rsidTr="003B7576">
        <w:trPr>
          <w:trHeight w:val="320"/>
        </w:trPr>
        <w:tc>
          <w:tcPr>
            <w:tcW w:w="1300" w:type="dxa"/>
            <w:tcBorders>
              <w:top w:val="single" w:sz="4" w:space="0" w:color="auto"/>
              <w:left w:val="single" w:sz="4" w:space="0" w:color="auto"/>
              <w:bottom w:val="single" w:sz="4" w:space="0" w:color="auto"/>
              <w:right w:val="nil"/>
            </w:tcBorders>
            <w:shd w:val="clear" w:color="auto" w:fill="auto"/>
            <w:noWrap/>
            <w:vAlign w:val="bottom"/>
            <w:hideMark/>
          </w:tcPr>
          <w:p w14:paraId="478AE5EE" w14:textId="77777777" w:rsidR="003B7576" w:rsidRPr="00757ED8" w:rsidRDefault="003B7576" w:rsidP="003B7576">
            <w:pPr>
              <w:jc w:val="center"/>
              <w:rPr>
                <w:color w:val="000000"/>
              </w:rPr>
            </w:pPr>
            <w:r w:rsidRPr="00757ED8">
              <w:rPr>
                <w:color w:val="000000"/>
              </w:rPr>
              <w:t> </w:t>
            </w:r>
          </w:p>
        </w:tc>
        <w:tc>
          <w:tcPr>
            <w:tcW w:w="1300" w:type="dxa"/>
            <w:tcBorders>
              <w:top w:val="single" w:sz="4" w:space="0" w:color="auto"/>
              <w:left w:val="nil"/>
              <w:bottom w:val="single" w:sz="4" w:space="0" w:color="auto"/>
              <w:right w:val="nil"/>
            </w:tcBorders>
            <w:shd w:val="clear" w:color="auto" w:fill="auto"/>
            <w:noWrap/>
            <w:vAlign w:val="center"/>
            <w:hideMark/>
          </w:tcPr>
          <w:p w14:paraId="36A3BB5F" w14:textId="77777777" w:rsidR="003B7576" w:rsidRPr="00757ED8" w:rsidRDefault="003B7576" w:rsidP="003B7576">
            <w:pPr>
              <w:jc w:val="center"/>
              <w:rPr>
                <w:color w:val="000000"/>
              </w:rPr>
            </w:pPr>
            <w:r w:rsidRPr="00757ED8">
              <w:rPr>
                <w:color w:val="000000"/>
              </w:rPr>
              <w:t>count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257F22B" w14:textId="77777777" w:rsidR="003B7576" w:rsidRPr="00757ED8" w:rsidRDefault="003B7576" w:rsidP="003B7576">
            <w:pPr>
              <w:jc w:val="center"/>
              <w:rPr>
                <w:color w:val="000000"/>
              </w:rPr>
            </w:pPr>
            <w:r w:rsidRPr="00757ED8">
              <w:rPr>
                <w:color w:val="000000"/>
              </w:rPr>
              <w:t>percentage</w:t>
            </w:r>
          </w:p>
        </w:tc>
        <w:tc>
          <w:tcPr>
            <w:tcW w:w="1300" w:type="dxa"/>
            <w:tcBorders>
              <w:top w:val="single" w:sz="4" w:space="0" w:color="auto"/>
              <w:left w:val="nil"/>
              <w:bottom w:val="single" w:sz="4" w:space="0" w:color="auto"/>
              <w:right w:val="nil"/>
            </w:tcBorders>
            <w:shd w:val="clear" w:color="auto" w:fill="auto"/>
            <w:noWrap/>
            <w:vAlign w:val="center"/>
            <w:hideMark/>
          </w:tcPr>
          <w:p w14:paraId="42F2407A" w14:textId="7C7D563F" w:rsidR="003B7576" w:rsidRPr="00757ED8" w:rsidRDefault="003B7576" w:rsidP="003B7576">
            <w:pPr>
              <w:jc w:val="center"/>
              <w:rPr>
                <w:color w:val="000000"/>
              </w:rPr>
            </w:pPr>
            <w:r w:rsidRPr="00757ED8">
              <w:rPr>
                <w:color w:val="000000"/>
              </w:rPr>
              <w:t>Average severity</w:t>
            </w:r>
            <w:r w:rsidR="00294C64" w:rsidRPr="00757ED8">
              <w:rPr>
                <w:color w:val="000000"/>
              </w:rPr>
              <w:t xml:space="preserve"> (SD)</w:t>
            </w:r>
          </w:p>
        </w:tc>
        <w:tc>
          <w:tcPr>
            <w:tcW w:w="1300" w:type="dxa"/>
            <w:tcBorders>
              <w:top w:val="single" w:sz="4" w:space="0" w:color="auto"/>
              <w:left w:val="nil"/>
              <w:bottom w:val="single" w:sz="4" w:space="0" w:color="auto"/>
              <w:right w:val="nil"/>
            </w:tcBorders>
            <w:shd w:val="clear" w:color="auto" w:fill="auto"/>
            <w:noWrap/>
            <w:vAlign w:val="center"/>
            <w:hideMark/>
          </w:tcPr>
          <w:p w14:paraId="62A04E87" w14:textId="7792DA2C" w:rsidR="003B7576" w:rsidRPr="00757ED8" w:rsidRDefault="003B7576" w:rsidP="003B7576">
            <w:pPr>
              <w:jc w:val="center"/>
              <w:rPr>
                <w:color w:val="000000"/>
              </w:rPr>
            </w:pPr>
            <w:r w:rsidRPr="00757ED8">
              <w:rPr>
                <w:color w:val="000000"/>
              </w:rPr>
              <w:t>Time since onset</w:t>
            </w:r>
            <w:r w:rsidR="00294C64" w:rsidRPr="00757ED8">
              <w:rPr>
                <w:color w:val="000000"/>
              </w:rPr>
              <w:t xml:space="preserve"> (SD)</w:t>
            </w:r>
          </w:p>
        </w:tc>
        <w:tc>
          <w:tcPr>
            <w:tcW w:w="1300" w:type="dxa"/>
            <w:tcBorders>
              <w:top w:val="single" w:sz="4" w:space="0" w:color="auto"/>
              <w:left w:val="nil"/>
              <w:bottom w:val="single" w:sz="4" w:space="0" w:color="auto"/>
              <w:right w:val="nil"/>
            </w:tcBorders>
            <w:shd w:val="clear" w:color="auto" w:fill="auto"/>
            <w:noWrap/>
            <w:vAlign w:val="center"/>
            <w:hideMark/>
          </w:tcPr>
          <w:p w14:paraId="3AF17273" w14:textId="4AFBFC76" w:rsidR="003B7576" w:rsidRPr="00757ED8" w:rsidRDefault="003B7576" w:rsidP="003B7576">
            <w:pPr>
              <w:jc w:val="center"/>
              <w:rPr>
                <w:color w:val="000000"/>
              </w:rPr>
            </w:pPr>
            <w:r w:rsidRPr="00757ED8">
              <w:rPr>
                <w:color w:val="000000"/>
              </w:rPr>
              <w:t>Average frequency</w:t>
            </w:r>
            <w:r w:rsidR="00294C64" w:rsidRPr="00757ED8">
              <w:rPr>
                <w:color w:val="000000"/>
              </w:rPr>
              <w:t xml:space="preserve"> (SD)</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BC084B6" w14:textId="6D3CB3EE" w:rsidR="003B7576" w:rsidRPr="00757ED8" w:rsidRDefault="003B7576" w:rsidP="003B7576">
            <w:pPr>
              <w:jc w:val="center"/>
              <w:rPr>
                <w:color w:val="000000"/>
              </w:rPr>
            </w:pPr>
            <w:r w:rsidRPr="00757ED8">
              <w:rPr>
                <w:color w:val="000000"/>
              </w:rPr>
              <w:t>Average duration</w:t>
            </w:r>
            <w:r w:rsidR="00294C64" w:rsidRPr="00757ED8">
              <w:rPr>
                <w:color w:val="000000"/>
              </w:rPr>
              <w:t xml:space="preserve"> (SD)</w:t>
            </w:r>
            <w:r w:rsidRPr="00757ED8">
              <w:rPr>
                <w:color w:val="000000"/>
              </w:rPr>
              <w:t xml:space="preserve"> </w:t>
            </w:r>
          </w:p>
        </w:tc>
      </w:tr>
      <w:tr w:rsidR="003B7576" w:rsidRPr="00757ED8" w14:paraId="34327C65" w14:textId="77777777" w:rsidTr="003B7576">
        <w:trPr>
          <w:trHeight w:val="320"/>
        </w:trPr>
        <w:tc>
          <w:tcPr>
            <w:tcW w:w="1300" w:type="dxa"/>
            <w:tcBorders>
              <w:top w:val="nil"/>
              <w:left w:val="single" w:sz="4" w:space="0" w:color="auto"/>
              <w:bottom w:val="nil"/>
              <w:right w:val="nil"/>
            </w:tcBorders>
            <w:shd w:val="clear" w:color="auto" w:fill="auto"/>
            <w:noWrap/>
            <w:vAlign w:val="bottom"/>
            <w:hideMark/>
          </w:tcPr>
          <w:p w14:paraId="15C6867F" w14:textId="77777777" w:rsidR="003B7576" w:rsidRPr="00757ED8" w:rsidRDefault="003B7576" w:rsidP="003B7576">
            <w:pPr>
              <w:jc w:val="center"/>
              <w:rPr>
                <w:color w:val="000000"/>
              </w:rPr>
            </w:pPr>
            <w:r w:rsidRPr="00757ED8">
              <w:rPr>
                <w:color w:val="000000"/>
              </w:rPr>
              <w:t>Lower Back</w:t>
            </w:r>
          </w:p>
        </w:tc>
        <w:tc>
          <w:tcPr>
            <w:tcW w:w="1300" w:type="dxa"/>
            <w:tcBorders>
              <w:top w:val="nil"/>
              <w:left w:val="nil"/>
              <w:bottom w:val="nil"/>
              <w:right w:val="nil"/>
            </w:tcBorders>
            <w:shd w:val="clear" w:color="auto" w:fill="auto"/>
            <w:noWrap/>
            <w:vAlign w:val="bottom"/>
            <w:hideMark/>
          </w:tcPr>
          <w:p w14:paraId="7C227779" w14:textId="77777777" w:rsidR="003B7576" w:rsidRPr="00757ED8" w:rsidRDefault="003B7576" w:rsidP="003B7576">
            <w:pPr>
              <w:jc w:val="center"/>
              <w:rPr>
                <w:color w:val="000000"/>
              </w:rPr>
            </w:pPr>
            <w:r w:rsidRPr="00757ED8">
              <w:rPr>
                <w:color w:val="000000"/>
              </w:rPr>
              <w:t>172</w:t>
            </w:r>
          </w:p>
        </w:tc>
        <w:tc>
          <w:tcPr>
            <w:tcW w:w="1300" w:type="dxa"/>
            <w:tcBorders>
              <w:top w:val="nil"/>
              <w:left w:val="nil"/>
              <w:bottom w:val="nil"/>
              <w:right w:val="single" w:sz="4" w:space="0" w:color="auto"/>
            </w:tcBorders>
            <w:shd w:val="clear" w:color="auto" w:fill="auto"/>
            <w:noWrap/>
            <w:vAlign w:val="bottom"/>
            <w:hideMark/>
          </w:tcPr>
          <w:p w14:paraId="514E45C8" w14:textId="746A60C5" w:rsidR="003B7576" w:rsidRPr="00757ED8" w:rsidRDefault="003B7576" w:rsidP="003B7576">
            <w:pPr>
              <w:jc w:val="center"/>
              <w:rPr>
                <w:color w:val="000000"/>
              </w:rPr>
            </w:pPr>
            <w:r w:rsidRPr="00757ED8">
              <w:rPr>
                <w:color w:val="000000"/>
              </w:rPr>
              <w:t>89.1</w:t>
            </w:r>
          </w:p>
        </w:tc>
        <w:tc>
          <w:tcPr>
            <w:tcW w:w="1300" w:type="dxa"/>
            <w:tcBorders>
              <w:top w:val="nil"/>
              <w:left w:val="nil"/>
              <w:bottom w:val="nil"/>
              <w:right w:val="nil"/>
            </w:tcBorders>
            <w:shd w:val="clear" w:color="auto" w:fill="auto"/>
            <w:noWrap/>
            <w:vAlign w:val="bottom"/>
            <w:hideMark/>
          </w:tcPr>
          <w:p w14:paraId="42D7E7FE" w14:textId="30102C72" w:rsidR="003B7576" w:rsidRPr="00757ED8" w:rsidRDefault="003B7576" w:rsidP="003B7576">
            <w:pPr>
              <w:jc w:val="center"/>
              <w:rPr>
                <w:color w:val="000000"/>
              </w:rPr>
            </w:pPr>
            <w:r w:rsidRPr="00757ED8">
              <w:rPr>
                <w:color w:val="000000"/>
              </w:rPr>
              <w:t>3.15</w:t>
            </w:r>
            <w:r w:rsidR="00294C64" w:rsidRPr="00757ED8">
              <w:rPr>
                <w:color w:val="000000"/>
              </w:rPr>
              <w:t>(.88)</w:t>
            </w:r>
          </w:p>
        </w:tc>
        <w:tc>
          <w:tcPr>
            <w:tcW w:w="1300" w:type="dxa"/>
            <w:tcBorders>
              <w:top w:val="nil"/>
              <w:left w:val="nil"/>
              <w:bottom w:val="nil"/>
              <w:right w:val="nil"/>
            </w:tcBorders>
            <w:shd w:val="clear" w:color="auto" w:fill="auto"/>
            <w:noWrap/>
            <w:vAlign w:val="bottom"/>
            <w:hideMark/>
          </w:tcPr>
          <w:p w14:paraId="6FEBC90C" w14:textId="63ADE00C" w:rsidR="003B7576" w:rsidRPr="00757ED8" w:rsidRDefault="003B7576" w:rsidP="003B7576">
            <w:pPr>
              <w:jc w:val="center"/>
              <w:rPr>
                <w:color w:val="000000"/>
              </w:rPr>
            </w:pPr>
            <w:r w:rsidRPr="00757ED8">
              <w:rPr>
                <w:color w:val="000000"/>
              </w:rPr>
              <w:t>4.07</w:t>
            </w:r>
            <w:r w:rsidR="00294C64" w:rsidRPr="00757ED8">
              <w:rPr>
                <w:color w:val="000000"/>
              </w:rPr>
              <w:t>(1.55)</w:t>
            </w:r>
          </w:p>
        </w:tc>
        <w:tc>
          <w:tcPr>
            <w:tcW w:w="1300" w:type="dxa"/>
            <w:tcBorders>
              <w:top w:val="nil"/>
              <w:left w:val="nil"/>
              <w:bottom w:val="nil"/>
              <w:right w:val="nil"/>
            </w:tcBorders>
            <w:shd w:val="clear" w:color="auto" w:fill="auto"/>
            <w:noWrap/>
            <w:vAlign w:val="bottom"/>
            <w:hideMark/>
          </w:tcPr>
          <w:p w14:paraId="438CC007" w14:textId="57EE618B" w:rsidR="003B7576" w:rsidRPr="00757ED8" w:rsidRDefault="003B7576" w:rsidP="003B7576">
            <w:pPr>
              <w:jc w:val="center"/>
              <w:rPr>
                <w:color w:val="000000"/>
              </w:rPr>
            </w:pPr>
            <w:r w:rsidRPr="00757ED8">
              <w:rPr>
                <w:color w:val="000000"/>
              </w:rPr>
              <w:t>3.80</w:t>
            </w:r>
            <w:r w:rsidR="00294C64" w:rsidRPr="00757ED8">
              <w:rPr>
                <w:color w:val="000000"/>
              </w:rPr>
              <w:t>(1.52)</w:t>
            </w:r>
          </w:p>
        </w:tc>
        <w:tc>
          <w:tcPr>
            <w:tcW w:w="1300" w:type="dxa"/>
            <w:tcBorders>
              <w:top w:val="nil"/>
              <w:left w:val="nil"/>
              <w:bottom w:val="nil"/>
              <w:right w:val="single" w:sz="4" w:space="0" w:color="auto"/>
            </w:tcBorders>
            <w:shd w:val="clear" w:color="auto" w:fill="auto"/>
            <w:noWrap/>
            <w:vAlign w:val="bottom"/>
            <w:hideMark/>
          </w:tcPr>
          <w:p w14:paraId="09AFB153" w14:textId="4CFE98C6" w:rsidR="003B7576" w:rsidRPr="00757ED8" w:rsidRDefault="003B7576" w:rsidP="003B7576">
            <w:pPr>
              <w:jc w:val="center"/>
              <w:rPr>
                <w:color w:val="000000"/>
              </w:rPr>
            </w:pPr>
            <w:r w:rsidRPr="00757ED8">
              <w:rPr>
                <w:color w:val="000000"/>
              </w:rPr>
              <w:t>2.84</w:t>
            </w:r>
            <w:r w:rsidR="00294C64" w:rsidRPr="00757ED8">
              <w:rPr>
                <w:color w:val="000000"/>
              </w:rPr>
              <w:t xml:space="preserve"> (1.87)</w:t>
            </w:r>
          </w:p>
        </w:tc>
      </w:tr>
      <w:tr w:rsidR="003B7576" w:rsidRPr="00757ED8" w14:paraId="68BD5FEF" w14:textId="77777777" w:rsidTr="003B7576">
        <w:trPr>
          <w:trHeight w:val="320"/>
        </w:trPr>
        <w:tc>
          <w:tcPr>
            <w:tcW w:w="1300" w:type="dxa"/>
            <w:tcBorders>
              <w:top w:val="nil"/>
              <w:left w:val="single" w:sz="4" w:space="0" w:color="auto"/>
              <w:bottom w:val="nil"/>
              <w:right w:val="nil"/>
            </w:tcBorders>
            <w:shd w:val="clear" w:color="auto" w:fill="auto"/>
            <w:noWrap/>
            <w:vAlign w:val="bottom"/>
            <w:hideMark/>
          </w:tcPr>
          <w:p w14:paraId="0FDAEDDC" w14:textId="77777777" w:rsidR="003B7576" w:rsidRPr="00757ED8" w:rsidRDefault="003B7576" w:rsidP="003B7576">
            <w:pPr>
              <w:jc w:val="center"/>
              <w:rPr>
                <w:color w:val="000000"/>
              </w:rPr>
            </w:pPr>
            <w:r w:rsidRPr="00757ED8">
              <w:rPr>
                <w:color w:val="000000"/>
              </w:rPr>
              <w:t>Neck</w:t>
            </w:r>
          </w:p>
        </w:tc>
        <w:tc>
          <w:tcPr>
            <w:tcW w:w="1300" w:type="dxa"/>
            <w:tcBorders>
              <w:top w:val="nil"/>
              <w:left w:val="nil"/>
              <w:bottom w:val="nil"/>
              <w:right w:val="nil"/>
            </w:tcBorders>
            <w:shd w:val="clear" w:color="auto" w:fill="auto"/>
            <w:noWrap/>
            <w:vAlign w:val="bottom"/>
            <w:hideMark/>
          </w:tcPr>
          <w:p w14:paraId="5CE3C91E" w14:textId="77777777" w:rsidR="003B7576" w:rsidRPr="00757ED8" w:rsidRDefault="003B7576" w:rsidP="003B7576">
            <w:pPr>
              <w:jc w:val="center"/>
              <w:rPr>
                <w:color w:val="000000"/>
              </w:rPr>
            </w:pPr>
            <w:r w:rsidRPr="00757ED8">
              <w:rPr>
                <w:color w:val="000000"/>
              </w:rPr>
              <w:t>123</w:t>
            </w:r>
          </w:p>
        </w:tc>
        <w:tc>
          <w:tcPr>
            <w:tcW w:w="1300" w:type="dxa"/>
            <w:tcBorders>
              <w:top w:val="nil"/>
              <w:left w:val="nil"/>
              <w:bottom w:val="nil"/>
              <w:right w:val="single" w:sz="4" w:space="0" w:color="auto"/>
            </w:tcBorders>
            <w:shd w:val="clear" w:color="auto" w:fill="auto"/>
            <w:noWrap/>
            <w:vAlign w:val="bottom"/>
            <w:hideMark/>
          </w:tcPr>
          <w:p w14:paraId="29A76695" w14:textId="300F6BB0" w:rsidR="003B7576" w:rsidRPr="00757ED8" w:rsidRDefault="003B7576" w:rsidP="003B7576">
            <w:pPr>
              <w:jc w:val="center"/>
              <w:rPr>
                <w:color w:val="000000"/>
              </w:rPr>
            </w:pPr>
            <w:r w:rsidRPr="00757ED8">
              <w:rPr>
                <w:color w:val="000000"/>
              </w:rPr>
              <w:t>63.7</w:t>
            </w:r>
          </w:p>
        </w:tc>
        <w:tc>
          <w:tcPr>
            <w:tcW w:w="1300" w:type="dxa"/>
            <w:tcBorders>
              <w:top w:val="nil"/>
              <w:left w:val="nil"/>
              <w:bottom w:val="nil"/>
              <w:right w:val="nil"/>
            </w:tcBorders>
            <w:shd w:val="clear" w:color="auto" w:fill="auto"/>
            <w:noWrap/>
            <w:vAlign w:val="bottom"/>
            <w:hideMark/>
          </w:tcPr>
          <w:p w14:paraId="16171E13" w14:textId="675F0849" w:rsidR="003B7576" w:rsidRPr="00757ED8" w:rsidRDefault="003B7576" w:rsidP="003B7576">
            <w:pPr>
              <w:jc w:val="center"/>
              <w:rPr>
                <w:color w:val="000000"/>
              </w:rPr>
            </w:pPr>
            <w:r w:rsidRPr="00757ED8">
              <w:rPr>
                <w:color w:val="000000"/>
              </w:rPr>
              <w:t>2.54</w:t>
            </w:r>
            <w:r w:rsidR="00294C64" w:rsidRPr="00757ED8">
              <w:rPr>
                <w:color w:val="000000"/>
              </w:rPr>
              <w:t>(.82)</w:t>
            </w:r>
          </w:p>
        </w:tc>
        <w:tc>
          <w:tcPr>
            <w:tcW w:w="1300" w:type="dxa"/>
            <w:tcBorders>
              <w:top w:val="nil"/>
              <w:left w:val="nil"/>
              <w:bottom w:val="nil"/>
              <w:right w:val="nil"/>
            </w:tcBorders>
            <w:shd w:val="clear" w:color="auto" w:fill="auto"/>
            <w:noWrap/>
            <w:vAlign w:val="bottom"/>
            <w:hideMark/>
          </w:tcPr>
          <w:p w14:paraId="0FE97E5F" w14:textId="3E54A3D8" w:rsidR="003B7576" w:rsidRPr="00757ED8" w:rsidRDefault="003B7576" w:rsidP="003B7576">
            <w:pPr>
              <w:jc w:val="center"/>
              <w:rPr>
                <w:color w:val="000000"/>
              </w:rPr>
            </w:pPr>
            <w:r w:rsidRPr="00757ED8">
              <w:rPr>
                <w:color w:val="000000"/>
              </w:rPr>
              <w:t>4.14</w:t>
            </w:r>
            <w:r w:rsidR="00294C64" w:rsidRPr="00757ED8">
              <w:rPr>
                <w:color w:val="000000"/>
              </w:rPr>
              <w:t>(1.36)</w:t>
            </w:r>
          </w:p>
        </w:tc>
        <w:tc>
          <w:tcPr>
            <w:tcW w:w="1300" w:type="dxa"/>
            <w:tcBorders>
              <w:top w:val="nil"/>
              <w:left w:val="nil"/>
              <w:bottom w:val="nil"/>
              <w:right w:val="nil"/>
            </w:tcBorders>
            <w:shd w:val="clear" w:color="auto" w:fill="auto"/>
            <w:noWrap/>
            <w:vAlign w:val="bottom"/>
            <w:hideMark/>
          </w:tcPr>
          <w:p w14:paraId="0BA1B039" w14:textId="4FC6131F" w:rsidR="003B7576" w:rsidRPr="00757ED8" w:rsidRDefault="003B7576" w:rsidP="003B7576">
            <w:pPr>
              <w:jc w:val="center"/>
              <w:rPr>
                <w:color w:val="000000"/>
              </w:rPr>
            </w:pPr>
            <w:r w:rsidRPr="00757ED8">
              <w:rPr>
                <w:color w:val="000000"/>
              </w:rPr>
              <w:t>3.46</w:t>
            </w:r>
            <w:r w:rsidR="00294C64" w:rsidRPr="00757ED8">
              <w:rPr>
                <w:color w:val="000000"/>
              </w:rPr>
              <w:t>(1.6)</w:t>
            </w:r>
          </w:p>
        </w:tc>
        <w:tc>
          <w:tcPr>
            <w:tcW w:w="1300" w:type="dxa"/>
            <w:tcBorders>
              <w:top w:val="nil"/>
              <w:left w:val="nil"/>
              <w:bottom w:val="nil"/>
              <w:right w:val="single" w:sz="4" w:space="0" w:color="auto"/>
            </w:tcBorders>
            <w:shd w:val="clear" w:color="auto" w:fill="auto"/>
            <w:noWrap/>
            <w:vAlign w:val="bottom"/>
            <w:hideMark/>
          </w:tcPr>
          <w:p w14:paraId="54F2268A" w14:textId="24F03DE7" w:rsidR="003B7576" w:rsidRPr="00757ED8" w:rsidRDefault="003B7576" w:rsidP="003B7576">
            <w:pPr>
              <w:jc w:val="center"/>
              <w:rPr>
                <w:color w:val="000000"/>
              </w:rPr>
            </w:pPr>
            <w:r w:rsidRPr="00757ED8">
              <w:rPr>
                <w:color w:val="000000"/>
              </w:rPr>
              <w:t>2.24</w:t>
            </w:r>
            <w:r w:rsidR="00294C64" w:rsidRPr="00757ED8">
              <w:rPr>
                <w:color w:val="000000"/>
              </w:rPr>
              <w:t>(1.71)</w:t>
            </w:r>
          </w:p>
        </w:tc>
      </w:tr>
      <w:tr w:rsidR="003B7576" w:rsidRPr="00757ED8" w14:paraId="407C5122" w14:textId="77777777" w:rsidTr="003B7576">
        <w:trPr>
          <w:trHeight w:val="320"/>
        </w:trPr>
        <w:tc>
          <w:tcPr>
            <w:tcW w:w="1300" w:type="dxa"/>
            <w:tcBorders>
              <w:top w:val="nil"/>
              <w:left w:val="single" w:sz="4" w:space="0" w:color="auto"/>
              <w:bottom w:val="nil"/>
              <w:right w:val="nil"/>
            </w:tcBorders>
            <w:shd w:val="clear" w:color="auto" w:fill="auto"/>
            <w:noWrap/>
            <w:vAlign w:val="bottom"/>
            <w:hideMark/>
          </w:tcPr>
          <w:p w14:paraId="441651EE" w14:textId="77777777" w:rsidR="003B7576" w:rsidRPr="00757ED8" w:rsidRDefault="003B7576" w:rsidP="003B7576">
            <w:pPr>
              <w:jc w:val="center"/>
              <w:rPr>
                <w:color w:val="000000"/>
              </w:rPr>
            </w:pPr>
            <w:r w:rsidRPr="00757ED8">
              <w:rPr>
                <w:color w:val="000000"/>
              </w:rPr>
              <w:t>Knee(s)</w:t>
            </w:r>
          </w:p>
        </w:tc>
        <w:tc>
          <w:tcPr>
            <w:tcW w:w="1300" w:type="dxa"/>
            <w:tcBorders>
              <w:top w:val="nil"/>
              <w:left w:val="nil"/>
              <w:bottom w:val="nil"/>
              <w:right w:val="nil"/>
            </w:tcBorders>
            <w:shd w:val="clear" w:color="auto" w:fill="auto"/>
            <w:noWrap/>
            <w:vAlign w:val="bottom"/>
            <w:hideMark/>
          </w:tcPr>
          <w:p w14:paraId="2751E5D6" w14:textId="77777777" w:rsidR="003B7576" w:rsidRPr="00757ED8" w:rsidRDefault="003B7576" w:rsidP="003B7576">
            <w:pPr>
              <w:jc w:val="center"/>
              <w:rPr>
                <w:color w:val="000000"/>
              </w:rPr>
            </w:pPr>
            <w:r w:rsidRPr="00757ED8">
              <w:rPr>
                <w:color w:val="000000"/>
              </w:rPr>
              <w:t>122</w:t>
            </w:r>
          </w:p>
        </w:tc>
        <w:tc>
          <w:tcPr>
            <w:tcW w:w="1300" w:type="dxa"/>
            <w:tcBorders>
              <w:top w:val="nil"/>
              <w:left w:val="nil"/>
              <w:bottom w:val="nil"/>
              <w:right w:val="single" w:sz="4" w:space="0" w:color="auto"/>
            </w:tcBorders>
            <w:shd w:val="clear" w:color="auto" w:fill="auto"/>
            <w:noWrap/>
            <w:vAlign w:val="bottom"/>
            <w:hideMark/>
          </w:tcPr>
          <w:p w14:paraId="0BEB1C6F" w14:textId="5AA31E05" w:rsidR="003B7576" w:rsidRPr="00757ED8" w:rsidRDefault="003B7576" w:rsidP="003B7576">
            <w:pPr>
              <w:jc w:val="center"/>
              <w:rPr>
                <w:color w:val="000000"/>
              </w:rPr>
            </w:pPr>
            <w:r w:rsidRPr="00757ED8">
              <w:rPr>
                <w:color w:val="000000"/>
              </w:rPr>
              <w:t>63.2</w:t>
            </w:r>
          </w:p>
        </w:tc>
        <w:tc>
          <w:tcPr>
            <w:tcW w:w="1300" w:type="dxa"/>
            <w:tcBorders>
              <w:top w:val="nil"/>
              <w:left w:val="nil"/>
              <w:bottom w:val="nil"/>
              <w:right w:val="nil"/>
            </w:tcBorders>
            <w:shd w:val="clear" w:color="auto" w:fill="auto"/>
            <w:noWrap/>
            <w:vAlign w:val="bottom"/>
            <w:hideMark/>
          </w:tcPr>
          <w:p w14:paraId="55AE920F" w14:textId="185710B2" w:rsidR="003B7576" w:rsidRPr="00757ED8" w:rsidRDefault="003B7576" w:rsidP="003B7576">
            <w:pPr>
              <w:jc w:val="center"/>
              <w:rPr>
                <w:color w:val="000000"/>
              </w:rPr>
            </w:pPr>
            <w:r w:rsidRPr="00757ED8">
              <w:rPr>
                <w:color w:val="000000"/>
              </w:rPr>
              <w:t>2.74</w:t>
            </w:r>
            <w:r w:rsidR="006B29EE" w:rsidRPr="00757ED8">
              <w:rPr>
                <w:color w:val="000000"/>
              </w:rPr>
              <w:t xml:space="preserve"> (.96</w:t>
            </w:r>
          </w:p>
        </w:tc>
        <w:tc>
          <w:tcPr>
            <w:tcW w:w="1300" w:type="dxa"/>
            <w:tcBorders>
              <w:top w:val="nil"/>
              <w:left w:val="nil"/>
              <w:bottom w:val="nil"/>
              <w:right w:val="nil"/>
            </w:tcBorders>
            <w:shd w:val="clear" w:color="auto" w:fill="auto"/>
            <w:noWrap/>
            <w:vAlign w:val="bottom"/>
            <w:hideMark/>
          </w:tcPr>
          <w:p w14:paraId="25262B15" w14:textId="2B41A94B" w:rsidR="003B7576" w:rsidRPr="00757ED8" w:rsidRDefault="003B7576" w:rsidP="003B7576">
            <w:pPr>
              <w:jc w:val="center"/>
              <w:rPr>
                <w:color w:val="000000"/>
              </w:rPr>
            </w:pPr>
            <w:r w:rsidRPr="00757ED8">
              <w:rPr>
                <w:color w:val="000000"/>
              </w:rPr>
              <w:t>4.25</w:t>
            </w:r>
            <w:r w:rsidR="006B29EE" w:rsidRPr="00757ED8">
              <w:rPr>
                <w:color w:val="000000"/>
              </w:rPr>
              <w:t>(1.31)</w:t>
            </w:r>
          </w:p>
        </w:tc>
        <w:tc>
          <w:tcPr>
            <w:tcW w:w="1300" w:type="dxa"/>
            <w:tcBorders>
              <w:top w:val="nil"/>
              <w:left w:val="nil"/>
              <w:bottom w:val="nil"/>
              <w:right w:val="nil"/>
            </w:tcBorders>
            <w:shd w:val="clear" w:color="auto" w:fill="auto"/>
            <w:noWrap/>
            <w:vAlign w:val="bottom"/>
            <w:hideMark/>
          </w:tcPr>
          <w:p w14:paraId="444F921B" w14:textId="06154137" w:rsidR="003B7576" w:rsidRPr="00757ED8" w:rsidRDefault="003B7576" w:rsidP="003B7576">
            <w:pPr>
              <w:jc w:val="center"/>
              <w:rPr>
                <w:color w:val="000000"/>
              </w:rPr>
            </w:pPr>
            <w:r w:rsidRPr="00757ED8">
              <w:rPr>
                <w:color w:val="000000"/>
              </w:rPr>
              <w:t>3.74</w:t>
            </w:r>
            <w:r w:rsidR="006B29EE" w:rsidRPr="00757ED8">
              <w:rPr>
                <w:color w:val="000000"/>
              </w:rPr>
              <w:t>(1.48)</w:t>
            </w:r>
          </w:p>
        </w:tc>
        <w:tc>
          <w:tcPr>
            <w:tcW w:w="1300" w:type="dxa"/>
            <w:tcBorders>
              <w:top w:val="nil"/>
              <w:left w:val="nil"/>
              <w:bottom w:val="nil"/>
              <w:right w:val="single" w:sz="4" w:space="0" w:color="auto"/>
            </w:tcBorders>
            <w:shd w:val="clear" w:color="auto" w:fill="auto"/>
            <w:noWrap/>
            <w:vAlign w:val="bottom"/>
            <w:hideMark/>
          </w:tcPr>
          <w:p w14:paraId="3BA4E89B" w14:textId="7625B3F8" w:rsidR="003B7576" w:rsidRPr="00757ED8" w:rsidRDefault="003B7576" w:rsidP="003B7576">
            <w:pPr>
              <w:jc w:val="center"/>
              <w:rPr>
                <w:color w:val="000000"/>
              </w:rPr>
            </w:pPr>
            <w:r w:rsidRPr="00757ED8">
              <w:rPr>
                <w:color w:val="000000"/>
              </w:rPr>
              <w:t>2.64</w:t>
            </w:r>
            <w:r w:rsidR="006B29EE" w:rsidRPr="00757ED8">
              <w:rPr>
                <w:color w:val="000000"/>
              </w:rPr>
              <w:t>(1.93)</w:t>
            </w:r>
          </w:p>
        </w:tc>
      </w:tr>
      <w:tr w:rsidR="003B7576" w:rsidRPr="00757ED8" w14:paraId="274F112C" w14:textId="77777777" w:rsidTr="003B7576">
        <w:trPr>
          <w:trHeight w:val="320"/>
        </w:trPr>
        <w:tc>
          <w:tcPr>
            <w:tcW w:w="1300" w:type="dxa"/>
            <w:tcBorders>
              <w:top w:val="nil"/>
              <w:left w:val="single" w:sz="4" w:space="0" w:color="auto"/>
              <w:bottom w:val="nil"/>
              <w:right w:val="nil"/>
            </w:tcBorders>
            <w:shd w:val="clear" w:color="auto" w:fill="auto"/>
            <w:noWrap/>
            <w:vAlign w:val="bottom"/>
            <w:hideMark/>
          </w:tcPr>
          <w:p w14:paraId="7C41627C" w14:textId="77777777" w:rsidR="003B7576" w:rsidRPr="00757ED8" w:rsidRDefault="003B7576" w:rsidP="003B7576">
            <w:pPr>
              <w:jc w:val="center"/>
              <w:rPr>
                <w:color w:val="000000"/>
              </w:rPr>
            </w:pPr>
            <w:r w:rsidRPr="00757ED8">
              <w:rPr>
                <w:color w:val="000000"/>
              </w:rPr>
              <w:t>Shoulder(s)</w:t>
            </w:r>
          </w:p>
        </w:tc>
        <w:tc>
          <w:tcPr>
            <w:tcW w:w="1300" w:type="dxa"/>
            <w:tcBorders>
              <w:top w:val="nil"/>
              <w:left w:val="nil"/>
              <w:bottom w:val="nil"/>
              <w:right w:val="nil"/>
            </w:tcBorders>
            <w:shd w:val="clear" w:color="auto" w:fill="auto"/>
            <w:noWrap/>
            <w:vAlign w:val="bottom"/>
            <w:hideMark/>
          </w:tcPr>
          <w:p w14:paraId="736C26C8" w14:textId="77777777" w:rsidR="003B7576" w:rsidRPr="00757ED8" w:rsidRDefault="003B7576" w:rsidP="003B7576">
            <w:pPr>
              <w:jc w:val="center"/>
              <w:rPr>
                <w:color w:val="000000"/>
              </w:rPr>
            </w:pPr>
            <w:r w:rsidRPr="00757ED8">
              <w:rPr>
                <w:color w:val="000000"/>
              </w:rPr>
              <w:t>114</w:t>
            </w:r>
          </w:p>
        </w:tc>
        <w:tc>
          <w:tcPr>
            <w:tcW w:w="1300" w:type="dxa"/>
            <w:tcBorders>
              <w:top w:val="nil"/>
              <w:left w:val="nil"/>
              <w:bottom w:val="nil"/>
              <w:right w:val="single" w:sz="4" w:space="0" w:color="auto"/>
            </w:tcBorders>
            <w:shd w:val="clear" w:color="auto" w:fill="auto"/>
            <w:noWrap/>
            <w:vAlign w:val="bottom"/>
            <w:hideMark/>
          </w:tcPr>
          <w:p w14:paraId="1718AAB0" w14:textId="2D9B1DAF" w:rsidR="003B7576" w:rsidRPr="00757ED8" w:rsidRDefault="003B7576" w:rsidP="003B7576">
            <w:pPr>
              <w:jc w:val="center"/>
              <w:rPr>
                <w:color w:val="000000"/>
              </w:rPr>
            </w:pPr>
            <w:r w:rsidRPr="00757ED8">
              <w:rPr>
                <w:color w:val="000000"/>
              </w:rPr>
              <w:t>59.</w:t>
            </w:r>
            <w:r w:rsidR="00842004">
              <w:rPr>
                <w:color w:val="000000"/>
              </w:rPr>
              <w:t>1</w:t>
            </w:r>
          </w:p>
        </w:tc>
        <w:tc>
          <w:tcPr>
            <w:tcW w:w="1300" w:type="dxa"/>
            <w:tcBorders>
              <w:top w:val="nil"/>
              <w:left w:val="nil"/>
              <w:bottom w:val="nil"/>
              <w:right w:val="nil"/>
            </w:tcBorders>
            <w:shd w:val="clear" w:color="auto" w:fill="auto"/>
            <w:noWrap/>
            <w:vAlign w:val="bottom"/>
            <w:hideMark/>
          </w:tcPr>
          <w:p w14:paraId="2858E84C" w14:textId="52588600" w:rsidR="003B7576" w:rsidRPr="00757ED8" w:rsidRDefault="003B7576" w:rsidP="003B7576">
            <w:pPr>
              <w:jc w:val="center"/>
              <w:rPr>
                <w:color w:val="000000"/>
              </w:rPr>
            </w:pPr>
            <w:r w:rsidRPr="00757ED8">
              <w:rPr>
                <w:color w:val="000000"/>
              </w:rPr>
              <w:t>2.62</w:t>
            </w:r>
            <w:r w:rsidR="00294C64" w:rsidRPr="00757ED8">
              <w:rPr>
                <w:color w:val="000000"/>
              </w:rPr>
              <w:t>(.85)</w:t>
            </w:r>
          </w:p>
        </w:tc>
        <w:tc>
          <w:tcPr>
            <w:tcW w:w="1300" w:type="dxa"/>
            <w:tcBorders>
              <w:top w:val="nil"/>
              <w:left w:val="nil"/>
              <w:bottom w:val="nil"/>
              <w:right w:val="nil"/>
            </w:tcBorders>
            <w:shd w:val="clear" w:color="auto" w:fill="auto"/>
            <w:noWrap/>
            <w:vAlign w:val="bottom"/>
            <w:hideMark/>
          </w:tcPr>
          <w:p w14:paraId="75D47496" w14:textId="673D1500" w:rsidR="003B7576" w:rsidRPr="00757ED8" w:rsidRDefault="003B7576" w:rsidP="003B7576">
            <w:pPr>
              <w:jc w:val="center"/>
              <w:rPr>
                <w:color w:val="000000"/>
              </w:rPr>
            </w:pPr>
            <w:r w:rsidRPr="00757ED8">
              <w:rPr>
                <w:color w:val="000000"/>
              </w:rPr>
              <w:t>3.97</w:t>
            </w:r>
            <w:r w:rsidR="00294C64" w:rsidRPr="00757ED8">
              <w:rPr>
                <w:color w:val="000000"/>
              </w:rPr>
              <w:t>(1.53)</w:t>
            </w:r>
          </w:p>
        </w:tc>
        <w:tc>
          <w:tcPr>
            <w:tcW w:w="1300" w:type="dxa"/>
            <w:tcBorders>
              <w:top w:val="nil"/>
              <w:left w:val="nil"/>
              <w:bottom w:val="nil"/>
              <w:right w:val="nil"/>
            </w:tcBorders>
            <w:shd w:val="clear" w:color="auto" w:fill="auto"/>
            <w:noWrap/>
            <w:vAlign w:val="bottom"/>
            <w:hideMark/>
          </w:tcPr>
          <w:p w14:paraId="72899B8B" w14:textId="3F563982" w:rsidR="003B7576" w:rsidRPr="00757ED8" w:rsidRDefault="003B7576" w:rsidP="003B7576">
            <w:pPr>
              <w:jc w:val="center"/>
              <w:rPr>
                <w:color w:val="000000"/>
              </w:rPr>
            </w:pPr>
            <w:r w:rsidRPr="00757ED8">
              <w:rPr>
                <w:color w:val="000000"/>
              </w:rPr>
              <w:t>3.71</w:t>
            </w:r>
            <w:r w:rsidR="00294C64" w:rsidRPr="00757ED8">
              <w:rPr>
                <w:color w:val="000000"/>
              </w:rPr>
              <w:t>(1.50)</w:t>
            </w:r>
          </w:p>
        </w:tc>
        <w:tc>
          <w:tcPr>
            <w:tcW w:w="1300" w:type="dxa"/>
            <w:tcBorders>
              <w:top w:val="nil"/>
              <w:left w:val="nil"/>
              <w:bottom w:val="nil"/>
              <w:right w:val="single" w:sz="4" w:space="0" w:color="auto"/>
            </w:tcBorders>
            <w:shd w:val="clear" w:color="auto" w:fill="auto"/>
            <w:noWrap/>
            <w:vAlign w:val="bottom"/>
            <w:hideMark/>
          </w:tcPr>
          <w:p w14:paraId="242129D8" w14:textId="55B9E8EF" w:rsidR="003B7576" w:rsidRPr="00757ED8" w:rsidRDefault="003B7576" w:rsidP="003B7576">
            <w:pPr>
              <w:jc w:val="center"/>
              <w:rPr>
                <w:color w:val="000000"/>
              </w:rPr>
            </w:pPr>
            <w:r w:rsidRPr="00757ED8">
              <w:rPr>
                <w:color w:val="000000"/>
              </w:rPr>
              <w:t>2.68</w:t>
            </w:r>
            <w:r w:rsidR="00294C64" w:rsidRPr="00757ED8">
              <w:rPr>
                <w:color w:val="000000"/>
              </w:rPr>
              <w:t>(1.81)</w:t>
            </w:r>
          </w:p>
        </w:tc>
      </w:tr>
      <w:tr w:rsidR="003B7576" w:rsidRPr="00757ED8" w14:paraId="3E346FDC" w14:textId="77777777" w:rsidTr="003B7576">
        <w:trPr>
          <w:trHeight w:val="320"/>
        </w:trPr>
        <w:tc>
          <w:tcPr>
            <w:tcW w:w="1300" w:type="dxa"/>
            <w:tcBorders>
              <w:top w:val="nil"/>
              <w:left w:val="single" w:sz="4" w:space="0" w:color="auto"/>
              <w:bottom w:val="nil"/>
              <w:right w:val="nil"/>
            </w:tcBorders>
            <w:shd w:val="clear" w:color="auto" w:fill="auto"/>
            <w:noWrap/>
            <w:vAlign w:val="bottom"/>
            <w:hideMark/>
          </w:tcPr>
          <w:p w14:paraId="1F528653" w14:textId="77777777" w:rsidR="003B7576" w:rsidRPr="00757ED8" w:rsidRDefault="003B7576" w:rsidP="003B7576">
            <w:pPr>
              <w:jc w:val="center"/>
              <w:rPr>
                <w:color w:val="000000"/>
              </w:rPr>
            </w:pPr>
            <w:r w:rsidRPr="00757ED8">
              <w:rPr>
                <w:color w:val="000000"/>
              </w:rPr>
              <w:t>Hip(s)</w:t>
            </w:r>
          </w:p>
        </w:tc>
        <w:tc>
          <w:tcPr>
            <w:tcW w:w="1300" w:type="dxa"/>
            <w:tcBorders>
              <w:top w:val="nil"/>
              <w:left w:val="nil"/>
              <w:bottom w:val="nil"/>
              <w:right w:val="nil"/>
            </w:tcBorders>
            <w:shd w:val="clear" w:color="auto" w:fill="auto"/>
            <w:noWrap/>
            <w:vAlign w:val="bottom"/>
            <w:hideMark/>
          </w:tcPr>
          <w:p w14:paraId="3BF7E09D" w14:textId="77777777" w:rsidR="003B7576" w:rsidRPr="00757ED8" w:rsidRDefault="003B7576" w:rsidP="003B7576">
            <w:pPr>
              <w:jc w:val="center"/>
              <w:rPr>
                <w:color w:val="000000"/>
              </w:rPr>
            </w:pPr>
            <w:r w:rsidRPr="00757ED8">
              <w:rPr>
                <w:color w:val="000000"/>
              </w:rPr>
              <w:t>95</w:t>
            </w:r>
          </w:p>
        </w:tc>
        <w:tc>
          <w:tcPr>
            <w:tcW w:w="1300" w:type="dxa"/>
            <w:tcBorders>
              <w:top w:val="nil"/>
              <w:left w:val="nil"/>
              <w:bottom w:val="nil"/>
              <w:right w:val="single" w:sz="4" w:space="0" w:color="auto"/>
            </w:tcBorders>
            <w:shd w:val="clear" w:color="auto" w:fill="auto"/>
            <w:noWrap/>
            <w:vAlign w:val="bottom"/>
            <w:hideMark/>
          </w:tcPr>
          <w:p w14:paraId="2F70C54C" w14:textId="32CE7DFE" w:rsidR="003B7576" w:rsidRPr="00757ED8" w:rsidRDefault="003B7576" w:rsidP="003B7576">
            <w:pPr>
              <w:jc w:val="center"/>
              <w:rPr>
                <w:color w:val="000000"/>
              </w:rPr>
            </w:pPr>
            <w:r w:rsidRPr="00757ED8">
              <w:rPr>
                <w:color w:val="000000"/>
              </w:rPr>
              <w:t>49.2</w:t>
            </w:r>
          </w:p>
        </w:tc>
        <w:tc>
          <w:tcPr>
            <w:tcW w:w="1300" w:type="dxa"/>
            <w:tcBorders>
              <w:top w:val="nil"/>
              <w:left w:val="nil"/>
              <w:bottom w:val="nil"/>
              <w:right w:val="nil"/>
            </w:tcBorders>
            <w:shd w:val="clear" w:color="auto" w:fill="auto"/>
            <w:noWrap/>
            <w:vAlign w:val="bottom"/>
            <w:hideMark/>
          </w:tcPr>
          <w:p w14:paraId="144DBB6B" w14:textId="6784A66A" w:rsidR="003B7576" w:rsidRPr="00757ED8" w:rsidRDefault="003B7576" w:rsidP="003B7576">
            <w:pPr>
              <w:jc w:val="center"/>
              <w:rPr>
                <w:color w:val="000000"/>
              </w:rPr>
            </w:pPr>
            <w:r w:rsidRPr="00757ED8">
              <w:rPr>
                <w:color w:val="000000"/>
              </w:rPr>
              <w:t>2.83</w:t>
            </w:r>
            <w:r w:rsidR="006B29EE" w:rsidRPr="00757ED8">
              <w:rPr>
                <w:color w:val="000000"/>
              </w:rPr>
              <w:t>(1.11)</w:t>
            </w:r>
          </w:p>
        </w:tc>
        <w:tc>
          <w:tcPr>
            <w:tcW w:w="1300" w:type="dxa"/>
            <w:tcBorders>
              <w:top w:val="nil"/>
              <w:left w:val="nil"/>
              <w:bottom w:val="nil"/>
              <w:right w:val="nil"/>
            </w:tcBorders>
            <w:shd w:val="clear" w:color="auto" w:fill="auto"/>
            <w:noWrap/>
            <w:vAlign w:val="bottom"/>
            <w:hideMark/>
          </w:tcPr>
          <w:p w14:paraId="051BC44D" w14:textId="172FBA3A" w:rsidR="003B7576" w:rsidRPr="00757ED8" w:rsidRDefault="003B7576" w:rsidP="003B7576">
            <w:pPr>
              <w:jc w:val="center"/>
              <w:rPr>
                <w:color w:val="000000"/>
              </w:rPr>
            </w:pPr>
            <w:r w:rsidRPr="00757ED8">
              <w:rPr>
                <w:color w:val="000000"/>
              </w:rPr>
              <w:t>4.16</w:t>
            </w:r>
            <w:r w:rsidR="006B29EE" w:rsidRPr="00757ED8">
              <w:rPr>
                <w:color w:val="000000"/>
              </w:rPr>
              <w:t>(1.4)</w:t>
            </w:r>
          </w:p>
        </w:tc>
        <w:tc>
          <w:tcPr>
            <w:tcW w:w="1300" w:type="dxa"/>
            <w:tcBorders>
              <w:top w:val="nil"/>
              <w:left w:val="nil"/>
              <w:bottom w:val="nil"/>
              <w:right w:val="nil"/>
            </w:tcBorders>
            <w:shd w:val="clear" w:color="auto" w:fill="auto"/>
            <w:noWrap/>
            <w:vAlign w:val="bottom"/>
            <w:hideMark/>
          </w:tcPr>
          <w:p w14:paraId="15467BF1" w14:textId="3B263045" w:rsidR="003B7576" w:rsidRPr="00757ED8" w:rsidRDefault="003B7576" w:rsidP="003B7576">
            <w:pPr>
              <w:jc w:val="center"/>
              <w:rPr>
                <w:color w:val="000000"/>
              </w:rPr>
            </w:pPr>
            <w:r w:rsidRPr="00757ED8">
              <w:rPr>
                <w:color w:val="000000"/>
              </w:rPr>
              <w:t>3.61</w:t>
            </w:r>
            <w:r w:rsidR="006B29EE" w:rsidRPr="00757ED8">
              <w:rPr>
                <w:color w:val="000000"/>
              </w:rPr>
              <w:t>(1.57)</w:t>
            </w:r>
          </w:p>
        </w:tc>
        <w:tc>
          <w:tcPr>
            <w:tcW w:w="1300" w:type="dxa"/>
            <w:tcBorders>
              <w:top w:val="nil"/>
              <w:left w:val="nil"/>
              <w:bottom w:val="nil"/>
              <w:right w:val="single" w:sz="4" w:space="0" w:color="auto"/>
            </w:tcBorders>
            <w:shd w:val="clear" w:color="auto" w:fill="auto"/>
            <w:noWrap/>
            <w:vAlign w:val="bottom"/>
            <w:hideMark/>
          </w:tcPr>
          <w:p w14:paraId="4C0D8858" w14:textId="38A6DF37" w:rsidR="003B7576" w:rsidRPr="00757ED8" w:rsidRDefault="003B7576" w:rsidP="003B7576">
            <w:pPr>
              <w:jc w:val="center"/>
              <w:rPr>
                <w:color w:val="000000"/>
              </w:rPr>
            </w:pPr>
            <w:r w:rsidRPr="00757ED8">
              <w:rPr>
                <w:color w:val="000000"/>
              </w:rPr>
              <w:t>2.67</w:t>
            </w:r>
            <w:r w:rsidR="006B29EE" w:rsidRPr="00757ED8">
              <w:rPr>
                <w:color w:val="000000"/>
              </w:rPr>
              <w:t>(1.9)</w:t>
            </w:r>
          </w:p>
        </w:tc>
      </w:tr>
      <w:tr w:rsidR="003B7576" w:rsidRPr="00757ED8" w14:paraId="3DFAEBD9" w14:textId="77777777" w:rsidTr="003B7576">
        <w:trPr>
          <w:trHeight w:val="320"/>
        </w:trPr>
        <w:tc>
          <w:tcPr>
            <w:tcW w:w="1300" w:type="dxa"/>
            <w:tcBorders>
              <w:top w:val="nil"/>
              <w:left w:val="single" w:sz="4" w:space="0" w:color="auto"/>
              <w:bottom w:val="nil"/>
              <w:right w:val="nil"/>
            </w:tcBorders>
            <w:shd w:val="clear" w:color="auto" w:fill="auto"/>
            <w:noWrap/>
            <w:vAlign w:val="bottom"/>
            <w:hideMark/>
          </w:tcPr>
          <w:p w14:paraId="7CB4273B" w14:textId="77777777" w:rsidR="003B7576" w:rsidRPr="00757ED8" w:rsidRDefault="003B7576" w:rsidP="003B7576">
            <w:pPr>
              <w:jc w:val="center"/>
              <w:rPr>
                <w:color w:val="000000"/>
              </w:rPr>
            </w:pPr>
            <w:r w:rsidRPr="00757ED8">
              <w:rPr>
                <w:color w:val="000000"/>
              </w:rPr>
              <w:t>Foot/Feet</w:t>
            </w:r>
          </w:p>
        </w:tc>
        <w:tc>
          <w:tcPr>
            <w:tcW w:w="1300" w:type="dxa"/>
            <w:tcBorders>
              <w:top w:val="nil"/>
              <w:left w:val="nil"/>
              <w:bottom w:val="nil"/>
              <w:right w:val="nil"/>
            </w:tcBorders>
            <w:shd w:val="clear" w:color="auto" w:fill="auto"/>
            <w:noWrap/>
            <w:vAlign w:val="bottom"/>
            <w:hideMark/>
          </w:tcPr>
          <w:p w14:paraId="2651FA3F" w14:textId="77777777" w:rsidR="003B7576" w:rsidRPr="00757ED8" w:rsidRDefault="003B7576" w:rsidP="003B7576">
            <w:pPr>
              <w:jc w:val="center"/>
              <w:rPr>
                <w:color w:val="000000"/>
              </w:rPr>
            </w:pPr>
            <w:r w:rsidRPr="00757ED8">
              <w:rPr>
                <w:color w:val="000000"/>
              </w:rPr>
              <w:t>89</w:t>
            </w:r>
          </w:p>
        </w:tc>
        <w:tc>
          <w:tcPr>
            <w:tcW w:w="1300" w:type="dxa"/>
            <w:tcBorders>
              <w:top w:val="nil"/>
              <w:left w:val="nil"/>
              <w:bottom w:val="nil"/>
              <w:right w:val="single" w:sz="4" w:space="0" w:color="auto"/>
            </w:tcBorders>
            <w:shd w:val="clear" w:color="auto" w:fill="auto"/>
            <w:noWrap/>
            <w:vAlign w:val="bottom"/>
            <w:hideMark/>
          </w:tcPr>
          <w:p w14:paraId="31FA0773" w14:textId="36C454B0" w:rsidR="003B7576" w:rsidRPr="00757ED8" w:rsidRDefault="003B7576" w:rsidP="003B7576">
            <w:pPr>
              <w:jc w:val="center"/>
              <w:rPr>
                <w:color w:val="000000"/>
              </w:rPr>
            </w:pPr>
            <w:r w:rsidRPr="00757ED8">
              <w:rPr>
                <w:color w:val="000000"/>
              </w:rPr>
              <w:t>46.1</w:t>
            </w:r>
          </w:p>
        </w:tc>
        <w:tc>
          <w:tcPr>
            <w:tcW w:w="1300" w:type="dxa"/>
            <w:tcBorders>
              <w:top w:val="nil"/>
              <w:left w:val="nil"/>
              <w:bottom w:val="nil"/>
              <w:right w:val="nil"/>
            </w:tcBorders>
            <w:shd w:val="clear" w:color="auto" w:fill="auto"/>
            <w:noWrap/>
            <w:vAlign w:val="bottom"/>
            <w:hideMark/>
          </w:tcPr>
          <w:p w14:paraId="5FFC81F8" w14:textId="5628587F" w:rsidR="003B7576" w:rsidRPr="00757ED8" w:rsidRDefault="003B7576" w:rsidP="003B7576">
            <w:pPr>
              <w:jc w:val="center"/>
              <w:rPr>
                <w:color w:val="000000"/>
              </w:rPr>
            </w:pPr>
            <w:r w:rsidRPr="00757ED8">
              <w:rPr>
                <w:color w:val="000000"/>
              </w:rPr>
              <w:t>2.77</w:t>
            </w:r>
            <w:r w:rsidR="006B29EE" w:rsidRPr="00757ED8">
              <w:rPr>
                <w:color w:val="000000"/>
              </w:rPr>
              <w:t xml:space="preserve"> (.96)</w:t>
            </w:r>
          </w:p>
        </w:tc>
        <w:tc>
          <w:tcPr>
            <w:tcW w:w="1300" w:type="dxa"/>
            <w:tcBorders>
              <w:top w:val="nil"/>
              <w:left w:val="nil"/>
              <w:bottom w:val="nil"/>
              <w:right w:val="nil"/>
            </w:tcBorders>
            <w:shd w:val="clear" w:color="auto" w:fill="auto"/>
            <w:noWrap/>
            <w:vAlign w:val="bottom"/>
            <w:hideMark/>
          </w:tcPr>
          <w:p w14:paraId="7512F3F6" w14:textId="75A52B41" w:rsidR="003B7576" w:rsidRPr="00757ED8" w:rsidRDefault="003B7576" w:rsidP="003B7576">
            <w:pPr>
              <w:jc w:val="center"/>
              <w:rPr>
                <w:color w:val="000000"/>
              </w:rPr>
            </w:pPr>
            <w:r w:rsidRPr="00757ED8">
              <w:rPr>
                <w:color w:val="000000"/>
              </w:rPr>
              <w:t>4.40</w:t>
            </w:r>
            <w:r w:rsidR="006B29EE" w:rsidRPr="00757ED8">
              <w:rPr>
                <w:color w:val="000000"/>
              </w:rPr>
              <w:t>(1.22)</w:t>
            </w:r>
          </w:p>
        </w:tc>
        <w:tc>
          <w:tcPr>
            <w:tcW w:w="1300" w:type="dxa"/>
            <w:tcBorders>
              <w:top w:val="nil"/>
              <w:left w:val="nil"/>
              <w:bottom w:val="nil"/>
              <w:right w:val="nil"/>
            </w:tcBorders>
            <w:shd w:val="clear" w:color="auto" w:fill="auto"/>
            <w:noWrap/>
            <w:vAlign w:val="bottom"/>
            <w:hideMark/>
          </w:tcPr>
          <w:p w14:paraId="732621A5" w14:textId="1462A862" w:rsidR="003B7576" w:rsidRPr="00757ED8" w:rsidRDefault="003B7576" w:rsidP="003B7576">
            <w:pPr>
              <w:jc w:val="center"/>
              <w:rPr>
                <w:color w:val="000000"/>
              </w:rPr>
            </w:pPr>
            <w:r w:rsidRPr="00757ED8">
              <w:rPr>
                <w:color w:val="000000"/>
              </w:rPr>
              <w:t>3.88</w:t>
            </w:r>
            <w:r w:rsidR="006B29EE" w:rsidRPr="00757ED8">
              <w:rPr>
                <w:color w:val="000000"/>
              </w:rPr>
              <w:t>(1.51)</w:t>
            </w:r>
          </w:p>
        </w:tc>
        <w:tc>
          <w:tcPr>
            <w:tcW w:w="1300" w:type="dxa"/>
            <w:tcBorders>
              <w:top w:val="nil"/>
              <w:left w:val="nil"/>
              <w:bottom w:val="nil"/>
              <w:right w:val="single" w:sz="4" w:space="0" w:color="auto"/>
            </w:tcBorders>
            <w:shd w:val="clear" w:color="auto" w:fill="auto"/>
            <w:noWrap/>
            <w:vAlign w:val="bottom"/>
            <w:hideMark/>
          </w:tcPr>
          <w:p w14:paraId="18E5ABC2" w14:textId="7EEC31C3" w:rsidR="003B7576" w:rsidRPr="00757ED8" w:rsidRDefault="003B7576" w:rsidP="003B7576">
            <w:pPr>
              <w:jc w:val="center"/>
              <w:rPr>
                <w:color w:val="000000"/>
              </w:rPr>
            </w:pPr>
            <w:r w:rsidRPr="00757ED8">
              <w:rPr>
                <w:color w:val="000000"/>
              </w:rPr>
              <w:t>2.93</w:t>
            </w:r>
            <w:r w:rsidR="006B29EE" w:rsidRPr="00757ED8">
              <w:rPr>
                <w:color w:val="000000"/>
              </w:rPr>
              <w:t>(2.09)</w:t>
            </w:r>
          </w:p>
        </w:tc>
      </w:tr>
      <w:tr w:rsidR="003B7576" w:rsidRPr="00757ED8" w14:paraId="00393748" w14:textId="77777777" w:rsidTr="003B7576">
        <w:trPr>
          <w:trHeight w:val="320"/>
        </w:trPr>
        <w:tc>
          <w:tcPr>
            <w:tcW w:w="1300" w:type="dxa"/>
            <w:tcBorders>
              <w:top w:val="nil"/>
              <w:left w:val="single" w:sz="4" w:space="0" w:color="auto"/>
              <w:bottom w:val="nil"/>
              <w:right w:val="nil"/>
            </w:tcBorders>
            <w:shd w:val="clear" w:color="auto" w:fill="auto"/>
            <w:noWrap/>
            <w:vAlign w:val="bottom"/>
            <w:hideMark/>
          </w:tcPr>
          <w:p w14:paraId="5E36AA6A" w14:textId="77777777" w:rsidR="003B7576" w:rsidRPr="00757ED8" w:rsidRDefault="003B7576" w:rsidP="003B7576">
            <w:pPr>
              <w:jc w:val="center"/>
              <w:rPr>
                <w:color w:val="000000"/>
              </w:rPr>
            </w:pPr>
            <w:r w:rsidRPr="00757ED8">
              <w:rPr>
                <w:color w:val="000000"/>
              </w:rPr>
              <w:t>hand(s)</w:t>
            </w:r>
          </w:p>
        </w:tc>
        <w:tc>
          <w:tcPr>
            <w:tcW w:w="1300" w:type="dxa"/>
            <w:tcBorders>
              <w:top w:val="nil"/>
              <w:left w:val="nil"/>
              <w:bottom w:val="nil"/>
              <w:right w:val="nil"/>
            </w:tcBorders>
            <w:shd w:val="clear" w:color="auto" w:fill="auto"/>
            <w:noWrap/>
            <w:vAlign w:val="bottom"/>
            <w:hideMark/>
          </w:tcPr>
          <w:p w14:paraId="72348264" w14:textId="77777777" w:rsidR="003B7576" w:rsidRPr="00757ED8" w:rsidRDefault="003B7576" w:rsidP="003B7576">
            <w:pPr>
              <w:jc w:val="center"/>
              <w:rPr>
                <w:color w:val="000000"/>
              </w:rPr>
            </w:pPr>
            <w:r w:rsidRPr="00757ED8">
              <w:rPr>
                <w:color w:val="000000"/>
              </w:rPr>
              <w:t>80</w:t>
            </w:r>
          </w:p>
        </w:tc>
        <w:tc>
          <w:tcPr>
            <w:tcW w:w="1300" w:type="dxa"/>
            <w:tcBorders>
              <w:top w:val="nil"/>
              <w:left w:val="nil"/>
              <w:bottom w:val="nil"/>
              <w:right w:val="single" w:sz="4" w:space="0" w:color="auto"/>
            </w:tcBorders>
            <w:shd w:val="clear" w:color="auto" w:fill="auto"/>
            <w:noWrap/>
            <w:vAlign w:val="bottom"/>
            <w:hideMark/>
          </w:tcPr>
          <w:p w14:paraId="637B2705" w14:textId="6B1B176C" w:rsidR="003B7576" w:rsidRPr="00757ED8" w:rsidRDefault="003B7576" w:rsidP="003B7576">
            <w:pPr>
              <w:jc w:val="center"/>
              <w:rPr>
                <w:color w:val="000000"/>
              </w:rPr>
            </w:pPr>
            <w:r w:rsidRPr="00757ED8">
              <w:rPr>
                <w:color w:val="000000"/>
              </w:rPr>
              <w:t>41.</w:t>
            </w:r>
            <w:r w:rsidR="00842004">
              <w:rPr>
                <w:color w:val="000000"/>
              </w:rPr>
              <w:t>5</w:t>
            </w:r>
          </w:p>
        </w:tc>
        <w:tc>
          <w:tcPr>
            <w:tcW w:w="1300" w:type="dxa"/>
            <w:tcBorders>
              <w:top w:val="nil"/>
              <w:left w:val="nil"/>
              <w:bottom w:val="nil"/>
              <w:right w:val="nil"/>
            </w:tcBorders>
            <w:shd w:val="clear" w:color="auto" w:fill="auto"/>
            <w:noWrap/>
            <w:vAlign w:val="bottom"/>
            <w:hideMark/>
          </w:tcPr>
          <w:p w14:paraId="0694CBDA" w14:textId="357124EE" w:rsidR="003B7576" w:rsidRPr="00757ED8" w:rsidRDefault="003B7576" w:rsidP="003B7576">
            <w:pPr>
              <w:jc w:val="center"/>
              <w:rPr>
                <w:color w:val="000000"/>
              </w:rPr>
            </w:pPr>
            <w:r w:rsidRPr="00757ED8">
              <w:rPr>
                <w:color w:val="000000"/>
              </w:rPr>
              <w:t>2.34</w:t>
            </w:r>
            <w:r w:rsidR="00294C64" w:rsidRPr="00757ED8">
              <w:rPr>
                <w:color w:val="000000"/>
              </w:rPr>
              <w:t xml:space="preserve"> (.94)</w:t>
            </w:r>
          </w:p>
        </w:tc>
        <w:tc>
          <w:tcPr>
            <w:tcW w:w="1300" w:type="dxa"/>
            <w:tcBorders>
              <w:top w:val="nil"/>
              <w:left w:val="nil"/>
              <w:bottom w:val="nil"/>
              <w:right w:val="nil"/>
            </w:tcBorders>
            <w:shd w:val="clear" w:color="auto" w:fill="auto"/>
            <w:noWrap/>
            <w:vAlign w:val="bottom"/>
            <w:hideMark/>
          </w:tcPr>
          <w:p w14:paraId="155D264A" w14:textId="630CA603" w:rsidR="003B7576" w:rsidRPr="00757ED8" w:rsidRDefault="003B7576" w:rsidP="003B7576">
            <w:pPr>
              <w:jc w:val="center"/>
              <w:rPr>
                <w:color w:val="000000"/>
              </w:rPr>
            </w:pPr>
            <w:r w:rsidRPr="00757ED8">
              <w:rPr>
                <w:color w:val="000000"/>
              </w:rPr>
              <w:t>3.85</w:t>
            </w:r>
            <w:r w:rsidR="00294C64" w:rsidRPr="00757ED8">
              <w:rPr>
                <w:color w:val="000000"/>
              </w:rPr>
              <w:t>(1.57)</w:t>
            </w:r>
          </w:p>
        </w:tc>
        <w:tc>
          <w:tcPr>
            <w:tcW w:w="1300" w:type="dxa"/>
            <w:tcBorders>
              <w:top w:val="nil"/>
              <w:left w:val="nil"/>
              <w:bottom w:val="nil"/>
              <w:right w:val="nil"/>
            </w:tcBorders>
            <w:shd w:val="clear" w:color="auto" w:fill="auto"/>
            <w:noWrap/>
            <w:vAlign w:val="bottom"/>
            <w:hideMark/>
          </w:tcPr>
          <w:p w14:paraId="3192B249" w14:textId="57EAAB87" w:rsidR="003B7576" w:rsidRPr="00757ED8" w:rsidRDefault="003B7576" w:rsidP="003B7576">
            <w:pPr>
              <w:jc w:val="center"/>
              <w:rPr>
                <w:color w:val="000000"/>
              </w:rPr>
            </w:pPr>
            <w:r w:rsidRPr="00757ED8">
              <w:rPr>
                <w:color w:val="000000"/>
              </w:rPr>
              <w:t>3.86</w:t>
            </w:r>
            <w:r w:rsidR="00294C64" w:rsidRPr="00757ED8">
              <w:rPr>
                <w:color w:val="000000"/>
              </w:rPr>
              <w:t>(1.50)</w:t>
            </w:r>
          </w:p>
        </w:tc>
        <w:tc>
          <w:tcPr>
            <w:tcW w:w="1300" w:type="dxa"/>
            <w:tcBorders>
              <w:top w:val="nil"/>
              <w:left w:val="nil"/>
              <w:bottom w:val="nil"/>
              <w:right w:val="single" w:sz="4" w:space="0" w:color="auto"/>
            </w:tcBorders>
            <w:shd w:val="clear" w:color="auto" w:fill="auto"/>
            <w:noWrap/>
            <w:vAlign w:val="bottom"/>
            <w:hideMark/>
          </w:tcPr>
          <w:p w14:paraId="63CE6658" w14:textId="28EE9210" w:rsidR="003B7576" w:rsidRPr="00757ED8" w:rsidRDefault="003B7576" w:rsidP="003B7576">
            <w:pPr>
              <w:jc w:val="center"/>
              <w:rPr>
                <w:color w:val="000000"/>
              </w:rPr>
            </w:pPr>
            <w:r w:rsidRPr="00757ED8">
              <w:rPr>
                <w:color w:val="000000"/>
              </w:rPr>
              <w:t>2.67</w:t>
            </w:r>
            <w:r w:rsidR="00294C64" w:rsidRPr="00757ED8">
              <w:rPr>
                <w:color w:val="000000"/>
              </w:rPr>
              <w:t>(2.12)</w:t>
            </w:r>
          </w:p>
        </w:tc>
      </w:tr>
      <w:tr w:rsidR="003B7576" w:rsidRPr="00757ED8" w14:paraId="37A86A84" w14:textId="77777777" w:rsidTr="003B7576">
        <w:trPr>
          <w:trHeight w:val="320"/>
        </w:trPr>
        <w:tc>
          <w:tcPr>
            <w:tcW w:w="1300" w:type="dxa"/>
            <w:tcBorders>
              <w:top w:val="nil"/>
              <w:left w:val="single" w:sz="4" w:space="0" w:color="auto"/>
              <w:bottom w:val="nil"/>
              <w:right w:val="nil"/>
            </w:tcBorders>
            <w:shd w:val="clear" w:color="auto" w:fill="auto"/>
            <w:noWrap/>
            <w:vAlign w:val="bottom"/>
            <w:hideMark/>
          </w:tcPr>
          <w:p w14:paraId="2E0A7B8E" w14:textId="77777777" w:rsidR="003B7576" w:rsidRPr="00757ED8" w:rsidRDefault="003B7576" w:rsidP="003B7576">
            <w:pPr>
              <w:jc w:val="center"/>
              <w:rPr>
                <w:color w:val="000000"/>
              </w:rPr>
            </w:pPr>
            <w:r w:rsidRPr="00757ED8">
              <w:rPr>
                <w:color w:val="000000"/>
              </w:rPr>
              <w:t>Upper Back</w:t>
            </w:r>
          </w:p>
        </w:tc>
        <w:tc>
          <w:tcPr>
            <w:tcW w:w="1300" w:type="dxa"/>
            <w:tcBorders>
              <w:top w:val="nil"/>
              <w:left w:val="nil"/>
              <w:bottom w:val="nil"/>
              <w:right w:val="nil"/>
            </w:tcBorders>
            <w:shd w:val="clear" w:color="auto" w:fill="auto"/>
            <w:noWrap/>
            <w:vAlign w:val="bottom"/>
            <w:hideMark/>
          </w:tcPr>
          <w:p w14:paraId="6332CB7B" w14:textId="77777777" w:rsidR="003B7576" w:rsidRPr="00757ED8" w:rsidRDefault="003B7576" w:rsidP="003B7576">
            <w:pPr>
              <w:jc w:val="center"/>
              <w:rPr>
                <w:color w:val="000000"/>
              </w:rPr>
            </w:pPr>
            <w:r w:rsidRPr="00757ED8">
              <w:rPr>
                <w:color w:val="000000"/>
              </w:rPr>
              <w:t>68</w:t>
            </w:r>
          </w:p>
        </w:tc>
        <w:tc>
          <w:tcPr>
            <w:tcW w:w="1300" w:type="dxa"/>
            <w:tcBorders>
              <w:top w:val="nil"/>
              <w:left w:val="nil"/>
              <w:bottom w:val="nil"/>
              <w:right w:val="single" w:sz="4" w:space="0" w:color="auto"/>
            </w:tcBorders>
            <w:shd w:val="clear" w:color="auto" w:fill="auto"/>
            <w:noWrap/>
            <w:vAlign w:val="bottom"/>
            <w:hideMark/>
          </w:tcPr>
          <w:p w14:paraId="2EB50E31" w14:textId="095E7F20" w:rsidR="003B7576" w:rsidRPr="00757ED8" w:rsidRDefault="003B7576" w:rsidP="003B7576">
            <w:pPr>
              <w:jc w:val="center"/>
              <w:rPr>
                <w:color w:val="000000"/>
              </w:rPr>
            </w:pPr>
            <w:r w:rsidRPr="00757ED8">
              <w:rPr>
                <w:color w:val="000000"/>
              </w:rPr>
              <w:t>35.2</w:t>
            </w:r>
          </w:p>
        </w:tc>
        <w:tc>
          <w:tcPr>
            <w:tcW w:w="1300" w:type="dxa"/>
            <w:tcBorders>
              <w:top w:val="nil"/>
              <w:left w:val="nil"/>
              <w:bottom w:val="nil"/>
              <w:right w:val="nil"/>
            </w:tcBorders>
            <w:shd w:val="clear" w:color="auto" w:fill="auto"/>
            <w:noWrap/>
            <w:vAlign w:val="bottom"/>
            <w:hideMark/>
          </w:tcPr>
          <w:p w14:paraId="72EE45D7" w14:textId="0B9688F2" w:rsidR="003B7576" w:rsidRPr="00757ED8" w:rsidRDefault="003B7576" w:rsidP="003B7576">
            <w:pPr>
              <w:jc w:val="center"/>
              <w:rPr>
                <w:color w:val="000000"/>
              </w:rPr>
            </w:pPr>
            <w:r w:rsidRPr="00757ED8">
              <w:rPr>
                <w:color w:val="000000"/>
              </w:rPr>
              <w:t>2.50</w:t>
            </w:r>
            <w:r w:rsidR="00294C64" w:rsidRPr="00757ED8">
              <w:rPr>
                <w:color w:val="000000"/>
              </w:rPr>
              <w:t>(.89)</w:t>
            </w:r>
          </w:p>
        </w:tc>
        <w:tc>
          <w:tcPr>
            <w:tcW w:w="1300" w:type="dxa"/>
            <w:tcBorders>
              <w:top w:val="nil"/>
              <w:left w:val="nil"/>
              <w:bottom w:val="nil"/>
              <w:right w:val="nil"/>
            </w:tcBorders>
            <w:shd w:val="clear" w:color="auto" w:fill="auto"/>
            <w:noWrap/>
            <w:vAlign w:val="bottom"/>
            <w:hideMark/>
          </w:tcPr>
          <w:p w14:paraId="39FA335B" w14:textId="4E18AC43" w:rsidR="003B7576" w:rsidRPr="00757ED8" w:rsidRDefault="003B7576" w:rsidP="003B7576">
            <w:pPr>
              <w:jc w:val="center"/>
              <w:rPr>
                <w:color w:val="000000"/>
              </w:rPr>
            </w:pPr>
            <w:r w:rsidRPr="00757ED8">
              <w:rPr>
                <w:color w:val="000000"/>
              </w:rPr>
              <w:t>4.26</w:t>
            </w:r>
            <w:r w:rsidR="00294C64" w:rsidRPr="00757ED8">
              <w:rPr>
                <w:color w:val="000000"/>
              </w:rPr>
              <w:t>(1.36)</w:t>
            </w:r>
          </w:p>
        </w:tc>
        <w:tc>
          <w:tcPr>
            <w:tcW w:w="1300" w:type="dxa"/>
            <w:tcBorders>
              <w:top w:val="nil"/>
              <w:left w:val="nil"/>
              <w:bottom w:val="nil"/>
              <w:right w:val="nil"/>
            </w:tcBorders>
            <w:shd w:val="clear" w:color="auto" w:fill="auto"/>
            <w:noWrap/>
            <w:vAlign w:val="bottom"/>
            <w:hideMark/>
          </w:tcPr>
          <w:p w14:paraId="4E90F36A" w14:textId="4B2D5266" w:rsidR="003B7576" w:rsidRPr="00757ED8" w:rsidRDefault="003B7576" w:rsidP="003B7576">
            <w:pPr>
              <w:jc w:val="center"/>
              <w:rPr>
                <w:color w:val="000000"/>
              </w:rPr>
            </w:pPr>
            <w:r w:rsidRPr="00757ED8">
              <w:rPr>
                <w:color w:val="000000"/>
              </w:rPr>
              <w:t>3.94</w:t>
            </w:r>
            <w:r w:rsidR="00294C64" w:rsidRPr="00757ED8">
              <w:rPr>
                <w:color w:val="000000"/>
              </w:rPr>
              <w:t>(1.34)</w:t>
            </w:r>
          </w:p>
        </w:tc>
        <w:tc>
          <w:tcPr>
            <w:tcW w:w="1300" w:type="dxa"/>
            <w:tcBorders>
              <w:top w:val="nil"/>
              <w:left w:val="nil"/>
              <w:bottom w:val="nil"/>
              <w:right w:val="single" w:sz="4" w:space="0" w:color="auto"/>
            </w:tcBorders>
            <w:shd w:val="clear" w:color="auto" w:fill="auto"/>
            <w:noWrap/>
            <w:vAlign w:val="bottom"/>
            <w:hideMark/>
          </w:tcPr>
          <w:p w14:paraId="29D6FCAE" w14:textId="159555A2" w:rsidR="003B7576" w:rsidRPr="00757ED8" w:rsidRDefault="003B7576" w:rsidP="003B7576">
            <w:pPr>
              <w:jc w:val="center"/>
              <w:rPr>
                <w:color w:val="000000"/>
              </w:rPr>
            </w:pPr>
            <w:r w:rsidRPr="00757ED8">
              <w:rPr>
                <w:color w:val="000000"/>
              </w:rPr>
              <w:t>2.47</w:t>
            </w:r>
            <w:r w:rsidR="00294C64" w:rsidRPr="00757ED8">
              <w:rPr>
                <w:color w:val="000000"/>
              </w:rPr>
              <w:t>(1.94)</w:t>
            </w:r>
          </w:p>
        </w:tc>
      </w:tr>
      <w:tr w:rsidR="003B7576" w:rsidRPr="00757ED8" w14:paraId="57CEB7C3" w14:textId="77777777" w:rsidTr="003B7576">
        <w:trPr>
          <w:trHeight w:val="320"/>
        </w:trPr>
        <w:tc>
          <w:tcPr>
            <w:tcW w:w="1300" w:type="dxa"/>
            <w:tcBorders>
              <w:top w:val="nil"/>
              <w:left w:val="single" w:sz="4" w:space="0" w:color="auto"/>
              <w:bottom w:val="nil"/>
              <w:right w:val="nil"/>
            </w:tcBorders>
            <w:shd w:val="clear" w:color="auto" w:fill="auto"/>
            <w:noWrap/>
            <w:vAlign w:val="bottom"/>
            <w:hideMark/>
          </w:tcPr>
          <w:p w14:paraId="530B127C" w14:textId="77777777" w:rsidR="003B7576" w:rsidRPr="00757ED8" w:rsidRDefault="003B7576" w:rsidP="003B7576">
            <w:pPr>
              <w:jc w:val="center"/>
              <w:rPr>
                <w:color w:val="000000"/>
              </w:rPr>
            </w:pPr>
            <w:r w:rsidRPr="00757ED8">
              <w:rPr>
                <w:color w:val="000000"/>
              </w:rPr>
              <w:t>Wrist(s)</w:t>
            </w:r>
          </w:p>
        </w:tc>
        <w:tc>
          <w:tcPr>
            <w:tcW w:w="1300" w:type="dxa"/>
            <w:tcBorders>
              <w:top w:val="nil"/>
              <w:left w:val="nil"/>
              <w:bottom w:val="nil"/>
              <w:right w:val="nil"/>
            </w:tcBorders>
            <w:shd w:val="clear" w:color="auto" w:fill="auto"/>
            <w:noWrap/>
            <w:vAlign w:val="bottom"/>
            <w:hideMark/>
          </w:tcPr>
          <w:p w14:paraId="6AD0F24A" w14:textId="77777777" w:rsidR="003B7576" w:rsidRPr="00757ED8" w:rsidRDefault="003B7576" w:rsidP="003B7576">
            <w:pPr>
              <w:jc w:val="center"/>
              <w:rPr>
                <w:color w:val="000000"/>
              </w:rPr>
            </w:pPr>
            <w:r w:rsidRPr="00757ED8">
              <w:rPr>
                <w:color w:val="000000"/>
              </w:rPr>
              <w:t>53</w:t>
            </w:r>
          </w:p>
        </w:tc>
        <w:tc>
          <w:tcPr>
            <w:tcW w:w="1300" w:type="dxa"/>
            <w:tcBorders>
              <w:top w:val="nil"/>
              <w:left w:val="nil"/>
              <w:bottom w:val="nil"/>
              <w:right w:val="single" w:sz="4" w:space="0" w:color="auto"/>
            </w:tcBorders>
            <w:shd w:val="clear" w:color="auto" w:fill="auto"/>
            <w:noWrap/>
            <w:vAlign w:val="bottom"/>
            <w:hideMark/>
          </w:tcPr>
          <w:p w14:paraId="6CEBF984" w14:textId="497A212B" w:rsidR="003B7576" w:rsidRPr="00757ED8" w:rsidRDefault="003B7576" w:rsidP="003B7576">
            <w:pPr>
              <w:jc w:val="center"/>
              <w:rPr>
                <w:color w:val="000000"/>
              </w:rPr>
            </w:pPr>
            <w:r w:rsidRPr="00757ED8">
              <w:rPr>
                <w:color w:val="000000"/>
              </w:rPr>
              <w:t>27.</w:t>
            </w:r>
            <w:r w:rsidR="00842004">
              <w:rPr>
                <w:color w:val="000000"/>
              </w:rPr>
              <w:t>5</w:t>
            </w:r>
          </w:p>
        </w:tc>
        <w:tc>
          <w:tcPr>
            <w:tcW w:w="1300" w:type="dxa"/>
            <w:tcBorders>
              <w:top w:val="nil"/>
              <w:left w:val="nil"/>
              <w:bottom w:val="nil"/>
              <w:right w:val="nil"/>
            </w:tcBorders>
            <w:shd w:val="clear" w:color="auto" w:fill="auto"/>
            <w:noWrap/>
            <w:vAlign w:val="bottom"/>
            <w:hideMark/>
          </w:tcPr>
          <w:p w14:paraId="33D027E0" w14:textId="0524F474" w:rsidR="003B7576" w:rsidRPr="00757ED8" w:rsidRDefault="003B7576" w:rsidP="003B7576">
            <w:pPr>
              <w:jc w:val="center"/>
              <w:rPr>
                <w:color w:val="000000"/>
              </w:rPr>
            </w:pPr>
            <w:r w:rsidRPr="00757ED8">
              <w:rPr>
                <w:color w:val="000000"/>
              </w:rPr>
              <w:t>2.38</w:t>
            </w:r>
            <w:r w:rsidR="00294C64" w:rsidRPr="00757ED8">
              <w:rPr>
                <w:color w:val="000000"/>
              </w:rPr>
              <w:t xml:space="preserve"> (.7</w:t>
            </w:r>
            <w:r w:rsidR="006B29EE" w:rsidRPr="00757ED8">
              <w:rPr>
                <w:color w:val="000000"/>
              </w:rPr>
              <w:t>7</w:t>
            </w:r>
            <w:r w:rsidR="00294C64" w:rsidRPr="00757ED8">
              <w:rPr>
                <w:color w:val="000000"/>
              </w:rPr>
              <w:t>)</w:t>
            </w:r>
          </w:p>
        </w:tc>
        <w:tc>
          <w:tcPr>
            <w:tcW w:w="1300" w:type="dxa"/>
            <w:tcBorders>
              <w:top w:val="nil"/>
              <w:left w:val="nil"/>
              <w:bottom w:val="nil"/>
              <w:right w:val="nil"/>
            </w:tcBorders>
            <w:shd w:val="clear" w:color="auto" w:fill="auto"/>
            <w:noWrap/>
            <w:vAlign w:val="bottom"/>
            <w:hideMark/>
          </w:tcPr>
          <w:p w14:paraId="53969E01" w14:textId="02EB0B1A" w:rsidR="003B7576" w:rsidRPr="00757ED8" w:rsidRDefault="003B7576" w:rsidP="003B7576">
            <w:pPr>
              <w:jc w:val="center"/>
              <w:rPr>
                <w:color w:val="000000"/>
              </w:rPr>
            </w:pPr>
            <w:r w:rsidRPr="00757ED8">
              <w:rPr>
                <w:color w:val="000000"/>
              </w:rPr>
              <w:t>4.02</w:t>
            </w:r>
            <w:r w:rsidR="00294C64" w:rsidRPr="00757ED8">
              <w:rPr>
                <w:color w:val="000000"/>
              </w:rPr>
              <w:t>(1.53)</w:t>
            </w:r>
          </w:p>
        </w:tc>
        <w:tc>
          <w:tcPr>
            <w:tcW w:w="1300" w:type="dxa"/>
            <w:tcBorders>
              <w:top w:val="nil"/>
              <w:left w:val="nil"/>
              <w:bottom w:val="nil"/>
              <w:right w:val="nil"/>
            </w:tcBorders>
            <w:shd w:val="clear" w:color="auto" w:fill="auto"/>
            <w:noWrap/>
            <w:vAlign w:val="bottom"/>
            <w:hideMark/>
          </w:tcPr>
          <w:p w14:paraId="54388034" w14:textId="7FEDB7DA" w:rsidR="003B7576" w:rsidRPr="00757ED8" w:rsidRDefault="003B7576" w:rsidP="003B7576">
            <w:pPr>
              <w:jc w:val="center"/>
              <w:rPr>
                <w:color w:val="000000"/>
              </w:rPr>
            </w:pPr>
            <w:r w:rsidRPr="00757ED8">
              <w:rPr>
                <w:color w:val="000000"/>
              </w:rPr>
              <w:t>3.13</w:t>
            </w:r>
            <w:r w:rsidR="00294C64" w:rsidRPr="00757ED8">
              <w:rPr>
                <w:color w:val="000000"/>
              </w:rPr>
              <w:t>(1.57)</w:t>
            </w:r>
          </w:p>
        </w:tc>
        <w:tc>
          <w:tcPr>
            <w:tcW w:w="1300" w:type="dxa"/>
            <w:tcBorders>
              <w:top w:val="nil"/>
              <w:left w:val="nil"/>
              <w:bottom w:val="nil"/>
              <w:right w:val="single" w:sz="4" w:space="0" w:color="auto"/>
            </w:tcBorders>
            <w:shd w:val="clear" w:color="auto" w:fill="auto"/>
            <w:noWrap/>
            <w:vAlign w:val="bottom"/>
            <w:hideMark/>
          </w:tcPr>
          <w:p w14:paraId="169B1DB0" w14:textId="7F77240B" w:rsidR="003B7576" w:rsidRPr="00757ED8" w:rsidRDefault="003B7576" w:rsidP="003B7576">
            <w:pPr>
              <w:jc w:val="center"/>
              <w:rPr>
                <w:color w:val="000000"/>
              </w:rPr>
            </w:pPr>
            <w:r w:rsidRPr="00757ED8">
              <w:rPr>
                <w:color w:val="000000"/>
              </w:rPr>
              <w:t>2.25</w:t>
            </w:r>
            <w:r w:rsidR="00294C64" w:rsidRPr="00757ED8">
              <w:rPr>
                <w:color w:val="000000"/>
              </w:rPr>
              <w:t>(1.69)</w:t>
            </w:r>
          </w:p>
        </w:tc>
      </w:tr>
      <w:tr w:rsidR="003B7576" w:rsidRPr="00757ED8" w14:paraId="6E42374B" w14:textId="77777777" w:rsidTr="003B7576">
        <w:trPr>
          <w:trHeight w:val="320"/>
        </w:trPr>
        <w:tc>
          <w:tcPr>
            <w:tcW w:w="1300" w:type="dxa"/>
            <w:tcBorders>
              <w:top w:val="nil"/>
              <w:left w:val="single" w:sz="4" w:space="0" w:color="auto"/>
              <w:bottom w:val="nil"/>
              <w:right w:val="nil"/>
            </w:tcBorders>
            <w:shd w:val="clear" w:color="auto" w:fill="auto"/>
            <w:noWrap/>
            <w:vAlign w:val="bottom"/>
            <w:hideMark/>
          </w:tcPr>
          <w:p w14:paraId="306C90FA" w14:textId="77777777" w:rsidR="003B7576" w:rsidRPr="00757ED8" w:rsidRDefault="003B7576" w:rsidP="003B7576">
            <w:pPr>
              <w:jc w:val="center"/>
              <w:rPr>
                <w:color w:val="000000"/>
              </w:rPr>
            </w:pPr>
            <w:r w:rsidRPr="00757ED8">
              <w:rPr>
                <w:color w:val="000000"/>
              </w:rPr>
              <w:t>Ankle(s)</w:t>
            </w:r>
          </w:p>
        </w:tc>
        <w:tc>
          <w:tcPr>
            <w:tcW w:w="1300" w:type="dxa"/>
            <w:tcBorders>
              <w:top w:val="nil"/>
              <w:left w:val="nil"/>
              <w:bottom w:val="nil"/>
              <w:right w:val="nil"/>
            </w:tcBorders>
            <w:shd w:val="clear" w:color="auto" w:fill="auto"/>
            <w:noWrap/>
            <w:vAlign w:val="bottom"/>
            <w:hideMark/>
          </w:tcPr>
          <w:p w14:paraId="50029831" w14:textId="77777777" w:rsidR="003B7576" w:rsidRPr="00757ED8" w:rsidRDefault="003B7576" w:rsidP="003B7576">
            <w:pPr>
              <w:jc w:val="center"/>
              <w:rPr>
                <w:color w:val="000000"/>
              </w:rPr>
            </w:pPr>
            <w:r w:rsidRPr="00757ED8">
              <w:rPr>
                <w:color w:val="000000"/>
              </w:rPr>
              <w:t>35</w:t>
            </w:r>
          </w:p>
        </w:tc>
        <w:tc>
          <w:tcPr>
            <w:tcW w:w="1300" w:type="dxa"/>
            <w:tcBorders>
              <w:top w:val="nil"/>
              <w:left w:val="nil"/>
              <w:bottom w:val="nil"/>
              <w:right w:val="single" w:sz="4" w:space="0" w:color="auto"/>
            </w:tcBorders>
            <w:shd w:val="clear" w:color="auto" w:fill="auto"/>
            <w:noWrap/>
            <w:vAlign w:val="bottom"/>
            <w:hideMark/>
          </w:tcPr>
          <w:p w14:paraId="0E9573AF" w14:textId="6D575B7D" w:rsidR="003B7576" w:rsidRPr="00757ED8" w:rsidRDefault="003B7576" w:rsidP="003B7576">
            <w:pPr>
              <w:jc w:val="center"/>
              <w:rPr>
                <w:color w:val="000000"/>
              </w:rPr>
            </w:pPr>
            <w:r w:rsidRPr="00757ED8">
              <w:rPr>
                <w:color w:val="000000"/>
              </w:rPr>
              <w:t>18.1</w:t>
            </w:r>
          </w:p>
        </w:tc>
        <w:tc>
          <w:tcPr>
            <w:tcW w:w="1300" w:type="dxa"/>
            <w:tcBorders>
              <w:top w:val="nil"/>
              <w:left w:val="nil"/>
              <w:bottom w:val="nil"/>
              <w:right w:val="nil"/>
            </w:tcBorders>
            <w:shd w:val="clear" w:color="auto" w:fill="auto"/>
            <w:noWrap/>
            <w:vAlign w:val="bottom"/>
            <w:hideMark/>
          </w:tcPr>
          <w:p w14:paraId="1683B8EC" w14:textId="206F30D9" w:rsidR="003B7576" w:rsidRPr="00757ED8" w:rsidRDefault="003B7576" w:rsidP="003B7576">
            <w:pPr>
              <w:jc w:val="center"/>
              <w:rPr>
                <w:color w:val="000000"/>
              </w:rPr>
            </w:pPr>
            <w:r w:rsidRPr="00757ED8">
              <w:rPr>
                <w:color w:val="000000"/>
              </w:rPr>
              <w:t>2.43</w:t>
            </w:r>
            <w:r w:rsidR="006B29EE" w:rsidRPr="00757ED8">
              <w:rPr>
                <w:color w:val="000000"/>
              </w:rPr>
              <w:t>(.78)</w:t>
            </w:r>
          </w:p>
        </w:tc>
        <w:tc>
          <w:tcPr>
            <w:tcW w:w="1300" w:type="dxa"/>
            <w:tcBorders>
              <w:top w:val="nil"/>
              <w:left w:val="nil"/>
              <w:bottom w:val="nil"/>
              <w:right w:val="nil"/>
            </w:tcBorders>
            <w:shd w:val="clear" w:color="auto" w:fill="auto"/>
            <w:noWrap/>
            <w:vAlign w:val="bottom"/>
            <w:hideMark/>
          </w:tcPr>
          <w:p w14:paraId="5659FFFD" w14:textId="758D93FF" w:rsidR="003B7576" w:rsidRPr="00757ED8" w:rsidRDefault="003B7576" w:rsidP="003B7576">
            <w:pPr>
              <w:jc w:val="center"/>
              <w:rPr>
                <w:color w:val="000000"/>
              </w:rPr>
            </w:pPr>
            <w:r w:rsidRPr="00757ED8">
              <w:rPr>
                <w:color w:val="000000"/>
              </w:rPr>
              <w:t>4.23</w:t>
            </w:r>
            <w:r w:rsidR="006B29EE" w:rsidRPr="00757ED8">
              <w:rPr>
                <w:color w:val="000000"/>
              </w:rPr>
              <w:t>(1.31)</w:t>
            </w:r>
          </w:p>
        </w:tc>
        <w:tc>
          <w:tcPr>
            <w:tcW w:w="1300" w:type="dxa"/>
            <w:tcBorders>
              <w:top w:val="nil"/>
              <w:left w:val="nil"/>
              <w:bottom w:val="nil"/>
              <w:right w:val="nil"/>
            </w:tcBorders>
            <w:shd w:val="clear" w:color="auto" w:fill="auto"/>
            <w:noWrap/>
            <w:vAlign w:val="bottom"/>
            <w:hideMark/>
          </w:tcPr>
          <w:p w14:paraId="55BE66F9" w14:textId="218B5F69" w:rsidR="003B7576" w:rsidRPr="00757ED8" w:rsidRDefault="003B7576" w:rsidP="003B7576">
            <w:pPr>
              <w:jc w:val="center"/>
              <w:rPr>
                <w:color w:val="000000"/>
              </w:rPr>
            </w:pPr>
            <w:r w:rsidRPr="00757ED8">
              <w:rPr>
                <w:color w:val="000000"/>
              </w:rPr>
              <w:t>3.89</w:t>
            </w:r>
            <w:r w:rsidR="006B29EE" w:rsidRPr="00757ED8">
              <w:rPr>
                <w:color w:val="000000"/>
              </w:rPr>
              <w:t>(1.49)</w:t>
            </w:r>
          </w:p>
        </w:tc>
        <w:tc>
          <w:tcPr>
            <w:tcW w:w="1300" w:type="dxa"/>
            <w:tcBorders>
              <w:top w:val="nil"/>
              <w:left w:val="nil"/>
              <w:bottom w:val="nil"/>
              <w:right w:val="single" w:sz="4" w:space="0" w:color="auto"/>
            </w:tcBorders>
            <w:shd w:val="clear" w:color="auto" w:fill="auto"/>
            <w:noWrap/>
            <w:vAlign w:val="bottom"/>
            <w:hideMark/>
          </w:tcPr>
          <w:p w14:paraId="0481450A" w14:textId="2024020B" w:rsidR="006B29EE" w:rsidRPr="00757ED8" w:rsidRDefault="003B7576" w:rsidP="006B29EE">
            <w:pPr>
              <w:jc w:val="center"/>
              <w:rPr>
                <w:color w:val="000000"/>
              </w:rPr>
            </w:pPr>
            <w:r w:rsidRPr="00757ED8">
              <w:rPr>
                <w:color w:val="000000"/>
              </w:rPr>
              <w:t>2.34</w:t>
            </w:r>
            <w:r w:rsidR="006B29EE" w:rsidRPr="00757ED8">
              <w:rPr>
                <w:color w:val="000000"/>
              </w:rPr>
              <w:t>(1.94)</w:t>
            </w:r>
          </w:p>
        </w:tc>
      </w:tr>
      <w:tr w:rsidR="003B7576" w:rsidRPr="00757ED8" w14:paraId="749A3860" w14:textId="77777777" w:rsidTr="003B7576">
        <w:trPr>
          <w:trHeight w:val="320"/>
        </w:trPr>
        <w:tc>
          <w:tcPr>
            <w:tcW w:w="1300" w:type="dxa"/>
            <w:tcBorders>
              <w:top w:val="nil"/>
              <w:left w:val="single" w:sz="4" w:space="0" w:color="auto"/>
              <w:bottom w:val="single" w:sz="4" w:space="0" w:color="auto"/>
              <w:right w:val="nil"/>
            </w:tcBorders>
            <w:shd w:val="clear" w:color="auto" w:fill="auto"/>
            <w:noWrap/>
            <w:vAlign w:val="bottom"/>
            <w:hideMark/>
          </w:tcPr>
          <w:p w14:paraId="7D502DF4" w14:textId="77777777" w:rsidR="003B7576" w:rsidRPr="00757ED8" w:rsidRDefault="003B7576" w:rsidP="003B7576">
            <w:pPr>
              <w:jc w:val="center"/>
              <w:rPr>
                <w:color w:val="000000"/>
              </w:rPr>
            </w:pPr>
            <w:r w:rsidRPr="00757ED8">
              <w:rPr>
                <w:color w:val="000000"/>
              </w:rPr>
              <w:t>Elbow(s)</w:t>
            </w:r>
          </w:p>
        </w:tc>
        <w:tc>
          <w:tcPr>
            <w:tcW w:w="1300" w:type="dxa"/>
            <w:tcBorders>
              <w:top w:val="nil"/>
              <w:left w:val="nil"/>
              <w:bottom w:val="single" w:sz="4" w:space="0" w:color="auto"/>
              <w:right w:val="nil"/>
            </w:tcBorders>
            <w:shd w:val="clear" w:color="auto" w:fill="auto"/>
            <w:noWrap/>
            <w:vAlign w:val="bottom"/>
            <w:hideMark/>
          </w:tcPr>
          <w:p w14:paraId="07FFF7A2" w14:textId="77777777" w:rsidR="003B7576" w:rsidRPr="00757ED8" w:rsidRDefault="003B7576" w:rsidP="003B7576">
            <w:pPr>
              <w:jc w:val="center"/>
              <w:rPr>
                <w:color w:val="000000"/>
              </w:rPr>
            </w:pPr>
            <w:r w:rsidRPr="00757ED8">
              <w:rPr>
                <w:color w:val="000000"/>
              </w:rPr>
              <w:t>33</w:t>
            </w:r>
          </w:p>
        </w:tc>
        <w:tc>
          <w:tcPr>
            <w:tcW w:w="1300" w:type="dxa"/>
            <w:tcBorders>
              <w:top w:val="nil"/>
              <w:left w:val="nil"/>
              <w:bottom w:val="single" w:sz="4" w:space="0" w:color="auto"/>
              <w:right w:val="single" w:sz="4" w:space="0" w:color="auto"/>
            </w:tcBorders>
            <w:shd w:val="clear" w:color="auto" w:fill="auto"/>
            <w:noWrap/>
            <w:vAlign w:val="bottom"/>
            <w:hideMark/>
          </w:tcPr>
          <w:p w14:paraId="01CBBD6C" w14:textId="4B5DC7B1" w:rsidR="003B7576" w:rsidRPr="00757ED8" w:rsidRDefault="003B7576" w:rsidP="003B7576">
            <w:pPr>
              <w:jc w:val="center"/>
              <w:rPr>
                <w:color w:val="000000"/>
              </w:rPr>
            </w:pPr>
            <w:r w:rsidRPr="00757ED8">
              <w:rPr>
                <w:color w:val="000000"/>
              </w:rPr>
              <w:t>17.1</w:t>
            </w:r>
          </w:p>
        </w:tc>
        <w:tc>
          <w:tcPr>
            <w:tcW w:w="1300" w:type="dxa"/>
            <w:tcBorders>
              <w:top w:val="nil"/>
              <w:left w:val="nil"/>
              <w:bottom w:val="single" w:sz="4" w:space="0" w:color="auto"/>
              <w:right w:val="nil"/>
            </w:tcBorders>
            <w:shd w:val="clear" w:color="auto" w:fill="auto"/>
            <w:noWrap/>
            <w:vAlign w:val="bottom"/>
            <w:hideMark/>
          </w:tcPr>
          <w:p w14:paraId="002E9B39" w14:textId="4A6A4EFD" w:rsidR="003B7576" w:rsidRPr="00757ED8" w:rsidRDefault="003B7576" w:rsidP="003B7576">
            <w:pPr>
              <w:jc w:val="center"/>
              <w:rPr>
                <w:color w:val="000000"/>
              </w:rPr>
            </w:pPr>
            <w:r w:rsidRPr="00757ED8">
              <w:rPr>
                <w:color w:val="000000"/>
              </w:rPr>
              <w:t>2.42</w:t>
            </w:r>
            <w:r w:rsidR="00294C64" w:rsidRPr="00757ED8">
              <w:rPr>
                <w:color w:val="000000"/>
              </w:rPr>
              <w:t xml:space="preserve"> (1.0)</w:t>
            </w:r>
          </w:p>
        </w:tc>
        <w:tc>
          <w:tcPr>
            <w:tcW w:w="1300" w:type="dxa"/>
            <w:tcBorders>
              <w:top w:val="nil"/>
              <w:left w:val="nil"/>
              <w:bottom w:val="single" w:sz="4" w:space="0" w:color="auto"/>
              <w:right w:val="nil"/>
            </w:tcBorders>
            <w:shd w:val="clear" w:color="auto" w:fill="auto"/>
            <w:noWrap/>
            <w:vAlign w:val="bottom"/>
            <w:hideMark/>
          </w:tcPr>
          <w:p w14:paraId="17059C06" w14:textId="6232A32E" w:rsidR="003B7576" w:rsidRPr="00757ED8" w:rsidRDefault="003B7576" w:rsidP="003B7576">
            <w:pPr>
              <w:jc w:val="center"/>
              <w:rPr>
                <w:color w:val="000000"/>
              </w:rPr>
            </w:pPr>
            <w:r w:rsidRPr="00757ED8">
              <w:rPr>
                <w:color w:val="000000"/>
              </w:rPr>
              <w:t>4.12</w:t>
            </w:r>
            <w:r w:rsidR="00294C64" w:rsidRPr="00757ED8">
              <w:rPr>
                <w:color w:val="000000"/>
              </w:rPr>
              <w:t>(1.43)</w:t>
            </w:r>
          </w:p>
        </w:tc>
        <w:tc>
          <w:tcPr>
            <w:tcW w:w="1300" w:type="dxa"/>
            <w:tcBorders>
              <w:top w:val="nil"/>
              <w:left w:val="nil"/>
              <w:bottom w:val="single" w:sz="4" w:space="0" w:color="auto"/>
              <w:right w:val="nil"/>
            </w:tcBorders>
            <w:shd w:val="clear" w:color="auto" w:fill="auto"/>
            <w:noWrap/>
            <w:vAlign w:val="bottom"/>
            <w:hideMark/>
          </w:tcPr>
          <w:p w14:paraId="4D3F5323" w14:textId="6DFAA858" w:rsidR="003B7576" w:rsidRPr="00757ED8" w:rsidRDefault="003B7576" w:rsidP="003B7576">
            <w:pPr>
              <w:jc w:val="center"/>
              <w:rPr>
                <w:color w:val="000000"/>
              </w:rPr>
            </w:pPr>
            <w:r w:rsidRPr="00757ED8">
              <w:rPr>
                <w:color w:val="000000"/>
              </w:rPr>
              <w:t>3.24</w:t>
            </w:r>
            <w:r w:rsidR="00294C64" w:rsidRPr="00757ED8">
              <w:rPr>
                <w:color w:val="000000"/>
              </w:rPr>
              <w:t>(1.75)</w:t>
            </w:r>
          </w:p>
        </w:tc>
        <w:tc>
          <w:tcPr>
            <w:tcW w:w="1300" w:type="dxa"/>
            <w:tcBorders>
              <w:top w:val="nil"/>
              <w:left w:val="nil"/>
              <w:bottom w:val="single" w:sz="4" w:space="0" w:color="auto"/>
              <w:right w:val="single" w:sz="4" w:space="0" w:color="auto"/>
            </w:tcBorders>
            <w:shd w:val="clear" w:color="auto" w:fill="auto"/>
            <w:noWrap/>
            <w:vAlign w:val="bottom"/>
            <w:hideMark/>
          </w:tcPr>
          <w:p w14:paraId="116541CE" w14:textId="149E1D0C" w:rsidR="003B7576" w:rsidRPr="00757ED8" w:rsidRDefault="003B7576" w:rsidP="003B7576">
            <w:pPr>
              <w:jc w:val="center"/>
              <w:rPr>
                <w:color w:val="000000"/>
              </w:rPr>
            </w:pPr>
            <w:r w:rsidRPr="00757ED8">
              <w:rPr>
                <w:color w:val="000000"/>
              </w:rPr>
              <w:t>2.30</w:t>
            </w:r>
            <w:r w:rsidR="00294C64" w:rsidRPr="00757ED8">
              <w:rPr>
                <w:color w:val="000000"/>
              </w:rPr>
              <w:t>(1.57)</w:t>
            </w:r>
          </w:p>
        </w:tc>
      </w:tr>
    </w:tbl>
    <w:p w14:paraId="03D209FD" w14:textId="44535674" w:rsidR="00F60A20" w:rsidRPr="00757ED8" w:rsidRDefault="00F60A20" w:rsidP="00F60A20">
      <w:pPr>
        <w:pStyle w:val="NoSpacing"/>
        <w:rPr>
          <w:rFonts w:cstheme="minorHAnsi"/>
        </w:rPr>
      </w:pPr>
      <w:r w:rsidRPr="00757ED8">
        <w:rPr>
          <w:rFonts w:cstheme="minorHAnsi"/>
        </w:rPr>
        <w:t>Val</w:t>
      </w:r>
      <w:r w:rsidR="003B5AB9">
        <w:rPr>
          <w:rFonts w:cstheme="minorHAnsi"/>
        </w:rPr>
        <w:t>u</w:t>
      </w:r>
      <w:r w:rsidRPr="00757ED8">
        <w:rPr>
          <w:rFonts w:cstheme="minorHAnsi"/>
        </w:rPr>
        <w:t xml:space="preserve">es in this table represent the aggregate average of responses given on multiple items with responses ranging from 1-lowest to 5 – highest. </w:t>
      </w:r>
    </w:p>
    <w:p w14:paraId="52FB9B26" w14:textId="77777777" w:rsidR="008A333A" w:rsidRDefault="008A333A" w:rsidP="002A7D27">
      <w:pPr>
        <w:rPr>
          <w:rFonts w:cstheme="minorHAnsi"/>
          <w:sz w:val="22"/>
          <w:szCs w:val="22"/>
        </w:rPr>
      </w:pPr>
    </w:p>
    <w:p w14:paraId="60F1EB3E" w14:textId="77777777" w:rsidR="00A32A23" w:rsidRDefault="00A32A23" w:rsidP="002A7D27">
      <w:pPr>
        <w:rPr>
          <w:rFonts w:cstheme="minorHAnsi"/>
          <w:sz w:val="22"/>
          <w:szCs w:val="22"/>
        </w:rPr>
      </w:pPr>
    </w:p>
    <w:p w14:paraId="4E60060F" w14:textId="77777777" w:rsidR="00B2302F" w:rsidRPr="00B2302F" w:rsidRDefault="00B2302F" w:rsidP="00B2302F">
      <w:pPr>
        <w:rPr>
          <w:rFonts w:cstheme="minorHAnsi"/>
          <w:sz w:val="22"/>
          <w:szCs w:val="22"/>
        </w:rPr>
      </w:pPr>
      <w:r w:rsidRPr="00B2302F">
        <w:rPr>
          <w:rFonts w:cstheme="minorHAnsi"/>
          <w:b/>
          <w:bCs/>
          <w:sz w:val="22"/>
          <w:szCs w:val="22"/>
        </w:rPr>
        <w:t>Severity</w:t>
      </w:r>
    </w:p>
    <w:p w14:paraId="54D5572C" w14:textId="77777777" w:rsidR="00B2302F" w:rsidRPr="00B2302F" w:rsidRDefault="00B2302F" w:rsidP="00B2302F">
      <w:pPr>
        <w:rPr>
          <w:rFonts w:cstheme="minorHAnsi"/>
          <w:sz w:val="22"/>
          <w:szCs w:val="22"/>
        </w:rPr>
      </w:pPr>
      <w:r w:rsidRPr="00B2302F">
        <w:rPr>
          <w:rFonts w:cstheme="minorHAnsi"/>
          <w:sz w:val="22"/>
          <w:szCs w:val="22"/>
        </w:rPr>
        <w:t>1-Very low Pain</w:t>
      </w:r>
    </w:p>
    <w:p w14:paraId="177E1824" w14:textId="77777777" w:rsidR="00B2302F" w:rsidRPr="00B2302F" w:rsidRDefault="00B2302F" w:rsidP="00B2302F">
      <w:pPr>
        <w:rPr>
          <w:rFonts w:cstheme="minorHAnsi"/>
          <w:sz w:val="22"/>
          <w:szCs w:val="22"/>
        </w:rPr>
      </w:pPr>
      <w:r w:rsidRPr="00B2302F">
        <w:rPr>
          <w:rFonts w:cstheme="minorHAnsi"/>
          <w:sz w:val="22"/>
          <w:szCs w:val="22"/>
        </w:rPr>
        <w:t>2Mild Pain</w:t>
      </w:r>
      <w:r w:rsidRPr="00B2302F">
        <w:rPr>
          <w:rFonts w:cstheme="minorHAnsi"/>
          <w:sz w:val="22"/>
          <w:szCs w:val="22"/>
        </w:rPr>
        <w:tab/>
      </w:r>
    </w:p>
    <w:p w14:paraId="5B70D8CB" w14:textId="77777777" w:rsidR="00B2302F" w:rsidRPr="00B2302F" w:rsidRDefault="00B2302F" w:rsidP="00B2302F">
      <w:pPr>
        <w:rPr>
          <w:rFonts w:cstheme="minorHAnsi"/>
          <w:sz w:val="22"/>
          <w:szCs w:val="22"/>
        </w:rPr>
      </w:pPr>
      <w:r w:rsidRPr="00B2302F">
        <w:rPr>
          <w:rFonts w:cstheme="minorHAnsi"/>
          <w:sz w:val="22"/>
          <w:szCs w:val="22"/>
        </w:rPr>
        <w:t>3-Moderate Pain</w:t>
      </w:r>
    </w:p>
    <w:p w14:paraId="1339DB09" w14:textId="77777777" w:rsidR="00B2302F" w:rsidRPr="00B2302F" w:rsidRDefault="00B2302F" w:rsidP="00B2302F">
      <w:pPr>
        <w:rPr>
          <w:rFonts w:cstheme="minorHAnsi"/>
          <w:sz w:val="22"/>
          <w:szCs w:val="22"/>
        </w:rPr>
      </w:pPr>
      <w:r w:rsidRPr="00B2302F">
        <w:rPr>
          <w:rFonts w:cstheme="minorHAnsi"/>
          <w:sz w:val="22"/>
          <w:szCs w:val="22"/>
        </w:rPr>
        <w:t>4-Severe Pain</w:t>
      </w:r>
    </w:p>
    <w:p w14:paraId="2D94A257" w14:textId="77777777" w:rsidR="00B2302F" w:rsidRPr="00B2302F" w:rsidRDefault="00B2302F" w:rsidP="00B2302F">
      <w:pPr>
        <w:rPr>
          <w:rFonts w:cstheme="minorHAnsi"/>
          <w:sz w:val="22"/>
          <w:szCs w:val="22"/>
        </w:rPr>
      </w:pPr>
      <w:r w:rsidRPr="00B2302F">
        <w:rPr>
          <w:rFonts w:cstheme="minorHAnsi"/>
          <w:sz w:val="22"/>
          <w:szCs w:val="22"/>
        </w:rPr>
        <w:t xml:space="preserve">5-Unbearable Pain </w:t>
      </w:r>
    </w:p>
    <w:p w14:paraId="7A5AEF01" w14:textId="77777777" w:rsidR="00D52AC4" w:rsidRDefault="00D52AC4" w:rsidP="002A7D27">
      <w:pPr>
        <w:rPr>
          <w:rFonts w:cstheme="minorHAnsi"/>
          <w:sz w:val="22"/>
          <w:szCs w:val="22"/>
        </w:rPr>
      </w:pPr>
    </w:p>
    <w:p w14:paraId="07594E96" w14:textId="77777777" w:rsidR="00D53B7E" w:rsidRPr="00D53B7E" w:rsidRDefault="00D53B7E" w:rsidP="00D53B7E">
      <w:pPr>
        <w:rPr>
          <w:rFonts w:cstheme="minorHAnsi"/>
          <w:sz w:val="22"/>
          <w:szCs w:val="22"/>
        </w:rPr>
      </w:pPr>
      <w:r w:rsidRPr="00D53B7E">
        <w:rPr>
          <w:rFonts w:cstheme="minorHAnsi"/>
          <w:b/>
          <w:bCs/>
          <w:sz w:val="22"/>
          <w:szCs w:val="22"/>
        </w:rPr>
        <w:t>Time since onset</w:t>
      </w:r>
      <w:r w:rsidRPr="00D53B7E">
        <w:rPr>
          <w:rFonts w:cstheme="minorHAnsi"/>
          <w:sz w:val="22"/>
          <w:szCs w:val="22"/>
        </w:rPr>
        <w:tab/>
      </w:r>
    </w:p>
    <w:p w14:paraId="0828828C" w14:textId="77777777" w:rsidR="00D53B7E" w:rsidRPr="00D53B7E" w:rsidRDefault="00D53B7E" w:rsidP="00D53B7E">
      <w:pPr>
        <w:rPr>
          <w:rFonts w:cstheme="minorHAnsi"/>
          <w:sz w:val="22"/>
          <w:szCs w:val="22"/>
        </w:rPr>
      </w:pPr>
      <w:r w:rsidRPr="00D53B7E">
        <w:rPr>
          <w:rFonts w:cstheme="minorHAnsi"/>
          <w:sz w:val="22"/>
          <w:szCs w:val="22"/>
        </w:rPr>
        <w:t>1-1 month or less</w:t>
      </w:r>
      <w:r w:rsidRPr="00D53B7E">
        <w:rPr>
          <w:rFonts w:cstheme="minorHAnsi"/>
          <w:sz w:val="22"/>
          <w:szCs w:val="22"/>
        </w:rPr>
        <w:tab/>
      </w:r>
    </w:p>
    <w:p w14:paraId="1524F53A" w14:textId="77777777" w:rsidR="00D53B7E" w:rsidRPr="00D53B7E" w:rsidRDefault="00D53B7E" w:rsidP="00D53B7E">
      <w:pPr>
        <w:rPr>
          <w:rFonts w:cstheme="minorHAnsi"/>
          <w:sz w:val="22"/>
          <w:szCs w:val="22"/>
        </w:rPr>
      </w:pPr>
      <w:r w:rsidRPr="00D53B7E">
        <w:rPr>
          <w:rFonts w:cstheme="minorHAnsi"/>
          <w:sz w:val="22"/>
          <w:szCs w:val="22"/>
        </w:rPr>
        <w:t>2-Between 1 and 3 months</w:t>
      </w:r>
    </w:p>
    <w:p w14:paraId="45E066AC" w14:textId="77777777" w:rsidR="00D53B7E" w:rsidRPr="00D53B7E" w:rsidRDefault="00D53B7E" w:rsidP="00D53B7E">
      <w:pPr>
        <w:rPr>
          <w:rFonts w:cstheme="minorHAnsi"/>
          <w:sz w:val="22"/>
          <w:szCs w:val="22"/>
        </w:rPr>
      </w:pPr>
      <w:r w:rsidRPr="00D53B7E">
        <w:rPr>
          <w:rFonts w:cstheme="minorHAnsi"/>
          <w:sz w:val="22"/>
          <w:szCs w:val="22"/>
        </w:rPr>
        <w:t>3-Between 3 and 6 months</w:t>
      </w:r>
    </w:p>
    <w:p w14:paraId="4CCF9B97" w14:textId="77777777" w:rsidR="00D53B7E" w:rsidRPr="00D53B7E" w:rsidRDefault="00D53B7E" w:rsidP="00D53B7E">
      <w:pPr>
        <w:rPr>
          <w:rFonts w:cstheme="minorHAnsi"/>
          <w:sz w:val="22"/>
          <w:szCs w:val="22"/>
        </w:rPr>
      </w:pPr>
      <w:r w:rsidRPr="00D53B7E">
        <w:rPr>
          <w:rFonts w:cstheme="minorHAnsi"/>
          <w:sz w:val="22"/>
          <w:szCs w:val="22"/>
        </w:rPr>
        <w:t>4-Between 6 and 12 month</w:t>
      </w:r>
    </w:p>
    <w:p w14:paraId="5390D828" w14:textId="77777777" w:rsidR="00D53B7E" w:rsidRPr="00D53B7E" w:rsidRDefault="00D53B7E" w:rsidP="00D53B7E">
      <w:pPr>
        <w:rPr>
          <w:rFonts w:cstheme="minorHAnsi"/>
          <w:sz w:val="22"/>
          <w:szCs w:val="22"/>
        </w:rPr>
      </w:pPr>
      <w:r w:rsidRPr="00D53B7E">
        <w:rPr>
          <w:rFonts w:cstheme="minorHAnsi"/>
          <w:sz w:val="22"/>
          <w:szCs w:val="22"/>
        </w:rPr>
        <w:t>5-More than 12 months</w:t>
      </w:r>
      <w:r w:rsidRPr="00D53B7E">
        <w:rPr>
          <w:rFonts w:cstheme="minorHAnsi"/>
          <w:sz w:val="22"/>
          <w:szCs w:val="22"/>
        </w:rPr>
        <w:tab/>
        <w:t xml:space="preserve"> </w:t>
      </w:r>
    </w:p>
    <w:p w14:paraId="5053B585" w14:textId="77777777" w:rsidR="00D53B7E" w:rsidRDefault="00D53B7E" w:rsidP="002A7D27">
      <w:pPr>
        <w:rPr>
          <w:rFonts w:cstheme="minorHAnsi"/>
          <w:sz w:val="22"/>
          <w:szCs w:val="22"/>
        </w:rPr>
      </w:pPr>
    </w:p>
    <w:p w14:paraId="7E29F8B3" w14:textId="77777777" w:rsidR="00D53B7E" w:rsidRPr="00D53B7E" w:rsidRDefault="00D53B7E" w:rsidP="00D53B7E">
      <w:pPr>
        <w:rPr>
          <w:rFonts w:cstheme="minorHAnsi"/>
          <w:sz w:val="22"/>
          <w:szCs w:val="22"/>
        </w:rPr>
      </w:pPr>
      <w:r w:rsidRPr="00D53B7E">
        <w:rPr>
          <w:rFonts w:cstheme="minorHAnsi"/>
          <w:b/>
          <w:bCs/>
          <w:sz w:val="22"/>
          <w:szCs w:val="22"/>
        </w:rPr>
        <w:t>Frequency</w:t>
      </w:r>
      <w:r w:rsidRPr="00D53B7E">
        <w:rPr>
          <w:rFonts w:cstheme="minorHAnsi"/>
          <w:sz w:val="22"/>
          <w:szCs w:val="22"/>
        </w:rPr>
        <w:tab/>
      </w:r>
    </w:p>
    <w:p w14:paraId="2B36D7C0" w14:textId="77777777" w:rsidR="00D53B7E" w:rsidRPr="00D53B7E" w:rsidRDefault="00D53B7E" w:rsidP="00D53B7E">
      <w:pPr>
        <w:rPr>
          <w:rFonts w:cstheme="minorHAnsi"/>
          <w:sz w:val="22"/>
          <w:szCs w:val="22"/>
        </w:rPr>
      </w:pPr>
      <w:r w:rsidRPr="00D53B7E">
        <w:rPr>
          <w:rFonts w:cstheme="minorHAnsi"/>
          <w:sz w:val="22"/>
          <w:szCs w:val="22"/>
        </w:rPr>
        <w:t>5-Almost every day</w:t>
      </w:r>
      <w:r w:rsidRPr="00D53B7E">
        <w:rPr>
          <w:rFonts w:cstheme="minorHAnsi"/>
          <w:sz w:val="22"/>
          <w:szCs w:val="22"/>
        </w:rPr>
        <w:tab/>
      </w:r>
    </w:p>
    <w:p w14:paraId="71FFA9CD" w14:textId="77777777" w:rsidR="00D53B7E" w:rsidRPr="00D53B7E" w:rsidRDefault="00D53B7E" w:rsidP="00D53B7E">
      <w:pPr>
        <w:rPr>
          <w:rFonts w:cstheme="minorHAnsi"/>
          <w:sz w:val="22"/>
          <w:szCs w:val="22"/>
        </w:rPr>
      </w:pPr>
      <w:r w:rsidRPr="00D53B7E">
        <w:rPr>
          <w:rFonts w:cstheme="minorHAnsi"/>
          <w:sz w:val="22"/>
          <w:szCs w:val="22"/>
        </w:rPr>
        <w:t>4-About once a week</w:t>
      </w:r>
      <w:r w:rsidRPr="00D53B7E">
        <w:rPr>
          <w:rFonts w:cstheme="minorHAnsi"/>
          <w:sz w:val="22"/>
          <w:szCs w:val="22"/>
        </w:rPr>
        <w:tab/>
      </w:r>
    </w:p>
    <w:p w14:paraId="7822217E" w14:textId="77777777" w:rsidR="00D53B7E" w:rsidRPr="00D53B7E" w:rsidRDefault="00D53B7E" w:rsidP="00D53B7E">
      <w:pPr>
        <w:rPr>
          <w:rFonts w:cstheme="minorHAnsi"/>
          <w:sz w:val="22"/>
          <w:szCs w:val="22"/>
        </w:rPr>
      </w:pPr>
      <w:r w:rsidRPr="00D53B7E">
        <w:rPr>
          <w:rFonts w:cstheme="minorHAnsi"/>
          <w:sz w:val="22"/>
          <w:szCs w:val="22"/>
        </w:rPr>
        <w:t>3-About once every 2 weeks</w:t>
      </w:r>
    </w:p>
    <w:p w14:paraId="506BE0EC" w14:textId="77777777" w:rsidR="00D53B7E" w:rsidRPr="00D53B7E" w:rsidRDefault="00D53B7E" w:rsidP="00D53B7E">
      <w:pPr>
        <w:rPr>
          <w:rFonts w:cstheme="minorHAnsi"/>
          <w:sz w:val="22"/>
          <w:szCs w:val="22"/>
        </w:rPr>
      </w:pPr>
      <w:r w:rsidRPr="00D53B7E">
        <w:rPr>
          <w:rFonts w:cstheme="minorHAnsi"/>
          <w:sz w:val="22"/>
          <w:szCs w:val="22"/>
        </w:rPr>
        <w:lastRenderedPageBreak/>
        <w:t>2-About once a month</w:t>
      </w:r>
      <w:r w:rsidRPr="00D53B7E">
        <w:rPr>
          <w:rFonts w:cstheme="minorHAnsi"/>
          <w:sz w:val="22"/>
          <w:szCs w:val="22"/>
        </w:rPr>
        <w:tab/>
      </w:r>
    </w:p>
    <w:p w14:paraId="55A0AB34" w14:textId="77777777" w:rsidR="00D53B7E" w:rsidRPr="00D53B7E" w:rsidRDefault="00D53B7E" w:rsidP="00D53B7E">
      <w:pPr>
        <w:rPr>
          <w:rFonts w:cstheme="minorHAnsi"/>
          <w:sz w:val="22"/>
          <w:szCs w:val="22"/>
        </w:rPr>
      </w:pPr>
      <w:r w:rsidRPr="00D53B7E">
        <w:rPr>
          <w:rFonts w:cstheme="minorHAnsi"/>
          <w:sz w:val="22"/>
          <w:szCs w:val="22"/>
        </w:rPr>
        <w:t xml:space="preserve">1-Every few months </w:t>
      </w:r>
    </w:p>
    <w:p w14:paraId="4511F2A1" w14:textId="77777777" w:rsidR="00D53B7E" w:rsidRDefault="00D53B7E" w:rsidP="002A7D27">
      <w:pPr>
        <w:rPr>
          <w:rFonts w:cstheme="minorHAnsi"/>
          <w:sz w:val="22"/>
          <w:szCs w:val="22"/>
        </w:rPr>
      </w:pPr>
    </w:p>
    <w:p w14:paraId="5BED48C8" w14:textId="77777777" w:rsidR="00D53B7E" w:rsidRPr="00D53B7E" w:rsidRDefault="00D53B7E" w:rsidP="00D53B7E">
      <w:pPr>
        <w:rPr>
          <w:rFonts w:cstheme="minorHAnsi"/>
          <w:sz w:val="22"/>
          <w:szCs w:val="22"/>
        </w:rPr>
      </w:pPr>
      <w:r w:rsidRPr="00D53B7E">
        <w:rPr>
          <w:rFonts w:cstheme="minorHAnsi"/>
          <w:b/>
          <w:bCs/>
          <w:sz w:val="22"/>
          <w:szCs w:val="22"/>
        </w:rPr>
        <w:t>duration</w:t>
      </w:r>
    </w:p>
    <w:p w14:paraId="390E0C8E" w14:textId="77777777" w:rsidR="00D53B7E" w:rsidRPr="00D53B7E" w:rsidRDefault="00D53B7E" w:rsidP="00D53B7E">
      <w:pPr>
        <w:rPr>
          <w:rFonts w:cstheme="minorHAnsi"/>
          <w:sz w:val="22"/>
          <w:szCs w:val="22"/>
        </w:rPr>
      </w:pPr>
      <w:r w:rsidRPr="00D53B7E">
        <w:rPr>
          <w:rFonts w:cstheme="minorHAnsi"/>
          <w:sz w:val="22"/>
          <w:szCs w:val="22"/>
        </w:rPr>
        <w:t>1-up to 48 hours</w:t>
      </w:r>
    </w:p>
    <w:p w14:paraId="6B046CA4" w14:textId="77777777" w:rsidR="00D53B7E" w:rsidRPr="00D53B7E" w:rsidRDefault="00D53B7E" w:rsidP="00D53B7E">
      <w:pPr>
        <w:rPr>
          <w:rFonts w:cstheme="minorHAnsi"/>
          <w:sz w:val="22"/>
          <w:szCs w:val="22"/>
        </w:rPr>
      </w:pPr>
      <w:r w:rsidRPr="00D53B7E">
        <w:rPr>
          <w:rFonts w:cstheme="minorHAnsi"/>
          <w:sz w:val="22"/>
          <w:szCs w:val="22"/>
        </w:rPr>
        <w:t>2-up-to 1 week</w:t>
      </w:r>
    </w:p>
    <w:p w14:paraId="23C8AD3E" w14:textId="77777777" w:rsidR="00D53B7E" w:rsidRPr="00D53B7E" w:rsidRDefault="00D53B7E" w:rsidP="00D53B7E">
      <w:pPr>
        <w:rPr>
          <w:rFonts w:cstheme="minorHAnsi"/>
          <w:sz w:val="22"/>
          <w:szCs w:val="22"/>
        </w:rPr>
      </w:pPr>
      <w:r w:rsidRPr="00D53B7E">
        <w:rPr>
          <w:rFonts w:cstheme="minorHAnsi"/>
          <w:sz w:val="22"/>
          <w:szCs w:val="22"/>
        </w:rPr>
        <w:t>3-between 1-3 weeks</w:t>
      </w:r>
    </w:p>
    <w:p w14:paraId="64AAD8F2" w14:textId="77777777" w:rsidR="00D53B7E" w:rsidRPr="00D53B7E" w:rsidRDefault="00D53B7E" w:rsidP="00D53B7E">
      <w:pPr>
        <w:rPr>
          <w:rFonts w:cstheme="minorHAnsi"/>
          <w:sz w:val="22"/>
          <w:szCs w:val="22"/>
        </w:rPr>
      </w:pPr>
      <w:r w:rsidRPr="00D53B7E">
        <w:rPr>
          <w:rFonts w:cstheme="minorHAnsi"/>
          <w:sz w:val="22"/>
          <w:szCs w:val="22"/>
        </w:rPr>
        <w:t>4-up-to a month</w:t>
      </w:r>
    </w:p>
    <w:p w14:paraId="0951A950" w14:textId="77777777" w:rsidR="00D53B7E" w:rsidRPr="00D53B7E" w:rsidRDefault="00D53B7E" w:rsidP="00D53B7E">
      <w:pPr>
        <w:rPr>
          <w:rFonts w:cstheme="minorHAnsi"/>
          <w:sz w:val="22"/>
          <w:szCs w:val="22"/>
        </w:rPr>
      </w:pPr>
      <w:r w:rsidRPr="00D53B7E">
        <w:rPr>
          <w:rFonts w:cstheme="minorHAnsi"/>
          <w:sz w:val="22"/>
          <w:szCs w:val="22"/>
        </w:rPr>
        <w:t>5-up-to 3 months</w:t>
      </w:r>
    </w:p>
    <w:p w14:paraId="1CD91D09" w14:textId="77777777" w:rsidR="00D53B7E" w:rsidRPr="00D53B7E" w:rsidRDefault="00D53B7E" w:rsidP="00D53B7E">
      <w:pPr>
        <w:rPr>
          <w:rFonts w:cstheme="minorHAnsi"/>
          <w:sz w:val="22"/>
          <w:szCs w:val="22"/>
        </w:rPr>
      </w:pPr>
      <w:r w:rsidRPr="00D53B7E">
        <w:rPr>
          <w:rFonts w:cstheme="minorHAnsi"/>
          <w:sz w:val="22"/>
          <w:szCs w:val="22"/>
        </w:rPr>
        <w:t>6-up-to 6 months</w:t>
      </w:r>
    </w:p>
    <w:p w14:paraId="3D0A16BB" w14:textId="77777777" w:rsidR="00D53B7E" w:rsidRPr="0073774C" w:rsidRDefault="00D53B7E" w:rsidP="002A7D27">
      <w:pPr>
        <w:rPr>
          <w:rFonts w:cstheme="minorHAnsi"/>
          <w:sz w:val="22"/>
          <w:szCs w:val="22"/>
        </w:rPr>
      </w:pPr>
    </w:p>
    <w:p w14:paraId="1071E7BC" w14:textId="77777777" w:rsidR="00340144" w:rsidRDefault="00340144">
      <w:pPr>
        <w:rPr>
          <w:rFonts w:cstheme="minorHAnsi"/>
          <w:sz w:val="22"/>
          <w:szCs w:val="22"/>
        </w:rPr>
      </w:pPr>
    </w:p>
    <w:p w14:paraId="64B7D85B" w14:textId="77777777" w:rsidR="00340144" w:rsidRDefault="00340144">
      <w:pPr>
        <w:rPr>
          <w:rFonts w:cstheme="minorHAnsi"/>
          <w:sz w:val="22"/>
          <w:szCs w:val="22"/>
        </w:rPr>
      </w:pPr>
    </w:p>
    <w:p w14:paraId="4F8B9C5B" w14:textId="77777777" w:rsidR="003E7AE0" w:rsidRDefault="003E7AE0">
      <w:pPr>
        <w:rPr>
          <w:rFonts w:cstheme="minorHAnsi"/>
          <w:b/>
          <w:bCs/>
          <w:sz w:val="22"/>
          <w:szCs w:val="22"/>
        </w:rPr>
      </w:pPr>
    </w:p>
    <w:p w14:paraId="30C4FD86" w14:textId="77777777" w:rsidR="000941DA" w:rsidRDefault="000941DA">
      <w:pPr>
        <w:rPr>
          <w:rFonts w:cstheme="minorHAnsi"/>
          <w:b/>
          <w:bCs/>
          <w:sz w:val="22"/>
          <w:szCs w:val="22"/>
        </w:rPr>
      </w:pPr>
    </w:p>
    <w:p w14:paraId="529D407E" w14:textId="77777777" w:rsidR="000941DA" w:rsidRDefault="000941DA">
      <w:pPr>
        <w:rPr>
          <w:rFonts w:cstheme="minorHAnsi"/>
          <w:b/>
          <w:bCs/>
          <w:sz w:val="22"/>
          <w:szCs w:val="22"/>
        </w:rPr>
      </w:pPr>
    </w:p>
    <w:p w14:paraId="61F37E65" w14:textId="77777777" w:rsidR="000941DA" w:rsidRDefault="000941DA">
      <w:pPr>
        <w:rPr>
          <w:rFonts w:cstheme="minorHAnsi"/>
          <w:b/>
          <w:bCs/>
          <w:sz w:val="22"/>
          <w:szCs w:val="22"/>
        </w:rPr>
      </w:pPr>
    </w:p>
    <w:p w14:paraId="4B5D5C44" w14:textId="77777777" w:rsidR="000941DA" w:rsidRDefault="000941DA">
      <w:pPr>
        <w:rPr>
          <w:rFonts w:cstheme="minorHAnsi"/>
          <w:b/>
          <w:bCs/>
          <w:sz w:val="22"/>
          <w:szCs w:val="22"/>
        </w:rPr>
      </w:pPr>
    </w:p>
    <w:p w14:paraId="4F869421" w14:textId="77777777" w:rsidR="003E7AE0" w:rsidRDefault="003E7AE0">
      <w:pPr>
        <w:rPr>
          <w:rFonts w:cstheme="minorHAnsi"/>
          <w:b/>
          <w:bCs/>
          <w:sz w:val="22"/>
          <w:szCs w:val="22"/>
        </w:rPr>
      </w:pPr>
    </w:p>
    <w:p w14:paraId="4BA835B7" w14:textId="24B1FE89" w:rsidR="003E7AE0" w:rsidRPr="00757ED8" w:rsidRDefault="003E7AE0">
      <w:pPr>
        <w:rPr>
          <w:rFonts w:cstheme="minorHAnsi"/>
          <w:b/>
          <w:bCs/>
        </w:rPr>
      </w:pPr>
      <w:r w:rsidRPr="00757ED8">
        <w:rPr>
          <w:rFonts w:cstheme="minorHAnsi"/>
          <w:b/>
          <w:bCs/>
        </w:rPr>
        <w:t xml:space="preserve">Table </w:t>
      </w:r>
      <w:r w:rsidR="00D025FF" w:rsidRPr="00757ED8">
        <w:rPr>
          <w:rFonts w:cstheme="minorHAnsi"/>
          <w:b/>
          <w:bCs/>
        </w:rPr>
        <w:t>3</w:t>
      </w:r>
    </w:p>
    <w:p w14:paraId="143467C2" w14:textId="77777777" w:rsidR="003E7AE0" w:rsidRPr="00757ED8" w:rsidRDefault="003E7AE0">
      <w:pPr>
        <w:rPr>
          <w:rFonts w:cstheme="minorHAnsi"/>
          <w:b/>
          <w:bCs/>
        </w:rPr>
      </w:pPr>
    </w:p>
    <w:p w14:paraId="48BAC21C" w14:textId="2FF9678B" w:rsidR="003E7AE0" w:rsidRPr="00757ED8" w:rsidRDefault="003E7AE0" w:rsidP="003E7AE0">
      <w:pPr>
        <w:spacing w:line="480" w:lineRule="auto"/>
        <w:jc w:val="both"/>
        <w:rPr>
          <w:rFonts w:cstheme="minorHAnsi"/>
          <w:b/>
          <w:bCs/>
        </w:rPr>
      </w:pPr>
      <w:r w:rsidRPr="00757ED8">
        <w:rPr>
          <w:rFonts w:cstheme="minorHAnsi"/>
          <w:b/>
          <w:bCs/>
        </w:rPr>
        <w:t>Correlations between</w:t>
      </w:r>
      <w:r w:rsidR="0092342E" w:rsidRPr="00757ED8">
        <w:rPr>
          <w:rFonts w:cstheme="minorHAnsi"/>
          <w:b/>
          <w:bCs/>
        </w:rPr>
        <w:t xml:space="preserve"> differing measures</w:t>
      </w:r>
      <w:r w:rsidRPr="00757ED8">
        <w:rPr>
          <w:rFonts w:cstheme="minorHAnsi"/>
          <w:b/>
          <w:bCs/>
        </w:rPr>
        <w:t xml:space="preserve"> </w:t>
      </w:r>
      <w:r w:rsidR="0092342E" w:rsidRPr="00757ED8">
        <w:rPr>
          <w:rFonts w:cstheme="minorHAnsi"/>
          <w:b/>
          <w:bCs/>
        </w:rPr>
        <w:t xml:space="preserve">of </w:t>
      </w:r>
      <w:r w:rsidRPr="00757ED8">
        <w:rPr>
          <w:rFonts w:cstheme="minorHAnsi"/>
          <w:b/>
          <w:bCs/>
        </w:rPr>
        <w:t xml:space="preserve">pain </w:t>
      </w:r>
    </w:p>
    <w:tbl>
      <w:tblPr>
        <w:tblStyle w:val="PlainTable2"/>
        <w:tblW w:w="8868" w:type="dxa"/>
        <w:tblLook w:val="04A0" w:firstRow="1" w:lastRow="0" w:firstColumn="1" w:lastColumn="0" w:noHBand="0" w:noVBand="1"/>
      </w:tblPr>
      <w:tblGrid>
        <w:gridCol w:w="1898"/>
        <w:gridCol w:w="1328"/>
        <w:gridCol w:w="1233"/>
        <w:gridCol w:w="1175"/>
        <w:gridCol w:w="1898"/>
        <w:gridCol w:w="1336"/>
      </w:tblGrid>
      <w:tr w:rsidR="003E7AE0" w:rsidRPr="00757ED8" w14:paraId="250C508C" w14:textId="77777777" w:rsidTr="00E41305">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898" w:type="dxa"/>
            <w:noWrap/>
            <w:hideMark/>
          </w:tcPr>
          <w:p w14:paraId="3FB586FC" w14:textId="77777777" w:rsidR="003E7AE0" w:rsidRPr="00757ED8" w:rsidRDefault="003E7AE0" w:rsidP="00E41305">
            <w:pPr>
              <w:rPr>
                <w:color w:val="000000"/>
              </w:rPr>
            </w:pPr>
            <w:r w:rsidRPr="00757ED8">
              <w:rPr>
                <w:color w:val="000000"/>
              </w:rPr>
              <w:t>Spearman's rho</w:t>
            </w:r>
          </w:p>
        </w:tc>
        <w:tc>
          <w:tcPr>
            <w:tcW w:w="1328" w:type="dxa"/>
            <w:noWrap/>
            <w:hideMark/>
          </w:tcPr>
          <w:p w14:paraId="32085115" w14:textId="77777777" w:rsidR="003E7AE0" w:rsidRPr="00757ED8" w:rsidRDefault="003E7AE0" w:rsidP="00E41305">
            <w:pPr>
              <w:cnfStyle w:val="100000000000" w:firstRow="1" w:lastRow="0" w:firstColumn="0" w:lastColumn="0" w:oddVBand="0" w:evenVBand="0" w:oddHBand="0" w:evenHBand="0" w:firstRowFirstColumn="0" w:firstRowLastColumn="0" w:lastRowFirstColumn="0" w:lastRowLastColumn="0"/>
              <w:rPr>
                <w:color w:val="000000"/>
              </w:rPr>
            </w:pPr>
          </w:p>
        </w:tc>
        <w:tc>
          <w:tcPr>
            <w:tcW w:w="1233" w:type="dxa"/>
            <w:noWrap/>
            <w:hideMark/>
          </w:tcPr>
          <w:p w14:paraId="041B5CD0" w14:textId="77777777" w:rsidR="003E7AE0" w:rsidRPr="00757ED8" w:rsidRDefault="003E7AE0" w:rsidP="00E41305">
            <w:pPr>
              <w:cnfStyle w:val="100000000000" w:firstRow="1" w:lastRow="0" w:firstColumn="0" w:lastColumn="0" w:oddVBand="0" w:evenVBand="0" w:oddHBand="0" w:evenHBand="0" w:firstRowFirstColumn="0" w:firstRowLastColumn="0" w:lastRowFirstColumn="0" w:lastRowLastColumn="0"/>
              <w:rPr>
                <w:sz w:val="20"/>
                <w:szCs w:val="20"/>
              </w:rPr>
            </w:pPr>
          </w:p>
        </w:tc>
        <w:tc>
          <w:tcPr>
            <w:tcW w:w="1175" w:type="dxa"/>
            <w:noWrap/>
            <w:hideMark/>
          </w:tcPr>
          <w:p w14:paraId="28C4444C" w14:textId="77777777" w:rsidR="003E7AE0" w:rsidRPr="00757ED8" w:rsidRDefault="003E7AE0" w:rsidP="00E41305">
            <w:pPr>
              <w:cnfStyle w:val="100000000000" w:firstRow="1" w:lastRow="0" w:firstColumn="0" w:lastColumn="0" w:oddVBand="0" w:evenVBand="0" w:oddHBand="0" w:evenHBand="0" w:firstRowFirstColumn="0" w:firstRowLastColumn="0" w:lastRowFirstColumn="0" w:lastRowLastColumn="0"/>
              <w:rPr>
                <w:sz w:val="20"/>
                <w:szCs w:val="20"/>
              </w:rPr>
            </w:pPr>
          </w:p>
        </w:tc>
        <w:tc>
          <w:tcPr>
            <w:tcW w:w="1898" w:type="dxa"/>
            <w:noWrap/>
            <w:hideMark/>
          </w:tcPr>
          <w:p w14:paraId="0C7CDBF3" w14:textId="77777777" w:rsidR="003E7AE0" w:rsidRPr="00757ED8" w:rsidRDefault="003E7AE0" w:rsidP="00E41305">
            <w:pPr>
              <w:cnfStyle w:val="100000000000" w:firstRow="1" w:lastRow="0" w:firstColumn="0" w:lastColumn="0" w:oddVBand="0" w:evenVBand="0" w:oddHBand="0" w:evenHBand="0" w:firstRowFirstColumn="0" w:firstRowLastColumn="0" w:lastRowFirstColumn="0" w:lastRowLastColumn="0"/>
              <w:rPr>
                <w:sz w:val="20"/>
                <w:szCs w:val="20"/>
              </w:rPr>
            </w:pPr>
          </w:p>
        </w:tc>
        <w:tc>
          <w:tcPr>
            <w:tcW w:w="1336" w:type="dxa"/>
            <w:noWrap/>
            <w:hideMark/>
          </w:tcPr>
          <w:p w14:paraId="2D0E9F91" w14:textId="77777777" w:rsidR="003E7AE0" w:rsidRPr="00757ED8" w:rsidRDefault="003E7AE0" w:rsidP="00E41305">
            <w:pPr>
              <w:cnfStyle w:val="100000000000" w:firstRow="1" w:lastRow="0" w:firstColumn="0" w:lastColumn="0" w:oddVBand="0" w:evenVBand="0" w:oddHBand="0" w:evenHBand="0" w:firstRowFirstColumn="0" w:firstRowLastColumn="0" w:lastRowFirstColumn="0" w:lastRowLastColumn="0"/>
              <w:rPr>
                <w:sz w:val="20"/>
                <w:szCs w:val="20"/>
              </w:rPr>
            </w:pPr>
          </w:p>
        </w:tc>
      </w:tr>
      <w:tr w:rsidR="003E7AE0" w:rsidRPr="00757ED8" w14:paraId="544350EC" w14:textId="77777777" w:rsidTr="00E41305">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898" w:type="dxa"/>
            <w:noWrap/>
            <w:hideMark/>
          </w:tcPr>
          <w:p w14:paraId="647AE0A6" w14:textId="77777777" w:rsidR="003E7AE0" w:rsidRPr="00757ED8" w:rsidRDefault="003E7AE0" w:rsidP="00E41305">
            <w:pPr>
              <w:rPr>
                <w:sz w:val="20"/>
                <w:szCs w:val="20"/>
              </w:rPr>
            </w:pPr>
          </w:p>
        </w:tc>
        <w:tc>
          <w:tcPr>
            <w:tcW w:w="1328" w:type="dxa"/>
            <w:hideMark/>
          </w:tcPr>
          <w:p w14:paraId="59093FAE" w14:textId="016A7340" w:rsidR="003E7AE0" w:rsidRPr="00757ED8" w:rsidRDefault="003E7AE0" w:rsidP="00E41305">
            <w:pPr>
              <w:cnfStyle w:val="000000100000" w:firstRow="0" w:lastRow="0" w:firstColumn="0" w:lastColumn="0" w:oddVBand="0" w:evenVBand="0" w:oddHBand="1" w:evenHBand="0" w:firstRowFirstColumn="0" w:firstRowLastColumn="0" w:lastRowFirstColumn="0" w:lastRowLastColumn="0"/>
              <w:rPr>
                <w:color w:val="000000"/>
              </w:rPr>
            </w:pPr>
            <w:r w:rsidRPr="00757ED8">
              <w:rPr>
                <w:color w:val="000000"/>
              </w:rPr>
              <w:t>Average time since onset</w:t>
            </w:r>
          </w:p>
        </w:tc>
        <w:tc>
          <w:tcPr>
            <w:tcW w:w="1233" w:type="dxa"/>
            <w:hideMark/>
          </w:tcPr>
          <w:p w14:paraId="52DCEE52" w14:textId="7F1B60CB" w:rsidR="003E7AE0" w:rsidRPr="00757ED8" w:rsidRDefault="003E7AE0" w:rsidP="00E41305">
            <w:pPr>
              <w:cnfStyle w:val="000000100000" w:firstRow="0" w:lastRow="0" w:firstColumn="0" w:lastColumn="0" w:oddVBand="0" w:evenVBand="0" w:oddHBand="1" w:evenHBand="0" w:firstRowFirstColumn="0" w:firstRowLastColumn="0" w:lastRowFirstColumn="0" w:lastRowLastColumn="0"/>
              <w:rPr>
                <w:color w:val="000000"/>
              </w:rPr>
            </w:pPr>
            <w:r w:rsidRPr="00757ED8">
              <w:rPr>
                <w:color w:val="000000"/>
              </w:rPr>
              <w:t>Average Pain frequency</w:t>
            </w:r>
          </w:p>
        </w:tc>
        <w:tc>
          <w:tcPr>
            <w:tcW w:w="1175" w:type="dxa"/>
            <w:hideMark/>
          </w:tcPr>
          <w:p w14:paraId="00AFA027" w14:textId="702DFAD2" w:rsidR="003E7AE0" w:rsidRPr="00757ED8" w:rsidRDefault="003E7AE0" w:rsidP="00E41305">
            <w:pPr>
              <w:cnfStyle w:val="000000100000" w:firstRow="0" w:lastRow="0" w:firstColumn="0" w:lastColumn="0" w:oddVBand="0" w:evenVBand="0" w:oddHBand="1" w:evenHBand="0" w:firstRowFirstColumn="0" w:firstRowLastColumn="0" w:lastRowFirstColumn="0" w:lastRowLastColumn="0"/>
              <w:rPr>
                <w:color w:val="000000"/>
              </w:rPr>
            </w:pPr>
            <w:r w:rsidRPr="00757ED8">
              <w:rPr>
                <w:color w:val="000000"/>
              </w:rPr>
              <w:t>Average Pain Duration</w:t>
            </w:r>
          </w:p>
        </w:tc>
        <w:tc>
          <w:tcPr>
            <w:tcW w:w="1898" w:type="dxa"/>
            <w:hideMark/>
          </w:tcPr>
          <w:p w14:paraId="6C9F9BE8" w14:textId="12BDE4B3" w:rsidR="003E7AE0" w:rsidRPr="00757ED8" w:rsidRDefault="003E7AE0" w:rsidP="00E41305">
            <w:pPr>
              <w:cnfStyle w:val="000000100000" w:firstRow="0" w:lastRow="0" w:firstColumn="0" w:lastColumn="0" w:oddVBand="0" w:evenVBand="0" w:oddHBand="1" w:evenHBand="0" w:firstRowFirstColumn="0" w:firstRowLastColumn="0" w:lastRowFirstColumn="0" w:lastRowLastColumn="0"/>
              <w:rPr>
                <w:color w:val="000000"/>
              </w:rPr>
            </w:pPr>
            <w:r w:rsidRPr="00757ED8">
              <w:rPr>
                <w:color w:val="000000"/>
              </w:rPr>
              <w:t>Average frequency of Role MSK pain</w:t>
            </w:r>
          </w:p>
        </w:tc>
        <w:tc>
          <w:tcPr>
            <w:tcW w:w="1336" w:type="dxa"/>
            <w:hideMark/>
          </w:tcPr>
          <w:p w14:paraId="422D05C6" w14:textId="3C8705B5" w:rsidR="003E7AE0" w:rsidRPr="00757ED8" w:rsidRDefault="003E7AE0" w:rsidP="00E41305">
            <w:pPr>
              <w:cnfStyle w:val="000000100000" w:firstRow="0" w:lastRow="0" w:firstColumn="0" w:lastColumn="0" w:oddVBand="0" w:evenVBand="0" w:oddHBand="1" w:evenHBand="0" w:firstRowFirstColumn="0" w:firstRowLastColumn="0" w:lastRowFirstColumn="0" w:lastRowLastColumn="0"/>
              <w:rPr>
                <w:color w:val="000000"/>
              </w:rPr>
            </w:pPr>
            <w:r w:rsidRPr="00757ED8">
              <w:rPr>
                <w:color w:val="000000"/>
              </w:rPr>
              <w:t>Number of pain locations</w:t>
            </w:r>
          </w:p>
        </w:tc>
      </w:tr>
      <w:tr w:rsidR="00145873" w:rsidRPr="00757ED8" w14:paraId="1BF66691" w14:textId="77777777" w:rsidTr="00E41305">
        <w:trPr>
          <w:trHeight w:val="591"/>
        </w:trPr>
        <w:tc>
          <w:tcPr>
            <w:cnfStyle w:val="001000000000" w:firstRow="0" w:lastRow="0" w:firstColumn="1" w:lastColumn="0" w:oddVBand="0" w:evenVBand="0" w:oddHBand="0" w:evenHBand="0" w:firstRowFirstColumn="0" w:firstRowLastColumn="0" w:lastRowFirstColumn="0" w:lastRowLastColumn="0"/>
            <w:tcW w:w="1898" w:type="dxa"/>
            <w:noWrap/>
            <w:hideMark/>
          </w:tcPr>
          <w:p w14:paraId="35845F54" w14:textId="0C0C709E" w:rsidR="003E7AE0" w:rsidRPr="00757ED8" w:rsidRDefault="003E7AE0" w:rsidP="00E41305">
            <w:pPr>
              <w:rPr>
                <w:b w:val="0"/>
                <w:bCs w:val="0"/>
                <w:color w:val="000000"/>
              </w:rPr>
            </w:pPr>
            <w:r w:rsidRPr="00757ED8">
              <w:rPr>
                <w:b w:val="0"/>
                <w:bCs w:val="0"/>
                <w:color w:val="000000"/>
              </w:rPr>
              <w:t>Average</w:t>
            </w:r>
            <w:r w:rsidR="00145873" w:rsidRPr="00757ED8">
              <w:rPr>
                <w:b w:val="0"/>
                <w:bCs w:val="0"/>
                <w:color w:val="000000"/>
              </w:rPr>
              <w:t xml:space="preserve"> </w:t>
            </w:r>
            <w:r w:rsidRPr="00757ED8">
              <w:rPr>
                <w:b w:val="0"/>
                <w:bCs w:val="0"/>
                <w:color w:val="000000"/>
              </w:rPr>
              <w:t>time</w:t>
            </w:r>
            <w:r w:rsidR="00145873" w:rsidRPr="00757ED8">
              <w:rPr>
                <w:b w:val="0"/>
                <w:bCs w:val="0"/>
                <w:color w:val="000000"/>
              </w:rPr>
              <w:t xml:space="preserve"> </w:t>
            </w:r>
            <w:r w:rsidRPr="00757ED8">
              <w:rPr>
                <w:b w:val="0"/>
                <w:bCs w:val="0"/>
                <w:color w:val="000000"/>
              </w:rPr>
              <w:t>since</w:t>
            </w:r>
            <w:r w:rsidR="00145873" w:rsidRPr="00757ED8">
              <w:rPr>
                <w:b w:val="0"/>
                <w:bCs w:val="0"/>
                <w:color w:val="000000"/>
              </w:rPr>
              <w:t xml:space="preserve"> </w:t>
            </w:r>
            <w:r w:rsidRPr="00757ED8">
              <w:rPr>
                <w:b w:val="0"/>
                <w:bCs w:val="0"/>
                <w:color w:val="000000"/>
              </w:rPr>
              <w:t>onset</w:t>
            </w:r>
          </w:p>
        </w:tc>
        <w:tc>
          <w:tcPr>
            <w:tcW w:w="1328" w:type="dxa"/>
            <w:noWrap/>
            <w:hideMark/>
          </w:tcPr>
          <w:p w14:paraId="3249DB14" w14:textId="77777777" w:rsidR="003E7AE0" w:rsidRPr="00757ED8" w:rsidRDefault="003E7AE0" w:rsidP="00E41305">
            <w:pPr>
              <w:jc w:val="center"/>
              <w:cnfStyle w:val="000000000000" w:firstRow="0" w:lastRow="0" w:firstColumn="0" w:lastColumn="0" w:oddVBand="0" w:evenVBand="0" w:oddHBand="0" w:evenHBand="0" w:firstRowFirstColumn="0" w:firstRowLastColumn="0" w:lastRowFirstColumn="0" w:lastRowLastColumn="0"/>
              <w:rPr>
                <w:color w:val="000000"/>
              </w:rPr>
            </w:pPr>
            <w:r w:rsidRPr="00757ED8">
              <w:rPr>
                <w:color w:val="000000"/>
              </w:rPr>
              <w:t>1</w:t>
            </w:r>
          </w:p>
        </w:tc>
        <w:tc>
          <w:tcPr>
            <w:tcW w:w="1233" w:type="dxa"/>
            <w:noWrap/>
            <w:hideMark/>
          </w:tcPr>
          <w:p w14:paraId="566665A2" w14:textId="77777777" w:rsidR="003E7AE0" w:rsidRPr="00757ED8" w:rsidRDefault="003E7AE0" w:rsidP="00E41305">
            <w:pPr>
              <w:jc w:val="center"/>
              <w:cnfStyle w:val="000000000000" w:firstRow="0" w:lastRow="0" w:firstColumn="0" w:lastColumn="0" w:oddVBand="0" w:evenVBand="0" w:oddHBand="0" w:evenHBand="0" w:firstRowFirstColumn="0" w:firstRowLastColumn="0" w:lastRowFirstColumn="0" w:lastRowLastColumn="0"/>
              <w:rPr>
                <w:color w:val="000000"/>
              </w:rPr>
            </w:pPr>
            <w:r w:rsidRPr="00757ED8">
              <w:rPr>
                <w:color w:val="000000"/>
              </w:rPr>
              <w:t>0.109</w:t>
            </w:r>
          </w:p>
        </w:tc>
        <w:tc>
          <w:tcPr>
            <w:tcW w:w="1175" w:type="dxa"/>
            <w:noWrap/>
            <w:hideMark/>
          </w:tcPr>
          <w:p w14:paraId="3155C9C0" w14:textId="77777777" w:rsidR="003E7AE0" w:rsidRPr="00757ED8" w:rsidRDefault="003E7AE0" w:rsidP="00E41305">
            <w:pPr>
              <w:jc w:val="center"/>
              <w:cnfStyle w:val="000000000000" w:firstRow="0" w:lastRow="0" w:firstColumn="0" w:lastColumn="0" w:oddVBand="0" w:evenVBand="0" w:oddHBand="0" w:evenHBand="0" w:firstRowFirstColumn="0" w:firstRowLastColumn="0" w:lastRowFirstColumn="0" w:lastRowLastColumn="0"/>
              <w:rPr>
                <w:color w:val="000000"/>
              </w:rPr>
            </w:pPr>
            <w:r w:rsidRPr="00757ED8">
              <w:rPr>
                <w:color w:val="000000"/>
              </w:rPr>
              <w:t>0.016</w:t>
            </w:r>
          </w:p>
        </w:tc>
        <w:tc>
          <w:tcPr>
            <w:tcW w:w="1898" w:type="dxa"/>
            <w:noWrap/>
            <w:hideMark/>
          </w:tcPr>
          <w:p w14:paraId="432992AE" w14:textId="77777777" w:rsidR="003E7AE0" w:rsidRPr="00757ED8" w:rsidRDefault="003E7AE0" w:rsidP="00E41305">
            <w:pPr>
              <w:jc w:val="center"/>
              <w:cnfStyle w:val="000000000000" w:firstRow="0" w:lastRow="0" w:firstColumn="0" w:lastColumn="0" w:oddVBand="0" w:evenVBand="0" w:oddHBand="0" w:evenHBand="0" w:firstRowFirstColumn="0" w:firstRowLastColumn="0" w:lastRowFirstColumn="0" w:lastRowLastColumn="0"/>
              <w:rPr>
                <w:color w:val="000000"/>
              </w:rPr>
            </w:pPr>
            <w:r w:rsidRPr="00757ED8">
              <w:rPr>
                <w:color w:val="000000"/>
              </w:rPr>
              <w:t>0.103</w:t>
            </w:r>
          </w:p>
        </w:tc>
        <w:tc>
          <w:tcPr>
            <w:tcW w:w="1336" w:type="dxa"/>
            <w:noWrap/>
            <w:hideMark/>
          </w:tcPr>
          <w:p w14:paraId="2CED0570" w14:textId="77777777" w:rsidR="003E7AE0" w:rsidRPr="00757ED8" w:rsidRDefault="003E7AE0" w:rsidP="00E41305">
            <w:pPr>
              <w:jc w:val="center"/>
              <w:cnfStyle w:val="000000000000" w:firstRow="0" w:lastRow="0" w:firstColumn="0" w:lastColumn="0" w:oddVBand="0" w:evenVBand="0" w:oddHBand="0" w:evenHBand="0" w:firstRowFirstColumn="0" w:firstRowLastColumn="0" w:lastRowFirstColumn="0" w:lastRowLastColumn="0"/>
              <w:rPr>
                <w:color w:val="000000"/>
              </w:rPr>
            </w:pPr>
            <w:r w:rsidRPr="00757ED8">
              <w:rPr>
                <w:color w:val="000000"/>
              </w:rPr>
              <w:t>0.058</w:t>
            </w:r>
          </w:p>
        </w:tc>
      </w:tr>
      <w:tr w:rsidR="00145873" w:rsidRPr="00757ED8" w14:paraId="5BB954A7" w14:textId="77777777" w:rsidTr="00E41305">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898" w:type="dxa"/>
            <w:noWrap/>
            <w:hideMark/>
          </w:tcPr>
          <w:p w14:paraId="56C98A16" w14:textId="49314CC0" w:rsidR="003E7AE0" w:rsidRPr="00757ED8" w:rsidRDefault="003E7AE0" w:rsidP="00E41305">
            <w:pPr>
              <w:rPr>
                <w:b w:val="0"/>
                <w:bCs w:val="0"/>
                <w:color w:val="000000"/>
              </w:rPr>
            </w:pPr>
            <w:r w:rsidRPr="00757ED8">
              <w:rPr>
                <w:b w:val="0"/>
                <w:bCs w:val="0"/>
                <w:color w:val="000000"/>
              </w:rPr>
              <w:t>Average</w:t>
            </w:r>
            <w:r w:rsidR="00145873" w:rsidRPr="00757ED8">
              <w:rPr>
                <w:b w:val="0"/>
                <w:bCs w:val="0"/>
                <w:color w:val="000000"/>
              </w:rPr>
              <w:t xml:space="preserve"> </w:t>
            </w:r>
            <w:r w:rsidRPr="00757ED8">
              <w:rPr>
                <w:b w:val="0"/>
                <w:bCs w:val="0"/>
                <w:color w:val="000000"/>
              </w:rPr>
              <w:t>Pain</w:t>
            </w:r>
            <w:r w:rsidR="00145873" w:rsidRPr="00757ED8">
              <w:rPr>
                <w:b w:val="0"/>
                <w:bCs w:val="0"/>
                <w:color w:val="000000"/>
              </w:rPr>
              <w:t xml:space="preserve"> </w:t>
            </w:r>
            <w:r w:rsidRPr="00757ED8">
              <w:rPr>
                <w:b w:val="0"/>
                <w:bCs w:val="0"/>
                <w:color w:val="000000"/>
              </w:rPr>
              <w:t>frequency</w:t>
            </w:r>
          </w:p>
        </w:tc>
        <w:tc>
          <w:tcPr>
            <w:tcW w:w="1328" w:type="dxa"/>
            <w:noWrap/>
            <w:hideMark/>
          </w:tcPr>
          <w:p w14:paraId="0CC35DCA" w14:textId="77777777" w:rsidR="003E7AE0" w:rsidRPr="00757ED8" w:rsidRDefault="003E7AE0" w:rsidP="00E41305">
            <w:pPr>
              <w:jc w:val="center"/>
              <w:cnfStyle w:val="000000100000" w:firstRow="0" w:lastRow="0" w:firstColumn="0" w:lastColumn="0" w:oddVBand="0" w:evenVBand="0" w:oddHBand="1" w:evenHBand="0" w:firstRowFirstColumn="0" w:firstRowLastColumn="0" w:lastRowFirstColumn="0" w:lastRowLastColumn="0"/>
              <w:rPr>
                <w:color w:val="000000"/>
              </w:rPr>
            </w:pPr>
            <w:r w:rsidRPr="00757ED8">
              <w:rPr>
                <w:color w:val="000000"/>
              </w:rPr>
              <w:t>0.109</w:t>
            </w:r>
          </w:p>
        </w:tc>
        <w:tc>
          <w:tcPr>
            <w:tcW w:w="1233" w:type="dxa"/>
            <w:noWrap/>
            <w:hideMark/>
          </w:tcPr>
          <w:p w14:paraId="3DF1C229" w14:textId="77777777" w:rsidR="003E7AE0" w:rsidRPr="00757ED8" w:rsidRDefault="003E7AE0" w:rsidP="00E41305">
            <w:pPr>
              <w:jc w:val="center"/>
              <w:cnfStyle w:val="000000100000" w:firstRow="0" w:lastRow="0" w:firstColumn="0" w:lastColumn="0" w:oddVBand="0" w:evenVBand="0" w:oddHBand="1" w:evenHBand="0" w:firstRowFirstColumn="0" w:firstRowLastColumn="0" w:lastRowFirstColumn="0" w:lastRowLastColumn="0"/>
              <w:rPr>
                <w:color w:val="000000"/>
              </w:rPr>
            </w:pPr>
            <w:r w:rsidRPr="00757ED8">
              <w:rPr>
                <w:color w:val="000000"/>
              </w:rPr>
              <w:t>1</w:t>
            </w:r>
          </w:p>
        </w:tc>
        <w:tc>
          <w:tcPr>
            <w:tcW w:w="1175" w:type="dxa"/>
            <w:noWrap/>
            <w:hideMark/>
          </w:tcPr>
          <w:p w14:paraId="7EB26613" w14:textId="53DB4155" w:rsidR="003E7AE0" w:rsidRPr="00757ED8" w:rsidRDefault="00767825" w:rsidP="00E41305">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r w:rsidR="003E7AE0" w:rsidRPr="00757ED8">
              <w:rPr>
                <w:color w:val="000000"/>
              </w:rPr>
              <w:t>.264**</w:t>
            </w:r>
          </w:p>
        </w:tc>
        <w:tc>
          <w:tcPr>
            <w:tcW w:w="1898" w:type="dxa"/>
            <w:noWrap/>
            <w:hideMark/>
          </w:tcPr>
          <w:p w14:paraId="1D02D62C" w14:textId="79B946BA" w:rsidR="003E7AE0" w:rsidRPr="00757ED8" w:rsidRDefault="00767825" w:rsidP="00E41305">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r w:rsidR="003E7AE0" w:rsidRPr="00757ED8">
              <w:rPr>
                <w:color w:val="000000"/>
              </w:rPr>
              <w:t>.337**</w:t>
            </w:r>
          </w:p>
        </w:tc>
        <w:tc>
          <w:tcPr>
            <w:tcW w:w="1336" w:type="dxa"/>
            <w:noWrap/>
            <w:hideMark/>
          </w:tcPr>
          <w:p w14:paraId="10DF25C9" w14:textId="1D664C26" w:rsidR="003E7AE0" w:rsidRPr="00757ED8" w:rsidRDefault="00767825" w:rsidP="00E41305">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r w:rsidR="003E7AE0" w:rsidRPr="00757ED8">
              <w:rPr>
                <w:color w:val="000000"/>
              </w:rPr>
              <w:t>.311**</w:t>
            </w:r>
          </w:p>
        </w:tc>
      </w:tr>
      <w:tr w:rsidR="00145873" w:rsidRPr="00757ED8" w14:paraId="54BE45F4" w14:textId="77777777" w:rsidTr="00E41305">
        <w:trPr>
          <w:trHeight w:val="591"/>
        </w:trPr>
        <w:tc>
          <w:tcPr>
            <w:cnfStyle w:val="001000000000" w:firstRow="0" w:lastRow="0" w:firstColumn="1" w:lastColumn="0" w:oddVBand="0" w:evenVBand="0" w:oddHBand="0" w:evenHBand="0" w:firstRowFirstColumn="0" w:firstRowLastColumn="0" w:lastRowFirstColumn="0" w:lastRowLastColumn="0"/>
            <w:tcW w:w="1898" w:type="dxa"/>
            <w:noWrap/>
            <w:hideMark/>
          </w:tcPr>
          <w:p w14:paraId="6FF17331" w14:textId="18FF3DF0" w:rsidR="003E7AE0" w:rsidRPr="00757ED8" w:rsidRDefault="003E7AE0" w:rsidP="00E41305">
            <w:pPr>
              <w:rPr>
                <w:b w:val="0"/>
                <w:bCs w:val="0"/>
                <w:color w:val="000000"/>
              </w:rPr>
            </w:pPr>
            <w:r w:rsidRPr="00757ED8">
              <w:rPr>
                <w:b w:val="0"/>
                <w:bCs w:val="0"/>
                <w:color w:val="000000"/>
              </w:rPr>
              <w:t>Average</w:t>
            </w:r>
            <w:r w:rsidR="00145873" w:rsidRPr="00757ED8">
              <w:rPr>
                <w:b w:val="0"/>
                <w:bCs w:val="0"/>
                <w:color w:val="000000"/>
              </w:rPr>
              <w:t xml:space="preserve"> </w:t>
            </w:r>
            <w:r w:rsidRPr="00757ED8">
              <w:rPr>
                <w:b w:val="0"/>
                <w:bCs w:val="0"/>
                <w:color w:val="000000"/>
              </w:rPr>
              <w:t>Pain</w:t>
            </w:r>
            <w:r w:rsidR="00145873" w:rsidRPr="00757ED8">
              <w:rPr>
                <w:b w:val="0"/>
                <w:bCs w:val="0"/>
                <w:color w:val="000000"/>
              </w:rPr>
              <w:t xml:space="preserve"> </w:t>
            </w:r>
            <w:r w:rsidRPr="00757ED8">
              <w:rPr>
                <w:b w:val="0"/>
                <w:bCs w:val="0"/>
                <w:color w:val="000000"/>
              </w:rPr>
              <w:t>Duration</w:t>
            </w:r>
          </w:p>
        </w:tc>
        <w:tc>
          <w:tcPr>
            <w:tcW w:w="1328" w:type="dxa"/>
            <w:noWrap/>
            <w:hideMark/>
          </w:tcPr>
          <w:p w14:paraId="1CDD078E" w14:textId="77777777" w:rsidR="003E7AE0" w:rsidRPr="00757ED8" w:rsidRDefault="003E7AE0" w:rsidP="00E41305">
            <w:pPr>
              <w:jc w:val="center"/>
              <w:cnfStyle w:val="000000000000" w:firstRow="0" w:lastRow="0" w:firstColumn="0" w:lastColumn="0" w:oddVBand="0" w:evenVBand="0" w:oddHBand="0" w:evenHBand="0" w:firstRowFirstColumn="0" w:firstRowLastColumn="0" w:lastRowFirstColumn="0" w:lastRowLastColumn="0"/>
              <w:rPr>
                <w:color w:val="000000"/>
              </w:rPr>
            </w:pPr>
            <w:r w:rsidRPr="00757ED8">
              <w:rPr>
                <w:color w:val="000000"/>
              </w:rPr>
              <w:t>0.016</w:t>
            </w:r>
          </w:p>
        </w:tc>
        <w:tc>
          <w:tcPr>
            <w:tcW w:w="1233" w:type="dxa"/>
            <w:noWrap/>
            <w:hideMark/>
          </w:tcPr>
          <w:p w14:paraId="667783A9" w14:textId="6CFB2B74" w:rsidR="003E7AE0" w:rsidRPr="00757ED8" w:rsidRDefault="00767825" w:rsidP="00E4130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r w:rsidR="003E7AE0" w:rsidRPr="00757ED8">
              <w:rPr>
                <w:color w:val="000000"/>
              </w:rPr>
              <w:t>.264**</w:t>
            </w:r>
          </w:p>
        </w:tc>
        <w:tc>
          <w:tcPr>
            <w:tcW w:w="1175" w:type="dxa"/>
            <w:noWrap/>
            <w:hideMark/>
          </w:tcPr>
          <w:p w14:paraId="1202E9A0" w14:textId="77777777" w:rsidR="003E7AE0" w:rsidRPr="00757ED8" w:rsidRDefault="003E7AE0" w:rsidP="00E41305">
            <w:pPr>
              <w:jc w:val="center"/>
              <w:cnfStyle w:val="000000000000" w:firstRow="0" w:lastRow="0" w:firstColumn="0" w:lastColumn="0" w:oddVBand="0" w:evenVBand="0" w:oddHBand="0" w:evenHBand="0" w:firstRowFirstColumn="0" w:firstRowLastColumn="0" w:lastRowFirstColumn="0" w:lastRowLastColumn="0"/>
              <w:rPr>
                <w:color w:val="000000"/>
              </w:rPr>
            </w:pPr>
            <w:r w:rsidRPr="00757ED8">
              <w:rPr>
                <w:color w:val="000000"/>
              </w:rPr>
              <w:t>1</w:t>
            </w:r>
          </w:p>
        </w:tc>
        <w:tc>
          <w:tcPr>
            <w:tcW w:w="1898" w:type="dxa"/>
            <w:noWrap/>
            <w:hideMark/>
          </w:tcPr>
          <w:p w14:paraId="14C962F0" w14:textId="411264FE" w:rsidR="003E7AE0" w:rsidRPr="00757ED8" w:rsidRDefault="00767825" w:rsidP="00E4130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r w:rsidR="003E7AE0" w:rsidRPr="00757ED8">
              <w:rPr>
                <w:color w:val="000000"/>
              </w:rPr>
              <w:t>.242**</w:t>
            </w:r>
          </w:p>
        </w:tc>
        <w:tc>
          <w:tcPr>
            <w:tcW w:w="1336" w:type="dxa"/>
            <w:noWrap/>
            <w:hideMark/>
          </w:tcPr>
          <w:p w14:paraId="0CE5536D" w14:textId="7884015A" w:rsidR="003E7AE0" w:rsidRPr="00757ED8" w:rsidRDefault="00767825" w:rsidP="00E4130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r w:rsidR="003E7AE0" w:rsidRPr="00757ED8">
              <w:rPr>
                <w:color w:val="000000"/>
              </w:rPr>
              <w:t>.244**</w:t>
            </w:r>
          </w:p>
        </w:tc>
      </w:tr>
      <w:tr w:rsidR="00145873" w:rsidRPr="00757ED8" w14:paraId="30C13983" w14:textId="77777777" w:rsidTr="00E41305">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898" w:type="dxa"/>
            <w:noWrap/>
            <w:hideMark/>
          </w:tcPr>
          <w:p w14:paraId="228E74D0" w14:textId="11DA3D3B" w:rsidR="003E7AE0" w:rsidRPr="00757ED8" w:rsidRDefault="003E7AE0" w:rsidP="00E41305">
            <w:pPr>
              <w:rPr>
                <w:b w:val="0"/>
                <w:bCs w:val="0"/>
                <w:color w:val="000000"/>
              </w:rPr>
            </w:pPr>
            <w:r w:rsidRPr="00757ED8">
              <w:rPr>
                <w:b w:val="0"/>
                <w:bCs w:val="0"/>
                <w:color w:val="000000"/>
              </w:rPr>
              <w:t>Average</w:t>
            </w:r>
            <w:r w:rsidR="00145873" w:rsidRPr="00757ED8">
              <w:rPr>
                <w:b w:val="0"/>
                <w:bCs w:val="0"/>
                <w:color w:val="000000"/>
              </w:rPr>
              <w:t xml:space="preserve"> </w:t>
            </w:r>
            <w:r w:rsidRPr="00757ED8">
              <w:rPr>
                <w:b w:val="0"/>
                <w:bCs w:val="0"/>
                <w:color w:val="000000"/>
              </w:rPr>
              <w:t>frequency</w:t>
            </w:r>
            <w:r w:rsidR="00145873" w:rsidRPr="00757ED8">
              <w:rPr>
                <w:b w:val="0"/>
                <w:bCs w:val="0"/>
                <w:color w:val="000000"/>
              </w:rPr>
              <w:t xml:space="preserve"> </w:t>
            </w:r>
            <w:r w:rsidRPr="00757ED8">
              <w:rPr>
                <w:b w:val="0"/>
                <w:bCs w:val="0"/>
                <w:color w:val="000000"/>
              </w:rPr>
              <w:t>of</w:t>
            </w:r>
            <w:r w:rsidR="00145873" w:rsidRPr="00757ED8">
              <w:rPr>
                <w:b w:val="0"/>
                <w:bCs w:val="0"/>
                <w:color w:val="000000"/>
              </w:rPr>
              <w:t xml:space="preserve"> </w:t>
            </w:r>
            <w:r w:rsidRPr="00757ED8">
              <w:rPr>
                <w:b w:val="0"/>
                <w:bCs w:val="0"/>
                <w:color w:val="000000"/>
              </w:rPr>
              <w:t>Role</w:t>
            </w:r>
            <w:r w:rsidR="00145873" w:rsidRPr="00757ED8">
              <w:rPr>
                <w:b w:val="0"/>
                <w:bCs w:val="0"/>
                <w:color w:val="000000"/>
              </w:rPr>
              <w:t xml:space="preserve"> </w:t>
            </w:r>
            <w:r w:rsidRPr="00757ED8">
              <w:rPr>
                <w:b w:val="0"/>
                <w:bCs w:val="0"/>
                <w:color w:val="000000"/>
              </w:rPr>
              <w:t>MSK</w:t>
            </w:r>
            <w:r w:rsidR="00145873" w:rsidRPr="00757ED8">
              <w:rPr>
                <w:b w:val="0"/>
                <w:bCs w:val="0"/>
                <w:color w:val="000000"/>
              </w:rPr>
              <w:t xml:space="preserve"> </w:t>
            </w:r>
            <w:r w:rsidRPr="00757ED8">
              <w:rPr>
                <w:b w:val="0"/>
                <w:bCs w:val="0"/>
                <w:color w:val="000000"/>
              </w:rPr>
              <w:t>pain</w:t>
            </w:r>
          </w:p>
        </w:tc>
        <w:tc>
          <w:tcPr>
            <w:tcW w:w="1328" w:type="dxa"/>
            <w:noWrap/>
            <w:hideMark/>
          </w:tcPr>
          <w:p w14:paraId="4E241ADD" w14:textId="77777777" w:rsidR="003E7AE0" w:rsidRPr="00757ED8" w:rsidRDefault="003E7AE0" w:rsidP="00E41305">
            <w:pPr>
              <w:jc w:val="center"/>
              <w:cnfStyle w:val="000000100000" w:firstRow="0" w:lastRow="0" w:firstColumn="0" w:lastColumn="0" w:oddVBand="0" w:evenVBand="0" w:oddHBand="1" w:evenHBand="0" w:firstRowFirstColumn="0" w:firstRowLastColumn="0" w:lastRowFirstColumn="0" w:lastRowLastColumn="0"/>
              <w:rPr>
                <w:color w:val="000000"/>
              </w:rPr>
            </w:pPr>
            <w:r w:rsidRPr="00757ED8">
              <w:rPr>
                <w:color w:val="000000"/>
              </w:rPr>
              <w:t>0.103</w:t>
            </w:r>
          </w:p>
        </w:tc>
        <w:tc>
          <w:tcPr>
            <w:tcW w:w="1233" w:type="dxa"/>
            <w:noWrap/>
            <w:hideMark/>
          </w:tcPr>
          <w:p w14:paraId="5A277F2E" w14:textId="7ABEFFFE" w:rsidR="003E7AE0" w:rsidRPr="00757ED8" w:rsidRDefault="00767825" w:rsidP="00E41305">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r w:rsidR="003E7AE0" w:rsidRPr="00757ED8">
              <w:rPr>
                <w:color w:val="000000"/>
              </w:rPr>
              <w:t>.337**</w:t>
            </w:r>
          </w:p>
        </w:tc>
        <w:tc>
          <w:tcPr>
            <w:tcW w:w="1175" w:type="dxa"/>
            <w:noWrap/>
            <w:hideMark/>
          </w:tcPr>
          <w:p w14:paraId="3846DAF5" w14:textId="77777777" w:rsidR="003E7AE0" w:rsidRPr="00757ED8" w:rsidRDefault="003E7AE0" w:rsidP="00E41305">
            <w:pPr>
              <w:jc w:val="center"/>
              <w:cnfStyle w:val="000000100000" w:firstRow="0" w:lastRow="0" w:firstColumn="0" w:lastColumn="0" w:oddVBand="0" w:evenVBand="0" w:oddHBand="1" w:evenHBand="0" w:firstRowFirstColumn="0" w:firstRowLastColumn="0" w:lastRowFirstColumn="0" w:lastRowLastColumn="0"/>
              <w:rPr>
                <w:color w:val="000000"/>
              </w:rPr>
            </w:pPr>
            <w:r w:rsidRPr="00757ED8">
              <w:rPr>
                <w:color w:val="000000"/>
              </w:rPr>
              <w:t>.242**</w:t>
            </w:r>
          </w:p>
        </w:tc>
        <w:tc>
          <w:tcPr>
            <w:tcW w:w="1898" w:type="dxa"/>
            <w:noWrap/>
            <w:hideMark/>
          </w:tcPr>
          <w:p w14:paraId="114ABB47" w14:textId="77777777" w:rsidR="003E7AE0" w:rsidRPr="00757ED8" w:rsidRDefault="003E7AE0" w:rsidP="00E41305">
            <w:pPr>
              <w:jc w:val="center"/>
              <w:cnfStyle w:val="000000100000" w:firstRow="0" w:lastRow="0" w:firstColumn="0" w:lastColumn="0" w:oddVBand="0" w:evenVBand="0" w:oddHBand="1" w:evenHBand="0" w:firstRowFirstColumn="0" w:firstRowLastColumn="0" w:lastRowFirstColumn="0" w:lastRowLastColumn="0"/>
              <w:rPr>
                <w:color w:val="000000"/>
              </w:rPr>
            </w:pPr>
            <w:r w:rsidRPr="00757ED8">
              <w:rPr>
                <w:color w:val="000000"/>
              </w:rPr>
              <w:t>1</w:t>
            </w:r>
          </w:p>
        </w:tc>
        <w:tc>
          <w:tcPr>
            <w:tcW w:w="1336" w:type="dxa"/>
            <w:noWrap/>
            <w:hideMark/>
          </w:tcPr>
          <w:p w14:paraId="7AFF5733" w14:textId="7B34D8B2" w:rsidR="003E7AE0" w:rsidRPr="00757ED8" w:rsidRDefault="00767825" w:rsidP="00E41305">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r w:rsidR="003E7AE0" w:rsidRPr="00757ED8">
              <w:rPr>
                <w:color w:val="000000"/>
              </w:rPr>
              <w:t>.528**</w:t>
            </w:r>
          </w:p>
        </w:tc>
      </w:tr>
      <w:tr w:rsidR="00145873" w:rsidRPr="00757ED8" w14:paraId="60AE8EA5" w14:textId="77777777" w:rsidTr="00E41305">
        <w:trPr>
          <w:trHeight w:val="591"/>
        </w:trPr>
        <w:tc>
          <w:tcPr>
            <w:cnfStyle w:val="001000000000" w:firstRow="0" w:lastRow="0" w:firstColumn="1" w:lastColumn="0" w:oddVBand="0" w:evenVBand="0" w:oddHBand="0" w:evenHBand="0" w:firstRowFirstColumn="0" w:firstRowLastColumn="0" w:lastRowFirstColumn="0" w:lastRowLastColumn="0"/>
            <w:tcW w:w="1898" w:type="dxa"/>
            <w:noWrap/>
            <w:hideMark/>
          </w:tcPr>
          <w:p w14:paraId="7FC82556" w14:textId="6A8D3CC6" w:rsidR="003E7AE0" w:rsidRPr="00757ED8" w:rsidRDefault="003E7AE0" w:rsidP="00E41305">
            <w:pPr>
              <w:rPr>
                <w:b w:val="0"/>
                <w:bCs w:val="0"/>
                <w:color w:val="000000"/>
              </w:rPr>
            </w:pPr>
            <w:r w:rsidRPr="00757ED8">
              <w:rPr>
                <w:b w:val="0"/>
                <w:bCs w:val="0"/>
                <w:color w:val="000000"/>
              </w:rPr>
              <w:t>Number</w:t>
            </w:r>
            <w:r w:rsidR="00145873" w:rsidRPr="00757ED8">
              <w:rPr>
                <w:b w:val="0"/>
                <w:bCs w:val="0"/>
                <w:color w:val="000000"/>
              </w:rPr>
              <w:t xml:space="preserve"> </w:t>
            </w:r>
            <w:r w:rsidRPr="00757ED8">
              <w:rPr>
                <w:b w:val="0"/>
                <w:bCs w:val="0"/>
                <w:color w:val="000000"/>
              </w:rPr>
              <w:t>of</w:t>
            </w:r>
            <w:r w:rsidR="00145873" w:rsidRPr="00757ED8">
              <w:rPr>
                <w:b w:val="0"/>
                <w:bCs w:val="0"/>
                <w:color w:val="000000"/>
              </w:rPr>
              <w:t xml:space="preserve"> </w:t>
            </w:r>
            <w:r w:rsidRPr="00757ED8">
              <w:rPr>
                <w:b w:val="0"/>
                <w:bCs w:val="0"/>
                <w:color w:val="000000"/>
              </w:rPr>
              <w:t>pain</w:t>
            </w:r>
            <w:r w:rsidR="00145873" w:rsidRPr="00757ED8">
              <w:rPr>
                <w:b w:val="0"/>
                <w:bCs w:val="0"/>
                <w:color w:val="000000"/>
              </w:rPr>
              <w:t xml:space="preserve"> </w:t>
            </w:r>
            <w:r w:rsidRPr="00757ED8">
              <w:rPr>
                <w:b w:val="0"/>
                <w:bCs w:val="0"/>
                <w:color w:val="000000"/>
              </w:rPr>
              <w:t>locations</w:t>
            </w:r>
          </w:p>
        </w:tc>
        <w:tc>
          <w:tcPr>
            <w:tcW w:w="1328" w:type="dxa"/>
            <w:noWrap/>
            <w:hideMark/>
          </w:tcPr>
          <w:p w14:paraId="3C4D50C6" w14:textId="77777777" w:rsidR="003E7AE0" w:rsidRPr="00757ED8" w:rsidRDefault="003E7AE0" w:rsidP="00E41305">
            <w:pPr>
              <w:jc w:val="center"/>
              <w:cnfStyle w:val="000000000000" w:firstRow="0" w:lastRow="0" w:firstColumn="0" w:lastColumn="0" w:oddVBand="0" w:evenVBand="0" w:oddHBand="0" w:evenHBand="0" w:firstRowFirstColumn="0" w:firstRowLastColumn="0" w:lastRowFirstColumn="0" w:lastRowLastColumn="0"/>
              <w:rPr>
                <w:color w:val="000000"/>
              </w:rPr>
            </w:pPr>
            <w:r w:rsidRPr="00757ED8">
              <w:rPr>
                <w:color w:val="000000"/>
              </w:rPr>
              <w:t>0.058</w:t>
            </w:r>
          </w:p>
        </w:tc>
        <w:tc>
          <w:tcPr>
            <w:tcW w:w="1233" w:type="dxa"/>
            <w:noWrap/>
            <w:hideMark/>
          </w:tcPr>
          <w:p w14:paraId="7D209192" w14:textId="0C6FA10C" w:rsidR="003E7AE0" w:rsidRPr="00757ED8" w:rsidRDefault="00767825" w:rsidP="00E4130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r w:rsidR="003E7AE0" w:rsidRPr="00757ED8">
              <w:rPr>
                <w:color w:val="000000"/>
              </w:rPr>
              <w:t>.311**</w:t>
            </w:r>
          </w:p>
        </w:tc>
        <w:tc>
          <w:tcPr>
            <w:tcW w:w="1175" w:type="dxa"/>
            <w:noWrap/>
            <w:hideMark/>
          </w:tcPr>
          <w:p w14:paraId="657D7F7B" w14:textId="318200E2" w:rsidR="003E7AE0" w:rsidRPr="00757ED8" w:rsidRDefault="00767825" w:rsidP="00E4130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r w:rsidR="003E7AE0" w:rsidRPr="00757ED8">
              <w:rPr>
                <w:color w:val="000000"/>
              </w:rPr>
              <w:t>.244**</w:t>
            </w:r>
          </w:p>
        </w:tc>
        <w:tc>
          <w:tcPr>
            <w:tcW w:w="1898" w:type="dxa"/>
            <w:noWrap/>
            <w:hideMark/>
          </w:tcPr>
          <w:p w14:paraId="1A906BD3" w14:textId="6368A86E" w:rsidR="003E7AE0" w:rsidRPr="00757ED8" w:rsidRDefault="00767825" w:rsidP="00E41305">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r w:rsidR="003E7AE0" w:rsidRPr="00757ED8">
              <w:rPr>
                <w:color w:val="000000"/>
              </w:rPr>
              <w:t>.528**</w:t>
            </w:r>
          </w:p>
        </w:tc>
        <w:tc>
          <w:tcPr>
            <w:tcW w:w="1336" w:type="dxa"/>
            <w:noWrap/>
            <w:hideMark/>
          </w:tcPr>
          <w:p w14:paraId="318544D6" w14:textId="77777777" w:rsidR="003E7AE0" w:rsidRPr="00757ED8" w:rsidRDefault="003E7AE0" w:rsidP="00E41305">
            <w:pPr>
              <w:jc w:val="center"/>
              <w:cnfStyle w:val="000000000000" w:firstRow="0" w:lastRow="0" w:firstColumn="0" w:lastColumn="0" w:oddVBand="0" w:evenVBand="0" w:oddHBand="0" w:evenHBand="0" w:firstRowFirstColumn="0" w:firstRowLastColumn="0" w:lastRowFirstColumn="0" w:lastRowLastColumn="0"/>
              <w:rPr>
                <w:color w:val="000000"/>
              </w:rPr>
            </w:pPr>
            <w:r w:rsidRPr="00757ED8">
              <w:rPr>
                <w:color w:val="000000"/>
              </w:rPr>
              <w:t>1</w:t>
            </w:r>
          </w:p>
        </w:tc>
      </w:tr>
    </w:tbl>
    <w:p w14:paraId="1327CE2D" w14:textId="77777777" w:rsidR="003E7AE0" w:rsidRDefault="003E7AE0">
      <w:pPr>
        <w:rPr>
          <w:rFonts w:cstheme="minorHAnsi"/>
          <w:b/>
          <w:bCs/>
          <w:sz w:val="22"/>
          <w:szCs w:val="22"/>
        </w:rPr>
      </w:pPr>
    </w:p>
    <w:p w14:paraId="081DCF02" w14:textId="77777777" w:rsidR="007E58AB" w:rsidRPr="00757ED8" w:rsidRDefault="007E58AB" w:rsidP="007E58AB">
      <w:pPr>
        <w:rPr>
          <w:color w:val="000000"/>
        </w:rPr>
      </w:pPr>
      <w:r w:rsidRPr="00757ED8">
        <w:rPr>
          <w:color w:val="000000"/>
        </w:rPr>
        <w:t>** Correlation is significant at the 0.01 level (2-tailed).</w:t>
      </w:r>
    </w:p>
    <w:p w14:paraId="7683D6DA" w14:textId="77777777" w:rsidR="003E7AE0" w:rsidRDefault="003E7AE0">
      <w:pPr>
        <w:rPr>
          <w:rFonts w:cstheme="minorHAnsi"/>
          <w:b/>
          <w:bCs/>
          <w:sz w:val="22"/>
          <w:szCs w:val="22"/>
        </w:rPr>
      </w:pPr>
    </w:p>
    <w:p w14:paraId="4CD5D3FA" w14:textId="77777777" w:rsidR="003E7AE0" w:rsidRDefault="003E7AE0">
      <w:pPr>
        <w:rPr>
          <w:rFonts w:cstheme="minorHAnsi"/>
          <w:b/>
          <w:bCs/>
          <w:sz w:val="22"/>
          <w:szCs w:val="22"/>
        </w:rPr>
      </w:pPr>
    </w:p>
    <w:p w14:paraId="118C84DB" w14:textId="77777777" w:rsidR="003E7AE0" w:rsidRDefault="003E7AE0">
      <w:pPr>
        <w:rPr>
          <w:rFonts w:cstheme="minorHAnsi"/>
          <w:b/>
          <w:bCs/>
          <w:sz w:val="22"/>
          <w:szCs w:val="22"/>
        </w:rPr>
      </w:pPr>
    </w:p>
    <w:p w14:paraId="3CE68266" w14:textId="77777777" w:rsidR="003E7AE0" w:rsidRDefault="003E7AE0">
      <w:pPr>
        <w:rPr>
          <w:rFonts w:cstheme="minorHAnsi"/>
          <w:b/>
          <w:bCs/>
          <w:sz w:val="22"/>
          <w:szCs w:val="22"/>
        </w:rPr>
      </w:pPr>
    </w:p>
    <w:p w14:paraId="22609E9F" w14:textId="77777777" w:rsidR="00EE2AD2" w:rsidRDefault="00EE2AD2">
      <w:pPr>
        <w:rPr>
          <w:rFonts w:cstheme="minorHAnsi"/>
          <w:b/>
          <w:bCs/>
          <w:sz w:val="22"/>
          <w:szCs w:val="22"/>
        </w:rPr>
      </w:pPr>
    </w:p>
    <w:p w14:paraId="186B48E3" w14:textId="77777777" w:rsidR="00EE2AD2" w:rsidRDefault="00EE2AD2">
      <w:pPr>
        <w:rPr>
          <w:rFonts w:cstheme="minorHAnsi"/>
          <w:b/>
          <w:bCs/>
          <w:sz w:val="22"/>
          <w:szCs w:val="22"/>
        </w:rPr>
      </w:pPr>
    </w:p>
    <w:p w14:paraId="02FBEF1F" w14:textId="77777777" w:rsidR="00EE2AD2" w:rsidRDefault="00EE2AD2">
      <w:pPr>
        <w:rPr>
          <w:rFonts w:cstheme="minorHAnsi"/>
          <w:b/>
          <w:bCs/>
          <w:sz w:val="22"/>
          <w:szCs w:val="22"/>
        </w:rPr>
      </w:pPr>
    </w:p>
    <w:p w14:paraId="2E23682D" w14:textId="77777777" w:rsidR="00EE2AD2" w:rsidRDefault="00EE2AD2">
      <w:pPr>
        <w:rPr>
          <w:rFonts w:cstheme="minorHAnsi"/>
          <w:b/>
          <w:bCs/>
          <w:sz w:val="22"/>
          <w:szCs w:val="22"/>
        </w:rPr>
      </w:pPr>
    </w:p>
    <w:p w14:paraId="4F82012B" w14:textId="77777777" w:rsidR="00EE2AD2" w:rsidRDefault="00EE2AD2">
      <w:pPr>
        <w:rPr>
          <w:rFonts w:cstheme="minorHAnsi"/>
          <w:b/>
          <w:bCs/>
          <w:sz w:val="22"/>
          <w:szCs w:val="22"/>
        </w:rPr>
      </w:pPr>
    </w:p>
    <w:p w14:paraId="773D4F93" w14:textId="77777777" w:rsidR="00EE2AD2" w:rsidRDefault="00EE2AD2">
      <w:pPr>
        <w:rPr>
          <w:rFonts w:cstheme="minorHAnsi"/>
          <w:b/>
          <w:bCs/>
          <w:sz w:val="22"/>
          <w:szCs w:val="22"/>
        </w:rPr>
      </w:pPr>
    </w:p>
    <w:p w14:paraId="1E94ACED" w14:textId="77777777" w:rsidR="003E7AE0" w:rsidRDefault="003E7AE0">
      <w:pPr>
        <w:rPr>
          <w:rFonts w:cstheme="minorHAnsi"/>
          <w:b/>
          <w:bCs/>
          <w:sz w:val="22"/>
          <w:szCs w:val="22"/>
        </w:rPr>
      </w:pPr>
    </w:p>
    <w:p w14:paraId="5C61F389" w14:textId="24D41EA4" w:rsidR="00F55573" w:rsidRPr="00757ED8" w:rsidRDefault="00B8286D">
      <w:pPr>
        <w:rPr>
          <w:rFonts w:cstheme="minorHAnsi"/>
          <w:b/>
          <w:bCs/>
        </w:rPr>
      </w:pPr>
      <w:r w:rsidRPr="00757ED8">
        <w:rPr>
          <w:rFonts w:cstheme="minorHAnsi"/>
          <w:b/>
          <w:bCs/>
        </w:rPr>
        <w:t xml:space="preserve">Table </w:t>
      </w:r>
      <w:r w:rsidR="00D025FF" w:rsidRPr="00757ED8">
        <w:rPr>
          <w:rFonts w:cstheme="minorHAnsi"/>
          <w:b/>
          <w:bCs/>
        </w:rPr>
        <w:t>4</w:t>
      </w:r>
    </w:p>
    <w:p w14:paraId="278298D4" w14:textId="77777777" w:rsidR="00B8286D" w:rsidRPr="00757ED8" w:rsidRDefault="00B8286D">
      <w:pPr>
        <w:rPr>
          <w:rFonts w:cstheme="minorHAnsi"/>
        </w:rPr>
      </w:pPr>
    </w:p>
    <w:p w14:paraId="2211C12D" w14:textId="64D7E079" w:rsidR="00DC4B04" w:rsidRPr="00757ED8" w:rsidRDefault="00EA7641">
      <w:pPr>
        <w:rPr>
          <w:rFonts w:cstheme="minorHAnsi"/>
          <w:b/>
          <w:bCs/>
        </w:rPr>
      </w:pPr>
      <w:r w:rsidRPr="00757ED8">
        <w:rPr>
          <w:rFonts w:cstheme="minorHAnsi"/>
          <w:b/>
          <w:bCs/>
        </w:rPr>
        <w:t xml:space="preserve">Hierarchical </w:t>
      </w:r>
      <w:r w:rsidR="00524D3F">
        <w:rPr>
          <w:rFonts w:cstheme="minorHAnsi"/>
          <w:b/>
          <w:bCs/>
        </w:rPr>
        <w:t>s</w:t>
      </w:r>
      <w:r w:rsidRPr="00757ED8">
        <w:rPr>
          <w:rFonts w:cstheme="minorHAnsi"/>
          <w:b/>
          <w:bCs/>
        </w:rPr>
        <w:t xml:space="preserve">tepwise </w:t>
      </w:r>
      <w:r w:rsidR="00524D3F">
        <w:rPr>
          <w:rFonts w:cstheme="minorHAnsi"/>
          <w:b/>
          <w:bCs/>
        </w:rPr>
        <w:t>m</w:t>
      </w:r>
      <w:r w:rsidRPr="00757ED8">
        <w:rPr>
          <w:rFonts w:cstheme="minorHAnsi"/>
          <w:b/>
          <w:bCs/>
        </w:rPr>
        <w:t xml:space="preserve">ultiple </w:t>
      </w:r>
      <w:r w:rsidR="00524D3F">
        <w:rPr>
          <w:rFonts w:cstheme="minorHAnsi"/>
          <w:b/>
          <w:bCs/>
        </w:rPr>
        <w:t>r</w:t>
      </w:r>
      <w:r w:rsidRPr="00757ED8">
        <w:rPr>
          <w:rFonts w:cstheme="minorHAnsi"/>
          <w:b/>
          <w:bCs/>
        </w:rPr>
        <w:t xml:space="preserve">egression </w:t>
      </w:r>
      <w:r w:rsidR="004248D7" w:rsidRPr="00757ED8">
        <w:rPr>
          <w:rFonts w:cstheme="minorHAnsi"/>
          <w:b/>
          <w:bCs/>
        </w:rPr>
        <w:t xml:space="preserve">of individual, working, and role/environmental factors </w:t>
      </w:r>
      <w:r w:rsidR="008F6562" w:rsidRPr="00757ED8">
        <w:rPr>
          <w:rFonts w:cstheme="minorHAnsi"/>
          <w:b/>
          <w:bCs/>
        </w:rPr>
        <w:t xml:space="preserve">for pain experience outcome measures. </w:t>
      </w:r>
    </w:p>
    <w:p w14:paraId="45494934" w14:textId="77777777" w:rsidR="00B8286D" w:rsidRPr="0073774C" w:rsidRDefault="00B8286D" w:rsidP="00B8286D">
      <w:pPr>
        <w:spacing w:line="480" w:lineRule="auto"/>
        <w:ind w:firstLine="720"/>
        <w:jc w:val="both"/>
        <w:rPr>
          <w:rFonts w:cstheme="minorHAnsi"/>
          <w:sz w:val="22"/>
          <w:szCs w:val="22"/>
        </w:rPr>
      </w:pPr>
    </w:p>
    <w:tbl>
      <w:tblPr>
        <w:tblW w:w="9279" w:type="dxa"/>
        <w:tblLook w:val="04A0" w:firstRow="1" w:lastRow="0" w:firstColumn="1" w:lastColumn="0" w:noHBand="0" w:noVBand="1"/>
      </w:tblPr>
      <w:tblGrid>
        <w:gridCol w:w="3489"/>
        <w:gridCol w:w="1062"/>
        <w:gridCol w:w="868"/>
        <w:gridCol w:w="1062"/>
        <w:gridCol w:w="868"/>
        <w:gridCol w:w="1062"/>
        <w:gridCol w:w="868"/>
      </w:tblGrid>
      <w:tr w:rsidR="00B8286D" w:rsidRPr="00757ED8" w14:paraId="31580BE4" w14:textId="77777777" w:rsidTr="00612B89">
        <w:trPr>
          <w:trHeight w:val="337"/>
        </w:trPr>
        <w:tc>
          <w:tcPr>
            <w:tcW w:w="3489" w:type="dxa"/>
            <w:tcBorders>
              <w:top w:val="single" w:sz="8" w:space="0" w:color="7F7F7F"/>
              <w:left w:val="nil"/>
              <w:bottom w:val="single" w:sz="8" w:space="0" w:color="7F7F7F"/>
              <w:right w:val="nil"/>
            </w:tcBorders>
            <w:shd w:val="clear" w:color="auto" w:fill="auto"/>
            <w:noWrap/>
            <w:hideMark/>
          </w:tcPr>
          <w:p w14:paraId="278A31D3" w14:textId="77777777" w:rsidR="00B8286D" w:rsidRPr="00757ED8" w:rsidRDefault="00B8286D" w:rsidP="00612B89">
            <w:pPr>
              <w:rPr>
                <w:color w:val="000000"/>
              </w:rPr>
            </w:pPr>
            <w:r w:rsidRPr="00757ED8">
              <w:rPr>
                <w:color w:val="000000"/>
              </w:rPr>
              <w:t> </w:t>
            </w:r>
          </w:p>
        </w:tc>
        <w:tc>
          <w:tcPr>
            <w:tcW w:w="5790" w:type="dxa"/>
            <w:gridSpan w:val="6"/>
            <w:tcBorders>
              <w:top w:val="single" w:sz="8" w:space="0" w:color="7F7F7F"/>
              <w:left w:val="nil"/>
              <w:bottom w:val="single" w:sz="8" w:space="0" w:color="7F7F7F"/>
              <w:right w:val="nil"/>
            </w:tcBorders>
            <w:shd w:val="clear" w:color="auto" w:fill="auto"/>
            <w:noWrap/>
            <w:vAlign w:val="center"/>
            <w:hideMark/>
          </w:tcPr>
          <w:p w14:paraId="7BA62EA3" w14:textId="77777777" w:rsidR="00B8286D" w:rsidRPr="00757ED8" w:rsidRDefault="00B8286D" w:rsidP="00612B89">
            <w:pPr>
              <w:jc w:val="center"/>
              <w:rPr>
                <w:b/>
                <w:bCs/>
                <w:color w:val="000000"/>
              </w:rPr>
            </w:pPr>
            <w:r w:rsidRPr="00757ED8">
              <w:rPr>
                <w:b/>
                <w:bCs/>
                <w:color w:val="000000"/>
              </w:rPr>
              <w:t>Average time since onset of pain</w:t>
            </w:r>
          </w:p>
        </w:tc>
      </w:tr>
      <w:tr w:rsidR="00B8286D" w:rsidRPr="00757ED8" w14:paraId="3CE419CF" w14:textId="77777777" w:rsidTr="00612B89">
        <w:trPr>
          <w:trHeight w:val="337"/>
        </w:trPr>
        <w:tc>
          <w:tcPr>
            <w:tcW w:w="3489" w:type="dxa"/>
            <w:tcBorders>
              <w:top w:val="nil"/>
              <w:left w:val="nil"/>
              <w:bottom w:val="single" w:sz="8" w:space="0" w:color="7F7F7F"/>
              <w:right w:val="nil"/>
            </w:tcBorders>
            <w:shd w:val="clear" w:color="auto" w:fill="auto"/>
            <w:noWrap/>
            <w:hideMark/>
          </w:tcPr>
          <w:p w14:paraId="19CCFA3B" w14:textId="77777777" w:rsidR="00B8286D" w:rsidRPr="00757ED8" w:rsidRDefault="00B8286D" w:rsidP="00612B89">
            <w:pPr>
              <w:rPr>
                <w:color w:val="000000"/>
              </w:rPr>
            </w:pPr>
            <w:r w:rsidRPr="00757ED8">
              <w:rPr>
                <w:color w:val="000000"/>
              </w:rPr>
              <w:t> </w:t>
            </w:r>
          </w:p>
        </w:tc>
        <w:tc>
          <w:tcPr>
            <w:tcW w:w="1930" w:type="dxa"/>
            <w:gridSpan w:val="2"/>
            <w:tcBorders>
              <w:top w:val="single" w:sz="8" w:space="0" w:color="7F7F7F"/>
              <w:left w:val="nil"/>
              <w:bottom w:val="single" w:sz="8" w:space="0" w:color="7F7F7F"/>
              <w:right w:val="nil"/>
            </w:tcBorders>
            <w:shd w:val="clear" w:color="auto" w:fill="auto"/>
            <w:noWrap/>
            <w:vAlign w:val="center"/>
            <w:hideMark/>
          </w:tcPr>
          <w:p w14:paraId="67A85916" w14:textId="77777777" w:rsidR="00B8286D" w:rsidRPr="00757ED8" w:rsidRDefault="00B8286D" w:rsidP="00612B89">
            <w:pPr>
              <w:jc w:val="center"/>
              <w:rPr>
                <w:color w:val="000000"/>
              </w:rPr>
            </w:pPr>
            <w:r w:rsidRPr="00757ED8">
              <w:rPr>
                <w:color w:val="000000"/>
              </w:rPr>
              <w:t>model 1</w:t>
            </w:r>
          </w:p>
        </w:tc>
        <w:tc>
          <w:tcPr>
            <w:tcW w:w="1930" w:type="dxa"/>
            <w:gridSpan w:val="2"/>
            <w:tcBorders>
              <w:top w:val="single" w:sz="8" w:space="0" w:color="7F7F7F"/>
              <w:left w:val="nil"/>
              <w:bottom w:val="single" w:sz="8" w:space="0" w:color="7F7F7F"/>
              <w:right w:val="nil"/>
            </w:tcBorders>
            <w:shd w:val="clear" w:color="auto" w:fill="auto"/>
            <w:noWrap/>
            <w:vAlign w:val="center"/>
            <w:hideMark/>
          </w:tcPr>
          <w:p w14:paraId="406E8EEA" w14:textId="77777777" w:rsidR="00B8286D" w:rsidRPr="00757ED8" w:rsidRDefault="00B8286D" w:rsidP="00612B89">
            <w:pPr>
              <w:jc w:val="center"/>
              <w:rPr>
                <w:color w:val="000000"/>
              </w:rPr>
            </w:pPr>
            <w:r w:rsidRPr="00757ED8">
              <w:rPr>
                <w:color w:val="000000"/>
              </w:rPr>
              <w:t>model 2</w:t>
            </w:r>
          </w:p>
        </w:tc>
        <w:tc>
          <w:tcPr>
            <w:tcW w:w="1930" w:type="dxa"/>
            <w:gridSpan w:val="2"/>
            <w:tcBorders>
              <w:top w:val="single" w:sz="8" w:space="0" w:color="7F7F7F"/>
              <w:left w:val="nil"/>
              <w:bottom w:val="single" w:sz="8" w:space="0" w:color="7F7F7F"/>
              <w:right w:val="nil"/>
            </w:tcBorders>
            <w:shd w:val="clear" w:color="auto" w:fill="auto"/>
            <w:noWrap/>
            <w:vAlign w:val="center"/>
            <w:hideMark/>
          </w:tcPr>
          <w:p w14:paraId="6C6D6C64" w14:textId="77777777" w:rsidR="00B8286D" w:rsidRPr="00757ED8" w:rsidRDefault="00B8286D" w:rsidP="00612B89">
            <w:pPr>
              <w:jc w:val="center"/>
              <w:rPr>
                <w:color w:val="000000"/>
              </w:rPr>
            </w:pPr>
            <w:r w:rsidRPr="00757ED8">
              <w:rPr>
                <w:color w:val="000000"/>
              </w:rPr>
              <w:t>model 3</w:t>
            </w:r>
          </w:p>
        </w:tc>
      </w:tr>
      <w:tr w:rsidR="00B8286D" w:rsidRPr="00757ED8" w14:paraId="356D5640" w14:textId="77777777" w:rsidTr="00DF1954">
        <w:trPr>
          <w:trHeight w:val="337"/>
        </w:trPr>
        <w:tc>
          <w:tcPr>
            <w:tcW w:w="3489" w:type="dxa"/>
            <w:tcBorders>
              <w:top w:val="nil"/>
              <w:left w:val="nil"/>
              <w:bottom w:val="nil"/>
              <w:right w:val="nil"/>
            </w:tcBorders>
            <w:shd w:val="clear" w:color="auto" w:fill="auto"/>
            <w:noWrap/>
            <w:hideMark/>
          </w:tcPr>
          <w:p w14:paraId="15BF002E" w14:textId="77777777" w:rsidR="00B8286D" w:rsidRPr="00757ED8" w:rsidRDefault="00B8286D" w:rsidP="00612B89">
            <w:pPr>
              <w:jc w:val="center"/>
              <w:rPr>
                <w:color w:val="000000"/>
              </w:rPr>
            </w:pPr>
          </w:p>
        </w:tc>
        <w:tc>
          <w:tcPr>
            <w:tcW w:w="1062" w:type="dxa"/>
            <w:tcBorders>
              <w:top w:val="nil"/>
              <w:left w:val="nil"/>
              <w:bottom w:val="nil"/>
              <w:right w:val="nil"/>
            </w:tcBorders>
            <w:shd w:val="clear" w:color="auto" w:fill="auto"/>
            <w:noWrap/>
            <w:vAlign w:val="center"/>
            <w:hideMark/>
          </w:tcPr>
          <w:p w14:paraId="5B76A05A" w14:textId="77777777" w:rsidR="00B8286D" w:rsidRPr="00757ED8" w:rsidRDefault="00B8286D" w:rsidP="00612B89">
            <w:pPr>
              <w:jc w:val="center"/>
              <w:rPr>
                <w:color w:val="000000"/>
              </w:rPr>
            </w:pPr>
            <w:r w:rsidRPr="00757ED8">
              <w:rPr>
                <w:color w:val="000000"/>
              </w:rPr>
              <w:t>B</w:t>
            </w:r>
          </w:p>
        </w:tc>
        <w:tc>
          <w:tcPr>
            <w:tcW w:w="868" w:type="dxa"/>
            <w:tcBorders>
              <w:top w:val="nil"/>
              <w:left w:val="nil"/>
              <w:bottom w:val="nil"/>
              <w:right w:val="nil"/>
            </w:tcBorders>
            <w:shd w:val="clear" w:color="auto" w:fill="auto"/>
            <w:noWrap/>
            <w:vAlign w:val="center"/>
            <w:hideMark/>
          </w:tcPr>
          <w:p w14:paraId="70F28D03" w14:textId="77777777" w:rsidR="00B8286D" w:rsidRPr="00757ED8" w:rsidRDefault="00B8286D" w:rsidP="00612B89">
            <w:pPr>
              <w:jc w:val="center"/>
              <w:rPr>
                <w:color w:val="000000"/>
              </w:rPr>
            </w:pPr>
            <w:r w:rsidRPr="00757ED8">
              <w:rPr>
                <w:color w:val="000000"/>
                <w:lang w:val="en"/>
              </w:rPr>
              <w:t>β</w:t>
            </w:r>
          </w:p>
        </w:tc>
        <w:tc>
          <w:tcPr>
            <w:tcW w:w="1062" w:type="dxa"/>
            <w:tcBorders>
              <w:top w:val="nil"/>
              <w:left w:val="nil"/>
              <w:bottom w:val="nil"/>
              <w:right w:val="nil"/>
            </w:tcBorders>
            <w:shd w:val="clear" w:color="auto" w:fill="auto"/>
            <w:noWrap/>
            <w:vAlign w:val="center"/>
            <w:hideMark/>
          </w:tcPr>
          <w:p w14:paraId="241890A5" w14:textId="77777777" w:rsidR="00B8286D" w:rsidRPr="00757ED8" w:rsidRDefault="00B8286D" w:rsidP="00612B89">
            <w:pPr>
              <w:jc w:val="center"/>
              <w:rPr>
                <w:color w:val="000000"/>
              </w:rPr>
            </w:pPr>
            <w:r w:rsidRPr="00757ED8">
              <w:rPr>
                <w:color w:val="000000"/>
              </w:rPr>
              <w:t>B</w:t>
            </w:r>
          </w:p>
        </w:tc>
        <w:tc>
          <w:tcPr>
            <w:tcW w:w="868" w:type="dxa"/>
            <w:tcBorders>
              <w:top w:val="nil"/>
              <w:left w:val="nil"/>
              <w:bottom w:val="nil"/>
              <w:right w:val="nil"/>
            </w:tcBorders>
            <w:shd w:val="clear" w:color="auto" w:fill="auto"/>
            <w:noWrap/>
            <w:vAlign w:val="center"/>
            <w:hideMark/>
          </w:tcPr>
          <w:p w14:paraId="5D71DACA" w14:textId="77777777" w:rsidR="00B8286D" w:rsidRPr="00757ED8" w:rsidRDefault="00B8286D" w:rsidP="00612B89">
            <w:pPr>
              <w:jc w:val="center"/>
              <w:rPr>
                <w:color w:val="000000"/>
              </w:rPr>
            </w:pPr>
            <w:r w:rsidRPr="00757ED8">
              <w:rPr>
                <w:color w:val="000000"/>
                <w:lang w:val="en"/>
              </w:rPr>
              <w:t>β</w:t>
            </w:r>
          </w:p>
        </w:tc>
        <w:tc>
          <w:tcPr>
            <w:tcW w:w="1062" w:type="dxa"/>
            <w:tcBorders>
              <w:top w:val="nil"/>
              <w:left w:val="nil"/>
              <w:bottom w:val="nil"/>
              <w:right w:val="nil"/>
            </w:tcBorders>
            <w:shd w:val="clear" w:color="auto" w:fill="auto"/>
            <w:noWrap/>
            <w:vAlign w:val="center"/>
            <w:hideMark/>
          </w:tcPr>
          <w:p w14:paraId="73E350D8" w14:textId="77777777" w:rsidR="00B8286D" w:rsidRPr="00757ED8" w:rsidRDefault="00B8286D" w:rsidP="00612B89">
            <w:pPr>
              <w:jc w:val="center"/>
              <w:rPr>
                <w:color w:val="000000"/>
              </w:rPr>
            </w:pPr>
            <w:r w:rsidRPr="00757ED8">
              <w:rPr>
                <w:color w:val="000000"/>
              </w:rPr>
              <w:t>B</w:t>
            </w:r>
          </w:p>
        </w:tc>
        <w:tc>
          <w:tcPr>
            <w:tcW w:w="868" w:type="dxa"/>
            <w:tcBorders>
              <w:top w:val="nil"/>
              <w:left w:val="nil"/>
              <w:bottom w:val="nil"/>
              <w:right w:val="nil"/>
            </w:tcBorders>
            <w:shd w:val="clear" w:color="auto" w:fill="auto"/>
            <w:noWrap/>
            <w:vAlign w:val="center"/>
            <w:hideMark/>
          </w:tcPr>
          <w:p w14:paraId="72A16A06" w14:textId="77777777" w:rsidR="00B8286D" w:rsidRPr="00757ED8" w:rsidRDefault="00B8286D" w:rsidP="00612B89">
            <w:pPr>
              <w:jc w:val="center"/>
              <w:rPr>
                <w:color w:val="000000"/>
              </w:rPr>
            </w:pPr>
            <w:r w:rsidRPr="00757ED8">
              <w:rPr>
                <w:color w:val="000000"/>
                <w:lang w:val="en"/>
              </w:rPr>
              <w:t>β</w:t>
            </w:r>
          </w:p>
        </w:tc>
      </w:tr>
      <w:tr w:rsidR="00B8286D" w:rsidRPr="00757ED8" w14:paraId="3182F5CC"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3E92A8A5" w14:textId="77777777" w:rsidR="00B8286D" w:rsidRPr="00757ED8" w:rsidRDefault="00B8286D" w:rsidP="00612B89">
            <w:pPr>
              <w:jc w:val="center"/>
              <w:rPr>
                <w:b/>
                <w:bCs/>
                <w:color w:val="000000"/>
              </w:rPr>
            </w:pPr>
            <w:r w:rsidRPr="00757ED8">
              <w:rPr>
                <w:b/>
                <w:bCs/>
                <w:color w:val="000000"/>
              </w:rPr>
              <w:t>variable</w:t>
            </w:r>
          </w:p>
        </w:tc>
        <w:tc>
          <w:tcPr>
            <w:tcW w:w="1062" w:type="dxa"/>
            <w:tcBorders>
              <w:top w:val="single" w:sz="8" w:space="0" w:color="7F7F7F"/>
              <w:left w:val="nil"/>
              <w:bottom w:val="single" w:sz="8" w:space="0" w:color="7F7F7F"/>
              <w:right w:val="nil"/>
            </w:tcBorders>
            <w:shd w:val="clear" w:color="auto" w:fill="auto"/>
            <w:noWrap/>
            <w:hideMark/>
          </w:tcPr>
          <w:p w14:paraId="1B5CA227"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4BC56E56"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hideMark/>
          </w:tcPr>
          <w:p w14:paraId="7026AD9C"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16DF27BF"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hideMark/>
          </w:tcPr>
          <w:p w14:paraId="0A04776C"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68662414" w14:textId="77777777" w:rsidR="00B8286D" w:rsidRPr="00757ED8" w:rsidRDefault="00B8286D" w:rsidP="00612B89">
            <w:pPr>
              <w:rPr>
                <w:color w:val="000000"/>
              </w:rPr>
            </w:pPr>
            <w:r w:rsidRPr="00757ED8">
              <w:rPr>
                <w:color w:val="000000"/>
              </w:rPr>
              <w:t> </w:t>
            </w:r>
          </w:p>
        </w:tc>
      </w:tr>
      <w:tr w:rsidR="00DF1954" w:rsidRPr="00757ED8" w14:paraId="23789EBC" w14:textId="77777777" w:rsidTr="00DF1954">
        <w:trPr>
          <w:trHeight w:val="337"/>
        </w:trPr>
        <w:tc>
          <w:tcPr>
            <w:tcW w:w="3489" w:type="dxa"/>
            <w:tcBorders>
              <w:top w:val="nil"/>
              <w:left w:val="nil"/>
              <w:bottom w:val="nil"/>
              <w:right w:val="nil"/>
            </w:tcBorders>
            <w:shd w:val="clear" w:color="auto" w:fill="auto"/>
            <w:noWrap/>
            <w:vAlign w:val="center"/>
            <w:hideMark/>
          </w:tcPr>
          <w:p w14:paraId="081C677B" w14:textId="77777777" w:rsidR="00DF1954" w:rsidRPr="00757ED8" w:rsidRDefault="00DF1954" w:rsidP="00DF1954">
            <w:pPr>
              <w:jc w:val="right"/>
              <w:rPr>
                <w:b/>
                <w:bCs/>
                <w:color w:val="000000"/>
              </w:rPr>
            </w:pPr>
            <w:r w:rsidRPr="00757ED8">
              <w:rPr>
                <w:b/>
                <w:bCs/>
                <w:color w:val="000000"/>
              </w:rPr>
              <w:t>(constant)</w:t>
            </w:r>
          </w:p>
        </w:tc>
        <w:tc>
          <w:tcPr>
            <w:tcW w:w="1062" w:type="dxa"/>
            <w:tcBorders>
              <w:top w:val="nil"/>
              <w:left w:val="nil"/>
              <w:bottom w:val="nil"/>
              <w:right w:val="nil"/>
            </w:tcBorders>
            <w:shd w:val="clear" w:color="auto" w:fill="auto"/>
            <w:noWrap/>
            <w:vAlign w:val="bottom"/>
            <w:hideMark/>
          </w:tcPr>
          <w:p w14:paraId="44BAA164" w14:textId="228B3761" w:rsidR="00DF1954" w:rsidRPr="00757ED8" w:rsidRDefault="00DF1954" w:rsidP="00DF1954">
            <w:pPr>
              <w:jc w:val="center"/>
              <w:rPr>
                <w:color w:val="010205"/>
              </w:rPr>
            </w:pPr>
            <w:r w:rsidRPr="00757ED8">
              <w:rPr>
                <w:color w:val="000000"/>
              </w:rPr>
              <w:t>2.959</w:t>
            </w:r>
          </w:p>
        </w:tc>
        <w:tc>
          <w:tcPr>
            <w:tcW w:w="868" w:type="dxa"/>
            <w:tcBorders>
              <w:top w:val="nil"/>
              <w:left w:val="nil"/>
              <w:bottom w:val="nil"/>
              <w:right w:val="nil"/>
            </w:tcBorders>
            <w:shd w:val="clear" w:color="auto" w:fill="auto"/>
            <w:noWrap/>
            <w:hideMark/>
          </w:tcPr>
          <w:p w14:paraId="46CE4CA6" w14:textId="77777777" w:rsidR="00DF1954" w:rsidRPr="00757ED8" w:rsidRDefault="00DF1954" w:rsidP="00DF1954">
            <w:pPr>
              <w:jc w:val="center"/>
              <w:rPr>
                <w:color w:val="010205"/>
              </w:rPr>
            </w:pPr>
          </w:p>
        </w:tc>
        <w:tc>
          <w:tcPr>
            <w:tcW w:w="1062" w:type="dxa"/>
            <w:tcBorders>
              <w:top w:val="nil"/>
              <w:left w:val="nil"/>
              <w:bottom w:val="nil"/>
              <w:right w:val="nil"/>
            </w:tcBorders>
            <w:shd w:val="clear" w:color="auto" w:fill="auto"/>
            <w:noWrap/>
            <w:vAlign w:val="bottom"/>
            <w:hideMark/>
          </w:tcPr>
          <w:p w14:paraId="735F558B" w14:textId="70B2C412" w:rsidR="00DF1954" w:rsidRPr="00757ED8" w:rsidRDefault="00DF1954" w:rsidP="00DF1954">
            <w:pPr>
              <w:jc w:val="center"/>
              <w:rPr>
                <w:color w:val="010205"/>
              </w:rPr>
            </w:pPr>
            <w:r w:rsidRPr="00757ED8">
              <w:rPr>
                <w:color w:val="000000"/>
              </w:rPr>
              <w:t>3.502</w:t>
            </w:r>
          </w:p>
        </w:tc>
        <w:tc>
          <w:tcPr>
            <w:tcW w:w="868" w:type="dxa"/>
            <w:tcBorders>
              <w:top w:val="nil"/>
              <w:left w:val="nil"/>
              <w:bottom w:val="nil"/>
              <w:right w:val="nil"/>
            </w:tcBorders>
            <w:shd w:val="clear" w:color="auto" w:fill="auto"/>
            <w:noWrap/>
            <w:hideMark/>
          </w:tcPr>
          <w:p w14:paraId="2B619C26" w14:textId="77777777" w:rsidR="00DF1954" w:rsidRPr="00757ED8" w:rsidRDefault="00DF1954" w:rsidP="00DF1954">
            <w:pPr>
              <w:jc w:val="center"/>
              <w:rPr>
                <w:color w:val="010205"/>
              </w:rPr>
            </w:pPr>
          </w:p>
        </w:tc>
        <w:tc>
          <w:tcPr>
            <w:tcW w:w="1062" w:type="dxa"/>
            <w:tcBorders>
              <w:top w:val="nil"/>
              <w:left w:val="nil"/>
              <w:bottom w:val="nil"/>
              <w:right w:val="nil"/>
            </w:tcBorders>
            <w:shd w:val="clear" w:color="auto" w:fill="auto"/>
            <w:noWrap/>
            <w:vAlign w:val="bottom"/>
            <w:hideMark/>
          </w:tcPr>
          <w:p w14:paraId="5AB031F3" w14:textId="74595B39" w:rsidR="00DF1954" w:rsidRPr="00757ED8" w:rsidRDefault="00DF1954" w:rsidP="00DF1954">
            <w:pPr>
              <w:jc w:val="center"/>
              <w:rPr>
                <w:color w:val="010205"/>
              </w:rPr>
            </w:pPr>
            <w:r w:rsidRPr="00757ED8">
              <w:rPr>
                <w:color w:val="000000"/>
              </w:rPr>
              <w:t>2.702</w:t>
            </w:r>
          </w:p>
        </w:tc>
        <w:tc>
          <w:tcPr>
            <w:tcW w:w="868" w:type="dxa"/>
            <w:tcBorders>
              <w:top w:val="nil"/>
              <w:left w:val="nil"/>
              <w:bottom w:val="nil"/>
              <w:right w:val="nil"/>
            </w:tcBorders>
            <w:shd w:val="clear" w:color="auto" w:fill="auto"/>
            <w:noWrap/>
            <w:hideMark/>
          </w:tcPr>
          <w:p w14:paraId="34791071" w14:textId="77777777" w:rsidR="00DF1954" w:rsidRPr="00757ED8" w:rsidRDefault="00DF1954" w:rsidP="00DF1954">
            <w:pPr>
              <w:jc w:val="center"/>
              <w:rPr>
                <w:color w:val="010205"/>
              </w:rPr>
            </w:pPr>
          </w:p>
        </w:tc>
      </w:tr>
      <w:tr w:rsidR="00DF1954" w:rsidRPr="00757ED8" w14:paraId="30C1A040"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656E6A69" w14:textId="77777777" w:rsidR="00DF1954" w:rsidRPr="00757ED8" w:rsidRDefault="00DF1954" w:rsidP="00DF1954">
            <w:pPr>
              <w:jc w:val="right"/>
              <w:rPr>
                <w:b/>
                <w:bCs/>
                <w:color w:val="000000"/>
              </w:rPr>
            </w:pPr>
            <w:r w:rsidRPr="00757ED8">
              <w:rPr>
                <w:b/>
                <w:bCs/>
                <w:color w:val="000000"/>
              </w:rPr>
              <w:t>Age</w:t>
            </w:r>
          </w:p>
        </w:tc>
        <w:tc>
          <w:tcPr>
            <w:tcW w:w="1062" w:type="dxa"/>
            <w:tcBorders>
              <w:top w:val="single" w:sz="8" w:space="0" w:color="7F7F7F"/>
              <w:left w:val="nil"/>
              <w:bottom w:val="single" w:sz="8" w:space="0" w:color="7F7F7F"/>
              <w:right w:val="nil"/>
            </w:tcBorders>
            <w:shd w:val="clear" w:color="auto" w:fill="auto"/>
            <w:noWrap/>
            <w:vAlign w:val="bottom"/>
            <w:hideMark/>
          </w:tcPr>
          <w:p w14:paraId="57F52F5C" w14:textId="59F08752" w:rsidR="00DF1954" w:rsidRPr="00757ED8" w:rsidRDefault="00DF1954" w:rsidP="00DF1954">
            <w:pPr>
              <w:jc w:val="center"/>
              <w:rPr>
                <w:color w:val="010205"/>
              </w:rPr>
            </w:pPr>
            <w:r w:rsidRPr="00757ED8">
              <w:rPr>
                <w:color w:val="000000"/>
              </w:rPr>
              <w:t>0.029*</w:t>
            </w:r>
          </w:p>
        </w:tc>
        <w:tc>
          <w:tcPr>
            <w:tcW w:w="868" w:type="dxa"/>
            <w:tcBorders>
              <w:top w:val="single" w:sz="8" w:space="0" w:color="7F7F7F"/>
              <w:left w:val="nil"/>
              <w:bottom w:val="single" w:sz="8" w:space="0" w:color="7F7F7F"/>
              <w:right w:val="nil"/>
            </w:tcBorders>
            <w:shd w:val="clear" w:color="auto" w:fill="auto"/>
            <w:noWrap/>
            <w:vAlign w:val="bottom"/>
            <w:hideMark/>
          </w:tcPr>
          <w:p w14:paraId="7426C7DE" w14:textId="1BE626AB" w:rsidR="00DF1954" w:rsidRPr="00757ED8" w:rsidRDefault="00DF1954" w:rsidP="00DF1954">
            <w:pPr>
              <w:jc w:val="center"/>
              <w:rPr>
                <w:color w:val="010205"/>
              </w:rPr>
            </w:pPr>
            <w:r w:rsidRPr="00757ED8">
              <w:rPr>
                <w:color w:val="010205"/>
              </w:rPr>
              <w:t>0.249</w:t>
            </w:r>
          </w:p>
        </w:tc>
        <w:tc>
          <w:tcPr>
            <w:tcW w:w="1062" w:type="dxa"/>
            <w:tcBorders>
              <w:top w:val="single" w:sz="8" w:space="0" w:color="7F7F7F"/>
              <w:left w:val="nil"/>
              <w:bottom w:val="single" w:sz="8" w:space="0" w:color="7F7F7F"/>
              <w:right w:val="nil"/>
            </w:tcBorders>
            <w:shd w:val="clear" w:color="auto" w:fill="auto"/>
            <w:noWrap/>
            <w:vAlign w:val="bottom"/>
            <w:hideMark/>
          </w:tcPr>
          <w:p w14:paraId="0ECE7BA0" w14:textId="551AF122" w:rsidR="00DF1954" w:rsidRPr="00757ED8" w:rsidRDefault="00DF1954" w:rsidP="00DF1954">
            <w:pPr>
              <w:jc w:val="center"/>
              <w:rPr>
                <w:color w:val="010205"/>
              </w:rPr>
            </w:pPr>
            <w:r w:rsidRPr="00757ED8">
              <w:rPr>
                <w:color w:val="000000"/>
              </w:rPr>
              <w:t>0.032*</w:t>
            </w:r>
          </w:p>
        </w:tc>
        <w:tc>
          <w:tcPr>
            <w:tcW w:w="868" w:type="dxa"/>
            <w:tcBorders>
              <w:top w:val="single" w:sz="8" w:space="0" w:color="7F7F7F"/>
              <w:left w:val="nil"/>
              <w:bottom w:val="single" w:sz="8" w:space="0" w:color="7F7F7F"/>
              <w:right w:val="nil"/>
            </w:tcBorders>
            <w:shd w:val="clear" w:color="auto" w:fill="auto"/>
            <w:noWrap/>
            <w:vAlign w:val="bottom"/>
            <w:hideMark/>
          </w:tcPr>
          <w:p w14:paraId="226952DD" w14:textId="1E295D07" w:rsidR="00DF1954" w:rsidRPr="00757ED8" w:rsidRDefault="00DF1954" w:rsidP="00DF1954">
            <w:pPr>
              <w:jc w:val="center"/>
              <w:rPr>
                <w:color w:val="010205"/>
              </w:rPr>
            </w:pPr>
            <w:r w:rsidRPr="00757ED8">
              <w:rPr>
                <w:color w:val="010205"/>
              </w:rPr>
              <w:t>0.274</w:t>
            </w:r>
          </w:p>
        </w:tc>
        <w:tc>
          <w:tcPr>
            <w:tcW w:w="1062" w:type="dxa"/>
            <w:tcBorders>
              <w:top w:val="single" w:sz="8" w:space="0" w:color="7F7F7F"/>
              <w:left w:val="nil"/>
              <w:bottom w:val="single" w:sz="8" w:space="0" w:color="7F7F7F"/>
              <w:right w:val="nil"/>
            </w:tcBorders>
            <w:shd w:val="clear" w:color="auto" w:fill="auto"/>
            <w:noWrap/>
            <w:vAlign w:val="bottom"/>
            <w:hideMark/>
          </w:tcPr>
          <w:p w14:paraId="3D9CA26E" w14:textId="18EDE59B" w:rsidR="00DF1954" w:rsidRPr="00757ED8" w:rsidRDefault="00DF1954" w:rsidP="00DF1954">
            <w:pPr>
              <w:jc w:val="center"/>
              <w:rPr>
                <w:color w:val="010205"/>
              </w:rPr>
            </w:pPr>
            <w:r w:rsidRPr="00757ED8">
              <w:rPr>
                <w:color w:val="000000"/>
              </w:rPr>
              <w:t>0.031*</w:t>
            </w:r>
          </w:p>
        </w:tc>
        <w:tc>
          <w:tcPr>
            <w:tcW w:w="868" w:type="dxa"/>
            <w:tcBorders>
              <w:top w:val="single" w:sz="8" w:space="0" w:color="7F7F7F"/>
              <w:left w:val="nil"/>
              <w:bottom w:val="single" w:sz="8" w:space="0" w:color="7F7F7F"/>
              <w:right w:val="nil"/>
            </w:tcBorders>
            <w:shd w:val="clear" w:color="auto" w:fill="auto"/>
            <w:noWrap/>
            <w:vAlign w:val="bottom"/>
            <w:hideMark/>
          </w:tcPr>
          <w:p w14:paraId="3D102E01" w14:textId="5E733D58" w:rsidR="00DF1954" w:rsidRPr="00757ED8" w:rsidRDefault="00DF1954" w:rsidP="00DF1954">
            <w:pPr>
              <w:jc w:val="center"/>
              <w:rPr>
                <w:color w:val="010205"/>
              </w:rPr>
            </w:pPr>
            <w:r w:rsidRPr="00757ED8">
              <w:rPr>
                <w:color w:val="010205"/>
              </w:rPr>
              <w:t>0.268</w:t>
            </w:r>
          </w:p>
        </w:tc>
      </w:tr>
      <w:tr w:rsidR="00DF1954" w:rsidRPr="00757ED8" w14:paraId="51F99882" w14:textId="77777777" w:rsidTr="00DF1954">
        <w:trPr>
          <w:trHeight w:val="337"/>
        </w:trPr>
        <w:tc>
          <w:tcPr>
            <w:tcW w:w="3489" w:type="dxa"/>
            <w:tcBorders>
              <w:top w:val="nil"/>
              <w:left w:val="nil"/>
              <w:bottom w:val="nil"/>
              <w:right w:val="nil"/>
            </w:tcBorders>
            <w:shd w:val="clear" w:color="auto" w:fill="auto"/>
            <w:noWrap/>
            <w:vAlign w:val="center"/>
            <w:hideMark/>
          </w:tcPr>
          <w:p w14:paraId="0F2D8075" w14:textId="77777777" w:rsidR="00DF1954" w:rsidRPr="00757ED8" w:rsidRDefault="00DF1954" w:rsidP="00DF1954">
            <w:pPr>
              <w:jc w:val="right"/>
              <w:rPr>
                <w:b/>
                <w:bCs/>
                <w:color w:val="000000"/>
              </w:rPr>
            </w:pPr>
            <w:r w:rsidRPr="00757ED8">
              <w:rPr>
                <w:b/>
                <w:bCs/>
                <w:color w:val="000000"/>
              </w:rPr>
              <w:t>No of children</w:t>
            </w:r>
          </w:p>
        </w:tc>
        <w:tc>
          <w:tcPr>
            <w:tcW w:w="1062" w:type="dxa"/>
            <w:tcBorders>
              <w:top w:val="nil"/>
              <w:left w:val="nil"/>
              <w:bottom w:val="nil"/>
              <w:right w:val="nil"/>
            </w:tcBorders>
            <w:shd w:val="clear" w:color="auto" w:fill="auto"/>
            <w:noWrap/>
            <w:vAlign w:val="bottom"/>
            <w:hideMark/>
          </w:tcPr>
          <w:p w14:paraId="5FA5CDBC" w14:textId="101F0503" w:rsidR="00DF1954" w:rsidRPr="00757ED8" w:rsidRDefault="00DF1954" w:rsidP="00DF1954">
            <w:pPr>
              <w:jc w:val="center"/>
              <w:rPr>
                <w:color w:val="010205"/>
              </w:rPr>
            </w:pPr>
            <w:r w:rsidRPr="00757ED8">
              <w:rPr>
                <w:color w:val="000000"/>
              </w:rPr>
              <w:t>-0.1</w:t>
            </w:r>
          </w:p>
        </w:tc>
        <w:tc>
          <w:tcPr>
            <w:tcW w:w="868" w:type="dxa"/>
            <w:tcBorders>
              <w:top w:val="nil"/>
              <w:left w:val="nil"/>
              <w:bottom w:val="nil"/>
              <w:right w:val="nil"/>
            </w:tcBorders>
            <w:shd w:val="clear" w:color="auto" w:fill="auto"/>
            <w:noWrap/>
            <w:vAlign w:val="bottom"/>
            <w:hideMark/>
          </w:tcPr>
          <w:p w14:paraId="76D29F34" w14:textId="2F0BEB28" w:rsidR="00DF1954" w:rsidRPr="00757ED8" w:rsidRDefault="00DF1954" w:rsidP="00DF1954">
            <w:pPr>
              <w:jc w:val="center"/>
              <w:rPr>
                <w:color w:val="010205"/>
              </w:rPr>
            </w:pPr>
            <w:r w:rsidRPr="00757ED8">
              <w:rPr>
                <w:color w:val="010205"/>
              </w:rPr>
              <w:t>-0.087</w:t>
            </w:r>
          </w:p>
        </w:tc>
        <w:tc>
          <w:tcPr>
            <w:tcW w:w="1062" w:type="dxa"/>
            <w:tcBorders>
              <w:top w:val="nil"/>
              <w:left w:val="nil"/>
              <w:bottom w:val="nil"/>
              <w:right w:val="nil"/>
            </w:tcBorders>
            <w:shd w:val="clear" w:color="auto" w:fill="auto"/>
            <w:noWrap/>
            <w:vAlign w:val="bottom"/>
            <w:hideMark/>
          </w:tcPr>
          <w:p w14:paraId="09327C0A" w14:textId="4C65A5A3" w:rsidR="00DF1954" w:rsidRPr="00757ED8" w:rsidRDefault="00DF1954" w:rsidP="00DF1954">
            <w:pPr>
              <w:jc w:val="center"/>
              <w:rPr>
                <w:color w:val="010205"/>
              </w:rPr>
            </w:pPr>
            <w:r w:rsidRPr="00757ED8">
              <w:rPr>
                <w:color w:val="000000"/>
              </w:rPr>
              <w:t>-0.125</w:t>
            </w:r>
          </w:p>
        </w:tc>
        <w:tc>
          <w:tcPr>
            <w:tcW w:w="868" w:type="dxa"/>
            <w:tcBorders>
              <w:top w:val="nil"/>
              <w:left w:val="nil"/>
              <w:bottom w:val="nil"/>
              <w:right w:val="nil"/>
            </w:tcBorders>
            <w:shd w:val="clear" w:color="auto" w:fill="auto"/>
            <w:noWrap/>
            <w:vAlign w:val="bottom"/>
            <w:hideMark/>
          </w:tcPr>
          <w:p w14:paraId="70CD3FB5" w14:textId="1F9B5B97" w:rsidR="00DF1954" w:rsidRPr="00757ED8" w:rsidRDefault="00DF1954" w:rsidP="00DF1954">
            <w:pPr>
              <w:jc w:val="center"/>
              <w:rPr>
                <w:color w:val="010205"/>
              </w:rPr>
            </w:pPr>
            <w:r w:rsidRPr="00757ED8">
              <w:rPr>
                <w:color w:val="010205"/>
              </w:rPr>
              <w:t>-0.11</w:t>
            </w:r>
          </w:p>
        </w:tc>
        <w:tc>
          <w:tcPr>
            <w:tcW w:w="1062" w:type="dxa"/>
            <w:tcBorders>
              <w:top w:val="nil"/>
              <w:left w:val="nil"/>
              <w:bottom w:val="nil"/>
              <w:right w:val="nil"/>
            </w:tcBorders>
            <w:shd w:val="clear" w:color="auto" w:fill="auto"/>
            <w:noWrap/>
            <w:vAlign w:val="bottom"/>
            <w:hideMark/>
          </w:tcPr>
          <w:p w14:paraId="0D11E5D0" w14:textId="211CDCB0" w:rsidR="00DF1954" w:rsidRPr="00757ED8" w:rsidRDefault="00DF1954" w:rsidP="00DF1954">
            <w:pPr>
              <w:jc w:val="center"/>
              <w:rPr>
                <w:color w:val="010205"/>
              </w:rPr>
            </w:pPr>
            <w:r w:rsidRPr="00757ED8">
              <w:rPr>
                <w:color w:val="000000"/>
              </w:rPr>
              <w:t>-0.119</w:t>
            </w:r>
          </w:p>
        </w:tc>
        <w:tc>
          <w:tcPr>
            <w:tcW w:w="868" w:type="dxa"/>
            <w:tcBorders>
              <w:top w:val="nil"/>
              <w:left w:val="nil"/>
              <w:bottom w:val="nil"/>
              <w:right w:val="nil"/>
            </w:tcBorders>
            <w:shd w:val="clear" w:color="auto" w:fill="auto"/>
            <w:noWrap/>
            <w:vAlign w:val="bottom"/>
            <w:hideMark/>
          </w:tcPr>
          <w:p w14:paraId="02AA1523" w14:textId="37749456" w:rsidR="00DF1954" w:rsidRPr="00757ED8" w:rsidRDefault="00DF1954" w:rsidP="00DF1954">
            <w:pPr>
              <w:jc w:val="center"/>
              <w:rPr>
                <w:color w:val="010205"/>
              </w:rPr>
            </w:pPr>
            <w:r w:rsidRPr="00757ED8">
              <w:rPr>
                <w:color w:val="010205"/>
              </w:rPr>
              <w:t>-0.104</w:t>
            </w:r>
          </w:p>
        </w:tc>
      </w:tr>
      <w:tr w:rsidR="00DF1954" w:rsidRPr="00757ED8" w14:paraId="55E57C5B"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6F5CA74A" w14:textId="77777777" w:rsidR="00DF1954" w:rsidRPr="00757ED8" w:rsidRDefault="00DF1954" w:rsidP="00DF1954">
            <w:pPr>
              <w:jc w:val="right"/>
              <w:rPr>
                <w:b/>
                <w:bCs/>
                <w:color w:val="000000"/>
              </w:rPr>
            </w:pPr>
            <w:r w:rsidRPr="00757ED8">
              <w:rPr>
                <w:b/>
                <w:bCs/>
                <w:color w:val="000000"/>
              </w:rPr>
              <w:t>Education level</w:t>
            </w:r>
          </w:p>
        </w:tc>
        <w:tc>
          <w:tcPr>
            <w:tcW w:w="1062" w:type="dxa"/>
            <w:tcBorders>
              <w:top w:val="single" w:sz="8" w:space="0" w:color="7F7F7F"/>
              <w:left w:val="nil"/>
              <w:bottom w:val="single" w:sz="8" w:space="0" w:color="7F7F7F"/>
              <w:right w:val="nil"/>
            </w:tcBorders>
            <w:shd w:val="clear" w:color="auto" w:fill="auto"/>
            <w:noWrap/>
            <w:vAlign w:val="bottom"/>
            <w:hideMark/>
          </w:tcPr>
          <w:p w14:paraId="508AC096" w14:textId="4B1BED22" w:rsidR="00DF1954" w:rsidRPr="00757ED8" w:rsidRDefault="00DF1954" w:rsidP="00DF1954">
            <w:pPr>
              <w:jc w:val="center"/>
              <w:rPr>
                <w:color w:val="010205"/>
              </w:rPr>
            </w:pPr>
            <w:r w:rsidRPr="00757ED8">
              <w:rPr>
                <w:color w:val="000000"/>
              </w:rPr>
              <w:t>-0.038</w:t>
            </w:r>
          </w:p>
        </w:tc>
        <w:tc>
          <w:tcPr>
            <w:tcW w:w="868" w:type="dxa"/>
            <w:tcBorders>
              <w:top w:val="single" w:sz="8" w:space="0" w:color="7F7F7F"/>
              <w:left w:val="nil"/>
              <w:bottom w:val="single" w:sz="8" w:space="0" w:color="7F7F7F"/>
              <w:right w:val="nil"/>
            </w:tcBorders>
            <w:shd w:val="clear" w:color="auto" w:fill="auto"/>
            <w:noWrap/>
            <w:vAlign w:val="bottom"/>
            <w:hideMark/>
          </w:tcPr>
          <w:p w14:paraId="760B1A53" w14:textId="02320215" w:rsidR="00DF1954" w:rsidRPr="00757ED8" w:rsidRDefault="00DF1954" w:rsidP="00DF1954">
            <w:pPr>
              <w:jc w:val="center"/>
              <w:rPr>
                <w:color w:val="010205"/>
              </w:rPr>
            </w:pPr>
            <w:r w:rsidRPr="00757ED8">
              <w:rPr>
                <w:color w:val="010205"/>
              </w:rPr>
              <w:t>-0.038</w:t>
            </w:r>
          </w:p>
        </w:tc>
        <w:tc>
          <w:tcPr>
            <w:tcW w:w="1062" w:type="dxa"/>
            <w:tcBorders>
              <w:top w:val="single" w:sz="8" w:space="0" w:color="7F7F7F"/>
              <w:left w:val="nil"/>
              <w:bottom w:val="single" w:sz="8" w:space="0" w:color="7F7F7F"/>
              <w:right w:val="nil"/>
            </w:tcBorders>
            <w:shd w:val="clear" w:color="auto" w:fill="auto"/>
            <w:noWrap/>
            <w:vAlign w:val="bottom"/>
            <w:hideMark/>
          </w:tcPr>
          <w:p w14:paraId="22FDC835" w14:textId="6E41B369" w:rsidR="00DF1954" w:rsidRPr="00757ED8" w:rsidRDefault="00DF1954" w:rsidP="00DF1954">
            <w:pPr>
              <w:jc w:val="center"/>
              <w:rPr>
                <w:color w:val="010205"/>
              </w:rPr>
            </w:pPr>
            <w:r w:rsidRPr="00757ED8">
              <w:rPr>
                <w:color w:val="000000"/>
              </w:rPr>
              <w:t>-0.003</w:t>
            </w:r>
          </w:p>
        </w:tc>
        <w:tc>
          <w:tcPr>
            <w:tcW w:w="868" w:type="dxa"/>
            <w:tcBorders>
              <w:top w:val="single" w:sz="8" w:space="0" w:color="7F7F7F"/>
              <w:left w:val="nil"/>
              <w:bottom w:val="single" w:sz="8" w:space="0" w:color="7F7F7F"/>
              <w:right w:val="nil"/>
            </w:tcBorders>
            <w:shd w:val="clear" w:color="auto" w:fill="auto"/>
            <w:noWrap/>
            <w:vAlign w:val="bottom"/>
            <w:hideMark/>
          </w:tcPr>
          <w:p w14:paraId="7CF65C03" w14:textId="54C80630" w:rsidR="00DF1954" w:rsidRPr="00757ED8" w:rsidRDefault="00DF1954" w:rsidP="00DF1954">
            <w:pPr>
              <w:jc w:val="center"/>
              <w:rPr>
                <w:color w:val="010205"/>
              </w:rPr>
            </w:pPr>
            <w:r w:rsidRPr="00757ED8">
              <w:rPr>
                <w:color w:val="010205"/>
              </w:rPr>
              <w:t>-0.003</w:t>
            </w:r>
          </w:p>
        </w:tc>
        <w:tc>
          <w:tcPr>
            <w:tcW w:w="1062" w:type="dxa"/>
            <w:tcBorders>
              <w:top w:val="single" w:sz="8" w:space="0" w:color="7F7F7F"/>
              <w:left w:val="nil"/>
              <w:bottom w:val="single" w:sz="8" w:space="0" w:color="7F7F7F"/>
              <w:right w:val="nil"/>
            </w:tcBorders>
            <w:shd w:val="clear" w:color="auto" w:fill="auto"/>
            <w:noWrap/>
            <w:vAlign w:val="bottom"/>
            <w:hideMark/>
          </w:tcPr>
          <w:p w14:paraId="1234D93A" w14:textId="2592A6E7" w:rsidR="00DF1954" w:rsidRPr="00757ED8" w:rsidRDefault="00DF1954" w:rsidP="00DF1954">
            <w:pPr>
              <w:jc w:val="center"/>
              <w:rPr>
                <w:color w:val="010205"/>
              </w:rPr>
            </w:pPr>
            <w:r w:rsidRPr="00757ED8">
              <w:rPr>
                <w:color w:val="000000"/>
              </w:rPr>
              <w:t>-0.017</w:t>
            </w:r>
          </w:p>
        </w:tc>
        <w:tc>
          <w:tcPr>
            <w:tcW w:w="868" w:type="dxa"/>
            <w:tcBorders>
              <w:top w:val="single" w:sz="8" w:space="0" w:color="7F7F7F"/>
              <w:left w:val="nil"/>
              <w:bottom w:val="single" w:sz="8" w:space="0" w:color="7F7F7F"/>
              <w:right w:val="nil"/>
            </w:tcBorders>
            <w:shd w:val="clear" w:color="auto" w:fill="auto"/>
            <w:noWrap/>
            <w:vAlign w:val="bottom"/>
            <w:hideMark/>
          </w:tcPr>
          <w:p w14:paraId="107E3C8C" w14:textId="2296F9C0" w:rsidR="00DF1954" w:rsidRPr="00757ED8" w:rsidRDefault="00DF1954" w:rsidP="00DF1954">
            <w:pPr>
              <w:jc w:val="center"/>
              <w:rPr>
                <w:color w:val="010205"/>
              </w:rPr>
            </w:pPr>
            <w:r w:rsidRPr="00757ED8">
              <w:rPr>
                <w:color w:val="010205"/>
              </w:rPr>
              <w:t>-0.017</w:t>
            </w:r>
          </w:p>
        </w:tc>
      </w:tr>
      <w:tr w:rsidR="00DF1954" w:rsidRPr="00757ED8" w14:paraId="7E5CCA52" w14:textId="77777777" w:rsidTr="00DF1954">
        <w:trPr>
          <w:trHeight w:val="337"/>
        </w:trPr>
        <w:tc>
          <w:tcPr>
            <w:tcW w:w="3489" w:type="dxa"/>
            <w:tcBorders>
              <w:top w:val="nil"/>
              <w:left w:val="nil"/>
              <w:bottom w:val="nil"/>
              <w:right w:val="nil"/>
            </w:tcBorders>
            <w:shd w:val="clear" w:color="auto" w:fill="auto"/>
            <w:noWrap/>
            <w:vAlign w:val="center"/>
            <w:hideMark/>
          </w:tcPr>
          <w:p w14:paraId="5FE0A36C" w14:textId="77777777" w:rsidR="00DF1954" w:rsidRPr="00757ED8" w:rsidRDefault="00DF1954" w:rsidP="00DF1954">
            <w:pPr>
              <w:jc w:val="right"/>
              <w:rPr>
                <w:b/>
                <w:bCs/>
                <w:color w:val="000000"/>
              </w:rPr>
            </w:pPr>
            <w:r w:rsidRPr="00757ED8">
              <w:rPr>
                <w:b/>
                <w:bCs/>
                <w:color w:val="000000"/>
              </w:rPr>
              <w:t>Hours per week</w:t>
            </w:r>
          </w:p>
        </w:tc>
        <w:tc>
          <w:tcPr>
            <w:tcW w:w="1062" w:type="dxa"/>
            <w:tcBorders>
              <w:top w:val="nil"/>
              <w:left w:val="nil"/>
              <w:bottom w:val="nil"/>
              <w:right w:val="nil"/>
            </w:tcBorders>
            <w:shd w:val="clear" w:color="auto" w:fill="auto"/>
            <w:noWrap/>
            <w:hideMark/>
          </w:tcPr>
          <w:p w14:paraId="47EA4372" w14:textId="77777777" w:rsidR="00DF1954" w:rsidRPr="00757ED8" w:rsidRDefault="00DF1954" w:rsidP="00DF1954">
            <w:pPr>
              <w:jc w:val="right"/>
              <w:rPr>
                <w:b/>
                <w:bCs/>
                <w:color w:val="000000"/>
              </w:rPr>
            </w:pPr>
          </w:p>
        </w:tc>
        <w:tc>
          <w:tcPr>
            <w:tcW w:w="868" w:type="dxa"/>
            <w:tcBorders>
              <w:top w:val="nil"/>
              <w:left w:val="nil"/>
              <w:bottom w:val="nil"/>
              <w:right w:val="nil"/>
            </w:tcBorders>
            <w:shd w:val="clear" w:color="auto" w:fill="auto"/>
            <w:noWrap/>
            <w:hideMark/>
          </w:tcPr>
          <w:p w14:paraId="012A44C2" w14:textId="77777777" w:rsidR="00DF1954" w:rsidRPr="00757ED8" w:rsidRDefault="00DF1954" w:rsidP="00DF1954"/>
        </w:tc>
        <w:tc>
          <w:tcPr>
            <w:tcW w:w="1062" w:type="dxa"/>
            <w:tcBorders>
              <w:top w:val="nil"/>
              <w:left w:val="nil"/>
              <w:bottom w:val="nil"/>
              <w:right w:val="nil"/>
            </w:tcBorders>
            <w:shd w:val="clear" w:color="auto" w:fill="auto"/>
            <w:noWrap/>
            <w:vAlign w:val="bottom"/>
            <w:hideMark/>
          </w:tcPr>
          <w:p w14:paraId="4D9C7FDF" w14:textId="08B6FF03" w:rsidR="00DF1954" w:rsidRPr="00757ED8" w:rsidRDefault="00DF1954" w:rsidP="00DF1954">
            <w:pPr>
              <w:jc w:val="center"/>
              <w:rPr>
                <w:color w:val="010205"/>
              </w:rPr>
            </w:pPr>
            <w:r w:rsidRPr="00757ED8">
              <w:rPr>
                <w:color w:val="000000"/>
              </w:rPr>
              <w:t xml:space="preserve"> -0.021*</w:t>
            </w:r>
          </w:p>
        </w:tc>
        <w:tc>
          <w:tcPr>
            <w:tcW w:w="868" w:type="dxa"/>
            <w:tcBorders>
              <w:top w:val="nil"/>
              <w:left w:val="nil"/>
              <w:bottom w:val="nil"/>
              <w:right w:val="nil"/>
            </w:tcBorders>
            <w:shd w:val="clear" w:color="auto" w:fill="auto"/>
            <w:noWrap/>
            <w:vAlign w:val="bottom"/>
            <w:hideMark/>
          </w:tcPr>
          <w:p w14:paraId="07E26D1A" w14:textId="13428B16" w:rsidR="00DF1954" w:rsidRPr="00757ED8" w:rsidRDefault="00DF1954" w:rsidP="00DF1954">
            <w:pPr>
              <w:jc w:val="center"/>
              <w:rPr>
                <w:color w:val="010205"/>
              </w:rPr>
            </w:pPr>
            <w:r w:rsidRPr="00757ED8">
              <w:rPr>
                <w:color w:val="010205"/>
              </w:rPr>
              <w:t>-0.18</w:t>
            </w:r>
          </w:p>
        </w:tc>
        <w:tc>
          <w:tcPr>
            <w:tcW w:w="1062" w:type="dxa"/>
            <w:tcBorders>
              <w:top w:val="nil"/>
              <w:left w:val="nil"/>
              <w:bottom w:val="nil"/>
              <w:right w:val="nil"/>
            </w:tcBorders>
            <w:shd w:val="clear" w:color="auto" w:fill="auto"/>
            <w:noWrap/>
            <w:vAlign w:val="bottom"/>
            <w:hideMark/>
          </w:tcPr>
          <w:p w14:paraId="14802A48" w14:textId="46C2FAF4" w:rsidR="00DF1954" w:rsidRPr="00757ED8" w:rsidRDefault="00DF1954" w:rsidP="00DF1954">
            <w:pPr>
              <w:jc w:val="center"/>
              <w:rPr>
                <w:color w:val="010205"/>
              </w:rPr>
            </w:pPr>
            <w:r w:rsidRPr="00757ED8">
              <w:rPr>
                <w:color w:val="000000"/>
              </w:rPr>
              <w:t>-0.02</w:t>
            </w:r>
          </w:p>
        </w:tc>
        <w:tc>
          <w:tcPr>
            <w:tcW w:w="868" w:type="dxa"/>
            <w:tcBorders>
              <w:top w:val="nil"/>
              <w:left w:val="nil"/>
              <w:bottom w:val="nil"/>
              <w:right w:val="nil"/>
            </w:tcBorders>
            <w:shd w:val="clear" w:color="auto" w:fill="auto"/>
            <w:noWrap/>
            <w:vAlign w:val="bottom"/>
            <w:hideMark/>
          </w:tcPr>
          <w:p w14:paraId="13E2C99A" w14:textId="584C19CE" w:rsidR="00DF1954" w:rsidRPr="00757ED8" w:rsidRDefault="00DF1954" w:rsidP="00DF1954">
            <w:pPr>
              <w:jc w:val="center"/>
              <w:rPr>
                <w:color w:val="010205"/>
              </w:rPr>
            </w:pPr>
            <w:r w:rsidRPr="00757ED8">
              <w:rPr>
                <w:color w:val="010205"/>
              </w:rPr>
              <w:t>-0.17</w:t>
            </w:r>
          </w:p>
        </w:tc>
      </w:tr>
      <w:tr w:rsidR="00DF1954" w:rsidRPr="00757ED8" w14:paraId="27BB2285"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48CAA087" w14:textId="77777777" w:rsidR="00DF1954" w:rsidRPr="00757ED8" w:rsidRDefault="00DF1954" w:rsidP="00DF1954">
            <w:pPr>
              <w:jc w:val="right"/>
              <w:rPr>
                <w:b/>
                <w:bCs/>
                <w:color w:val="000000"/>
              </w:rPr>
            </w:pPr>
            <w:r w:rsidRPr="00757ED8">
              <w:rPr>
                <w:b/>
                <w:bCs/>
                <w:color w:val="000000"/>
              </w:rPr>
              <w:t>Days per week</w:t>
            </w:r>
          </w:p>
        </w:tc>
        <w:tc>
          <w:tcPr>
            <w:tcW w:w="1062" w:type="dxa"/>
            <w:tcBorders>
              <w:top w:val="single" w:sz="8" w:space="0" w:color="7F7F7F"/>
              <w:left w:val="nil"/>
              <w:bottom w:val="single" w:sz="8" w:space="0" w:color="7F7F7F"/>
              <w:right w:val="nil"/>
            </w:tcBorders>
            <w:shd w:val="clear" w:color="auto" w:fill="auto"/>
            <w:noWrap/>
            <w:vAlign w:val="center"/>
            <w:hideMark/>
          </w:tcPr>
          <w:p w14:paraId="207D34E2" w14:textId="2178ECEB" w:rsidR="00DF1954" w:rsidRPr="00757ED8" w:rsidRDefault="00DF1954" w:rsidP="00DF1954">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vAlign w:val="center"/>
            <w:hideMark/>
          </w:tcPr>
          <w:p w14:paraId="7E6293C5" w14:textId="3B87189B" w:rsidR="00DF1954" w:rsidRPr="00757ED8" w:rsidRDefault="00DF1954" w:rsidP="00DF1954">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vAlign w:val="bottom"/>
            <w:hideMark/>
          </w:tcPr>
          <w:p w14:paraId="26CBEC52" w14:textId="348AD87E" w:rsidR="00DF1954" w:rsidRPr="00757ED8" w:rsidRDefault="00DF1954" w:rsidP="00DF1954">
            <w:pPr>
              <w:jc w:val="center"/>
              <w:rPr>
                <w:color w:val="010205"/>
              </w:rPr>
            </w:pPr>
            <w:r w:rsidRPr="00757ED8">
              <w:rPr>
                <w:color w:val="000000"/>
              </w:rPr>
              <w:t>0.026</w:t>
            </w:r>
          </w:p>
        </w:tc>
        <w:tc>
          <w:tcPr>
            <w:tcW w:w="868" w:type="dxa"/>
            <w:tcBorders>
              <w:top w:val="single" w:sz="8" w:space="0" w:color="7F7F7F"/>
              <w:left w:val="nil"/>
              <w:bottom w:val="single" w:sz="8" w:space="0" w:color="7F7F7F"/>
              <w:right w:val="nil"/>
            </w:tcBorders>
            <w:shd w:val="clear" w:color="auto" w:fill="auto"/>
            <w:noWrap/>
            <w:vAlign w:val="bottom"/>
            <w:hideMark/>
          </w:tcPr>
          <w:p w14:paraId="7835D416" w14:textId="16FCD34B" w:rsidR="00DF1954" w:rsidRPr="00757ED8" w:rsidRDefault="00DF1954" w:rsidP="00DF1954">
            <w:pPr>
              <w:jc w:val="center"/>
              <w:rPr>
                <w:color w:val="010205"/>
              </w:rPr>
            </w:pPr>
            <w:r w:rsidRPr="00757ED8">
              <w:rPr>
                <w:color w:val="010205"/>
              </w:rPr>
              <w:t>0.073</w:t>
            </w:r>
          </w:p>
        </w:tc>
        <w:tc>
          <w:tcPr>
            <w:tcW w:w="1062" w:type="dxa"/>
            <w:tcBorders>
              <w:top w:val="single" w:sz="8" w:space="0" w:color="7F7F7F"/>
              <w:left w:val="nil"/>
              <w:bottom w:val="single" w:sz="8" w:space="0" w:color="7F7F7F"/>
              <w:right w:val="nil"/>
            </w:tcBorders>
            <w:shd w:val="clear" w:color="auto" w:fill="auto"/>
            <w:noWrap/>
            <w:vAlign w:val="bottom"/>
            <w:hideMark/>
          </w:tcPr>
          <w:p w14:paraId="44164914" w14:textId="25A5F922" w:rsidR="00DF1954" w:rsidRPr="00757ED8" w:rsidRDefault="00DF1954" w:rsidP="00DF1954">
            <w:pPr>
              <w:jc w:val="center"/>
              <w:rPr>
                <w:color w:val="010205"/>
              </w:rPr>
            </w:pPr>
            <w:r w:rsidRPr="00757ED8">
              <w:rPr>
                <w:color w:val="000000"/>
              </w:rPr>
              <w:t>0.026</w:t>
            </w:r>
          </w:p>
        </w:tc>
        <w:tc>
          <w:tcPr>
            <w:tcW w:w="868" w:type="dxa"/>
            <w:tcBorders>
              <w:top w:val="single" w:sz="8" w:space="0" w:color="7F7F7F"/>
              <w:left w:val="nil"/>
              <w:bottom w:val="single" w:sz="8" w:space="0" w:color="7F7F7F"/>
              <w:right w:val="nil"/>
            </w:tcBorders>
            <w:shd w:val="clear" w:color="auto" w:fill="auto"/>
            <w:noWrap/>
            <w:vAlign w:val="bottom"/>
            <w:hideMark/>
          </w:tcPr>
          <w:p w14:paraId="25FE4C20" w14:textId="78A2205E" w:rsidR="00DF1954" w:rsidRPr="00757ED8" w:rsidRDefault="00DF1954" w:rsidP="00DF1954">
            <w:pPr>
              <w:jc w:val="center"/>
              <w:rPr>
                <w:color w:val="010205"/>
              </w:rPr>
            </w:pPr>
            <w:r w:rsidRPr="00757ED8">
              <w:rPr>
                <w:color w:val="010205"/>
              </w:rPr>
              <w:t>0.074</w:t>
            </w:r>
          </w:p>
        </w:tc>
      </w:tr>
      <w:tr w:rsidR="00DF1954" w:rsidRPr="00757ED8" w14:paraId="478B9DD6" w14:textId="77777777" w:rsidTr="00DF1954">
        <w:trPr>
          <w:trHeight w:val="337"/>
        </w:trPr>
        <w:tc>
          <w:tcPr>
            <w:tcW w:w="3489" w:type="dxa"/>
            <w:tcBorders>
              <w:top w:val="nil"/>
              <w:left w:val="nil"/>
              <w:bottom w:val="nil"/>
              <w:right w:val="nil"/>
            </w:tcBorders>
            <w:shd w:val="clear" w:color="auto" w:fill="auto"/>
            <w:noWrap/>
            <w:vAlign w:val="center"/>
            <w:hideMark/>
          </w:tcPr>
          <w:p w14:paraId="51281950" w14:textId="77777777" w:rsidR="00DF1954" w:rsidRPr="00757ED8" w:rsidRDefault="00DF1954" w:rsidP="00DF1954">
            <w:pPr>
              <w:jc w:val="right"/>
              <w:rPr>
                <w:b/>
                <w:bCs/>
                <w:color w:val="000000"/>
              </w:rPr>
            </w:pPr>
            <w:r w:rsidRPr="00757ED8">
              <w:rPr>
                <w:b/>
                <w:bCs/>
                <w:color w:val="000000"/>
              </w:rPr>
              <w:t>Years of service</w:t>
            </w:r>
          </w:p>
        </w:tc>
        <w:tc>
          <w:tcPr>
            <w:tcW w:w="1062" w:type="dxa"/>
            <w:tcBorders>
              <w:top w:val="nil"/>
              <w:left w:val="nil"/>
              <w:bottom w:val="nil"/>
              <w:right w:val="nil"/>
            </w:tcBorders>
            <w:shd w:val="clear" w:color="auto" w:fill="auto"/>
            <w:noWrap/>
            <w:hideMark/>
          </w:tcPr>
          <w:p w14:paraId="0A5FF978" w14:textId="77777777" w:rsidR="00DF1954" w:rsidRPr="00757ED8" w:rsidRDefault="00DF1954" w:rsidP="00DF1954">
            <w:pPr>
              <w:jc w:val="right"/>
              <w:rPr>
                <w:b/>
                <w:bCs/>
                <w:color w:val="000000"/>
              </w:rPr>
            </w:pPr>
          </w:p>
        </w:tc>
        <w:tc>
          <w:tcPr>
            <w:tcW w:w="868" w:type="dxa"/>
            <w:tcBorders>
              <w:top w:val="nil"/>
              <w:left w:val="nil"/>
              <w:bottom w:val="nil"/>
              <w:right w:val="nil"/>
            </w:tcBorders>
            <w:shd w:val="clear" w:color="auto" w:fill="auto"/>
            <w:noWrap/>
            <w:hideMark/>
          </w:tcPr>
          <w:p w14:paraId="1EF2172F" w14:textId="77777777" w:rsidR="00DF1954" w:rsidRPr="00757ED8" w:rsidRDefault="00DF1954" w:rsidP="00DF1954"/>
        </w:tc>
        <w:tc>
          <w:tcPr>
            <w:tcW w:w="1062" w:type="dxa"/>
            <w:tcBorders>
              <w:top w:val="nil"/>
              <w:left w:val="nil"/>
              <w:bottom w:val="nil"/>
              <w:right w:val="nil"/>
            </w:tcBorders>
            <w:shd w:val="clear" w:color="auto" w:fill="auto"/>
            <w:noWrap/>
            <w:vAlign w:val="bottom"/>
            <w:hideMark/>
          </w:tcPr>
          <w:p w14:paraId="48702E74" w14:textId="416874B8" w:rsidR="00DF1954" w:rsidRPr="00757ED8" w:rsidRDefault="00DF1954" w:rsidP="00DF1954">
            <w:pPr>
              <w:jc w:val="center"/>
              <w:rPr>
                <w:color w:val="010205"/>
              </w:rPr>
            </w:pPr>
            <w:r w:rsidRPr="00757ED8">
              <w:rPr>
                <w:color w:val="000000"/>
              </w:rPr>
              <w:t>-0.008</w:t>
            </w:r>
          </w:p>
        </w:tc>
        <w:tc>
          <w:tcPr>
            <w:tcW w:w="868" w:type="dxa"/>
            <w:tcBorders>
              <w:top w:val="nil"/>
              <w:left w:val="nil"/>
              <w:bottom w:val="nil"/>
              <w:right w:val="nil"/>
            </w:tcBorders>
            <w:shd w:val="clear" w:color="auto" w:fill="auto"/>
            <w:noWrap/>
            <w:vAlign w:val="bottom"/>
            <w:hideMark/>
          </w:tcPr>
          <w:p w14:paraId="12B303D1" w14:textId="7DCA5824" w:rsidR="00DF1954" w:rsidRPr="00757ED8" w:rsidRDefault="00DF1954" w:rsidP="00DF1954">
            <w:pPr>
              <w:jc w:val="center"/>
              <w:rPr>
                <w:color w:val="010205"/>
              </w:rPr>
            </w:pPr>
            <w:r w:rsidRPr="00757ED8">
              <w:rPr>
                <w:color w:val="010205"/>
              </w:rPr>
              <w:t>-0.061</w:t>
            </w:r>
          </w:p>
        </w:tc>
        <w:tc>
          <w:tcPr>
            <w:tcW w:w="1062" w:type="dxa"/>
            <w:tcBorders>
              <w:top w:val="nil"/>
              <w:left w:val="nil"/>
              <w:bottom w:val="nil"/>
              <w:right w:val="nil"/>
            </w:tcBorders>
            <w:shd w:val="clear" w:color="auto" w:fill="auto"/>
            <w:noWrap/>
            <w:vAlign w:val="bottom"/>
            <w:hideMark/>
          </w:tcPr>
          <w:p w14:paraId="78A61D13" w14:textId="77374BF5" w:rsidR="00DF1954" w:rsidRPr="00757ED8" w:rsidRDefault="00DF1954" w:rsidP="00DF1954">
            <w:pPr>
              <w:jc w:val="center"/>
              <w:rPr>
                <w:color w:val="010205"/>
              </w:rPr>
            </w:pPr>
            <w:r w:rsidRPr="00757ED8">
              <w:rPr>
                <w:color w:val="000000"/>
              </w:rPr>
              <w:t>-0.005</w:t>
            </w:r>
          </w:p>
        </w:tc>
        <w:tc>
          <w:tcPr>
            <w:tcW w:w="868" w:type="dxa"/>
            <w:tcBorders>
              <w:top w:val="nil"/>
              <w:left w:val="nil"/>
              <w:bottom w:val="nil"/>
              <w:right w:val="nil"/>
            </w:tcBorders>
            <w:shd w:val="clear" w:color="auto" w:fill="auto"/>
            <w:noWrap/>
            <w:vAlign w:val="bottom"/>
            <w:hideMark/>
          </w:tcPr>
          <w:p w14:paraId="17B64BEE" w14:textId="3CDB1AAA" w:rsidR="00DF1954" w:rsidRPr="00757ED8" w:rsidRDefault="00DF1954" w:rsidP="00DF1954">
            <w:pPr>
              <w:jc w:val="center"/>
              <w:rPr>
                <w:color w:val="010205"/>
              </w:rPr>
            </w:pPr>
            <w:r w:rsidRPr="00757ED8">
              <w:rPr>
                <w:color w:val="010205"/>
              </w:rPr>
              <w:t>-0.043</w:t>
            </w:r>
          </w:p>
        </w:tc>
      </w:tr>
      <w:tr w:rsidR="00DF1954" w:rsidRPr="00757ED8" w14:paraId="7D0DBCEF"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5232F34F" w14:textId="77777777" w:rsidR="00DF1954" w:rsidRPr="00757ED8" w:rsidRDefault="00DF1954" w:rsidP="00DF1954">
            <w:pPr>
              <w:jc w:val="right"/>
              <w:rPr>
                <w:b/>
                <w:bCs/>
                <w:color w:val="000000"/>
              </w:rPr>
            </w:pPr>
            <w:r w:rsidRPr="00757ED8">
              <w:rPr>
                <w:b/>
                <w:bCs/>
                <w:color w:val="000000"/>
              </w:rPr>
              <w:t>Percentage of practical work in role</w:t>
            </w:r>
          </w:p>
        </w:tc>
        <w:tc>
          <w:tcPr>
            <w:tcW w:w="1062" w:type="dxa"/>
            <w:tcBorders>
              <w:top w:val="single" w:sz="8" w:space="0" w:color="7F7F7F"/>
              <w:left w:val="nil"/>
              <w:bottom w:val="single" w:sz="8" w:space="0" w:color="7F7F7F"/>
              <w:right w:val="nil"/>
            </w:tcBorders>
            <w:shd w:val="clear" w:color="auto" w:fill="auto"/>
            <w:noWrap/>
            <w:vAlign w:val="center"/>
            <w:hideMark/>
          </w:tcPr>
          <w:p w14:paraId="07ACEC01" w14:textId="14F51A4A" w:rsidR="00DF1954" w:rsidRPr="00757ED8" w:rsidRDefault="00DF1954" w:rsidP="00DF1954">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vAlign w:val="center"/>
            <w:hideMark/>
          </w:tcPr>
          <w:p w14:paraId="0FE68EB9" w14:textId="48CBCDB0" w:rsidR="00DF1954" w:rsidRPr="00757ED8" w:rsidRDefault="00DF1954" w:rsidP="00DF1954">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vAlign w:val="center"/>
            <w:hideMark/>
          </w:tcPr>
          <w:p w14:paraId="1AFE1711" w14:textId="5EEC4F0E" w:rsidR="00DF1954" w:rsidRPr="00757ED8" w:rsidRDefault="00DF1954" w:rsidP="00DF1954">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vAlign w:val="center"/>
            <w:hideMark/>
          </w:tcPr>
          <w:p w14:paraId="20C7A212" w14:textId="183611F3" w:rsidR="00DF1954" w:rsidRPr="00757ED8" w:rsidRDefault="00DF1954" w:rsidP="00DF1954">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vAlign w:val="bottom"/>
            <w:hideMark/>
          </w:tcPr>
          <w:p w14:paraId="25A15D8A" w14:textId="664C11DF" w:rsidR="00DF1954" w:rsidRPr="00757ED8" w:rsidRDefault="00DF1954" w:rsidP="00DF1954">
            <w:pPr>
              <w:jc w:val="center"/>
              <w:rPr>
                <w:color w:val="010205"/>
              </w:rPr>
            </w:pPr>
            <w:r w:rsidRPr="00757ED8">
              <w:rPr>
                <w:color w:val="000000"/>
              </w:rPr>
              <w:t>-0.003</w:t>
            </w:r>
          </w:p>
        </w:tc>
        <w:tc>
          <w:tcPr>
            <w:tcW w:w="868" w:type="dxa"/>
            <w:tcBorders>
              <w:top w:val="single" w:sz="8" w:space="0" w:color="7F7F7F"/>
              <w:left w:val="nil"/>
              <w:bottom w:val="single" w:sz="8" w:space="0" w:color="7F7F7F"/>
              <w:right w:val="nil"/>
            </w:tcBorders>
            <w:shd w:val="clear" w:color="auto" w:fill="auto"/>
            <w:noWrap/>
            <w:vAlign w:val="bottom"/>
            <w:hideMark/>
          </w:tcPr>
          <w:p w14:paraId="3A8E382C" w14:textId="0745913A" w:rsidR="00DF1954" w:rsidRPr="00757ED8" w:rsidRDefault="00DF1954" w:rsidP="00DF1954">
            <w:pPr>
              <w:jc w:val="center"/>
              <w:rPr>
                <w:color w:val="010205"/>
              </w:rPr>
            </w:pPr>
            <w:r w:rsidRPr="00757ED8">
              <w:rPr>
                <w:color w:val="010205"/>
              </w:rPr>
              <w:t>-0.066</w:t>
            </w:r>
          </w:p>
        </w:tc>
      </w:tr>
      <w:tr w:rsidR="00DF1954" w:rsidRPr="00757ED8" w14:paraId="051AD55C" w14:textId="77777777" w:rsidTr="00DF1954">
        <w:trPr>
          <w:trHeight w:val="337"/>
        </w:trPr>
        <w:tc>
          <w:tcPr>
            <w:tcW w:w="3489" w:type="dxa"/>
            <w:tcBorders>
              <w:top w:val="nil"/>
              <w:left w:val="nil"/>
              <w:bottom w:val="nil"/>
              <w:right w:val="nil"/>
            </w:tcBorders>
            <w:shd w:val="clear" w:color="auto" w:fill="auto"/>
            <w:noWrap/>
            <w:vAlign w:val="center"/>
            <w:hideMark/>
          </w:tcPr>
          <w:p w14:paraId="13160B92" w14:textId="77777777" w:rsidR="00DF1954" w:rsidRPr="00757ED8" w:rsidRDefault="00DF1954" w:rsidP="00DF1954">
            <w:pPr>
              <w:jc w:val="right"/>
              <w:rPr>
                <w:b/>
                <w:bCs/>
                <w:color w:val="000000"/>
              </w:rPr>
            </w:pPr>
            <w:r w:rsidRPr="00757ED8">
              <w:rPr>
                <w:b/>
                <w:bCs/>
                <w:color w:val="000000"/>
              </w:rPr>
              <w:t>Average frequency of MSK role risk activities</w:t>
            </w:r>
          </w:p>
        </w:tc>
        <w:tc>
          <w:tcPr>
            <w:tcW w:w="1062" w:type="dxa"/>
            <w:tcBorders>
              <w:top w:val="nil"/>
              <w:left w:val="nil"/>
              <w:bottom w:val="nil"/>
              <w:right w:val="nil"/>
            </w:tcBorders>
            <w:shd w:val="clear" w:color="auto" w:fill="auto"/>
            <w:noWrap/>
            <w:hideMark/>
          </w:tcPr>
          <w:p w14:paraId="4FC6A57F" w14:textId="77777777" w:rsidR="00DF1954" w:rsidRPr="00757ED8" w:rsidRDefault="00DF1954" w:rsidP="00DF1954">
            <w:pPr>
              <w:jc w:val="right"/>
              <w:rPr>
                <w:b/>
                <w:bCs/>
                <w:color w:val="000000"/>
              </w:rPr>
            </w:pPr>
          </w:p>
        </w:tc>
        <w:tc>
          <w:tcPr>
            <w:tcW w:w="868" w:type="dxa"/>
            <w:tcBorders>
              <w:top w:val="nil"/>
              <w:left w:val="nil"/>
              <w:bottom w:val="nil"/>
              <w:right w:val="nil"/>
            </w:tcBorders>
            <w:shd w:val="clear" w:color="auto" w:fill="auto"/>
            <w:noWrap/>
            <w:hideMark/>
          </w:tcPr>
          <w:p w14:paraId="12C7E197" w14:textId="77777777" w:rsidR="00DF1954" w:rsidRPr="00757ED8" w:rsidRDefault="00DF1954" w:rsidP="00DF1954"/>
        </w:tc>
        <w:tc>
          <w:tcPr>
            <w:tcW w:w="1062" w:type="dxa"/>
            <w:tcBorders>
              <w:top w:val="nil"/>
              <w:left w:val="nil"/>
              <w:bottom w:val="nil"/>
              <w:right w:val="nil"/>
            </w:tcBorders>
            <w:shd w:val="clear" w:color="auto" w:fill="auto"/>
            <w:noWrap/>
            <w:hideMark/>
          </w:tcPr>
          <w:p w14:paraId="19261947" w14:textId="77777777" w:rsidR="00DF1954" w:rsidRPr="00757ED8" w:rsidRDefault="00DF1954" w:rsidP="00DF1954"/>
        </w:tc>
        <w:tc>
          <w:tcPr>
            <w:tcW w:w="868" w:type="dxa"/>
            <w:tcBorders>
              <w:top w:val="nil"/>
              <w:left w:val="nil"/>
              <w:bottom w:val="nil"/>
              <w:right w:val="nil"/>
            </w:tcBorders>
            <w:shd w:val="clear" w:color="auto" w:fill="auto"/>
            <w:noWrap/>
            <w:hideMark/>
          </w:tcPr>
          <w:p w14:paraId="65A46DD7" w14:textId="77777777" w:rsidR="00DF1954" w:rsidRPr="00757ED8" w:rsidRDefault="00DF1954" w:rsidP="00DF1954"/>
        </w:tc>
        <w:tc>
          <w:tcPr>
            <w:tcW w:w="1062" w:type="dxa"/>
            <w:tcBorders>
              <w:top w:val="nil"/>
              <w:left w:val="nil"/>
              <w:bottom w:val="nil"/>
              <w:right w:val="nil"/>
            </w:tcBorders>
            <w:shd w:val="clear" w:color="auto" w:fill="auto"/>
            <w:noWrap/>
            <w:vAlign w:val="bottom"/>
            <w:hideMark/>
          </w:tcPr>
          <w:p w14:paraId="7016C205" w14:textId="5F0EFDAB" w:rsidR="00DF1954" w:rsidRPr="00757ED8" w:rsidRDefault="00DF1954" w:rsidP="00DF1954">
            <w:pPr>
              <w:jc w:val="center"/>
              <w:rPr>
                <w:color w:val="010205"/>
              </w:rPr>
            </w:pPr>
            <w:r w:rsidRPr="00757ED8">
              <w:rPr>
                <w:color w:val="000000"/>
              </w:rPr>
              <w:t>0.077</w:t>
            </w:r>
          </w:p>
        </w:tc>
        <w:tc>
          <w:tcPr>
            <w:tcW w:w="868" w:type="dxa"/>
            <w:tcBorders>
              <w:top w:val="nil"/>
              <w:left w:val="nil"/>
              <w:bottom w:val="nil"/>
              <w:right w:val="nil"/>
            </w:tcBorders>
            <w:shd w:val="clear" w:color="auto" w:fill="auto"/>
            <w:noWrap/>
            <w:vAlign w:val="bottom"/>
            <w:hideMark/>
          </w:tcPr>
          <w:p w14:paraId="341E2FC1" w14:textId="2721ECD9" w:rsidR="00DF1954" w:rsidRPr="00757ED8" w:rsidRDefault="00DF1954" w:rsidP="00DF1954">
            <w:pPr>
              <w:jc w:val="center"/>
              <w:rPr>
                <w:color w:val="010205"/>
              </w:rPr>
            </w:pPr>
            <w:r w:rsidRPr="00757ED8">
              <w:rPr>
                <w:color w:val="010205"/>
              </w:rPr>
              <w:t>0.052</w:t>
            </w:r>
          </w:p>
        </w:tc>
      </w:tr>
      <w:tr w:rsidR="00DF1954" w:rsidRPr="00757ED8" w14:paraId="7ACA427C"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7177E084" w14:textId="77777777" w:rsidR="00DF1954" w:rsidRPr="00757ED8" w:rsidRDefault="00DF1954" w:rsidP="00DF1954">
            <w:pPr>
              <w:jc w:val="right"/>
              <w:rPr>
                <w:b/>
                <w:bCs/>
                <w:color w:val="000000"/>
              </w:rPr>
            </w:pPr>
            <w:r w:rsidRPr="00757ED8">
              <w:rPr>
                <w:b/>
                <w:bCs/>
                <w:color w:val="000000"/>
              </w:rPr>
              <w:t>Provision of MSK protective factors</w:t>
            </w:r>
          </w:p>
        </w:tc>
        <w:tc>
          <w:tcPr>
            <w:tcW w:w="1062" w:type="dxa"/>
            <w:tcBorders>
              <w:top w:val="single" w:sz="8" w:space="0" w:color="7F7F7F"/>
              <w:left w:val="nil"/>
              <w:bottom w:val="single" w:sz="8" w:space="0" w:color="7F7F7F"/>
              <w:right w:val="nil"/>
            </w:tcBorders>
            <w:shd w:val="clear" w:color="auto" w:fill="auto"/>
            <w:noWrap/>
            <w:vAlign w:val="center"/>
            <w:hideMark/>
          </w:tcPr>
          <w:p w14:paraId="1EED2DB4" w14:textId="0CFBA69D" w:rsidR="00DF1954" w:rsidRPr="00757ED8" w:rsidRDefault="00DF1954" w:rsidP="00DF1954">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vAlign w:val="center"/>
            <w:hideMark/>
          </w:tcPr>
          <w:p w14:paraId="0BFF0EB6" w14:textId="2ADB345A" w:rsidR="00DF1954" w:rsidRPr="00757ED8" w:rsidRDefault="00DF1954" w:rsidP="00DF1954">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vAlign w:val="center"/>
            <w:hideMark/>
          </w:tcPr>
          <w:p w14:paraId="52E4180F" w14:textId="22F976D3" w:rsidR="00DF1954" w:rsidRPr="00757ED8" w:rsidRDefault="00DF1954" w:rsidP="00DF1954">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vAlign w:val="center"/>
            <w:hideMark/>
          </w:tcPr>
          <w:p w14:paraId="137BDD48" w14:textId="3CDCD66F" w:rsidR="00DF1954" w:rsidRPr="00757ED8" w:rsidRDefault="00DF1954" w:rsidP="00DF1954">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vAlign w:val="bottom"/>
            <w:hideMark/>
          </w:tcPr>
          <w:p w14:paraId="11E4C0DE" w14:textId="50E9C212" w:rsidR="00DF1954" w:rsidRPr="00757ED8" w:rsidRDefault="00DF1954" w:rsidP="00DF1954">
            <w:pPr>
              <w:jc w:val="center"/>
              <w:rPr>
                <w:color w:val="010205"/>
              </w:rPr>
            </w:pPr>
            <w:r w:rsidRPr="00757ED8">
              <w:rPr>
                <w:color w:val="000000"/>
              </w:rPr>
              <w:t>0.357*</w:t>
            </w:r>
          </w:p>
        </w:tc>
        <w:tc>
          <w:tcPr>
            <w:tcW w:w="868" w:type="dxa"/>
            <w:tcBorders>
              <w:top w:val="single" w:sz="8" w:space="0" w:color="7F7F7F"/>
              <w:left w:val="nil"/>
              <w:bottom w:val="single" w:sz="8" w:space="0" w:color="7F7F7F"/>
              <w:right w:val="nil"/>
            </w:tcBorders>
            <w:shd w:val="clear" w:color="auto" w:fill="auto"/>
            <w:noWrap/>
            <w:vAlign w:val="bottom"/>
            <w:hideMark/>
          </w:tcPr>
          <w:p w14:paraId="0FC7B07C" w14:textId="17AB9028" w:rsidR="00DF1954" w:rsidRPr="00757ED8" w:rsidRDefault="00DF1954" w:rsidP="00DF1954">
            <w:pPr>
              <w:jc w:val="center"/>
              <w:rPr>
                <w:color w:val="010205"/>
              </w:rPr>
            </w:pPr>
            <w:r w:rsidRPr="00757ED8">
              <w:rPr>
                <w:color w:val="010205"/>
              </w:rPr>
              <w:t>0.14</w:t>
            </w:r>
          </w:p>
        </w:tc>
      </w:tr>
      <w:tr w:rsidR="00B8286D" w:rsidRPr="00757ED8" w14:paraId="4D63910E" w14:textId="77777777" w:rsidTr="00612B89">
        <w:trPr>
          <w:trHeight w:val="337"/>
        </w:trPr>
        <w:tc>
          <w:tcPr>
            <w:tcW w:w="3489" w:type="dxa"/>
            <w:tcBorders>
              <w:top w:val="nil"/>
              <w:left w:val="nil"/>
              <w:bottom w:val="single" w:sz="8" w:space="0" w:color="7F7F7F"/>
              <w:right w:val="nil"/>
            </w:tcBorders>
            <w:shd w:val="clear" w:color="auto" w:fill="auto"/>
            <w:noWrap/>
            <w:hideMark/>
          </w:tcPr>
          <w:p w14:paraId="3C658D27" w14:textId="77777777" w:rsidR="00B8286D" w:rsidRPr="00757ED8" w:rsidRDefault="00B8286D" w:rsidP="00612B89">
            <w:pPr>
              <w:rPr>
                <w:color w:val="000000"/>
              </w:rPr>
            </w:pPr>
            <w:r w:rsidRPr="00757ED8">
              <w:rPr>
                <w:color w:val="000000"/>
              </w:rPr>
              <w:t> </w:t>
            </w:r>
          </w:p>
        </w:tc>
        <w:tc>
          <w:tcPr>
            <w:tcW w:w="5790" w:type="dxa"/>
            <w:gridSpan w:val="6"/>
            <w:tcBorders>
              <w:top w:val="single" w:sz="8" w:space="0" w:color="7F7F7F"/>
              <w:left w:val="nil"/>
              <w:bottom w:val="single" w:sz="8" w:space="0" w:color="7F7F7F"/>
              <w:right w:val="nil"/>
            </w:tcBorders>
            <w:shd w:val="clear" w:color="auto" w:fill="auto"/>
            <w:noWrap/>
            <w:vAlign w:val="center"/>
            <w:hideMark/>
          </w:tcPr>
          <w:p w14:paraId="1EE4DF9F" w14:textId="77777777" w:rsidR="00B8286D" w:rsidRPr="00757ED8" w:rsidRDefault="00B8286D" w:rsidP="00612B89">
            <w:pPr>
              <w:jc w:val="center"/>
              <w:rPr>
                <w:b/>
                <w:bCs/>
                <w:color w:val="000000"/>
              </w:rPr>
            </w:pPr>
            <w:r w:rsidRPr="00757ED8">
              <w:rPr>
                <w:b/>
                <w:bCs/>
                <w:color w:val="000000"/>
              </w:rPr>
              <w:t>Average freq. of pain</w:t>
            </w:r>
          </w:p>
        </w:tc>
      </w:tr>
      <w:tr w:rsidR="00B8286D" w:rsidRPr="00757ED8" w14:paraId="4AD783F7" w14:textId="77777777" w:rsidTr="00612B89">
        <w:trPr>
          <w:trHeight w:val="337"/>
        </w:trPr>
        <w:tc>
          <w:tcPr>
            <w:tcW w:w="3489" w:type="dxa"/>
            <w:tcBorders>
              <w:top w:val="nil"/>
              <w:left w:val="nil"/>
              <w:bottom w:val="single" w:sz="8" w:space="0" w:color="7F7F7F"/>
              <w:right w:val="nil"/>
            </w:tcBorders>
            <w:shd w:val="clear" w:color="auto" w:fill="auto"/>
            <w:noWrap/>
            <w:hideMark/>
          </w:tcPr>
          <w:p w14:paraId="7FC0AC0F" w14:textId="77777777" w:rsidR="00B8286D" w:rsidRPr="00757ED8" w:rsidRDefault="00B8286D" w:rsidP="00612B89">
            <w:pPr>
              <w:rPr>
                <w:color w:val="000000"/>
              </w:rPr>
            </w:pPr>
            <w:r w:rsidRPr="00757ED8">
              <w:rPr>
                <w:color w:val="000000"/>
              </w:rPr>
              <w:t> </w:t>
            </w:r>
          </w:p>
        </w:tc>
        <w:tc>
          <w:tcPr>
            <w:tcW w:w="1930" w:type="dxa"/>
            <w:gridSpan w:val="2"/>
            <w:tcBorders>
              <w:top w:val="single" w:sz="8" w:space="0" w:color="7F7F7F"/>
              <w:left w:val="nil"/>
              <w:bottom w:val="single" w:sz="8" w:space="0" w:color="7F7F7F"/>
              <w:right w:val="nil"/>
            </w:tcBorders>
            <w:shd w:val="clear" w:color="auto" w:fill="auto"/>
            <w:noWrap/>
            <w:vAlign w:val="center"/>
            <w:hideMark/>
          </w:tcPr>
          <w:p w14:paraId="1D95C3D2" w14:textId="77777777" w:rsidR="00B8286D" w:rsidRPr="00757ED8" w:rsidRDefault="00B8286D" w:rsidP="00612B89">
            <w:pPr>
              <w:jc w:val="center"/>
              <w:rPr>
                <w:color w:val="000000"/>
              </w:rPr>
            </w:pPr>
            <w:r w:rsidRPr="00757ED8">
              <w:rPr>
                <w:color w:val="000000"/>
              </w:rPr>
              <w:t>model 1</w:t>
            </w:r>
          </w:p>
        </w:tc>
        <w:tc>
          <w:tcPr>
            <w:tcW w:w="1930" w:type="dxa"/>
            <w:gridSpan w:val="2"/>
            <w:tcBorders>
              <w:top w:val="single" w:sz="8" w:space="0" w:color="7F7F7F"/>
              <w:left w:val="nil"/>
              <w:bottom w:val="single" w:sz="8" w:space="0" w:color="7F7F7F"/>
              <w:right w:val="nil"/>
            </w:tcBorders>
            <w:shd w:val="clear" w:color="auto" w:fill="auto"/>
            <w:noWrap/>
            <w:vAlign w:val="center"/>
            <w:hideMark/>
          </w:tcPr>
          <w:p w14:paraId="1586193F" w14:textId="77777777" w:rsidR="00B8286D" w:rsidRPr="00757ED8" w:rsidRDefault="00B8286D" w:rsidP="00612B89">
            <w:pPr>
              <w:jc w:val="center"/>
              <w:rPr>
                <w:color w:val="000000"/>
              </w:rPr>
            </w:pPr>
            <w:r w:rsidRPr="00757ED8">
              <w:rPr>
                <w:color w:val="000000"/>
              </w:rPr>
              <w:t>model 2</w:t>
            </w:r>
          </w:p>
        </w:tc>
        <w:tc>
          <w:tcPr>
            <w:tcW w:w="1930" w:type="dxa"/>
            <w:gridSpan w:val="2"/>
            <w:tcBorders>
              <w:top w:val="single" w:sz="8" w:space="0" w:color="7F7F7F"/>
              <w:left w:val="nil"/>
              <w:bottom w:val="single" w:sz="8" w:space="0" w:color="7F7F7F"/>
              <w:right w:val="nil"/>
            </w:tcBorders>
            <w:shd w:val="clear" w:color="auto" w:fill="auto"/>
            <w:noWrap/>
            <w:vAlign w:val="center"/>
            <w:hideMark/>
          </w:tcPr>
          <w:p w14:paraId="54834414" w14:textId="77777777" w:rsidR="00B8286D" w:rsidRPr="00757ED8" w:rsidRDefault="00B8286D" w:rsidP="00612B89">
            <w:pPr>
              <w:jc w:val="center"/>
              <w:rPr>
                <w:color w:val="000000"/>
              </w:rPr>
            </w:pPr>
            <w:r w:rsidRPr="00757ED8">
              <w:rPr>
                <w:color w:val="000000"/>
              </w:rPr>
              <w:t>model 3</w:t>
            </w:r>
          </w:p>
        </w:tc>
      </w:tr>
      <w:tr w:rsidR="00B8286D" w:rsidRPr="00757ED8" w14:paraId="230875CF" w14:textId="77777777" w:rsidTr="00DF1954">
        <w:trPr>
          <w:trHeight w:val="337"/>
        </w:trPr>
        <w:tc>
          <w:tcPr>
            <w:tcW w:w="3489" w:type="dxa"/>
            <w:tcBorders>
              <w:top w:val="nil"/>
              <w:left w:val="nil"/>
              <w:bottom w:val="nil"/>
              <w:right w:val="nil"/>
            </w:tcBorders>
            <w:shd w:val="clear" w:color="auto" w:fill="auto"/>
            <w:noWrap/>
            <w:hideMark/>
          </w:tcPr>
          <w:p w14:paraId="48EE6642" w14:textId="77777777" w:rsidR="00B8286D" w:rsidRPr="00757ED8" w:rsidRDefault="00B8286D" w:rsidP="00612B89">
            <w:pPr>
              <w:jc w:val="center"/>
              <w:rPr>
                <w:color w:val="000000"/>
              </w:rPr>
            </w:pPr>
          </w:p>
        </w:tc>
        <w:tc>
          <w:tcPr>
            <w:tcW w:w="1062" w:type="dxa"/>
            <w:tcBorders>
              <w:top w:val="nil"/>
              <w:left w:val="nil"/>
              <w:bottom w:val="nil"/>
              <w:right w:val="nil"/>
            </w:tcBorders>
            <w:shd w:val="clear" w:color="auto" w:fill="auto"/>
            <w:noWrap/>
            <w:vAlign w:val="center"/>
            <w:hideMark/>
          </w:tcPr>
          <w:p w14:paraId="7CD5CF69" w14:textId="77777777" w:rsidR="00B8286D" w:rsidRPr="00757ED8" w:rsidRDefault="00B8286D" w:rsidP="00612B89">
            <w:pPr>
              <w:jc w:val="center"/>
              <w:rPr>
                <w:color w:val="000000"/>
              </w:rPr>
            </w:pPr>
            <w:r w:rsidRPr="00757ED8">
              <w:rPr>
                <w:color w:val="000000"/>
              </w:rPr>
              <w:t>B</w:t>
            </w:r>
          </w:p>
        </w:tc>
        <w:tc>
          <w:tcPr>
            <w:tcW w:w="868" w:type="dxa"/>
            <w:tcBorders>
              <w:top w:val="nil"/>
              <w:left w:val="nil"/>
              <w:bottom w:val="nil"/>
              <w:right w:val="nil"/>
            </w:tcBorders>
            <w:shd w:val="clear" w:color="auto" w:fill="auto"/>
            <w:noWrap/>
            <w:vAlign w:val="center"/>
            <w:hideMark/>
          </w:tcPr>
          <w:p w14:paraId="3182DC64" w14:textId="77777777" w:rsidR="00B8286D" w:rsidRPr="00757ED8" w:rsidRDefault="00B8286D" w:rsidP="00612B89">
            <w:pPr>
              <w:jc w:val="center"/>
              <w:rPr>
                <w:color w:val="000000"/>
              </w:rPr>
            </w:pPr>
            <w:r w:rsidRPr="00757ED8">
              <w:rPr>
                <w:color w:val="000000"/>
                <w:lang w:val="en"/>
              </w:rPr>
              <w:t>β</w:t>
            </w:r>
          </w:p>
        </w:tc>
        <w:tc>
          <w:tcPr>
            <w:tcW w:w="1062" w:type="dxa"/>
            <w:tcBorders>
              <w:top w:val="nil"/>
              <w:left w:val="nil"/>
              <w:bottom w:val="nil"/>
              <w:right w:val="nil"/>
            </w:tcBorders>
            <w:shd w:val="clear" w:color="auto" w:fill="auto"/>
            <w:noWrap/>
            <w:vAlign w:val="center"/>
            <w:hideMark/>
          </w:tcPr>
          <w:p w14:paraId="044DBBE1" w14:textId="77777777" w:rsidR="00B8286D" w:rsidRPr="00757ED8" w:rsidRDefault="00B8286D" w:rsidP="00612B89">
            <w:pPr>
              <w:jc w:val="center"/>
              <w:rPr>
                <w:color w:val="000000"/>
              </w:rPr>
            </w:pPr>
            <w:r w:rsidRPr="00757ED8">
              <w:rPr>
                <w:color w:val="000000"/>
              </w:rPr>
              <w:t>B</w:t>
            </w:r>
          </w:p>
        </w:tc>
        <w:tc>
          <w:tcPr>
            <w:tcW w:w="868" w:type="dxa"/>
            <w:tcBorders>
              <w:top w:val="nil"/>
              <w:left w:val="nil"/>
              <w:bottom w:val="nil"/>
              <w:right w:val="nil"/>
            </w:tcBorders>
            <w:shd w:val="clear" w:color="auto" w:fill="auto"/>
            <w:noWrap/>
            <w:vAlign w:val="center"/>
            <w:hideMark/>
          </w:tcPr>
          <w:p w14:paraId="352D4828" w14:textId="77777777" w:rsidR="00B8286D" w:rsidRPr="00757ED8" w:rsidRDefault="00B8286D" w:rsidP="00612B89">
            <w:pPr>
              <w:jc w:val="center"/>
              <w:rPr>
                <w:color w:val="000000"/>
              </w:rPr>
            </w:pPr>
            <w:r w:rsidRPr="00757ED8">
              <w:rPr>
                <w:color w:val="000000"/>
                <w:lang w:val="en"/>
              </w:rPr>
              <w:t>β</w:t>
            </w:r>
          </w:p>
        </w:tc>
        <w:tc>
          <w:tcPr>
            <w:tcW w:w="1062" w:type="dxa"/>
            <w:tcBorders>
              <w:top w:val="nil"/>
              <w:left w:val="nil"/>
              <w:bottom w:val="nil"/>
              <w:right w:val="nil"/>
            </w:tcBorders>
            <w:shd w:val="clear" w:color="auto" w:fill="auto"/>
            <w:noWrap/>
            <w:vAlign w:val="center"/>
            <w:hideMark/>
          </w:tcPr>
          <w:p w14:paraId="253600D2" w14:textId="77777777" w:rsidR="00B8286D" w:rsidRPr="00757ED8" w:rsidRDefault="00B8286D" w:rsidP="00612B89">
            <w:pPr>
              <w:jc w:val="center"/>
              <w:rPr>
                <w:color w:val="000000"/>
              </w:rPr>
            </w:pPr>
            <w:r w:rsidRPr="00757ED8">
              <w:rPr>
                <w:color w:val="000000"/>
              </w:rPr>
              <w:t>B</w:t>
            </w:r>
          </w:p>
        </w:tc>
        <w:tc>
          <w:tcPr>
            <w:tcW w:w="868" w:type="dxa"/>
            <w:tcBorders>
              <w:top w:val="nil"/>
              <w:left w:val="nil"/>
              <w:bottom w:val="nil"/>
              <w:right w:val="nil"/>
            </w:tcBorders>
            <w:shd w:val="clear" w:color="auto" w:fill="auto"/>
            <w:noWrap/>
            <w:vAlign w:val="center"/>
            <w:hideMark/>
          </w:tcPr>
          <w:p w14:paraId="23CA4D69" w14:textId="77777777" w:rsidR="00B8286D" w:rsidRPr="00757ED8" w:rsidRDefault="00B8286D" w:rsidP="00612B89">
            <w:pPr>
              <w:jc w:val="center"/>
              <w:rPr>
                <w:color w:val="000000"/>
              </w:rPr>
            </w:pPr>
            <w:r w:rsidRPr="00757ED8">
              <w:rPr>
                <w:color w:val="000000"/>
                <w:lang w:val="en"/>
              </w:rPr>
              <w:t>β</w:t>
            </w:r>
          </w:p>
        </w:tc>
      </w:tr>
      <w:tr w:rsidR="00B8286D" w:rsidRPr="00757ED8" w14:paraId="4B4C889F"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169C56AD" w14:textId="77777777" w:rsidR="00B8286D" w:rsidRPr="00757ED8" w:rsidRDefault="00B8286D" w:rsidP="00612B89">
            <w:pPr>
              <w:jc w:val="center"/>
              <w:rPr>
                <w:b/>
                <w:bCs/>
                <w:color w:val="000000"/>
              </w:rPr>
            </w:pPr>
            <w:r w:rsidRPr="00757ED8">
              <w:rPr>
                <w:b/>
                <w:bCs/>
                <w:color w:val="000000"/>
              </w:rPr>
              <w:t>variable</w:t>
            </w:r>
          </w:p>
        </w:tc>
        <w:tc>
          <w:tcPr>
            <w:tcW w:w="1062" w:type="dxa"/>
            <w:tcBorders>
              <w:top w:val="single" w:sz="8" w:space="0" w:color="7F7F7F"/>
              <w:left w:val="nil"/>
              <w:bottom w:val="single" w:sz="8" w:space="0" w:color="7F7F7F"/>
              <w:right w:val="nil"/>
            </w:tcBorders>
            <w:shd w:val="clear" w:color="auto" w:fill="auto"/>
            <w:noWrap/>
            <w:hideMark/>
          </w:tcPr>
          <w:p w14:paraId="06B5E179"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0A97A265"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hideMark/>
          </w:tcPr>
          <w:p w14:paraId="763DC272"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3A5993BD"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hideMark/>
          </w:tcPr>
          <w:p w14:paraId="19858B1C"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333675A8" w14:textId="77777777" w:rsidR="00B8286D" w:rsidRPr="00757ED8" w:rsidRDefault="00B8286D" w:rsidP="00612B89">
            <w:pPr>
              <w:rPr>
                <w:color w:val="000000"/>
              </w:rPr>
            </w:pPr>
            <w:r w:rsidRPr="00757ED8">
              <w:rPr>
                <w:color w:val="000000"/>
              </w:rPr>
              <w:t> </w:t>
            </w:r>
          </w:p>
        </w:tc>
      </w:tr>
      <w:tr w:rsidR="00B8286D" w:rsidRPr="00757ED8" w14:paraId="76C6DC2A" w14:textId="77777777" w:rsidTr="00DF1954">
        <w:trPr>
          <w:trHeight w:val="337"/>
        </w:trPr>
        <w:tc>
          <w:tcPr>
            <w:tcW w:w="3489" w:type="dxa"/>
            <w:tcBorders>
              <w:top w:val="nil"/>
              <w:left w:val="nil"/>
              <w:bottom w:val="nil"/>
              <w:right w:val="nil"/>
            </w:tcBorders>
            <w:shd w:val="clear" w:color="auto" w:fill="auto"/>
            <w:noWrap/>
            <w:vAlign w:val="center"/>
            <w:hideMark/>
          </w:tcPr>
          <w:p w14:paraId="52220664" w14:textId="77777777" w:rsidR="00B8286D" w:rsidRPr="00757ED8" w:rsidRDefault="00B8286D" w:rsidP="00612B89">
            <w:pPr>
              <w:jc w:val="right"/>
              <w:rPr>
                <w:b/>
                <w:bCs/>
                <w:color w:val="000000"/>
              </w:rPr>
            </w:pPr>
            <w:r w:rsidRPr="00757ED8">
              <w:rPr>
                <w:b/>
                <w:bCs/>
                <w:color w:val="000000"/>
              </w:rPr>
              <w:t>(constant)</w:t>
            </w:r>
          </w:p>
        </w:tc>
        <w:tc>
          <w:tcPr>
            <w:tcW w:w="1062" w:type="dxa"/>
            <w:tcBorders>
              <w:top w:val="nil"/>
              <w:left w:val="nil"/>
              <w:bottom w:val="nil"/>
              <w:right w:val="nil"/>
            </w:tcBorders>
            <w:shd w:val="clear" w:color="auto" w:fill="auto"/>
            <w:noWrap/>
            <w:vAlign w:val="center"/>
            <w:hideMark/>
          </w:tcPr>
          <w:p w14:paraId="7E5C00DE" w14:textId="77777777" w:rsidR="00B8286D" w:rsidRPr="00757ED8" w:rsidRDefault="00B8286D" w:rsidP="00612B89">
            <w:pPr>
              <w:jc w:val="center"/>
              <w:rPr>
                <w:color w:val="010205"/>
              </w:rPr>
            </w:pPr>
            <w:r w:rsidRPr="00757ED8">
              <w:rPr>
                <w:color w:val="010205"/>
              </w:rPr>
              <w:t>2.858</w:t>
            </w:r>
          </w:p>
        </w:tc>
        <w:tc>
          <w:tcPr>
            <w:tcW w:w="868" w:type="dxa"/>
            <w:tcBorders>
              <w:top w:val="nil"/>
              <w:left w:val="nil"/>
              <w:bottom w:val="nil"/>
              <w:right w:val="nil"/>
            </w:tcBorders>
            <w:shd w:val="clear" w:color="auto" w:fill="auto"/>
            <w:noWrap/>
            <w:hideMark/>
          </w:tcPr>
          <w:p w14:paraId="2A9A3CFC" w14:textId="77777777" w:rsidR="00B8286D" w:rsidRPr="00757ED8" w:rsidRDefault="00B8286D" w:rsidP="00612B89">
            <w:pPr>
              <w:jc w:val="center"/>
              <w:rPr>
                <w:color w:val="010205"/>
              </w:rPr>
            </w:pPr>
          </w:p>
        </w:tc>
        <w:tc>
          <w:tcPr>
            <w:tcW w:w="1062" w:type="dxa"/>
            <w:tcBorders>
              <w:top w:val="nil"/>
              <w:left w:val="nil"/>
              <w:bottom w:val="nil"/>
              <w:right w:val="nil"/>
            </w:tcBorders>
            <w:shd w:val="clear" w:color="auto" w:fill="auto"/>
            <w:noWrap/>
            <w:vAlign w:val="center"/>
            <w:hideMark/>
          </w:tcPr>
          <w:p w14:paraId="7A225E98" w14:textId="77777777" w:rsidR="00B8286D" w:rsidRPr="00757ED8" w:rsidRDefault="00B8286D" w:rsidP="00612B89">
            <w:pPr>
              <w:jc w:val="center"/>
              <w:rPr>
                <w:color w:val="010205"/>
              </w:rPr>
            </w:pPr>
            <w:r w:rsidRPr="00757ED8">
              <w:rPr>
                <w:color w:val="010205"/>
              </w:rPr>
              <w:t>3.395</w:t>
            </w:r>
          </w:p>
        </w:tc>
        <w:tc>
          <w:tcPr>
            <w:tcW w:w="868" w:type="dxa"/>
            <w:tcBorders>
              <w:top w:val="nil"/>
              <w:left w:val="nil"/>
              <w:bottom w:val="nil"/>
              <w:right w:val="nil"/>
            </w:tcBorders>
            <w:shd w:val="clear" w:color="auto" w:fill="auto"/>
            <w:noWrap/>
            <w:hideMark/>
          </w:tcPr>
          <w:p w14:paraId="1393DF43" w14:textId="77777777" w:rsidR="00B8286D" w:rsidRPr="00757ED8" w:rsidRDefault="00B8286D" w:rsidP="00612B89">
            <w:pPr>
              <w:jc w:val="center"/>
              <w:rPr>
                <w:color w:val="010205"/>
              </w:rPr>
            </w:pPr>
          </w:p>
        </w:tc>
        <w:tc>
          <w:tcPr>
            <w:tcW w:w="1062" w:type="dxa"/>
            <w:tcBorders>
              <w:top w:val="nil"/>
              <w:left w:val="nil"/>
              <w:bottom w:val="nil"/>
              <w:right w:val="nil"/>
            </w:tcBorders>
            <w:shd w:val="clear" w:color="auto" w:fill="auto"/>
            <w:noWrap/>
            <w:vAlign w:val="center"/>
            <w:hideMark/>
          </w:tcPr>
          <w:p w14:paraId="2AE8D280" w14:textId="77777777" w:rsidR="00B8286D" w:rsidRPr="00757ED8" w:rsidRDefault="00B8286D" w:rsidP="00612B89">
            <w:pPr>
              <w:jc w:val="center"/>
              <w:rPr>
                <w:color w:val="010205"/>
              </w:rPr>
            </w:pPr>
            <w:r w:rsidRPr="00757ED8">
              <w:rPr>
                <w:color w:val="010205"/>
              </w:rPr>
              <w:t>1.179</w:t>
            </w:r>
          </w:p>
        </w:tc>
        <w:tc>
          <w:tcPr>
            <w:tcW w:w="868" w:type="dxa"/>
            <w:tcBorders>
              <w:top w:val="nil"/>
              <w:left w:val="nil"/>
              <w:bottom w:val="nil"/>
              <w:right w:val="nil"/>
            </w:tcBorders>
            <w:shd w:val="clear" w:color="auto" w:fill="auto"/>
            <w:noWrap/>
            <w:hideMark/>
          </w:tcPr>
          <w:p w14:paraId="40E04514" w14:textId="77777777" w:rsidR="00B8286D" w:rsidRPr="00757ED8" w:rsidRDefault="00B8286D" w:rsidP="00612B89">
            <w:pPr>
              <w:jc w:val="center"/>
              <w:rPr>
                <w:color w:val="010205"/>
              </w:rPr>
            </w:pPr>
          </w:p>
        </w:tc>
      </w:tr>
      <w:tr w:rsidR="00B8286D" w:rsidRPr="00757ED8" w14:paraId="6B8ED102"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45F93789" w14:textId="77777777" w:rsidR="00B8286D" w:rsidRPr="00757ED8" w:rsidRDefault="00B8286D" w:rsidP="00612B89">
            <w:pPr>
              <w:jc w:val="right"/>
              <w:rPr>
                <w:b/>
                <w:bCs/>
                <w:color w:val="000000"/>
              </w:rPr>
            </w:pPr>
            <w:r w:rsidRPr="00757ED8">
              <w:rPr>
                <w:b/>
                <w:bCs/>
                <w:color w:val="000000"/>
              </w:rPr>
              <w:t>Age</w:t>
            </w:r>
          </w:p>
        </w:tc>
        <w:tc>
          <w:tcPr>
            <w:tcW w:w="1062" w:type="dxa"/>
            <w:tcBorders>
              <w:top w:val="single" w:sz="8" w:space="0" w:color="7F7F7F"/>
              <w:left w:val="nil"/>
              <w:bottom w:val="single" w:sz="8" w:space="0" w:color="7F7F7F"/>
              <w:right w:val="nil"/>
            </w:tcBorders>
            <w:shd w:val="clear" w:color="auto" w:fill="auto"/>
            <w:noWrap/>
            <w:vAlign w:val="center"/>
            <w:hideMark/>
          </w:tcPr>
          <w:p w14:paraId="04D45B6A" w14:textId="77777777" w:rsidR="00B8286D" w:rsidRPr="00757ED8" w:rsidRDefault="00B8286D" w:rsidP="00612B89">
            <w:pPr>
              <w:jc w:val="center"/>
              <w:rPr>
                <w:color w:val="010205"/>
              </w:rPr>
            </w:pPr>
            <w:r w:rsidRPr="00757ED8">
              <w:rPr>
                <w:color w:val="010205"/>
              </w:rPr>
              <w:t>0.015</w:t>
            </w:r>
          </w:p>
        </w:tc>
        <w:tc>
          <w:tcPr>
            <w:tcW w:w="868" w:type="dxa"/>
            <w:tcBorders>
              <w:top w:val="single" w:sz="8" w:space="0" w:color="7F7F7F"/>
              <w:left w:val="nil"/>
              <w:bottom w:val="single" w:sz="8" w:space="0" w:color="7F7F7F"/>
              <w:right w:val="nil"/>
            </w:tcBorders>
            <w:shd w:val="clear" w:color="auto" w:fill="auto"/>
            <w:noWrap/>
            <w:vAlign w:val="center"/>
            <w:hideMark/>
          </w:tcPr>
          <w:p w14:paraId="61C3A069" w14:textId="77777777" w:rsidR="00B8286D" w:rsidRPr="00757ED8" w:rsidRDefault="00B8286D" w:rsidP="00612B89">
            <w:pPr>
              <w:jc w:val="center"/>
              <w:rPr>
                <w:color w:val="010205"/>
              </w:rPr>
            </w:pPr>
            <w:r w:rsidRPr="00757ED8">
              <w:rPr>
                <w:color w:val="010205"/>
              </w:rPr>
              <w:t>0.139</w:t>
            </w:r>
          </w:p>
        </w:tc>
        <w:tc>
          <w:tcPr>
            <w:tcW w:w="1062" w:type="dxa"/>
            <w:tcBorders>
              <w:top w:val="single" w:sz="8" w:space="0" w:color="7F7F7F"/>
              <w:left w:val="nil"/>
              <w:bottom w:val="single" w:sz="8" w:space="0" w:color="7F7F7F"/>
              <w:right w:val="nil"/>
            </w:tcBorders>
            <w:shd w:val="clear" w:color="auto" w:fill="auto"/>
            <w:noWrap/>
            <w:vAlign w:val="center"/>
            <w:hideMark/>
          </w:tcPr>
          <w:p w14:paraId="28EDD11C" w14:textId="77777777" w:rsidR="00B8286D" w:rsidRPr="00757ED8" w:rsidRDefault="00B8286D" w:rsidP="00612B89">
            <w:pPr>
              <w:jc w:val="center"/>
              <w:rPr>
                <w:color w:val="010205"/>
              </w:rPr>
            </w:pPr>
            <w:r w:rsidRPr="00757ED8">
              <w:rPr>
                <w:color w:val="010205"/>
              </w:rPr>
              <w:t>0.01</w:t>
            </w:r>
          </w:p>
        </w:tc>
        <w:tc>
          <w:tcPr>
            <w:tcW w:w="868" w:type="dxa"/>
            <w:tcBorders>
              <w:top w:val="single" w:sz="8" w:space="0" w:color="7F7F7F"/>
              <w:left w:val="nil"/>
              <w:bottom w:val="single" w:sz="8" w:space="0" w:color="7F7F7F"/>
              <w:right w:val="nil"/>
            </w:tcBorders>
            <w:shd w:val="clear" w:color="auto" w:fill="auto"/>
            <w:noWrap/>
            <w:vAlign w:val="center"/>
            <w:hideMark/>
          </w:tcPr>
          <w:p w14:paraId="467BE767" w14:textId="77777777" w:rsidR="00B8286D" w:rsidRPr="00757ED8" w:rsidRDefault="00B8286D" w:rsidP="00612B89">
            <w:pPr>
              <w:jc w:val="center"/>
              <w:rPr>
                <w:color w:val="010205"/>
              </w:rPr>
            </w:pPr>
            <w:r w:rsidRPr="00757ED8">
              <w:rPr>
                <w:color w:val="010205"/>
              </w:rPr>
              <w:t>0.094</w:t>
            </w:r>
          </w:p>
        </w:tc>
        <w:tc>
          <w:tcPr>
            <w:tcW w:w="1062" w:type="dxa"/>
            <w:tcBorders>
              <w:top w:val="single" w:sz="8" w:space="0" w:color="7F7F7F"/>
              <w:left w:val="nil"/>
              <w:bottom w:val="single" w:sz="8" w:space="0" w:color="7F7F7F"/>
              <w:right w:val="nil"/>
            </w:tcBorders>
            <w:shd w:val="clear" w:color="auto" w:fill="auto"/>
            <w:noWrap/>
            <w:vAlign w:val="center"/>
            <w:hideMark/>
          </w:tcPr>
          <w:p w14:paraId="1A693828" w14:textId="77777777" w:rsidR="00B8286D" w:rsidRPr="00757ED8" w:rsidRDefault="00B8286D" w:rsidP="00612B89">
            <w:pPr>
              <w:jc w:val="center"/>
              <w:rPr>
                <w:color w:val="010205"/>
              </w:rPr>
            </w:pPr>
            <w:r w:rsidRPr="00757ED8">
              <w:rPr>
                <w:color w:val="010205"/>
              </w:rPr>
              <w:t>0.023</w:t>
            </w:r>
          </w:p>
        </w:tc>
        <w:tc>
          <w:tcPr>
            <w:tcW w:w="868" w:type="dxa"/>
            <w:tcBorders>
              <w:top w:val="single" w:sz="8" w:space="0" w:color="7F7F7F"/>
              <w:left w:val="nil"/>
              <w:bottom w:val="single" w:sz="8" w:space="0" w:color="7F7F7F"/>
              <w:right w:val="nil"/>
            </w:tcBorders>
            <w:shd w:val="clear" w:color="auto" w:fill="auto"/>
            <w:noWrap/>
            <w:vAlign w:val="center"/>
            <w:hideMark/>
          </w:tcPr>
          <w:p w14:paraId="519C12EC" w14:textId="77777777" w:rsidR="00B8286D" w:rsidRPr="00757ED8" w:rsidRDefault="00B8286D" w:rsidP="00612B89">
            <w:pPr>
              <w:jc w:val="center"/>
              <w:rPr>
                <w:color w:val="010205"/>
              </w:rPr>
            </w:pPr>
            <w:r w:rsidRPr="00757ED8">
              <w:rPr>
                <w:color w:val="010205"/>
              </w:rPr>
              <w:t>0.209</w:t>
            </w:r>
          </w:p>
        </w:tc>
      </w:tr>
      <w:tr w:rsidR="00B8286D" w:rsidRPr="00757ED8" w14:paraId="3A055419" w14:textId="77777777" w:rsidTr="00DF1954">
        <w:trPr>
          <w:trHeight w:val="337"/>
        </w:trPr>
        <w:tc>
          <w:tcPr>
            <w:tcW w:w="3489" w:type="dxa"/>
            <w:tcBorders>
              <w:top w:val="nil"/>
              <w:left w:val="nil"/>
              <w:bottom w:val="nil"/>
              <w:right w:val="nil"/>
            </w:tcBorders>
            <w:shd w:val="clear" w:color="auto" w:fill="auto"/>
            <w:noWrap/>
            <w:vAlign w:val="center"/>
            <w:hideMark/>
          </w:tcPr>
          <w:p w14:paraId="60F51B6E" w14:textId="77777777" w:rsidR="00B8286D" w:rsidRPr="00757ED8" w:rsidRDefault="00B8286D" w:rsidP="00612B89">
            <w:pPr>
              <w:jc w:val="right"/>
              <w:rPr>
                <w:b/>
                <w:bCs/>
                <w:color w:val="000000"/>
              </w:rPr>
            </w:pPr>
            <w:r w:rsidRPr="00757ED8">
              <w:rPr>
                <w:b/>
                <w:bCs/>
                <w:color w:val="000000"/>
              </w:rPr>
              <w:t>No of children</w:t>
            </w:r>
          </w:p>
        </w:tc>
        <w:tc>
          <w:tcPr>
            <w:tcW w:w="1062" w:type="dxa"/>
            <w:tcBorders>
              <w:top w:val="nil"/>
              <w:left w:val="nil"/>
              <w:bottom w:val="nil"/>
              <w:right w:val="nil"/>
            </w:tcBorders>
            <w:shd w:val="clear" w:color="auto" w:fill="auto"/>
            <w:noWrap/>
            <w:vAlign w:val="center"/>
            <w:hideMark/>
          </w:tcPr>
          <w:p w14:paraId="362A45C5" w14:textId="77777777" w:rsidR="00B8286D" w:rsidRPr="00757ED8" w:rsidRDefault="00B8286D" w:rsidP="00612B89">
            <w:pPr>
              <w:jc w:val="center"/>
              <w:rPr>
                <w:color w:val="010205"/>
              </w:rPr>
            </w:pPr>
            <w:r w:rsidRPr="00757ED8">
              <w:rPr>
                <w:color w:val="010205"/>
              </w:rPr>
              <w:t>-0.035</w:t>
            </w:r>
          </w:p>
        </w:tc>
        <w:tc>
          <w:tcPr>
            <w:tcW w:w="868" w:type="dxa"/>
            <w:tcBorders>
              <w:top w:val="nil"/>
              <w:left w:val="nil"/>
              <w:bottom w:val="nil"/>
              <w:right w:val="nil"/>
            </w:tcBorders>
            <w:shd w:val="clear" w:color="auto" w:fill="auto"/>
            <w:noWrap/>
            <w:vAlign w:val="center"/>
            <w:hideMark/>
          </w:tcPr>
          <w:p w14:paraId="0EC3653F" w14:textId="77777777" w:rsidR="00B8286D" w:rsidRPr="00757ED8" w:rsidRDefault="00B8286D" w:rsidP="00612B89">
            <w:pPr>
              <w:jc w:val="center"/>
              <w:rPr>
                <w:color w:val="010205"/>
              </w:rPr>
            </w:pPr>
            <w:r w:rsidRPr="00757ED8">
              <w:rPr>
                <w:color w:val="010205"/>
              </w:rPr>
              <w:t>-0.033</w:t>
            </w:r>
          </w:p>
        </w:tc>
        <w:tc>
          <w:tcPr>
            <w:tcW w:w="1062" w:type="dxa"/>
            <w:tcBorders>
              <w:top w:val="nil"/>
              <w:left w:val="nil"/>
              <w:bottom w:val="nil"/>
              <w:right w:val="nil"/>
            </w:tcBorders>
            <w:shd w:val="clear" w:color="auto" w:fill="auto"/>
            <w:noWrap/>
            <w:vAlign w:val="center"/>
            <w:hideMark/>
          </w:tcPr>
          <w:p w14:paraId="790FCAB8" w14:textId="77777777" w:rsidR="00B8286D" w:rsidRPr="00757ED8" w:rsidRDefault="00B8286D" w:rsidP="00612B89">
            <w:pPr>
              <w:jc w:val="center"/>
              <w:rPr>
                <w:color w:val="010205"/>
              </w:rPr>
            </w:pPr>
            <w:r w:rsidRPr="00757ED8">
              <w:rPr>
                <w:color w:val="010205"/>
              </w:rPr>
              <w:t>-0.026</w:t>
            </w:r>
          </w:p>
        </w:tc>
        <w:tc>
          <w:tcPr>
            <w:tcW w:w="868" w:type="dxa"/>
            <w:tcBorders>
              <w:top w:val="nil"/>
              <w:left w:val="nil"/>
              <w:bottom w:val="nil"/>
              <w:right w:val="nil"/>
            </w:tcBorders>
            <w:shd w:val="clear" w:color="auto" w:fill="auto"/>
            <w:noWrap/>
            <w:vAlign w:val="center"/>
            <w:hideMark/>
          </w:tcPr>
          <w:p w14:paraId="6DE0F4D2" w14:textId="77777777" w:rsidR="00B8286D" w:rsidRPr="00757ED8" w:rsidRDefault="00B8286D" w:rsidP="00612B89">
            <w:pPr>
              <w:jc w:val="center"/>
              <w:rPr>
                <w:color w:val="010205"/>
              </w:rPr>
            </w:pPr>
            <w:r w:rsidRPr="00757ED8">
              <w:rPr>
                <w:color w:val="010205"/>
              </w:rPr>
              <w:t>-0.025</w:t>
            </w:r>
          </w:p>
        </w:tc>
        <w:tc>
          <w:tcPr>
            <w:tcW w:w="1062" w:type="dxa"/>
            <w:tcBorders>
              <w:top w:val="nil"/>
              <w:left w:val="nil"/>
              <w:bottom w:val="nil"/>
              <w:right w:val="nil"/>
            </w:tcBorders>
            <w:shd w:val="clear" w:color="auto" w:fill="auto"/>
            <w:noWrap/>
            <w:vAlign w:val="center"/>
            <w:hideMark/>
          </w:tcPr>
          <w:p w14:paraId="6A1CFF6B" w14:textId="77777777" w:rsidR="00B8286D" w:rsidRPr="00757ED8" w:rsidRDefault="00B8286D" w:rsidP="00612B89">
            <w:pPr>
              <w:jc w:val="center"/>
              <w:rPr>
                <w:color w:val="010205"/>
              </w:rPr>
            </w:pPr>
            <w:r w:rsidRPr="00757ED8">
              <w:rPr>
                <w:color w:val="010205"/>
              </w:rPr>
              <w:t>0.069</w:t>
            </w:r>
          </w:p>
        </w:tc>
        <w:tc>
          <w:tcPr>
            <w:tcW w:w="868" w:type="dxa"/>
            <w:tcBorders>
              <w:top w:val="nil"/>
              <w:left w:val="nil"/>
              <w:bottom w:val="nil"/>
              <w:right w:val="nil"/>
            </w:tcBorders>
            <w:shd w:val="clear" w:color="auto" w:fill="auto"/>
            <w:noWrap/>
            <w:vAlign w:val="center"/>
            <w:hideMark/>
          </w:tcPr>
          <w:p w14:paraId="757F91B2" w14:textId="77777777" w:rsidR="00B8286D" w:rsidRPr="00757ED8" w:rsidRDefault="00B8286D" w:rsidP="00612B89">
            <w:pPr>
              <w:jc w:val="center"/>
              <w:rPr>
                <w:color w:val="010205"/>
              </w:rPr>
            </w:pPr>
            <w:r w:rsidRPr="00757ED8">
              <w:rPr>
                <w:color w:val="010205"/>
              </w:rPr>
              <w:t>0.064</w:t>
            </w:r>
          </w:p>
        </w:tc>
      </w:tr>
      <w:tr w:rsidR="00B8286D" w:rsidRPr="00757ED8" w14:paraId="68FCFAAC"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7978156D" w14:textId="77777777" w:rsidR="00B8286D" w:rsidRPr="00757ED8" w:rsidRDefault="00B8286D" w:rsidP="00612B89">
            <w:pPr>
              <w:jc w:val="right"/>
              <w:rPr>
                <w:b/>
                <w:bCs/>
                <w:color w:val="000000"/>
              </w:rPr>
            </w:pPr>
            <w:r w:rsidRPr="00757ED8">
              <w:rPr>
                <w:b/>
                <w:bCs/>
                <w:color w:val="000000"/>
              </w:rPr>
              <w:t>Education level</w:t>
            </w:r>
          </w:p>
        </w:tc>
        <w:tc>
          <w:tcPr>
            <w:tcW w:w="1062" w:type="dxa"/>
            <w:tcBorders>
              <w:top w:val="single" w:sz="8" w:space="0" w:color="7F7F7F"/>
              <w:left w:val="nil"/>
              <w:bottom w:val="single" w:sz="8" w:space="0" w:color="7F7F7F"/>
              <w:right w:val="nil"/>
            </w:tcBorders>
            <w:shd w:val="clear" w:color="auto" w:fill="auto"/>
            <w:noWrap/>
            <w:vAlign w:val="center"/>
            <w:hideMark/>
          </w:tcPr>
          <w:p w14:paraId="0EDAE858" w14:textId="77777777" w:rsidR="00B8286D" w:rsidRPr="00757ED8" w:rsidRDefault="00B8286D" w:rsidP="00612B89">
            <w:pPr>
              <w:jc w:val="center"/>
              <w:rPr>
                <w:color w:val="010205"/>
              </w:rPr>
            </w:pPr>
            <w:r w:rsidRPr="00757ED8">
              <w:rPr>
                <w:color w:val="010205"/>
              </w:rPr>
              <w:t>-0.006</w:t>
            </w:r>
          </w:p>
        </w:tc>
        <w:tc>
          <w:tcPr>
            <w:tcW w:w="868" w:type="dxa"/>
            <w:tcBorders>
              <w:top w:val="single" w:sz="8" w:space="0" w:color="7F7F7F"/>
              <w:left w:val="nil"/>
              <w:bottom w:val="single" w:sz="8" w:space="0" w:color="7F7F7F"/>
              <w:right w:val="nil"/>
            </w:tcBorders>
            <w:shd w:val="clear" w:color="auto" w:fill="auto"/>
            <w:noWrap/>
            <w:vAlign w:val="center"/>
            <w:hideMark/>
          </w:tcPr>
          <w:p w14:paraId="7F102140" w14:textId="77777777" w:rsidR="00B8286D" w:rsidRPr="00757ED8" w:rsidRDefault="00B8286D" w:rsidP="00612B89">
            <w:pPr>
              <w:jc w:val="center"/>
              <w:rPr>
                <w:color w:val="010205"/>
              </w:rPr>
            </w:pPr>
            <w:r w:rsidRPr="00757ED8">
              <w:rPr>
                <w:color w:val="010205"/>
              </w:rPr>
              <w:t>-0.007</w:t>
            </w:r>
          </w:p>
        </w:tc>
        <w:tc>
          <w:tcPr>
            <w:tcW w:w="1062" w:type="dxa"/>
            <w:tcBorders>
              <w:top w:val="single" w:sz="8" w:space="0" w:color="7F7F7F"/>
              <w:left w:val="nil"/>
              <w:bottom w:val="single" w:sz="8" w:space="0" w:color="7F7F7F"/>
              <w:right w:val="nil"/>
            </w:tcBorders>
            <w:shd w:val="clear" w:color="auto" w:fill="auto"/>
            <w:noWrap/>
            <w:vAlign w:val="center"/>
            <w:hideMark/>
          </w:tcPr>
          <w:p w14:paraId="28D897AD" w14:textId="77777777" w:rsidR="00B8286D" w:rsidRPr="00757ED8" w:rsidRDefault="00B8286D" w:rsidP="00612B89">
            <w:pPr>
              <w:jc w:val="center"/>
              <w:rPr>
                <w:color w:val="010205"/>
              </w:rPr>
            </w:pPr>
            <w:r w:rsidRPr="00757ED8">
              <w:rPr>
                <w:color w:val="010205"/>
              </w:rPr>
              <w:t>0</w:t>
            </w:r>
          </w:p>
        </w:tc>
        <w:tc>
          <w:tcPr>
            <w:tcW w:w="868" w:type="dxa"/>
            <w:tcBorders>
              <w:top w:val="single" w:sz="8" w:space="0" w:color="7F7F7F"/>
              <w:left w:val="nil"/>
              <w:bottom w:val="single" w:sz="8" w:space="0" w:color="7F7F7F"/>
              <w:right w:val="nil"/>
            </w:tcBorders>
            <w:shd w:val="clear" w:color="auto" w:fill="auto"/>
            <w:noWrap/>
            <w:vAlign w:val="center"/>
            <w:hideMark/>
          </w:tcPr>
          <w:p w14:paraId="183F9267" w14:textId="77777777" w:rsidR="00B8286D" w:rsidRPr="00757ED8" w:rsidRDefault="00B8286D" w:rsidP="00612B89">
            <w:pPr>
              <w:jc w:val="center"/>
              <w:rPr>
                <w:color w:val="010205"/>
              </w:rPr>
            </w:pPr>
            <w:r w:rsidRPr="00757ED8">
              <w:rPr>
                <w:color w:val="010205"/>
              </w:rPr>
              <w:t>0</w:t>
            </w:r>
          </w:p>
        </w:tc>
        <w:tc>
          <w:tcPr>
            <w:tcW w:w="1062" w:type="dxa"/>
            <w:tcBorders>
              <w:top w:val="single" w:sz="8" w:space="0" w:color="7F7F7F"/>
              <w:left w:val="nil"/>
              <w:bottom w:val="single" w:sz="8" w:space="0" w:color="7F7F7F"/>
              <w:right w:val="nil"/>
            </w:tcBorders>
            <w:shd w:val="clear" w:color="auto" w:fill="auto"/>
            <w:noWrap/>
            <w:vAlign w:val="center"/>
            <w:hideMark/>
          </w:tcPr>
          <w:p w14:paraId="59E048FE" w14:textId="77777777" w:rsidR="00B8286D" w:rsidRPr="00757ED8" w:rsidRDefault="00B8286D" w:rsidP="00612B89">
            <w:pPr>
              <w:jc w:val="center"/>
              <w:rPr>
                <w:color w:val="010205"/>
              </w:rPr>
            </w:pPr>
            <w:r w:rsidRPr="00757ED8">
              <w:rPr>
                <w:color w:val="010205"/>
              </w:rPr>
              <w:t>0.001</w:t>
            </w:r>
          </w:p>
        </w:tc>
        <w:tc>
          <w:tcPr>
            <w:tcW w:w="868" w:type="dxa"/>
            <w:tcBorders>
              <w:top w:val="single" w:sz="8" w:space="0" w:color="7F7F7F"/>
              <w:left w:val="nil"/>
              <w:bottom w:val="single" w:sz="8" w:space="0" w:color="7F7F7F"/>
              <w:right w:val="nil"/>
            </w:tcBorders>
            <w:shd w:val="clear" w:color="auto" w:fill="auto"/>
            <w:noWrap/>
            <w:vAlign w:val="center"/>
            <w:hideMark/>
          </w:tcPr>
          <w:p w14:paraId="0C5D0E5F" w14:textId="77777777" w:rsidR="00B8286D" w:rsidRPr="00757ED8" w:rsidRDefault="00B8286D" w:rsidP="00612B89">
            <w:pPr>
              <w:jc w:val="center"/>
              <w:rPr>
                <w:color w:val="010205"/>
              </w:rPr>
            </w:pPr>
            <w:r w:rsidRPr="00757ED8">
              <w:rPr>
                <w:color w:val="010205"/>
              </w:rPr>
              <w:t>0.001</w:t>
            </w:r>
          </w:p>
        </w:tc>
      </w:tr>
      <w:tr w:rsidR="00B8286D" w:rsidRPr="00757ED8" w14:paraId="52062C4E" w14:textId="77777777" w:rsidTr="00DF1954">
        <w:trPr>
          <w:trHeight w:val="337"/>
        </w:trPr>
        <w:tc>
          <w:tcPr>
            <w:tcW w:w="3489" w:type="dxa"/>
            <w:tcBorders>
              <w:top w:val="nil"/>
              <w:left w:val="nil"/>
              <w:bottom w:val="nil"/>
              <w:right w:val="nil"/>
            </w:tcBorders>
            <w:shd w:val="clear" w:color="auto" w:fill="auto"/>
            <w:noWrap/>
            <w:vAlign w:val="center"/>
            <w:hideMark/>
          </w:tcPr>
          <w:p w14:paraId="4C29801C" w14:textId="77777777" w:rsidR="00B8286D" w:rsidRPr="00757ED8" w:rsidRDefault="00B8286D" w:rsidP="00612B89">
            <w:pPr>
              <w:jc w:val="right"/>
              <w:rPr>
                <w:b/>
                <w:bCs/>
                <w:color w:val="000000"/>
              </w:rPr>
            </w:pPr>
            <w:r w:rsidRPr="00757ED8">
              <w:rPr>
                <w:b/>
                <w:bCs/>
                <w:color w:val="000000"/>
              </w:rPr>
              <w:t>Hours per week</w:t>
            </w:r>
          </w:p>
        </w:tc>
        <w:tc>
          <w:tcPr>
            <w:tcW w:w="1062" w:type="dxa"/>
            <w:tcBorders>
              <w:top w:val="nil"/>
              <w:left w:val="nil"/>
              <w:bottom w:val="nil"/>
              <w:right w:val="nil"/>
            </w:tcBorders>
            <w:shd w:val="clear" w:color="auto" w:fill="auto"/>
            <w:noWrap/>
            <w:hideMark/>
          </w:tcPr>
          <w:p w14:paraId="6F249407" w14:textId="77777777" w:rsidR="00B8286D" w:rsidRPr="00757ED8" w:rsidRDefault="00B8286D" w:rsidP="00612B89">
            <w:pPr>
              <w:jc w:val="right"/>
              <w:rPr>
                <w:b/>
                <w:bCs/>
                <w:color w:val="000000"/>
              </w:rPr>
            </w:pPr>
          </w:p>
        </w:tc>
        <w:tc>
          <w:tcPr>
            <w:tcW w:w="868" w:type="dxa"/>
            <w:tcBorders>
              <w:top w:val="nil"/>
              <w:left w:val="nil"/>
              <w:bottom w:val="nil"/>
              <w:right w:val="nil"/>
            </w:tcBorders>
            <w:shd w:val="clear" w:color="auto" w:fill="auto"/>
            <w:noWrap/>
            <w:hideMark/>
          </w:tcPr>
          <w:p w14:paraId="694FB2EC" w14:textId="77777777" w:rsidR="00B8286D" w:rsidRPr="00757ED8" w:rsidRDefault="00B8286D" w:rsidP="00612B89"/>
        </w:tc>
        <w:tc>
          <w:tcPr>
            <w:tcW w:w="1062" w:type="dxa"/>
            <w:tcBorders>
              <w:top w:val="nil"/>
              <w:left w:val="nil"/>
              <w:bottom w:val="nil"/>
              <w:right w:val="nil"/>
            </w:tcBorders>
            <w:shd w:val="clear" w:color="auto" w:fill="auto"/>
            <w:noWrap/>
            <w:vAlign w:val="center"/>
            <w:hideMark/>
          </w:tcPr>
          <w:p w14:paraId="318FF49B" w14:textId="77777777" w:rsidR="00B8286D" w:rsidRPr="00757ED8" w:rsidRDefault="00B8286D" w:rsidP="00612B89">
            <w:pPr>
              <w:jc w:val="center"/>
              <w:rPr>
                <w:color w:val="010205"/>
              </w:rPr>
            </w:pPr>
            <w:r w:rsidRPr="00757ED8">
              <w:rPr>
                <w:color w:val="010205"/>
              </w:rPr>
              <w:t>-0.001</w:t>
            </w:r>
          </w:p>
        </w:tc>
        <w:tc>
          <w:tcPr>
            <w:tcW w:w="868" w:type="dxa"/>
            <w:tcBorders>
              <w:top w:val="nil"/>
              <w:left w:val="nil"/>
              <w:bottom w:val="nil"/>
              <w:right w:val="nil"/>
            </w:tcBorders>
            <w:shd w:val="clear" w:color="auto" w:fill="auto"/>
            <w:noWrap/>
            <w:vAlign w:val="center"/>
            <w:hideMark/>
          </w:tcPr>
          <w:p w14:paraId="7AA7B539" w14:textId="77777777" w:rsidR="00B8286D" w:rsidRPr="00757ED8" w:rsidRDefault="00B8286D" w:rsidP="00612B89">
            <w:pPr>
              <w:jc w:val="center"/>
              <w:rPr>
                <w:color w:val="010205"/>
              </w:rPr>
            </w:pPr>
            <w:r w:rsidRPr="00757ED8">
              <w:rPr>
                <w:color w:val="010205"/>
              </w:rPr>
              <w:t>-0.009</w:t>
            </w:r>
          </w:p>
        </w:tc>
        <w:tc>
          <w:tcPr>
            <w:tcW w:w="1062" w:type="dxa"/>
            <w:tcBorders>
              <w:top w:val="nil"/>
              <w:left w:val="nil"/>
              <w:bottom w:val="nil"/>
              <w:right w:val="nil"/>
            </w:tcBorders>
            <w:shd w:val="clear" w:color="auto" w:fill="auto"/>
            <w:noWrap/>
            <w:vAlign w:val="center"/>
            <w:hideMark/>
          </w:tcPr>
          <w:p w14:paraId="0EE04086" w14:textId="77777777" w:rsidR="00B8286D" w:rsidRPr="00757ED8" w:rsidRDefault="00B8286D" w:rsidP="00612B89">
            <w:pPr>
              <w:jc w:val="center"/>
              <w:rPr>
                <w:color w:val="010205"/>
              </w:rPr>
            </w:pPr>
            <w:r w:rsidRPr="00757ED8">
              <w:rPr>
                <w:color w:val="010205"/>
              </w:rPr>
              <w:t>0.001</w:t>
            </w:r>
          </w:p>
        </w:tc>
        <w:tc>
          <w:tcPr>
            <w:tcW w:w="868" w:type="dxa"/>
            <w:tcBorders>
              <w:top w:val="nil"/>
              <w:left w:val="nil"/>
              <w:bottom w:val="nil"/>
              <w:right w:val="nil"/>
            </w:tcBorders>
            <w:shd w:val="clear" w:color="auto" w:fill="auto"/>
            <w:noWrap/>
            <w:vAlign w:val="center"/>
            <w:hideMark/>
          </w:tcPr>
          <w:p w14:paraId="4C180F0C" w14:textId="77777777" w:rsidR="00B8286D" w:rsidRPr="00757ED8" w:rsidRDefault="00B8286D" w:rsidP="00612B89">
            <w:pPr>
              <w:jc w:val="center"/>
              <w:rPr>
                <w:color w:val="010205"/>
              </w:rPr>
            </w:pPr>
            <w:r w:rsidRPr="00757ED8">
              <w:rPr>
                <w:color w:val="010205"/>
              </w:rPr>
              <w:t>0.013</w:t>
            </w:r>
          </w:p>
        </w:tc>
      </w:tr>
      <w:tr w:rsidR="00B8286D" w:rsidRPr="00757ED8" w14:paraId="5D678C05"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51DE8A38" w14:textId="77777777" w:rsidR="00B8286D" w:rsidRPr="00757ED8" w:rsidRDefault="00B8286D" w:rsidP="00612B89">
            <w:pPr>
              <w:jc w:val="right"/>
              <w:rPr>
                <w:b/>
                <w:bCs/>
                <w:color w:val="000000"/>
              </w:rPr>
            </w:pPr>
            <w:r w:rsidRPr="00757ED8">
              <w:rPr>
                <w:b/>
                <w:bCs/>
                <w:color w:val="000000"/>
              </w:rPr>
              <w:t>Days per week</w:t>
            </w:r>
          </w:p>
        </w:tc>
        <w:tc>
          <w:tcPr>
            <w:tcW w:w="1062" w:type="dxa"/>
            <w:tcBorders>
              <w:top w:val="single" w:sz="8" w:space="0" w:color="7F7F7F"/>
              <w:left w:val="nil"/>
              <w:bottom w:val="single" w:sz="8" w:space="0" w:color="7F7F7F"/>
              <w:right w:val="nil"/>
            </w:tcBorders>
            <w:shd w:val="clear" w:color="auto" w:fill="auto"/>
            <w:noWrap/>
            <w:hideMark/>
          </w:tcPr>
          <w:p w14:paraId="61697709"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2608754E"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vAlign w:val="center"/>
            <w:hideMark/>
          </w:tcPr>
          <w:p w14:paraId="2D88ED6E" w14:textId="77777777" w:rsidR="00B8286D" w:rsidRPr="00757ED8" w:rsidRDefault="00B8286D" w:rsidP="00612B89">
            <w:pPr>
              <w:jc w:val="center"/>
              <w:rPr>
                <w:color w:val="010205"/>
              </w:rPr>
            </w:pPr>
            <w:r w:rsidRPr="00757ED8">
              <w:rPr>
                <w:color w:val="010205"/>
              </w:rPr>
              <w:t>-0.087</w:t>
            </w:r>
          </w:p>
        </w:tc>
        <w:tc>
          <w:tcPr>
            <w:tcW w:w="868" w:type="dxa"/>
            <w:tcBorders>
              <w:top w:val="single" w:sz="8" w:space="0" w:color="7F7F7F"/>
              <w:left w:val="nil"/>
              <w:bottom w:val="single" w:sz="8" w:space="0" w:color="7F7F7F"/>
              <w:right w:val="nil"/>
            </w:tcBorders>
            <w:shd w:val="clear" w:color="auto" w:fill="auto"/>
            <w:noWrap/>
            <w:vAlign w:val="center"/>
            <w:hideMark/>
          </w:tcPr>
          <w:p w14:paraId="7909625C" w14:textId="77777777" w:rsidR="00B8286D" w:rsidRPr="00757ED8" w:rsidRDefault="00B8286D" w:rsidP="00612B89">
            <w:pPr>
              <w:jc w:val="center"/>
              <w:rPr>
                <w:color w:val="010205"/>
              </w:rPr>
            </w:pPr>
            <w:r w:rsidRPr="00757ED8">
              <w:rPr>
                <w:color w:val="010205"/>
              </w:rPr>
              <w:t>-0.059</w:t>
            </w:r>
          </w:p>
        </w:tc>
        <w:tc>
          <w:tcPr>
            <w:tcW w:w="1062" w:type="dxa"/>
            <w:tcBorders>
              <w:top w:val="single" w:sz="8" w:space="0" w:color="7F7F7F"/>
              <w:left w:val="nil"/>
              <w:bottom w:val="single" w:sz="8" w:space="0" w:color="7F7F7F"/>
              <w:right w:val="nil"/>
            </w:tcBorders>
            <w:shd w:val="clear" w:color="auto" w:fill="auto"/>
            <w:noWrap/>
            <w:vAlign w:val="center"/>
            <w:hideMark/>
          </w:tcPr>
          <w:p w14:paraId="780F559C" w14:textId="77777777" w:rsidR="00B8286D" w:rsidRPr="00757ED8" w:rsidRDefault="00B8286D" w:rsidP="00612B89">
            <w:pPr>
              <w:jc w:val="center"/>
              <w:rPr>
                <w:color w:val="010205"/>
              </w:rPr>
            </w:pPr>
            <w:r w:rsidRPr="00757ED8">
              <w:rPr>
                <w:color w:val="010205"/>
              </w:rPr>
              <w:t>-0.091</w:t>
            </w:r>
          </w:p>
        </w:tc>
        <w:tc>
          <w:tcPr>
            <w:tcW w:w="868" w:type="dxa"/>
            <w:tcBorders>
              <w:top w:val="single" w:sz="8" w:space="0" w:color="7F7F7F"/>
              <w:left w:val="nil"/>
              <w:bottom w:val="single" w:sz="8" w:space="0" w:color="7F7F7F"/>
              <w:right w:val="nil"/>
            </w:tcBorders>
            <w:shd w:val="clear" w:color="auto" w:fill="auto"/>
            <w:noWrap/>
            <w:vAlign w:val="center"/>
            <w:hideMark/>
          </w:tcPr>
          <w:p w14:paraId="7F543AFA" w14:textId="77777777" w:rsidR="00B8286D" w:rsidRPr="00757ED8" w:rsidRDefault="00B8286D" w:rsidP="00612B89">
            <w:pPr>
              <w:jc w:val="center"/>
              <w:rPr>
                <w:color w:val="010205"/>
              </w:rPr>
            </w:pPr>
            <w:r w:rsidRPr="00757ED8">
              <w:rPr>
                <w:color w:val="010205"/>
              </w:rPr>
              <w:t>-0.062</w:t>
            </w:r>
          </w:p>
        </w:tc>
      </w:tr>
      <w:tr w:rsidR="00B8286D" w:rsidRPr="00757ED8" w14:paraId="7E6E9608" w14:textId="77777777" w:rsidTr="00DF1954">
        <w:trPr>
          <w:trHeight w:val="337"/>
        </w:trPr>
        <w:tc>
          <w:tcPr>
            <w:tcW w:w="3489" w:type="dxa"/>
            <w:tcBorders>
              <w:top w:val="nil"/>
              <w:left w:val="nil"/>
              <w:bottom w:val="nil"/>
              <w:right w:val="nil"/>
            </w:tcBorders>
            <w:shd w:val="clear" w:color="auto" w:fill="auto"/>
            <w:noWrap/>
            <w:vAlign w:val="center"/>
            <w:hideMark/>
          </w:tcPr>
          <w:p w14:paraId="687377C0" w14:textId="77777777" w:rsidR="00B8286D" w:rsidRPr="00757ED8" w:rsidRDefault="00B8286D" w:rsidP="00612B89">
            <w:pPr>
              <w:jc w:val="right"/>
              <w:rPr>
                <w:b/>
                <w:bCs/>
                <w:color w:val="000000"/>
              </w:rPr>
            </w:pPr>
            <w:r w:rsidRPr="00757ED8">
              <w:rPr>
                <w:b/>
                <w:bCs/>
                <w:color w:val="000000"/>
              </w:rPr>
              <w:t>Years of service</w:t>
            </w:r>
          </w:p>
        </w:tc>
        <w:tc>
          <w:tcPr>
            <w:tcW w:w="1062" w:type="dxa"/>
            <w:tcBorders>
              <w:top w:val="nil"/>
              <w:left w:val="nil"/>
              <w:bottom w:val="nil"/>
              <w:right w:val="nil"/>
            </w:tcBorders>
            <w:shd w:val="clear" w:color="auto" w:fill="auto"/>
            <w:noWrap/>
            <w:hideMark/>
          </w:tcPr>
          <w:p w14:paraId="30C5FC15" w14:textId="77777777" w:rsidR="00B8286D" w:rsidRPr="00757ED8" w:rsidRDefault="00B8286D" w:rsidP="00612B89">
            <w:pPr>
              <w:jc w:val="right"/>
              <w:rPr>
                <w:b/>
                <w:bCs/>
                <w:color w:val="000000"/>
              </w:rPr>
            </w:pPr>
          </w:p>
        </w:tc>
        <w:tc>
          <w:tcPr>
            <w:tcW w:w="868" w:type="dxa"/>
            <w:tcBorders>
              <w:top w:val="nil"/>
              <w:left w:val="nil"/>
              <w:bottom w:val="nil"/>
              <w:right w:val="nil"/>
            </w:tcBorders>
            <w:shd w:val="clear" w:color="auto" w:fill="auto"/>
            <w:noWrap/>
            <w:hideMark/>
          </w:tcPr>
          <w:p w14:paraId="36648AB8" w14:textId="77777777" w:rsidR="00B8286D" w:rsidRPr="00757ED8" w:rsidRDefault="00B8286D" w:rsidP="00612B89"/>
        </w:tc>
        <w:tc>
          <w:tcPr>
            <w:tcW w:w="1062" w:type="dxa"/>
            <w:tcBorders>
              <w:top w:val="nil"/>
              <w:left w:val="nil"/>
              <w:bottom w:val="nil"/>
              <w:right w:val="nil"/>
            </w:tcBorders>
            <w:shd w:val="clear" w:color="auto" w:fill="auto"/>
            <w:noWrap/>
            <w:vAlign w:val="center"/>
            <w:hideMark/>
          </w:tcPr>
          <w:p w14:paraId="4A2A8D8F" w14:textId="77777777" w:rsidR="00B8286D" w:rsidRPr="00757ED8" w:rsidRDefault="00B8286D" w:rsidP="00612B89">
            <w:pPr>
              <w:jc w:val="center"/>
              <w:rPr>
                <w:color w:val="010205"/>
              </w:rPr>
            </w:pPr>
            <w:r w:rsidRPr="00757ED8">
              <w:rPr>
                <w:color w:val="010205"/>
              </w:rPr>
              <w:t>0.005</w:t>
            </w:r>
          </w:p>
        </w:tc>
        <w:tc>
          <w:tcPr>
            <w:tcW w:w="868" w:type="dxa"/>
            <w:tcBorders>
              <w:top w:val="nil"/>
              <w:left w:val="nil"/>
              <w:bottom w:val="nil"/>
              <w:right w:val="nil"/>
            </w:tcBorders>
            <w:shd w:val="clear" w:color="auto" w:fill="auto"/>
            <w:noWrap/>
            <w:vAlign w:val="center"/>
            <w:hideMark/>
          </w:tcPr>
          <w:p w14:paraId="5D85832F" w14:textId="77777777" w:rsidR="00B8286D" w:rsidRPr="00757ED8" w:rsidRDefault="00B8286D" w:rsidP="00612B89">
            <w:pPr>
              <w:jc w:val="center"/>
              <w:rPr>
                <w:color w:val="010205"/>
              </w:rPr>
            </w:pPr>
            <w:r w:rsidRPr="00757ED8">
              <w:rPr>
                <w:color w:val="010205"/>
              </w:rPr>
              <w:t>0.044</w:t>
            </w:r>
          </w:p>
        </w:tc>
        <w:tc>
          <w:tcPr>
            <w:tcW w:w="1062" w:type="dxa"/>
            <w:tcBorders>
              <w:top w:val="nil"/>
              <w:left w:val="nil"/>
              <w:bottom w:val="nil"/>
              <w:right w:val="nil"/>
            </w:tcBorders>
            <w:shd w:val="clear" w:color="auto" w:fill="auto"/>
            <w:noWrap/>
            <w:vAlign w:val="center"/>
            <w:hideMark/>
          </w:tcPr>
          <w:p w14:paraId="660692EA" w14:textId="77777777" w:rsidR="00B8286D" w:rsidRPr="00757ED8" w:rsidRDefault="00B8286D" w:rsidP="00612B89">
            <w:pPr>
              <w:jc w:val="center"/>
              <w:rPr>
                <w:color w:val="010205"/>
              </w:rPr>
            </w:pPr>
            <w:r w:rsidRPr="00757ED8">
              <w:rPr>
                <w:color w:val="010205"/>
              </w:rPr>
              <w:t>0.001</w:t>
            </w:r>
          </w:p>
        </w:tc>
        <w:tc>
          <w:tcPr>
            <w:tcW w:w="868" w:type="dxa"/>
            <w:tcBorders>
              <w:top w:val="nil"/>
              <w:left w:val="nil"/>
              <w:bottom w:val="nil"/>
              <w:right w:val="nil"/>
            </w:tcBorders>
            <w:shd w:val="clear" w:color="auto" w:fill="auto"/>
            <w:noWrap/>
            <w:vAlign w:val="center"/>
            <w:hideMark/>
          </w:tcPr>
          <w:p w14:paraId="253F09FB" w14:textId="77777777" w:rsidR="00B8286D" w:rsidRPr="00757ED8" w:rsidRDefault="00B8286D" w:rsidP="00612B89">
            <w:pPr>
              <w:jc w:val="center"/>
              <w:rPr>
                <w:color w:val="010205"/>
              </w:rPr>
            </w:pPr>
            <w:r w:rsidRPr="00757ED8">
              <w:rPr>
                <w:color w:val="010205"/>
              </w:rPr>
              <w:t>0.008</w:t>
            </w:r>
          </w:p>
        </w:tc>
      </w:tr>
      <w:tr w:rsidR="00B8286D" w:rsidRPr="00757ED8" w14:paraId="7BE9FBC2"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737EA56B" w14:textId="77777777" w:rsidR="00B8286D" w:rsidRPr="00757ED8" w:rsidRDefault="00B8286D" w:rsidP="00612B89">
            <w:pPr>
              <w:jc w:val="right"/>
              <w:rPr>
                <w:b/>
                <w:bCs/>
                <w:color w:val="000000"/>
              </w:rPr>
            </w:pPr>
            <w:r w:rsidRPr="00757ED8">
              <w:rPr>
                <w:b/>
                <w:bCs/>
                <w:color w:val="000000"/>
              </w:rPr>
              <w:t>Percentage of practical work in role</w:t>
            </w:r>
          </w:p>
        </w:tc>
        <w:tc>
          <w:tcPr>
            <w:tcW w:w="1062" w:type="dxa"/>
            <w:tcBorders>
              <w:top w:val="single" w:sz="8" w:space="0" w:color="7F7F7F"/>
              <w:left w:val="nil"/>
              <w:bottom w:val="single" w:sz="8" w:space="0" w:color="7F7F7F"/>
              <w:right w:val="nil"/>
            </w:tcBorders>
            <w:shd w:val="clear" w:color="auto" w:fill="auto"/>
            <w:noWrap/>
            <w:hideMark/>
          </w:tcPr>
          <w:p w14:paraId="5C9CE518"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0A0DA0DD"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hideMark/>
          </w:tcPr>
          <w:p w14:paraId="47E0FB47"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1D14A717"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vAlign w:val="center"/>
            <w:hideMark/>
          </w:tcPr>
          <w:p w14:paraId="3C5ADE18" w14:textId="77777777" w:rsidR="00B8286D" w:rsidRPr="00757ED8" w:rsidRDefault="00B8286D" w:rsidP="00612B89">
            <w:pPr>
              <w:jc w:val="center"/>
              <w:rPr>
                <w:color w:val="010205"/>
              </w:rPr>
            </w:pPr>
            <w:r w:rsidRPr="00757ED8">
              <w:rPr>
                <w:color w:val="010205"/>
              </w:rPr>
              <w:t>-0.002</w:t>
            </w:r>
          </w:p>
        </w:tc>
        <w:tc>
          <w:tcPr>
            <w:tcW w:w="868" w:type="dxa"/>
            <w:tcBorders>
              <w:top w:val="single" w:sz="8" w:space="0" w:color="7F7F7F"/>
              <w:left w:val="nil"/>
              <w:bottom w:val="single" w:sz="8" w:space="0" w:color="7F7F7F"/>
              <w:right w:val="nil"/>
            </w:tcBorders>
            <w:shd w:val="clear" w:color="auto" w:fill="auto"/>
            <w:noWrap/>
            <w:vAlign w:val="center"/>
            <w:hideMark/>
          </w:tcPr>
          <w:p w14:paraId="0507162A" w14:textId="77777777" w:rsidR="00B8286D" w:rsidRPr="00757ED8" w:rsidRDefault="00B8286D" w:rsidP="00612B89">
            <w:pPr>
              <w:jc w:val="center"/>
              <w:rPr>
                <w:color w:val="010205"/>
              </w:rPr>
            </w:pPr>
            <w:r w:rsidRPr="00757ED8">
              <w:rPr>
                <w:color w:val="010205"/>
              </w:rPr>
              <w:t>-0.053</w:t>
            </w:r>
          </w:p>
        </w:tc>
      </w:tr>
      <w:tr w:rsidR="00B8286D" w:rsidRPr="00757ED8" w14:paraId="20CCA0D3" w14:textId="77777777" w:rsidTr="00DF1954">
        <w:trPr>
          <w:trHeight w:val="337"/>
        </w:trPr>
        <w:tc>
          <w:tcPr>
            <w:tcW w:w="3489" w:type="dxa"/>
            <w:tcBorders>
              <w:top w:val="nil"/>
              <w:left w:val="nil"/>
              <w:bottom w:val="nil"/>
              <w:right w:val="nil"/>
            </w:tcBorders>
            <w:shd w:val="clear" w:color="auto" w:fill="auto"/>
            <w:noWrap/>
            <w:vAlign w:val="center"/>
            <w:hideMark/>
          </w:tcPr>
          <w:p w14:paraId="5A6C2BA6" w14:textId="77777777" w:rsidR="00B8286D" w:rsidRPr="00757ED8" w:rsidRDefault="00B8286D" w:rsidP="00612B89">
            <w:pPr>
              <w:jc w:val="right"/>
              <w:rPr>
                <w:b/>
                <w:bCs/>
                <w:color w:val="000000"/>
              </w:rPr>
            </w:pPr>
            <w:r w:rsidRPr="00757ED8">
              <w:rPr>
                <w:b/>
                <w:bCs/>
                <w:color w:val="000000"/>
              </w:rPr>
              <w:t>Average frequency of MSK role risk activities</w:t>
            </w:r>
          </w:p>
        </w:tc>
        <w:tc>
          <w:tcPr>
            <w:tcW w:w="1062" w:type="dxa"/>
            <w:tcBorders>
              <w:top w:val="nil"/>
              <w:left w:val="nil"/>
              <w:bottom w:val="nil"/>
              <w:right w:val="nil"/>
            </w:tcBorders>
            <w:shd w:val="clear" w:color="auto" w:fill="auto"/>
            <w:noWrap/>
            <w:hideMark/>
          </w:tcPr>
          <w:p w14:paraId="02D367FC" w14:textId="77777777" w:rsidR="00B8286D" w:rsidRPr="00757ED8" w:rsidRDefault="00B8286D" w:rsidP="00612B89">
            <w:pPr>
              <w:jc w:val="right"/>
              <w:rPr>
                <w:b/>
                <w:bCs/>
                <w:color w:val="000000"/>
              </w:rPr>
            </w:pPr>
          </w:p>
        </w:tc>
        <w:tc>
          <w:tcPr>
            <w:tcW w:w="868" w:type="dxa"/>
            <w:tcBorders>
              <w:top w:val="nil"/>
              <w:left w:val="nil"/>
              <w:bottom w:val="nil"/>
              <w:right w:val="nil"/>
            </w:tcBorders>
            <w:shd w:val="clear" w:color="auto" w:fill="auto"/>
            <w:noWrap/>
            <w:hideMark/>
          </w:tcPr>
          <w:p w14:paraId="0348D883" w14:textId="77777777" w:rsidR="00B8286D" w:rsidRPr="00757ED8" w:rsidRDefault="00B8286D" w:rsidP="00612B89"/>
        </w:tc>
        <w:tc>
          <w:tcPr>
            <w:tcW w:w="1062" w:type="dxa"/>
            <w:tcBorders>
              <w:top w:val="nil"/>
              <w:left w:val="nil"/>
              <w:bottom w:val="nil"/>
              <w:right w:val="nil"/>
            </w:tcBorders>
            <w:shd w:val="clear" w:color="auto" w:fill="auto"/>
            <w:noWrap/>
            <w:hideMark/>
          </w:tcPr>
          <w:p w14:paraId="1CA6C248" w14:textId="77777777" w:rsidR="00B8286D" w:rsidRPr="00757ED8" w:rsidRDefault="00B8286D" w:rsidP="00612B89"/>
        </w:tc>
        <w:tc>
          <w:tcPr>
            <w:tcW w:w="868" w:type="dxa"/>
            <w:tcBorders>
              <w:top w:val="nil"/>
              <w:left w:val="nil"/>
              <w:bottom w:val="nil"/>
              <w:right w:val="nil"/>
            </w:tcBorders>
            <w:shd w:val="clear" w:color="auto" w:fill="auto"/>
            <w:noWrap/>
            <w:hideMark/>
          </w:tcPr>
          <w:p w14:paraId="44780078" w14:textId="77777777" w:rsidR="00B8286D" w:rsidRPr="00757ED8" w:rsidRDefault="00B8286D" w:rsidP="00612B89"/>
        </w:tc>
        <w:tc>
          <w:tcPr>
            <w:tcW w:w="1062" w:type="dxa"/>
            <w:tcBorders>
              <w:top w:val="nil"/>
              <w:left w:val="nil"/>
              <w:bottom w:val="nil"/>
              <w:right w:val="nil"/>
            </w:tcBorders>
            <w:shd w:val="clear" w:color="auto" w:fill="auto"/>
            <w:noWrap/>
            <w:vAlign w:val="center"/>
            <w:hideMark/>
          </w:tcPr>
          <w:p w14:paraId="4AB6D642" w14:textId="77777777" w:rsidR="00B8286D" w:rsidRPr="00757ED8" w:rsidRDefault="00B8286D" w:rsidP="00612B89">
            <w:pPr>
              <w:jc w:val="center"/>
              <w:rPr>
                <w:color w:val="010205"/>
              </w:rPr>
            </w:pPr>
            <w:r w:rsidRPr="00757ED8">
              <w:rPr>
                <w:color w:val="010205"/>
              </w:rPr>
              <w:t>0.546**</w:t>
            </w:r>
          </w:p>
        </w:tc>
        <w:tc>
          <w:tcPr>
            <w:tcW w:w="868" w:type="dxa"/>
            <w:tcBorders>
              <w:top w:val="nil"/>
              <w:left w:val="nil"/>
              <w:bottom w:val="nil"/>
              <w:right w:val="nil"/>
            </w:tcBorders>
            <w:shd w:val="clear" w:color="auto" w:fill="auto"/>
            <w:noWrap/>
            <w:vAlign w:val="center"/>
            <w:hideMark/>
          </w:tcPr>
          <w:p w14:paraId="63467392" w14:textId="77777777" w:rsidR="00B8286D" w:rsidRPr="00757ED8" w:rsidRDefault="00B8286D" w:rsidP="00612B89">
            <w:pPr>
              <w:jc w:val="center"/>
              <w:rPr>
                <w:color w:val="010205"/>
              </w:rPr>
            </w:pPr>
            <w:r w:rsidRPr="00757ED8">
              <w:rPr>
                <w:color w:val="010205"/>
              </w:rPr>
              <w:t>0.392</w:t>
            </w:r>
          </w:p>
        </w:tc>
      </w:tr>
      <w:tr w:rsidR="00B8286D" w:rsidRPr="00757ED8" w14:paraId="5056056E"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654290FF" w14:textId="77777777" w:rsidR="00B8286D" w:rsidRPr="00757ED8" w:rsidRDefault="00B8286D" w:rsidP="00612B89">
            <w:pPr>
              <w:jc w:val="right"/>
              <w:rPr>
                <w:b/>
                <w:bCs/>
                <w:color w:val="000000"/>
              </w:rPr>
            </w:pPr>
            <w:r w:rsidRPr="00757ED8">
              <w:rPr>
                <w:b/>
                <w:bCs/>
                <w:color w:val="000000"/>
              </w:rPr>
              <w:t>Provision of MSK protective Factors</w:t>
            </w:r>
          </w:p>
        </w:tc>
        <w:tc>
          <w:tcPr>
            <w:tcW w:w="1062" w:type="dxa"/>
            <w:tcBorders>
              <w:top w:val="single" w:sz="8" w:space="0" w:color="7F7F7F"/>
              <w:left w:val="nil"/>
              <w:bottom w:val="single" w:sz="8" w:space="0" w:color="7F7F7F"/>
              <w:right w:val="nil"/>
            </w:tcBorders>
            <w:shd w:val="clear" w:color="auto" w:fill="auto"/>
            <w:noWrap/>
            <w:hideMark/>
          </w:tcPr>
          <w:p w14:paraId="45C17861"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2A33F0BD"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hideMark/>
          </w:tcPr>
          <w:p w14:paraId="25A751C9"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1EF95EAB"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vAlign w:val="center"/>
            <w:hideMark/>
          </w:tcPr>
          <w:p w14:paraId="5FB18702" w14:textId="77777777" w:rsidR="00B8286D" w:rsidRPr="00757ED8" w:rsidRDefault="00B8286D" w:rsidP="00612B89">
            <w:pPr>
              <w:jc w:val="center"/>
              <w:rPr>
                <w:color w:val="010205"/>
              </w:rPr>
            </w:pPr>
            <w:r w:rsidRPr="00757ED8">
              <w:rPr>
                <w:color w:val="010205"/>
              </w:rPr>
              <w:t>0.003</w:t>
            </w:r>
          </w:p>
        </w:tc>
        <w:tc>
          <w:tcPr>
            <w:tcW w:w="868" w:type="dxa"/>
            <w:tcBorders>
              <w:top w:val="single" w:sz="8" w:space="0" w:color="7F7F7F"/>
              <w:left w:val="nil"/>
              <w:bottom w:val="single" w:sz="8" w:space="0" w:color="7F7F7F"/>
              <w:right w:val="nil"/>
            </w:tcBorders>
            <w:shd w:val="clear" w:color="auto" w:fill="auto"/>
            <w:noWrap/>
            <w:vAlign w:val="center"/>
            <w:hideMark/>
          </w:tcPr>
          <w:p w14:paraId="38953D1B" w14:textId="77777777" w:rsidR="00B8286D" w:rsidRPr="00757ED8" w:rsidRDefault="00B8286D" w:rsidP="00612B89">
            <w:pPr>
              <w:jc w:val="center"/>
              <w:rPr>
                <w:color w:val="010205"/>
              </w:rPr>
            </w:pPr>
            <w:r w:rsidRPr="00757ED8">
              <w:rPr>
                <w:color w:val="010205"/>
              </w:rPr>
              <w:t>0.001</w:t>
            </w:r>
          </w:p>
        </w:tc>
      </w:tr>
      <w:tr w:rsidR="00B8286D" w:rsidRPr="00757ED8" w14:paraId="6874ABE6" w14:textId="77777777" w:rsidTr="00612B89">
        <w:trPr>
          <w:trHeight w:val="337"/>
        </w:trPr>
        <w:tc>
          <w:tcPr>
            <w:tcW w:w="3489" w:type="dxa"/>
            <w:tcBorders>
              <w:top w:val="nil"/>
              <w:left w:val="nil"/>
              <w:bottom w:val="single" w:sz="8" w:space="0" w:color="7F7F7F"/>
              <w:right w:val="nil"/>
            </w:tcBorders>
            <w:shd w:val="clear" w:color="auto" w:fill="auto"/>
            <w:noWrap/>
            <w:hideMark/>
          </w:tcPr>
          <w:p w14:paraId="0F1B37E3" w14:textId="77777777" w:rsidR="00B8286D" w:rsidRPr="00757ED8" w:rsidRDefault="00B8286D" w:rsidP="00612B89">
            <w:pPr>
              <w:rPr>
                <w:color w:val="000000"/>
              </w:rPr>
            </w:pPr>
            <w:r w:rsidRPr="00757ED8">
              <w:rPr>
                <w:color w:val="000000"/>
              </w:rPr>
              <w:t> </w:t>
            </w:r>
          </w:p>
        </w:tc>
        <w:tc>
          <w:tcPr>
            <w:tcW w:w="5790" w:type="dxa"/>
            <w:gridSpan w:val="6"/>
            <w:tcBorders>
              <w:top w:val="single" w:sz="8" w:space="0" w:color="7F7F7F"/>
              <w:left w:val="nil"/>
              <w:bottom w:val="single" w:sz="8" w:space="0" w:color="7F7F7F"/>
              <w:right w:val="nil"/>
            </w:tcBorders>
            <w:shd w:val="clear" w:color="auto" w:fill="auto"/>
            <w:noWrap/>
            <w:vAlign w:val="center"/>
            <w:hideMark/>
          </w:tcPr>
          <w:p w14:paraId="223BBAA9" w14:textId="77777777" w:rsidR="00B8286D" w:rsidRPr="00757ED8" w:rsidRDefault="00B8286D" w:rsidP="00612B89">
            <w:pPr>
              <w:jc w:val="center"/>
              <w:rPr>
                <w:b/>
                <w:bCs/>
                <w:color w:val="000000"/>
              </w:rPr>
            </w:pPr>
            <w:r w:rsidRPr="00757ED8">
              <w:rPr>
                <w:b/>
                <w:bCs/>
                <w:color w:val="000000"/>
              </w:rPr>
              <w:t>Average freq. of pain caused by MSK risk roles</w:t>
            </w:r>
          </w:p>
        </w:tc>
      </w:tr>
      <w:tr w:rsidR="00B8286D" w:rsidRPr="00757ED8" w14:paraId="0D99A1B1" w14:textId="77777777" w:rsidTr="00612B89">
        <w:trPr>
          <w:trHeight w:val="337"/>
        </w:trPr>
        <w:tc>
          <w:tcPr>
            <w:tcW w:w="3489" w:type="dxa"/>
            <w:tcBorders>
              <w:top w:val="nil"/>
              <w:left w:val="nil"/>
              <w:bottom w:val="single" w:sz="8" w:space="0" w:color="7F7F7F"/>
              <w:right w:val="nil"/>
            </w:tcBorders>
            <w:shd w:val="clear" w:color="auto" w:fill="auto"/>
            <w:noWrap/>
            <w:hideMark/>
          </w:tcPr>
          <w:p w14:paraId="5EF393D5" w14:textId="77777777" w:rsidR="00B8286D" w:rsidRPr="00757ED8" w:rsidRDefault="00B8286D" w:rsidP="00612B89">
            <w:pPr>
              <w:rPr>
                <w:color w:val="000000"/>
              </w:rPr>
            </w:pPr>
            <w:r w:rsidRPr="00757ED8">
              <w:rPr>
                <w:color w:val="000000"/>
              </w:rPr>
              <w:lastRenderedPageBreak/>
              <w:t> </w:t>
            </w:r>
          </w:p>
        </w:tc>
        <w:tc>
          <w:tcPr>
            <w:tcW w:w="1930" w:type="dxa"/>
            <w:gridSpan w:val="2"/>
            <w:tcBorders>
              <w:top w:val="single" w:sz="8" w:space="0" w:color="7F7F7F"/>
              <w:left w:val="nil"/>
              <w:bottom w:val="single" w:sz="8" w:space="0" w:color="7F7F7F"/>
              <w:right w:val="nil"/>
            </w:tcBorders>
            <w:shd w:val="clear" w:color="auto" w:fill="auto"/>
            <w:noWrap/>
            <w:vAlign w:val="center"/>
            <w:hideMark/>
          </w:tcPr>
          <w:p w14:paraId="417B4731" w14:textId="77777777" w:rsidR="00B8286D" w:rsidRPr="00757ED8" w:rsidRDefault="00B8286D" w:rsidP="00612B89">
            <w:pPr>
              <w:jc w:val="center"/>
              <w:rPr>
                <w:color w:val="000000"/>
              </w:rPr>
            </w:pPr>
            <w:r w:rsidRPr="00757ED8">
              <w:rPr>
                <w:color w:val="000000"/>
              </w:rPr>
              <w:t>model 1</w:t>
            </w:r>
          </w:p>
        </w:tc>
        <w:tc>
          <w:tcPr>
            <w:tcW w:w="1930" w:type="dxa"/>
            <w:gridSpan w:val="2"/>
            <w:tcBorders>
              <w:top w:val="single" w:sz="8" w:space="0" w:color="7F7F7F"/>
              <w:left w:val="nil"/>
              <w:bottom w:val="single" w:sz="8" w:space="0" w:color="7F7F7F"/>
              <w:right w:val="nil"/>
            </w:tcBorders>
            <w:shd w:val="clear" w:color="auto" w:fill="auto"/>
            <w:noWrap/>
            <w:vAlign w:val="center"/>
            <w:hideMark/>
          </w:tcPr>
          <w:p w14:paraId="31670376" w14:textId="77777777" w:rsidR="00B8286D" w:rsidRPr="00757ED8" w:rsidRDefault="00B8286D" w:rsidP="00612B89">
            <w:pPr>
              <w:jc w:val="center"/>
              <w:rPr>
                <w:color w:val="000000"/>
              </w:rPr>
            </w:pPr>
            <w:r w:rsidRPr="00757ED8">
              <w:rPr>
                <w:color w:val="000000"/>
              </w:rPr>
              <w:t>model 2</w:t>
            </w:r>
          </w:p>
        </w:tc>
        <w:tc>
          <w:tcPr>
            <w:tcW w:w="1930" w:type="dxa"/>
            <w:gridSpan w:val="2"/>
            <w:tcBorders>
              <w:top w:val="single" w:sz="8" w:space="0" w:color="7F7F7F"/>
              <w:left w:val="nil"/>
              <w:bottom w:val="single" w:sz="8" w:space="0" w:color="7F7F7F"/>
              <w:right w:val="nil"/>
            </w:tcBorders>
            <w:shd w:val="clear" w:color="auto" w:fill="auto"/>
            <w:noWrap/>
            <w:vAlign w:val="center"/>
            <w:hideMark/>
          </w:tcPr>
          <w:p w14:paraId="57FC857B" w14:textId="77777777" w:rsidR="00B8286D" w:rsidRPr="00757ED8" w:rsidRDefault="00B8286D" w:rsidP="00612B89">
            <w:pPr>
              <w:jc w:val="center"/>
              <w:rPr>
                <w:color w:val="000000"/>
              </w:rPr>
            </w:pPr>
            <w:r w:rsidRPr="00757ED8">
              <w:rPr>
                <w:color w:val="000000"/>
              </w:rPr>
              <w:t>model 3</w:t>
            </w:r>
          </w:p>
        </w:tc>
      </w:tr>
      <w:tr w:rsidR="00B8286D" w:rsidRPr="00757ED8" w14:paraId="0E56F968" w14:textId="77777777" w:rsidTr="00DF1954">
        <w:trPr>
          <w:trHeight w:val="337"/>
        </w:trPr>
        <w:tc>
          <w:tcPr>
            <w:tcW w:w="3489" w:type="dxa"/>
            <w:tcBorders>
              <w:top w:val="nil"/>
              <w:left w:val="nil"/>
              <w:bottom w:val="nil"/>
              <w:right w:val="nil"/>
            </w:tcBorders>
            <w:shd w:val="clear" w:color="auto" w:fill="auto"/>
            <w:noWrap/>
            <w:hideMark/>
          </w:tcPr>
          <w:p w14:paraId="59DCCD41" w14:textId="77777777" w:rsidR="00B8286D" w:rsidRPr="00757ED8" w:rsidRDefault="00B8286D" w:rsidP="00612B89">
            <w:pPr>
              <w:jc w:val="center"/>
              <w:rPr>
                <w:color w:val="000000"/>
              </w:rPr>
            </w:pPr>
          </w:p>
        </w:tc>
        <w:tc>
          <w:tcPr>
            <w:tcW w:w="1062" w:type="dxa"/>
            <w:tcBorders>
              <w:top w:val="nil"/>
              <w:left w:val="nil"/>
              <w:bottom w:val="nil"/>
              <w:right w:val="nil"/>
            </w:tcBorders>
            <w:shd w:val="clear" w:color="auto" w:fill="auto"/>
            <w:noWrap/>
            <w:vAlign w:val="center"/>
            <w:hideMark/>
          </w:tcPr>
          <w:p w14:paraId="06BB1B2C" w14:textId="77777777" w:rsidR="00B8286D" w:rsidRPr="00757ED8" w:rsidRDefault="00B8286D" w:rsidP="00612B89">
            <w:pPr>
              <w:jc w:val="center"/>
              <w:rPr>
                <w:color w:val="000000"/>
              </w:rPr>
            </w:pPr>
            <w:r w:rsidRPr="00757ED8">
              <w:rPr>
                <w:color w:val="000000"/>
              </w:rPr>
              <w:t>B</w:t>
            </w:r>
          </w:p>
        </w:tc>
        <w:tc>
          <w:tcPr>
            <w:tcW w:w="868" w:type="dxa"/>
            <w:tcBorders>
              <w:top w:val="nil"/>
              <w:left w:val="nil"/>
              <w:bottom w:val="nil"/>
              <w:right w:val="nil"/>
            </w:tcBorders>
            <w:shd w:val="clear" w:color="auto" w:fill="auto"/>
            <w:noWrap/>
            <w:vAlign w:val="center"/>
            <w:hideMark/>
          </w:tcPr>
          <w:p w14:paraId="530E1151" w14:textId="77777777" w:rsidR="00B8286D" w:rsidRPr="00757ED8" w:rsidRDefault="00B8286D" w:rsidP="00612B89">
            <w:pPr>
              <w:jc w:val="center"/>
              <w:rPr>
                <w:color w:val="000000"/>
              </w:rPr>
            </w:pPr>
            <w:r w:rsidRPr="00757ED8">
              <w:rPr>
                <w:color w:val="000000"/>
                <w:lang w:val="en"/>
              </w:rPr>
              <w:t>β</w:t>
            </w:r>
          </w:p>
        </w:tc>
        <w:tc>
          <w:tcPr>
            <w:tcW w:w="1062" w:type="dxa"/>
            <w:tcBorders>
              <w:top w:val="nil"/>
              <w:left w:val="nil"/>
              <w:bottom w:val="nil"/>
              <w:right w:val="nil"/>
            </w:tcBorders>
            <w:shd w:val="clear" w:color="auto" w:fill="auto"/>
            <w:noWrap/>
            <w:vAlign w:val="center"/>
            <w:hideMark/>
          </w:tcPr>
          <w:p w14:paraId="5DBB4251" w14:textId="77777777" w:rsidR="00B8286D" w:rsidRPr="00757ED8" w:rsidRDefault="00B8286D" w:rsidP="00612B89">
            <w:pPr>
              <w:jc w:val="center"/>
              <w:rPr>
                <w:color w:val="000000"/>
              </w:rPr>
            </w:pPr>
            <w:r w:rsidRPr="00757ED8">
              <w:rPr>
                <w:color w:val="000000"/>
              </w:rPr>
              <w:t>B</w:t>
            </w:r>
          </w:p>
        </w:tc>
        <w:tc>
          <w:tcPr>
            <w:tcW w:w="868" w:type="dxa"/>
            <w:tcBorders>
              <w:top w:val="nil"/>
              <w:left w:val="nil"/>
              <w:bottom w:val="nil"/>
              <w:right w:val="nil"/>
            </w:tcBorders>
            <w:shd w:val="clear" w:color="auto" w:fill="auto"/>
            <w:noWrap/>
            <w:vAlign w:val="center"/>
            <w:hideMark/>
          </w:tcPr>
          <w:p w14:paraId="73EBFADC" w14:textId="77777777" w:rsidR="00B8286D" w:rsidRPr="00757ED8" w:rsidRDefault="00B8286D" w:rsidP="00612B89">
            <w:pPr>
              <w:jc w:val="center"/>
              <w:rPr>
                <w:color w:val="000000"/>
              </w:rPr>
            </w:pPr>
            <w:r w:rsidRPr="00757ED8">
              <w:rPr>
                <w:color w:val="000000"/>
                <w:lang w:val="en"/>
              </w:rPr>
              <w:t>β</w:t>
            </w:r>
          </w:p>
        </w:tc>
        <w:tc>
          <w:tcPr>
            <w:tcW w:w="1062" w:type="dxa"/>
            <w:tcBorders>
              <w:top w:val="nil"/>
              <w:left w:val="nil"/>
              <w:bottom w:val="nil"/>
              <w:right w:val="nil"/>
            </w:tcBorders>
            <w:shd w:val="clear" w:color="auto" w:fill="auto"/>
            <w:noWrap/>
            <w:vAlign w:val="center"/>
            <w:hideMark/>
          </w:tcPr>
          <w:p w14:paraId="3F03B72B" w14:textId="77777777" w:rsidR="00B8286D" w:rsidRPr="00757ED8" w:rsidRDefault="00B8286D" w:rsidP="00612B89">
            <w:pPr>
              <w:jc w:val="center"/>
              <w:rPr>
                <w:color w:val="000000"/>
              </w:rPr>
            </w:pPr>
            <w:r w:rsidRPr="00757ED8">
              <w:rPr>
                <w:color w:val="000000"/>
              </w:rPr>
              <w:t>B</w:t>
            </w:r>
          </w:p>
        </w:tc>
        <w:tc>
          <w:tcPr>
            <w:tcW w:w="868" w:type="dxa"/>
            <w:tcBorders>
              <w:top w:val="nil"/>
              <w:left w:val="nil"/>
              <w:bottom w:val="nil"/>
              <w:right w:val="nil"/>
            </w:tcBorders>
            <w:shd w:val="clear" w:color="auto" w:fill="auto"/>
            <w:noWrap/>
            <w:vAlign w:val="center"/>
            <w:hideMark/>
          </w:tcPr>
          <w:p w14:paraId="0C96C02B" w14:textId="77777777" w:rsidR="00B8286D" w:rsidRPr="00757ED8" w:rsidRDefault="00B8286D" w:rsidP="00612B89">
            <w:pPr>
              <w:jc w:val="center"/>
              <w:rPr>
                <w:color w:val="000000"/>
              </w:rPr>
            </w:pPr>
            <w:r w:rsidRPr="00757ED8">
              <w:rPr>
                <w:color w:val="000000"/>
                <w:lang w:val="en"/>
              </w:rPr>
              <w:t>β</w:t>
            </w:r>
          </w:p>
        </w:tc>
      </w:tr>
      <w:tr w:rsidR="00B8286D" w:rsidRPr="00757ED8" w14:paraId="419ED4C4"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39AABEB5" w14:textId="77777777" w:rsidR="00B8286D" w:rsidRPr="00757ED8" w:rsidRDefault="00B8286D" w:rsidP="00612B89">
            <w:pPr>
              <w:jc w:val="center"/>
              <w:rPr>
                <w:b/>
                <w:bCs/>
                <w:color w:val="000000"/>
              </w:rPr>
            </w:pPr>
            <w:r w:rsidRPr="00757ED8">
              <w:rPr>
                <w:b/>
                <w:bCs/>
                <w:color w:val="000000"/>
              </w:rPr>
              <w:t>variable</w:t>
            </w:r>
          </w:p>
        </w:tc>
        <w:tc>
          <w:tcPr>
            <w:tcW w:w="1062" w:type="dxa"/>
            <w:tcBorders>
              <w:top w:val="single" w:sz="8" w:space="0" w:color="7F7F7F"/>
              <w:left w:val="nil"/>
              <w:bottom w:val="single" w:sz="8" w:space="0" w:color="7F7F7F"/>
              <w:right w:val="nil"/>
            </w:tcBorders>
            <w:shd w:val="clear" w:color="auto" w:fill="auto"/>
            <w:noWrap/>
            <w:hideMark/>
          </w:tcPr>
          <w:p w14:paraId="6662FADF"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7E3F2409"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hideMark/>
          </w:tcPr>
          <w:p w14:paraId="5756641B"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284B3CF2"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hideMark/>
          </w:tcPr>
          <w:p w14:paraId="696DE149"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37689166" w14:textId="77777777" w:rsidR="00B8286D" w:rsidRPr="00757ED8" w:rsidRDefault="00B8286D" w:rsidP="00612B89">
            <w:pPr>
              <w:rPr>
                <w:color w:val="000000"/>
              </w:rPr>
            </w:pPr>
            <w:r w:rsidRPr="00757ED8">
              <w:rPr>
                <w:color w:val="000000"/>
              </w:rPr>
              <w:t> </w:t>
            </w:r>
          </w:p>
        </w:tc>
      </w:tr>
      <w:tr w:rsidR="00B8286D" w:rsidRPr="00757ED8" w14:paraId="6388144D" w14:textId="77777777" w:rsidTr="00DF1954">
        <w:trPr>
          <w:trHeight w:val="337"/>
        </w:trPr>
        <w:tc>
          <w:tcPr>
            <w:tcW w:w="3489" w:type="dxa"/>
            <w:tcBorders>
              <w:top w:val="nil"/>
              <w:left w:val="nil"/>
              <w:bottom w:val="nil"/>
              <w:right w:val="nil"/>
            </w:tcBorders>
            <w:shd w:val="clear" w:color="auto" w:fill="auto"/>
            <w:noWrap/>
            <w:vAlign w:val="center"/>
            <w:hideMark/>
          </w:tcPr>
          <w:p w14:paraId="05552D76" w14:textId="77777777" w:rsidR="00B8286D" w:rsidRPr="00757ED8" w:rsidRDefault="00B8286D" w:rsidP="00612B89">
            <w:pPr>
              <w:jc w:val="right"/>
              <w:rPr>
                <w:b/>
                <w:bCs/>
                <w:color w:val="000000"/>
              </w:rPr>
            </w:pPr>
            <w:r w:rsidRPr="00757ED8">
              <w:rPr>
                <w:b/>
                <w:bCs/>
                <w:color w:val="000000"/>
              </w:rPr>
              <w:t>(constant)</w:t>
            </w:r>
          </w:p>
        </w:tc>
        <w:tc>
          <w:tcPr>
            <w:tcW w:w="1062" w:type="dxa"/>
            <w:tcBorders>
              <w:top w:val="nil"/>
              <w:left w:val="nil"/>
              <w:bottom w:val="nil"/>
              <w:right w:val="nil"/>
            </w:tcBorders>
            <w:shd w:val="clear" w:color="auto" w:fill="auto"/>
            <w:noWrap/>
            <w:vAlign w:val="center"/>
            <w:hideMark/>
          </w:tcPr>
          <w:p w14:paraId="2FBDBB92" w14:textId="77777777" w:rsidR="00B8286D" w:rsidRPr="00757ED8" w:rsidRDefault="00B8286D" w:rsidP="00612B89">
            <w:pPr>
              <w:jc w:val="center"/>
              <w:rPr>
                <w:color w:val="010205"/>
              </w:rPr>
            </w:pPr>
            <w:r w:rsidRPr="00757ED8">
              <w:rPr>
                <w:color w:val="010205"/>
              </w:rPr>
              <w:t>2.104</w:t>
            </w:r>
          </w:p>
        </w:tc>
        <w:tc>
          <w:tcPr>
            <w:tcW w:w="868" w:type="dxa"/>
            <w:tcBorders>
              <w:top w:val="nil"/>
              <w:left w:val="nil"/>
              <w:bottom w:val="nil"/>
              <w:right w:val="nil"/>
            </w:tcBorders>
            <w:shd w:val="clear" w:color="auto" w:fill="auto"/>
            <w:noWrap/>
            <w:hideMark/>
          </w:tcPr>
          <w:p w14:paraId="1CD19041" w14:textId="77777777" w:rsidR="00B8286D" w:rsidRPr="00757ED8" w:rsidRDefault="00B8286D" w:rsidP="00612B89">
            <w:pPr>
              <w:jc w:val="center"/>
              <w:rPr>
                <w:color w:val="010205"/>
              </w:rPr>
            </w:pPr>
          </w:p>
        </w:tc>
        <w:tc>
          <w:tcPr>
            <w:tcW w:w="1062" w:type="dxa"/>
            <w:tcBorders>
              <w:top w:val="nil"/>
              <w:left w:val="nil"/>
              <w:bottom w:val="nil"/>
              <w:right w:val="nil"/>
            </w:tcBorders>
            <w:shd w:val="clear" w:color="auto" w:fill="auto"/>
            <w:noWrap/>
            <w:vAlign w:val="center"/>
            <w:hideMark/>
          </w:tcPr>
          <w:p w14:paraId="2E97DAA4" w14:textId="77777777" w:rsidR="00B8286D" w:rsidRPr="00757ED8" w:rsidRDefault="00B8286D" w:rsidP="00612B89">
            <w:pPr>
              <w:jc w:val="center"/>
              <w:rPr>
                <w:color w:val="010205"/>
              </w:rPr>
            </w:pPr>
            <w:r w:rsidRPr="00757ED8">
              <w:rPr>
                <w:color w:val="010205"/>
              </w:rPr>
              <w:t>2.653</w:t>
            </w:r>
          </w:p>
        </w:tc>
        <w:tc>
          <w:tcPr>
            <w:tcW w:w="868" w:type="dxa"/>
            <w:tcBorders>
              <w:top w:val="nil"/>
              <w:left w:val="nil"/>
              <w:bottom w:val="nil"/>
              <w:right w:val="nil"/>
            </w:tcBorders>
            <w:shd w:val="clear" w:color="auto" w:fill="auto"/>
            <w:noWrap/>
            <w:hideMark/>
          </w:tcPr>
          <w:p w14:paraId="12AB94EE" w14:textId="77777777" w:rsidR="00B8286D" w:rsidRPr="00757ED8" w:rsidRDefault="00B8286D" w:rsidP="00612B89">
            <w:pPr>
              <w:jc w:val="center"/>
              <w:rPr>
                <w:color w:val="010205"/>
              </w:rPr>
            </w:pPr>
          </w:p>
        </w:tc>
        <w:tc>
          <w:tcPr>
            <w:tcW w:w="1062" w:type="dxa"/>
            <w:tcBorders>
              <w:top w:val="nil"/>
              <w:left w:val="nil"/>
              <w:bottom w:val="nil"/>
              <w:right w:val="nil"/>
            </w:tcBorders>
            <w:shd w:val="clear" w:color="auto" w:fill="auto"/>
            <w:noWrap/>
            <w:vAlign w:val="center"/>
            <w:hideMark/>
          </w:tcPr>
          <w:p w14:paraId="5B7D2FA6" w14:textId="77777777" w:rsidR="00B8286D" w:rsidRPr="00757ED8" w:rsidRDefault="00B8286D" w:rsidP="00612B89">
            <w:pPr>
              <w:jc w:val="center"/>
              <w:rPr>
                <w:color w:val="010205"/>
              </w:rPr>
            </w:pPr>
            <w:r w:rsidRPr="00757ED8">
              <w:rPr>
                <w:color w:val="010205"/>
              </w:rPr>
              <w:t>1.736</w:t>
            </w:r>
          </w:p>
        </w:tc>
        <w:tc>
          <w:tcPr>
            <w:tcW w:w="868" w:type="dxa"/>
            <w:tcBorders>
              <w:top w:val="nil"/>
              <w:left w:val="nil"/>
              <w:bottom w:val="nil"/>
              <w:right w:val="nil"/>
            </w:tcBorders>
            <w:shd w:val="clear" w:color="auto" w:fill="auto"/>
            <w:noWrap/>
            <w:hideMark/>
          </w:tcPr>
          <w:p w14:paraId="6C99CE31" w14:textId="77777777" w:rsidR="00B8286D" w:rsidRPr="00757ED8" w:rsidRDefault="00B8286D" w:rsidP="00612B89">
            <w:pPr>
              <w:jc w:val="center"/>
              <w:rPr>
                <w:color w:val="010205"/>
              </w:rPr>
            </w:pPr>
          </w:p>
        </w:tc>
      </w:tr>
      <w:tr w:rsidR="00B8286D" w:rsidRPr="00757ED8" w14:paraId="772E2C35"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767FBA64" w14:textId="77777777" w:rsidR="00B8286D" w:rsidRPr="00757ED8" w:rsidRDefault="00B8286D" w:rsidP="00612B89">
            <w:pPr>
              <w:jc w:val="right"/>
              <w:rPr>
                <w:b/>
                <w:bCs/>
                <w:color w:val="000000"/>
              </w:rPr>
            </w:pPr>
            <w:r w:rsidRPr="00757ED8">
              <w:rPr>
                <w:b/>
                <w:bCs/>
                <w:color w:val="000000"/>
              </w:rPr>
              <w:t>Age</w:t>
            </w:r>
          </w:p>
        </w:tc>
        <w:tc>
          <w:tcPr>
            <w:tcW w:w="1062" w:type="dxa"/>
            <w:tcBorders>
              <w:top w:val="single" w:sz="8" w:space="0" w:color="7F7F7F"/>
              <w:left w:val="nil"/>
              <w:bottom w:val="single" w:sz="8" w:space="0" w:color="7F7F7F"/>
              <w:right w:val="nil"/>
            </w:tcBorders>
            <w:shd w:val="clear" w:color="auto" w:fill="auto"/>
            <w:noWrap/>
            <w:vAlign w:val="center"/>
            <w:hideMark/>
          </w:tcPr>
          <w:p w14:paraId="1D1E882A" w14:textId="77777777" w:rsidR="00B8286D" w:rsidRPr="00757ED8" w:rsidRDefault="00B8286D" w:rsidP="00612B89">
            <w:pPr>
              <w:jc w:val="center"/>
              <w:rPr>
                <w:color w:val="010205"/>
              </w:rPr>
            </w:pPr>
            <w:r w:rsidRPr="00757ED8">
              <w:rPr>
                <w:color w:val="010205"/>
              </w:rPr>
              <w:t>0.01*</w:t>
            </w:r>
          </w:p>
        </w:tc>
        <w:tc>
          <w:tcPr>
            <w:tcW w:w="868" w:type="dxa"/>
            <w:tcBorders>
              <w:top w:val="single" w:sz="8" w:space="0" w:color="7F7F7F"/>
              <w:left w:val="nil"/>
              <w:bottom w:val="single" w:sz="8" w:space="0" w:color="7F7F7F"/>
              <w:right w:val="nil"/>
            </w:tcBorders>
            <w:shd w:val="clear" w:color="auto" w:fill="auto"/>
            <w:noWrap/>
            <w:vAlign w:val="center"/>
            <w:hideMark/>
          </w:tcPr>
          <w:p w14:paraId="375A7439" w14:textId="77777777" w:rsidR="00B8286D" w:rsidRPr="00757ED8" w:rsidRDefault="00B8286D" w:rsidP="00612B89">
            <w:pPr>
              <w:jc w:val="center"/>
              <w:rPr>
                <w:color w:val="010205"/>
              </w:rPr>
            </w:pPr>
            <w:r w:rsidRPr="00757ED8">
              <w:rPr>
                <w:color w:val="010205"/>
              </w:rPr>
              <w:t>0.185</w:t>
            </w:r>
          </w:p>
        </w:tc>
        <w:tc>
          <w:tcPr>
            <w:tcW w:w="1062" w:type="dxa"/>
            <w:tcBorders>
              <w:top w:val="single" w:sz="8" w:space="0" w:color="7F7F7F"/>
              <w:left w:val="nil"/>
              <w:bottom w:val="single" w:sz="8" w:space="0" w:color="7F7F7F"/>
              <w:right w:val="nil"/>
            </w:tcBorders>
            <w:shd w:val="clear" w:color="auto" w:fill="auto"/>
            <w:noWrap/>
            <w:vAlign w:val="center"/>
            <w:hideMark/>
          </w:tcPr>
          <w:p w14:paraId="242974B1" w14:textId="77777777" w:rsidR="00B8286D" w:rsidRPr="00757ED8" w:rsidRDefault="00B8286D" w:rsidP="00612B89">
            <w:pPr>
              <w:jc w:val="center"/>
              <w:rPr>
                <w:color w:val="010205"/>
              </w:rPr>
            </w:pPr>
            <w:r w:rsidRPr="00757ED8">
              <w:rPr>
                <w:color w:val="010205"/>
              </w:rPr>
              <w:t>0.006</w:t>
            </w:r>
          </w:p>
        </w:tc>
        <w:tc>
          <w:tcPr>
            <w:tcW w:w="868" w:type="dxa"/>
            <w:tcBorders>
              <w:top w:val="single" w:sz="8" w:space="0" w:color="7F7F7F"/>
              <w:left w:val="nil"/>
              <w:bottom w:val="single" w:sz="8" w:space="0" w:color="7F7F7F"/>
              <w:right w:val="nil"/>
            </w:tcBorders>
            <w:shd w:val="clear" w:color="auto" w:fill="auto"/>
            <w:noWrap/>
            <w:vAlign w:val="center"/>
            <w:hideMark/>
          </w:tcPr>
          <w:p w14:paraId="656E76CD" w14:textId="77777777" w:rsidR="00B8286D" w:rsidRPr="00757ED8" w:rsidRDefault="00B8286D" w:rsidP="00612B89">
            <w:pPr>
              <w:jc w:val="center"/>
              <w:rPr>
                <w:color w:val="010205"/>
              </w:rPr>
            </w:pPr>
            <w:r w:rsidRPr="00757ED8">
              <w:rPr>
                <w:color w:val="010205"/>
              </w:rPr>
              <w:t>0.107</w:t>
            </w:r>
          </w:p>
        </w:tc>
        <w:tc>
          <w:tcPr>
            <w:tcW w:w="1062" w:type="dxa"/>
            <w:tcBorders>
              <w:top w:val="single" w:sz="8" w:space="0" w:color="7F7F7F"/>
              <w:left w:val="nil"/>
              <w:bottom w:val="single" w:sz="8" w:space="0" w:color="7F7F7F"/>
              <w:right w:val="nil"/>
            </w:tcBorders>
            <w:shd w:val="clear" w:color="auto" w:fill="auto"/>
            <w:noWrap/>
            <w:vAlign w:val="center"/>
            <w:hideMark/>
          </w:tcPr>
          <w:p w14:paraId="59D081C5" w14:textId="77777777" w:rsidR="00B8286D" w:rsidRPr="00757ED8" w:rsidRDefault="00B8286D" w:rsidP="00612B89">
            <w:pPr>
              <w:jc w:val="center"/>
              <w:rPr>
                <w:color w:val="010205"/>
              </w:rPr>
            </w:pPr>
            <w:r w:rsidRPr="00757ED8">
              <w:rPr>
                <w:color w:val="010205"/>
              </w:rPr>
              <w:t>0.008</w:t>
            </w:r>
          </w:p>
        </w:tc>
        <w:tc>
          <w:tcPr>
            <w:tcW w:w="868" w:type="dxa"/>
            <w:tcBorders>
              <w:top w:val="single" w:sz="8" w:space="0" w:color="7F7F7F"/>
              <w:left w:val="nil"/>
              <w:bottom w:val="single" w:sz="8" w:space="0" w:color="7F7F7F"/>
              <w:right w:val="nil"/>
            </w:tcBorders>
            <w:shd w:val="clear" w:color="auto" w:fill="auto"/>
            <w:noWrap/>
            <w:vAlign w:val="center"/>
            <w:hideMark/>
          </w:tcPr>
          <w:p w14:paraId="2F0F409A" w14:textId="77777777" w:rsidR="00B8286D" w:rsidRPr="00757ED8" w:rsidRDefault="00B8286D" w:rsidP="00612B89">
            <w:pPr>
              <w:jc w:val="center"/>
              <w:rPr>
                <w:color w:val="010205"/>
              </w:rPr>
            </w:pPr>
            <w:r w:rsidRPr="00757ED8">
              <w:rPr>
                <w:color w:val="010205"/>
              </w:rPr>
              <w:t>0.162</w:t>
            </w:r>
          </w:p>
        </w:tc>
      </w:tr>
      <w:tr w:rsidR="00B8286D" w:rsidRPr="00757ED8" w14:paraId="160E0E3D" w14:textId="77777777" w:rsidTr="00DF1954">
        <w:trPr>
          <w:trHeight w:val="337"/>
        </w:trPr>
        <w:tc>
          <w:tcPr>
            <w:tcW w:w="3489" w:type="dxa"/>
            <w:tcBorders>
              <w:top w:val="nil"/>
              <w:left w:val="nil"/>
              <w:bottom w:val="nil"/>
              <w:right w:val="nil"/>
            </w:tcBorders>
            <w:shd w:val="clear" w:color="auto" w:fill="auto"/>
            <w:noWrap/>
            <w:vAlign w:val="center"/>
            <w:hideMark/>
          </w:tcPr>
          <w:p w14:paraId="4162EC68" w14:textId="77777777" w:rsidR="00B8286D" w:rsidRPr="00757ED8" w:rsidRDefault="00B8286D" w:rsidP="00612B89">
            <w:pPr>
              <w:jc w:val="right"/>
              <w:rPr>
                <w:b/>
                <w:bCs/>
                <w:color w:val="000000"/>
              </w:rPr>
            </w:pPr>
            <w:r w:rsidRPr="00757ED8">
              <w:rPr>
                <w:b/>
                <w:bCs/>
                <w:color w:val="000000"/>
              </w:rPr>
              <w:t>No of children</w:t>
            </w:r>
          </w:p>
        </w:tc>
        <w:tc>
          <w:tcPr>
            <w:tcW w:w="1062" w:type="dxa"/>
            <w:tcBorders>
              <w:top w:val="nil"/>
              <w:left w:val="nil"/>
              <w:bottom w:val="nil"/>
              <w:right w:val="nil"/>
            </w:tcBorders>
            <w:shd w:val="clear" w:color="auto" w:fill="auto"/>
            <w:noWrap/>
            <w:vAlign w:val="center"/>
            <w:hideMark/>
          </w:tcPr>
          <w:p w14:paraId="0B143511" w14:textId="77777777" w:rsidR="00B8286D" w:rsidRPr="00757ED8" w:rsidRDefault="00B8286D" w:rsidP="00612B89">
            <w:pPr>
              <w:jc w:val="center"/>
              <w:rPr>
                <w:color w:val="010205"/>
              </w:rPr>
            </w:pPr>
            <w:r w:rsidRPr="00757ED8">
              <w:rPr>
                <w:color w:val="010205"/>
              </w:rPr>
              <w:t xml:space="preserve"> -0.088*</w:t>
            </w:r>
          </w:p>
        </w:tc>
        <w:tc>
          <w:tcPr>
            <w:tcW w:w="868" w:type="dxa"/>
            <w:tcBorders>
              <w:top w:val="nil"/>
              <w:left w:val="nil"/>
              <w:bottom w:val="nil"/>
              <w:right w:val="nil"/>
            </w:tcBorders>
            <w:shd w:val="clear" w:color="auto" w:fill="auto"/>
            <w:noWrap/>
            <w:vAlign w:val="center"/>
            <w:hideMark/>
          </w:tcPr>
          <w:p w14:paraId="21447424" w14:textId="77777777" w:rsidR="00B8286D" w:rsidRPr="00757ED8" w:rsidRDefault="00B8286D" w:rsidP="00612B89">
            <w:pPr>
              <w:jc w:val="center"/>
              <w:rPr>
                <w:color w:val="010205"/>
              </w:rPr>
            </w:pPr>
            <w:r w:rsidRPr="00757ED8">
              <w:rPr>
                <w:color w:val="010205"/>
              </w:rPr>
              <w:t>-0.173</w:t>
            </w:r>
          </w:p>
        </w:tc>
        <w:tc>
          <w:tcPr>
            <w:tcW w:w="1062" w:type="dxa"/>
            <w:tcBorders>
              <w:top w:val="nil"/>
              <w:left w:val="nil"/>
              <w:bottom w:val="nil"/>
              <w:right w:val="nil"/>
            </w:tcBorders>
            <w:shd w:val="clear" w:color="auto" w:fill="auto"/>
            <w:noWrap/>
            <w:vAlign w:val="center"/>
            <w:hideMark/>
          </w:tcPr>
          <w:p w14:paraId="5A284DF0" w14:textId="77777777" w:rsidR="00B8286D" w:rsidRPr="00757ED8" w:rsidRDefault="00B8286D" w:rsidP="00612B89">
            <w:pPr>
              <w:jc w:val="center"/>
              <w:rPr>
                <w:color w:val="010205"/>
              </w:rPr>
            </w:pPr>
            <w:r w:rsidRPr="00757ED8">
              <w:rPr>
                <w:color w:val="010205"/>
              </w:rPr>
              <w:t>-0.079</w:t>
            </w:r>
          </w:p>
        </w:tc>
        <w:tc>
          <w:tcPr>
            <w:tcW w:w="868" w:type="dxa"/>
            <w:tcBorders>
              <w:top w:val="nil"/>
              <w:left w:val="nil"/>
              <w:bottom w:val="nil"/>
              <w:right w:val="nil"/>
            </w:tcBorders>
            <w:shd w:val="clear" w:color="auto" w:fill="auto"/>
            <w:noWrap/>
            <w:vAlign w:val="center"/>
            <w:hideMark/>
          </w:tcPr>
          <w:p w14:paraId="5742C741" w14:textId="77777777" w:rsidR="00B8286D" w:rsidRPr="00757ED8" w:rsidRDefault="00B8286D" w:rsidP="00612B89">
            <w:pPr>
              <w:jc w:val="center"/>
              <w:rPr>
                <w:color w:val="010205"/>
              </w:rPr>
            </w:pPr>
            <w:r w:rsidRPr="00757ED8">
              <w:rPr>
                <w:color w:val="010205"/>
              </w:rPr>
              <w:t>-0.155</w:t>
            </w:r>
          </w:p>
        </w:tc>
        <w:tc>
          <w:tcPr>
            <w:tcW w:w="1062" w:type="dxa"/>
            <w:tcBorders>
              <w:top w:val="nil"/>
              <w:left w:val="nil"/>
              <w:bottom w:val="nil"/>
              <w:right w:val="nil"/>
            </w:tcBorders>
            <w:shd w:val="clear" w:color="auto" w:fill="auto"/>
            <w:noWrap/>
            <w:vAlign w:val="center"/>
            <w:hideMark/>
          </w:tcPr>
          <w:p w14:paraId="37E2E500" w14:textId="77777777" w:rsidR="00B8286D" w:rsidRPr="00757ED8" w:rsidRDefault="00B8286D" w:rsidP="00612B89">
            <w:pPr>
              <w:jc w:val="center"/>
              <w:rPr>
                <w:color w:val="010205"/>
              </w:rPr>
            </w:pPr>
            <w:r w:rsidRPr="00757ED8">
              <w:rPr>
                <w:color w:val="010205"/>
              </w:rPr>
              <w:t>-0.045</w:t>
            </w:r>
          </w:p>
        </w:tc>
        <w:tc>
          <w:tcPr>
            <w:tcW w:w="868" w:type="dxa"/>
            <w:tcBorders>
              <w:top w:val="nil"/>
              <w:left w:val="nil"/>
              <w:bottom w:val="nil"/>
              <w:right w:val="nil"/>
            </w:tcBorders>
            <w:shd w:val="clear" w:color="auto" w:fill="auto"/>
            <w:noWrap/>
            <w:vAlign w:val="center"/>
            <w:hideMark/>
          </w:tcPr>
          <w:p w14:paraId="1678096B" w14:textId="77777777" w:rsidR="00B8286D" w:rsidRPr="00757ED8" w:rsidRDefault="00B8286D" w:rsidP="00612B89">
            <w:pPr>
              <w:jc w:val="center"/>
              <w:rPr>
                <w:color w:val="010205"/>
              </w:rPr>
            </w:pPr>
            <w:r w:rsidRPr="00757ED8">
              <w:rPr>
                <w:color w:val="010205"/>
              </w:rPr>
              <w:t>-0.088</w:t>
            </w:r>
          </w:p>
        </w:tc>
      </w:tr>
      <w:tr w:rsidR="00B8286D" w:rsidRPr="00757ED8" w14:paraId="3B581AA0"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3444EEC3" w14:textId="77777777" w:rsidR="00B8286D" w:rsidRPr="00757ED8" w:rsidRDefault="00B8286D" w:rsidP="00612B89">
            <w:pPr>
              <w:jc w:val="right"/>
              <w:rPr>
                <w:b/>
                <w:bCs/>
                <w:color w:val="000000"/>
              </w:rPr>
            </w:pPr>
            <w:r w:rsidRPr="00757ED8">
              <w:rPr>
                <w:b/>
                <w:bCs/>
                <w:color w:val="000000"/>
              </w:rPr>
              <w:t>Education level</w:t>
            </w:r>
          </w:p>
        </w:tc>
        <w:tc>
          <w:tcPr>
            <w:tcW w:w="1062" w:type="dxa"/>
            <w:tcBorders>
              <w:top w:val="single" w:sz="8" w:space="0" w:color="7F7F7F"/>
              <w:left w:val="nil"/>
              <w:bottom w:val="single" w:sz="8" w:space="0" w:color="7F7F7F"/>
              <w:right w:val="nil"/>
            </w:tcBorders>
            <w:shd w:val="clear" w:color="auto" w:fill="auto"/>
            <w:noWrap/>
            <w:vAlign w:val="center"/>
            <w:hideMark/>
          </w:tcPr>
          <w:p w14:paraId="538875F2" w14:textId="77777777" w:rsidR="00B8286D" w:rsidRPr="00757ED8" w:rsidRDefault="00B8286D" w:rsidP="00612B89">
            <w:pPr>
              <w:jc w:val="center"/>
              <w:rPr>
                <w:color w:val="010205"/>
              </w:rPr>
            </w:pPr>
            <w:r w:rsidRPr="00757ED8">
              <w:rPr>
                <w:color w:val="010205"/>
              </w:rPr>
              <w:t xml:space="preserve"> -0.073*</w:t>
            </w:r>
          </w:p>
        </w:tc>
        <w:tc>
          <w:tcPr>
            <w:tcW w:w="868" w:type="dxa"/>
            <w:tcBorders>
              <w:top w:val="single" w:sz="8" w:space="0" w:color="7F7F7F"/>
              <w:left w:val="nil"/>
              <w:bottom w:val="single" w:sz="8" w:space="0" w:color="7F7F7F"/>
              <w:right w:val="nil"/>
            </w:tcBorders>
            <w:shd w:val="clear" w:color="auto" w:fill="auto"/>
            <w:noWrap/>
            <w:vAlign w:val="center"/>
            <w:hideMark/>
          </w:tcPr>
          <w:p w14:paraId="3521AD37" w14:textId="77777777" w:rsidR="00B8286D" w:rsidRPr="00757ED8" w:rsidRDefault="00B8286D" w:rsidP="00612B89">
            <w:pPr>
              <w:jc w:val="center"/>
              <w:rPr>
                <w:color w:val="010205"/>
              </w:rPr>
            </w:pPr>
            <w:r w:rsidRPr="00757ED8">
              <w:rPr>
                <w:color w:val="010205"/>
              </w:rPr>
              <w:t>-0.165</w:t>
            </w:r>
          </w:p>
        </w:tc>
        <w:tc>
          <w:tcPr>
            <w:tcW w:w="1062" w:type="dxa"/>
            <w:tcBorders>
              <w:top w:val="single" w:sz="8" w:space="0" w:color="7F7F7F"/>
              <w:left w:val="nil"/>
              <w:bottom w:val="single" w:sz="8" w:space="0" w:color="7F7F7F"/>
              <w:right w:val="nil"/>
            </w:tcBorders>
            <w:shd w:val="clear" w:color="auto" w:fill="auto"/>
            <w:noWrap/>
            <w:vAlign w:val="center"/>
            <w:hideMark/>
          </w:tcPr>
          <w:p w14:paraId="67FEEAD3" w14:textId="77777777" w:rsidR="00B8286D" w:rsidRPr="00757ED8" w:rsidRDefault="00B8286D" w:rsidP="00612B89">
            <w:pPr>
              <w:jc w:val="center"/>
              <w:rPr>
                <w:color w:val="010205"/>
              </w:rPr>
            </w:pPr>
            <w:r w:rsidRPr="00757ED8">
              <w:rPr>
                <w:color w:val="010205"/>
              </w:rPr>
              <w:t xml:space="preserve"> -0.073*</w:t>
            </w:r>
          </w:p>
        </w:tc>
        <w:tc>
          <w:tcPr>
            <w:tcW w:w="868" w:type="dxa"/>
            <w:tcBorders>
              <w:top w:val="single" w:sz="8" w:space="0" w:color="7F7F7F"/>
              <w:left w:val="nil"/>
              <w:bottom w:val="single" w:sz="8" w:space="0" w:color="7F7F7F"/>
              <w:right w:val="nil"/>
            </w:tcBorders>
            <w:shd w:val="clear" w:color="auto" w:fill="auto"/>
            <w:noWrap/>
            <w:vAlign w:val="center"/>
            <w:hideMark/>
          </w:tcPr>
          <w:p w14:paraId="3983844F" w14:textId="77777777" w:rsidR="00B8286D" w:rsidRPr="00757ED8" w:rsidRDefault="00B8286D" w:rsidP="00612B89">
            <w:pPr>
              <w:jc w:val="center"/>
              <w:rPr>
                <w:color w:val="010205"/>
              </w:rPr>
            </w:pPr>
            <w:r w:rsidRPr="00757ED8">
              <w:rPr>
                <w:color w:val="010205"/>
              </w:rPr>
              <w:t>-0.165</w:t>
            </w:r>
          </w:p>
        </w:tc>
        <w:tc>
          <w:tcPr>
            <w:tcW w:w="1062" w:type="dxa"/>
            <w:tcBorders>
              <w:top w:val="single" w:sz="8" w:space="0" w:color="7F7F7F"/>
              <w:left w:val="nil"/>
              <w:bottom w:val="single" w:sz="8" w:space="0" w:color="7F7F7F"/>
              <w:right w:val="nil"/>
            </w:tcBorders>
            <w:shd w:val="clear" w:color="auto" w:fill="auto"/>
            <w:noWrap/>
            <w:vAlign w:val="center"/>
            <w:hideMark/>
          </w:tcPr>
          <w:p w14:paraId="05779482" w14:textId="77777777" w:rsidR="00B8286D" w:rsidRPr="00757ED8" w:rsidRDefault="00B8286D" w:rsidP="00612B89">
            <w:pPr>
              <w:jc w:val="center"/>
              <w:rPr>
                <w:color w:val="010205"/>
              </w:rPr>
            </w:pPr>
            <w:r w:rsidRPr="00757ED8">
              <w:rPr>
                <w:color w:val="010205"/>
              </w:rPr>
              <w:t xml:space="preserve"> -0.076*</w:t>
            </w:r>
          </w:p>
        </w:tc>
        <w:tc>
          <w:tcPr>
            <w:tcW w:w="868" w:type="dxa"/>
            <w:tcBorders>
              <w:top w:val="single" w:sz="8" w:space="0" w:color="7F7F7F"/>
              <w:left w:val="nil"/>
              <w:bottom w:val="single" w:sz="8" w:space="0" w:color="7F7F7F"/>
              <w:right w:val="nil"/>
            </w:tcBorders>
            <w:shd w:val="clear" w:color="auto" w:fill="auto"/>
            <w:noWrap/>
            <w:vAlign w:val="center"/>
            <w:hideMark/>
          </w:tcPr>
          <w:p w14:paraId="5788EF7B" w14:textId="77777777" w:rsidR="00B8286D" w:rsidRPr="00757ED8" w:rsidRDefault="00B8286D" w:rsidP="00612B89">
            <w:pPr>
              <w:jc w:val="center"/>
              <w:rPr>
                <w:color w:val="010205"/>
              </w:rPr>
            </w:pPr>
            <w:r w:rsidRPr="00757ED8">
              <w:rPr>
                <w:color w:val="010205"/>
              </w:rPr>
              <w:t>-0.172</w:t>
            </w:r>
          </w:p>
        </w:tc>
      </w:tr>
      <w:tr w:rsidR="00B8286D" w:rsidRPr="00757ED8" w14:paraId="1B7531E8" w14:textId="77777777" w:rsidTr="00DF1954">
        <w:trPr>
          <w:trHeight w:val="337"/>
        </w:trPr>
        <w:tc>
          <w:tcPr>
            <w:tcW w:w="3489" w:type="dxa"/>
            <w:tcBorders>
              <w:top w:val="nil"/>
              <w:left w:val="nil"/>
              <w:bottom w:val="nil"/>
              <w:right w:val="nil"/>
            </w:tcBorders>
            <w:shd w:val="clear" w:color="auto" w:fill="auto"/>
            <w:noWrap/>
            <w:vAlign w:val="center"/>
            <w:hideMark/>
          </w:tcPr>
          <w:p w14:paraId="3E0236E7" w14:textId="77777777" w:rsidR="00B8286D" w:rsidRPr="00757ED8" w:rsidRDefault="00B8286D" w:rsidP="00612B89">
            <w:pPr>
              <w:jc w:val="right"/>
              <w:rPr>
                <w:b/>
                <w:bCs/>
                <w:color w:val="000000"/>
              </w:rPr>
            </w:pPr>
            <w:r w:rsidRPr="00757ED8">
              <w:rPr>
                <w:b/>
                <w:bCs/>
                <w:color w:val="000000"/>
              </w:rPr>
              <w:t>Hours per week</w:t>
            </w:r>
          </w:p>
        </w:tc>
        <w:tc>
          <w:tcPr>
            <w:tcW w:w="1062" w:type="dxa"/>
            <w:tcBorders>
              <w:top w:val="nil"/>
              <w:left w:val="nil"/>
              <w:bottom w:val="nil"/>
              <w:right w:val="nil"/>
            </w:tcBorders>
            <w:shd w:val="clear" w:color="auto" w:fill="auto"/>
            <w:noWrap/>
            <w:hideMark/>
          </w:tcPr>
          <w:p w14:paraId="76012065" w14:textId="77777777" w:rsidR="00B8286D" w:rsidRPr="00757ED8" w:rsidRDefault="00B8286D" w:rsidP="00612B89">
            <w:pPr>
              <w:jc w:val="right"/>
              <w:rPr>
                <w:b/>
                <w:bCs/>
                <w:color w:val="000000"/>
              </w:rPr>
            </w:pPr>
          </w:p>
        </w:tc>
        <w:tc>
          <w:tcPr>
            <w:tcW w:w="868" w:type="dxa"/>
            <w:tcBorders>
              <w:top w:val="nil"/>
              <w:left w:val="nil"/>
              <w:bottom w:val="nil"/>
              <w:right w:val="nil"/>
            </w:tcBorders>
            <w:shd w:val="clear" w:color="auto" w:fill="auto"/>
            <w:noWrap/>
            <w:hideMark/>
          </w:tcPr>
          <w:p w14:paraId="2444B2C9" w14:textId="77777777" w:rsidR="00B8286D" w:rsidRPr="00757ED8" w:rsidRDefault="00B8286D" w:rsidP="00612B89"/>
        </w:tc>
        <w:tc>
          <w:tcPr>
            <w:tcW w:w="1062" w:type="dxa"/>
            <w:tcBorders>
              <w:top w:val="nil"/>
              <w:left w:val="nil"/>
              <w:bottom w:val="nil"/>
              <w:right w:val="nil"/>
            </w:tcBorders>
            <w:shd w:val="clear" w:color="auto" w:fill="auto"/>
            <w:noWrap/>
            <w:vAlign w:val="center"/>
            <w:hideMark/>
          </w:tcPr>
          <w:p w14:paraId="7A8B98AA" w14:textId="77777777" w:rsidR="00B8286D" w:rsidRPr="00757ED8" w:rsidRDefault="00B8286D" w:rsidP="00612B89">
            <w:pPr>
              <w:jc w:val="center"/>
              <w:rPr>
                <w:color w:val="010205"/>
              </w:rPr>
            </w:pPr>
            <w:r w:rsidRPr="00757ED8">
              <w:rPr>
                <w:color w:val="010205"/>
              </w:rPr>
              <w:t>0.002</w:t>
            </w:r>
          </w:p>
        </w:tc>
        <w:tc>
          <w:tcPr>
            <w:tcW w:w="868" w:type="dxa"/>
            <w:tcBorders>
              <w:top w:val="nil"/>
              <w:left w:val="nil"/>
              <w:bottom w:val="nil"/>
              <w:right w:val="nil"/>
            </w:tcBorders>
            <w:shd w:val="clear" w:color="auto" w:fill="auto"/>
            <w:noWrap/>
            <w:vAlign w:val="center"/>
            <w:hideMark/>
          </w:tcPr>
          <w:p w14:paraId="586CB52E" w14:textId="77777777" w:rsidR="00B8286D" w:rsidRPr="00757ED8" w:rsidRDefault="00B8286D" w:rsidP="00612B89">
            <w:pPr>
              <w:jc w:val="center"/>
              <w:rPr>
                <w:color w:val="010205"/>
              </w:rPr>
            </w:pPr>
            <w:r w:rsidRPr="00757ED8">
              <w:rPr>
                <w:color w:val="010205"/>
              </w:rPr>
              <w:t>0.047</w:t>
            </w:r>
          </w:p>
        </w:tc>
        <w:tc>
          <w:tcPr>
            <w:tcW w:w="1062" w:type="dxa"/>
            <w:tcBorders>
              <w:top w:val="nil"/>
              <w:left w:val="nil"/>
              <w:bottom w:val="nil"/>
              <w:right w:val="nil"/>
            </w:tcBorders>
            <w:shd w:val="clear" w:color="auto" w:fill="auto"/>
            <w:noWrap/>
            <w:vAlign w:val="center"/>
            <w:hideMark/>
          </w:tcPr>
          <w:p w14:paraId="5D6F96A0" w14:textId="77777777" w:rsidR="00B8286D" w:rsidRPr="00757ED8" w:rsidRDefault="00B8286D" w:rsidP="00612B89">
            <w:pPr>
              <w:jc w:val="center"/>
              <w:rPr>
                <w:color w:val="010205"/>
              </w:rPr>
            </w:pPr>
            <w:r w:rsidRPr="00757ED8">
              <w:rPr>
                <w:color w:val="010205"/>
              </w:rPr>
              <w:t>0.004</w:t>
            </w:r>
          </w:p>
        </w:tc>
        <w:tc>
          <w:tcPr>
            <w:tcW w:w="868" w:type="dxa"/>
            <w:tcBorders>
              <w:top w:val="nil"/>
              <w:left w:val="nil"/>
              <w:bottom w:val="nil"/>
              <w:right w:val="nil"/>
            </w:tcBorders>
            <w:shd w:val="clear" w:color="auto" w:fill="auto"/>
            <w:noWrap/>
            <w:vAlign w:val="center"/>
            <w:hideMark/>
          </w:tcPr>
          <w:p w14:paraId="1CF26E11" w14:textId="77777777" w:rsidR="00B8286D" w:rsidRPr="00757ED8" w:rsidRDefault="00B8286D" w:rsidP="00612B89">
            <w:pPr>
              <w:jc w:val="center"/>
              <w:rPr>
                <w:color w:val="010205"/>
              </w:rPr>
            </w:pPr>
            <w:r w:rsidRPr="00757ED8">
              <w:rPr>
                <w:color w:val="010205"/>
              </w:rPr>
              <w:t>0.077</w:t>
            </w:r>
          </w:p>
        </w:tc>
      </w:tr>
      <w:tr w:rsidR="00B8286D" w:rsidRPr="00757ED8" w14:paraId="7E56CB77"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7A085FCE" w14:textId="77777777" w:rsidR="00B8286D" w:rsidRPr="00757ED8" w:rsidRDefault="00B8286D" w:rsidP="00612B89">
            <w:pPr>
              <w:jc w:val="right"/>
              <w:rPr>
                <w:b/>
                <w:bCs/>
                <w:color w:val="000000"/>
              </w:rPr>
            </w:pPr>
            <w:r w:rsidRPr="00757ED8">
              <w:rPr>
                <w:b/>
                <w:bCs/>
                <w:color w:val="000000"/>
              </w:rPr>
              <w:t>Days per week</w:t>
            </w:r>
          </w:p>
        </w:tc>
        <w:tc>
          <w:tcPr>
            <w:tcW w:w="1062" w:type="dxa"/>
            <w:tcBorders>
              <w:top w:val="single" w:sz="8" w:space="0" w:color="7F7F7F"/>
              <w:left w:val="nil"/>
              <w:bottom w:val="single" w:sz="8" w:space="0" w:color="7F7F7F"/>
              <w:right w:val="nil"/>
            </w:tcBorders>
            <w:shd w:val="clear" w:color="auto" w:fill="auto"/>
            <w:noWrap/>
            <w:hideMark/>
          </w:tcPr>
          <w:p w14:paraId="2E504977"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591F15CC"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vAlign w:val="center"/>
            <w:hideMark/>
          </w:tcPr>
          <w:p w14:paraId="18941C76" w14:textId="77777777" w:rsidR="00B8286D" w:rsidRPr="00757ED8" w:rsidRDefault="00B8286D" w:rsidP="00612B89">
            <w:pPr>
              <w:jc w:val="center"/>
              <w:rPr>
                <w:color w:val="010205"/>
              </w:rPr>
            </w:pPr>
            <w:r w:rsidRPr="00757ED8">
              <w:rPr>
                <w:color w:val="010205"/>
              </w:rPr>
              <w:t>-0.114</w:t>
            </w:r>
          </w:p>
        </w:tc>
        <w:tc>
          <w:tcPr>
            <w:tcW w:w="868" w:type="dxa"/>
            <w:tcBorders>
              <w:top w:val="single" w:sz="8" w:space="0" w:color="7F7F7F"/>
              <w:left w:val="nil"/>
              <w:bottom w:val="single" w:sz="8" w:space="0" w:color="7F7F7F"/>
              <w:right w:val="nil"/>
            </w:tcBorders>
            <w:shd w:val="clear" w:color="auto" w:fill="auto"/>
            <w:noWrap/>
            <w:vAlign w:val="center"/>
            <w:hideMark/>
          </w:tcPr>
          <w:p w14:paraId="05149D2F" w14:textId="77777777" w:rsidR="00B8286D" w:rsidRPr="00757ED8" w:rsidRDefault="00B8286D" w:rsidP="00612B89">
            <w:pPr>
              <w:jc w:val="center"/>
              <w:rPr>
                <w:color w:val="010205"/>
              </w:rPr>
            </w:pPr>
            <w:r w:rsidRPr="00757ED8">
              <w:rPr>
                <w:color w:val="010205"/>
              </w:rPr>
              <w:t>-0.164</w:t>
            </w:r>
          </w:p>
        </w:tc>
        <w:tc>
          <w:tcPr>
            <w:tcW w:w="1062" w:type="dxa"/>
            <w:tcBorders>
              <w:top w:val="single" w:sz="8" w:space="0" w:color="7F7F7F"/>
              <w:left w:val="nil"/>
              <w:bottom w:val="single" w:sz="8" w:space="0" w:color="7F7F7F"/>
              <w:right w:val="nil"/>
            </w:tcBorders>
            <w:shd w:val="clear" w:color="auto" w:fill="auto"/>
            <w:noWrap/>
            <w:vAlign w:val="center"/>
            <w:hideMark/>
          </w:tcPr>
          <w:p w14:paraId="02DEBE0A" w14:textId="77777777" w:rsidR="00B8286D" w:rsidRPr="00757ED8" w:rsidRDefault="00B8286D" w:rsidP="00612B89">
            <w:pPr>
              <w:jc w:val="center"/>
              <w:rPr>
                <w:color w:val="010205"/>
              </w:rPr>
            </w:pPr>
            <w:r w:rsidRPr="00757ED8">
              <w:rPr>
                <w:color w:val="010205"/>
              </w:rPr>
              <w:t>-0.122</w:t>
            </w:r>
          </w:p>
        </w:tc>
        <w:tc>
          <w:tcPr>
            <w:tcW w:w="868" w:type="dxa"/>
            <w:tcBorders>
              <w:top w:val="single" w:sz="8" w:space="0" w:color="7F7F7F"/>
              <w:left w:val="nil"/>
              <w:bottom w:val="single" w:sz="8" w:space="0" w:color="7F7F7F"/>
              <w:right w:val="nil"/>
            </w:tcBorders>
            <w:shd w:val="clear" w:color="auto" w:fill="auto"/>
            <w:noWrap/>
            <w:vAlign w:val="center"/>
            <w:hideMark/>
          </w:tcPr>
          <w:p w14:paraId="362D2E52" w14:textId="77777777" w:rsidR="00B8286D" w:rsidRPr="00757ED8" w:rsidRDefault="00B8286D" w:rsidP="00612B89">
            <w:pPr>
              <w:jc w:val="center"/>
              <w:rPr>
                <w:color w:val="010205"/>
              </w:rPr>
            </w:pPr>
            <w:r w:rsidRPr="00757ED8">
              <w:rPr>
                <w:color w:val="010205"/>
              </w:rPr>
              <w:t>-0.175</w:t>
            </w:r>
          </w:p>
        </w:tc>
      </w:tr>
      <w:tr w:rsidR="00B8286D" w:rsidRPr="00757ED8" w14:paraId="59793248" w14:textId="77777777" w:rsidTr="00DF1954">
        <w:trPr>
          <w:trHeight w:val="337"/>
        </w:trPr>
        <w:tc>
          <w:tcPr>
            <w:tcW w:w="3489" w:type="dxa"/>
            <w:tcBorders>
              <w:top w:val="nil"/>
              <w:left w:val="nil"/>
              <w:bottom w:val="nil"/>
              <w:right w:val="nil"/>
            </w:tcBorders>
            <w:shd w:val="clear" w:color="auto" w:fill="auto"/>
            <w:noWrap/>
            <w:vAlign w:val="center"/>
            <w:hideMark/>
          </w:tcPr>
          <w:p w14:paraId="62C8969B" w14:textId="77777777" w:rsidR="00B8286D" w:rsidRPr="00757ED8" w:rsidRDefault="00B8286D" w:rsidP="00612B89">
            <w:pPr>
              <w:jc w:val="right"/>
              <w:rPr>
                <w:b/>
                <w:bCs/>
                <w:color w:val="000000"/>
              </w:rPr>
            </w:pPr>
            <w:r w:rsidRPr="00757ED8">
              <w:rPr>
                <w:b/>
                <w:bCs/>
                <w:color w:val="000000"/>
              </w:rPr>
              <w:t>Years of service</w:t>
            </w:r>
          </w:p>
        </w:tc>
        <w:tc>
          <w:tcPr>
            <w:tcW w:w="1062" w:type="dxa"/>
            <w:tcBorders>
              <w:top w:val="nil"/>
              <w:left w:val="nil"/>
              <w:bottom w:val="nil"/>
              <w:right w:val="nil"/>
            </w:tcBorders>
            <w:shd w:val="clear" w:color="auto" w:fill="auto"/>
            <w:noWrap/>
            <w:hideMark/>
          </w:tcPr>
          <w:p w14:paraId="4446943F" w14:textId="77777777" w:rsidR="00B8286D" w:rsidRPr="00757ED8" w:rsidRDefault="00B8286D" w:rsidP="00612B89">
            <w:pPr>
              <w:jc w:val="right"/>
              <w:rPr>
                <w:b/>
                <w:bCs/>
                <w:color w:val="000000"/>
              </w:rPr>
            </w:pPr>
          </w:p>
        </w:tc>
        <w:tc>
          <w:tcPr>
            <w:tcW w:w="868" w:type="dxa"/>
            <w:tcBorders>
              <w:top w:val="nil"/>
              <w:left w:val="nil"/>
              <w:bottom w:val="nil"/>
              <w:right w:val="nil"/>
            </w:tcBorders>
            <w:shd w:val="clear" w:color="auto" w:fill="auto"/>
            <w:noWrap/>
            <w:hideMark/>
          </w:tcPr>
          <w:p w14:paraId="62B209DB" w14:textId="77777777" w:rsidR="00B8286D" w:rsidRPr="00757ED8" w:rsidRDefault="00B8286D" w:rsidP="00612B89"/>
        </w:tc>
        <w:tc>
          <w:tcPr>
            <w:tcW w:w="1062" w:type="dxa"/>
            <w:tcBorders>
              <w:top w:val="nil"/>
              <w:left w:val="nil"/>
              <w:bottom w:val="nil"/>
              <w:right w:val="nil"/>
            </w:tcBorders>
            <w:shd w:val="clear" w:color="auto" w:fill="auto"/>
            <w:noWrap/>
            <w:vAlign w:val="center"/>
            <w:hideMark/>
          </w:tcPr>
          <w:p w14:paraId="6330EFA6" w14:textId="77777777" w:rsidR="00B8286D" w:rsidRPr="00757ED8" w:rsidRDefault="00B8286D" w:rsidP="00612B89">
            <w:pPr>
              <w:jc w:val="center"/>
              <w:rPr>
                <w:color w:val="010205"/>
              </w:rPr>
            </w:pPr>
            <w:r w:rsidRPr="00757ED8">
              <w:rPr>
                <w:color w:val="010205"/>
              </w:rPr>
              <w:t>0.004</w:t>
            </w:r>
          </w:p>
        </w:tc>
        <w:tc>
          <w:tcPr>
            <w:tcW w:w="868" w:type="dxa"/>
            <w:tcBorders>
              <w:top w:val="nil"/>
              <w:left w:val="nil"/>
              <w:bottom w:val="nil"/>
              <w:right w:val="nil"/>
            </w:tcBorders>
            <w:shd w:val="clear" w:color="auto" w:fill="auto"/>
            <w:noWrap/>
            <w:vAlign w:val="center"/>
            <w:hideMark/>
          </w:tcPr>
          <w:p w14:paraId="67668C05" w14:textId="77777777" w:rsidR="00B8286D" w:rsidRPr="00757ED8" w:rsidRDefault="00B8286D" w:rsidP="00612B89">
            <w:pPr>
              <w:jc w:val="center"/>
              <w:rPr>
                <w:color w:val="010205"/>
              </w:rPr>
            </w:pPr>
            <w:r w:rsidRPr="00757ED8">
              <w:rPr>
                <w:color w:val="010205"/>
              </w:rPr>
              <w:t>0.07</w:t>
            </w:r>
          </w:p>
        </w:tc>
        <w:tc>
          <w:tcPr>
            <w:tcW w:w="1062" w:type="dxa"/>
            <w:tcBorders>
              <w:top w:val="nil"/>
              <w:left w:val="nil"/>
              <w:bottom w:val="nil"/>
              <w:right w:val="nil"/>
            </w:tcBorders>
            <w:shd w:val="clear" w:color="auto" w:fill="auto"/>
            <w:noWrap/>
            <w:vAlign w:val="center"/>
            <w:hideMark/>
          </w:tcPr>
          <w:p w14:paraId="6416780D" w14:textId="77777777" w:rsidR="00B8286D" w:rsidRPr="00757ED8" w:rsidRDefault="00B8286D" w:rsidP="00612B89">
            <w:pPr>
              <w:jc w:val="center"/>
              <w:rPr>
                <w:color w:val="010205"/>
              </w:rPr>
            </w:pPr>
            <w:r w:rsidRPr="00757ED8">
              <w:rPr>
                <w:color w:val="010205"/>
              </w:rPr>
              <w:t>0.004</w:t>
            </w:r>
          </w:p>
        </w:tc>
        <w:tc>
          <w:tcPr>
            <w:tcW w:w="868" w:type="dxa"/>
            <w:tcBorders>
              <w:top w:val="nil"/>
              <w:left w:val="nil"/>
              <w:bottom w:val="nil"/>
              <w:right w:val="nil"/>
            </w:tcBorders>
            <w:shd w:val="clear" w:color="auto" w:fill="auto"/>
            <w:noWrap/>
            <w:vAlign w:val="center"/>
            <w:hideMark/>
          </w:tcPr>
          <w:p w14:paraId="4D087B90" w14:textId="77777777" w:rsidR="00B8286D" w:rsidRPr="00757ED8" w:rsidRDefault="00B8286D" w:rsidP="00612B89">
            <w:pPr>
              <w:jc w:val="center"/>
              <w:rPr>
                <w:color w:val="010205"/>
              </w:rPr>
            </w:pPr>
            <w:r w:rsidRPr="00757ED8">
              <w:rPr>
                <w:color w:val="010205"/>
              </w:rPr>
              <w:t>0.072</w:t>
            </w:r>
          </w:p>
        </w:tc>
      </w:tr>
      <w:tr w:rsidR="00B8286D" w:rsidRPr="00757ED8" w14:paraId="22F4D3AE"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198ACE5F" w14:textId="77777777" w:rsidR="00B8286D" w:rsidRPr="00757ED8" w:rsidRDefault="00B8286D" w:rsidP="00612B89">
            <w:pPr>
              <w:jc w:val="right"/>
              <w:rPr>
                <w:b/>
                <w:bCs/>
                <w:color w:val="000000"/>
              </w:rPr>
            </w:pPr>
            <w:r w:rsidRPr="00757ED8">
              <w:rPr>
                <w:b/>
                <w:bCs/>
                <w:color w:val="000000"/>
              </w:rPr>
              <w:t>Percentage of practical work in role</w:t>
            </w:r>
          </w:p>
        </w:tc>
        <w:tc>
          <w:tcPr>
            <w:tcW w:w="1062" w:type="dxa"/>
            <w:tcBorders>
              <w:top w:val="single" w:sz="8" w:space="0" w:color="7F7F7F"/>
              <w:left w:val="nil"/>
              <w:bottom w:val="single" w:sz="8" w:space="0" w:color="7F7F7F"/>
              <w:right w:val="nil"/>
            </w:tcBorders>
            <w:shd w:val="clear" w:color="auto" w:fill="auto"/>
            <w:noWrap/>
            <w:hideMark/>
          </w:tcPr>
          <w:p w14:paraId="7D1BE0A9"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31869E8B"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hideMark/>
          </w:tcPr>
          <w:p w14:paraId="147D0ABF"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1C120978"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vAlign w:val="center"/>
            <w:hideMark/>
          </w:tcPr>
          <w:p w14:paraId="7B021064" w14:textId="77777777" w:rsidR="00B8286D" w:rsidRPr="00757ED8" w:rsidRDefault="00B8286D" w:rsidP="00612B89">
            <w:pPr>
              <w:jc w:val="center"/>
              <w:rPr>
                <w:color w:val="010205"/>
              </w:rPr>
            </w:pPr>
            <w:r w:rsidRPr="00757ED8">
              <w:rPr>
                <w:color w:val="010205"/>
              </w:rPr>
              <w:t>0</w:t>
            </w:r>
          </w:p>
        </w:tc>
        <w:tc>
          <w:tcPr>
            <w:tcW w:w="868" w:type="dxa"/>
            <w:tcBorders>
              <w:top w:val="single" w:sz="8" w:space="0" w:color="7F7F7F"/>
              <w:left w:val="nil"/>
              <w:bottom w:val="single" w:sz="8" w:space="0" w:color="7F7F7F"/>
              <w:right w:val="nil"/>
            </w:tcBorders>
            <w:shd w:val="clear" w:color="auto" w:fill="auto"/>
            <w:noWrap/>
            <w:vAlign w:val="center"/>
            <w:hideMark/>
          </w:tcPr>
          <w:p w14:paraId="193BB754" w14:textId="77777777" w:rsidR="00B8286D" w:rsidRPr="00757ED8" w:rsidRDefault="00B8286D" w:rsidP="00612B89">
            <w:pPr>
              <w:jc w:val="center"/>
              <w:rPr>
                <w:color w:val="010205"/>
              </w:rPr>
            </w:pPr>
            <w:r w:rsidRPr="00757ED8">
              <w:rPr>
                <w:color w:val="010205"/>
              </w:rPr>
              <w:t>-0.006</w:t>
            </w:r>
          </w:p>
        </w:tc>
      </w:tr>
      <w:tr w:rsidR="00B8286D" w:rsidRPr="00757ED8" w14:paraId="559EE88A" w14:textId="77777777" w:rsidTr="00DF1954">
        <w:trPr>
          <w:trHeight w:val="337"/>
        </w:trPr>
        <w:tc>
          <w:tcPr>
            <w:tcW w:w="3489" w:type="dxa"/>
            <w:tcBorders>
              <w:top w:val="nil"/>
              <w:left w:val="nil"/>
              <w:bottom w:val="nil"/>
              <w:right w:val="nil"/>
            </w:tcBorders>
            <w:shd w:val="clear" w:color="auto" w:fill="auto"/>
            <w:noWrap/>
            <w:vAlign w:val="center"/>
            <w:hideMark/>
          </w:tcPr>
          <w:p w14:paraId="25697C99" w14:textId="77777777" w:rsidR="00B8286D" w:rsidRPr="00757ED8" w:rsidRDefault="00B8286D" w:rsidP="00612B89">
            <w:pPr>
              <w:jc w:val="right"/>
              <w:rPr>
                <w:b/>
                <w:bCs/>
                <w:color w:val="000000"/>
              </w:rPr>
            </w:pPr>
            <w:r w:rsidRPr="00757ED8">
              <w:rPr>
                <w:b/>
                <w:bCs/>
                <w:color w:val="000000"/>
              </w:rPr>
              <w:t>Average frequency of MSK role risk activities</w:t>
            </w:r>
          </w:p>
        </w:tc>
        <w:tc>
          <w:tcPr>
            <w:tcW w:w="1062" w:type="dxa"/>
            <w:tcBorders>
              <w:top w:val="nil"/>
              <w:left w:val="nil"/>
              <w:bottom w:val="nil"/>
              <w:right w:val="nil"/>
            </w:tcBorders>
            <w:shd w:val="clear" w:color="auto" w:fill="auto"/>
            <w:noWrap/>
            <w:hideMark/>
          </w:tcPr>
          <w:p w14:paraId="5ADDD0DF" w14:textId="77777777" w:rsidR="00B8286D" w:rsidRPr="00757ED8" w:rsidRDefault="00B8286D" w:rsidP="00612B89">
            <w:pPr>
              <w:jc w:val="right"/>
              <w:rPr>
                <w:b/>
                <w:bCs/>
                <w:color w:val="000000"/>
              </w:rPr>
            </w:pPr>
          </w:p>
        </w:tc>
        <w:tc>
          <w:tcPr>
            <w:tcW w:w="868" w:type="dxa"/>
            <w:tcBorders>
              <w:top w:val="nil"/>
              <w:left w:val="nil"/>
              <w:bottom w:val="nil"/>
              <w:right w:val="nil"/>
            </w:tcBorders>
            <w:shd w:val="clear" w:color="auto" w:fill="auto"/>
            <w:noWrap/>
            <w:hideMark/>
          </w:tcPr>
          <w:p w14:paraId="0AA2EC4F" w14:textId="77777777" w:rsidR="00B8286D" w:rsidRPr="00757ED8" w:rsidRDefault="00B8286D" w:rsidP="00612B89"/>
        </w:tc>
        <w:tc>
          <w:tcPr>
            <w:tcW w:w="1062" w:type="dxa"/>
            <w:tcBorders>
              <w:top w:val="nil"/>
              <w:left w:val="nil"/>
              <w:bottom w:val="nil"/>
              <w:right w:val="nil"/>
            </w:tcBorders>
            <w:shd w:val="clear" w:color="auto" w:fill="auto"/>
            <w:noWrap/>
            <w:hideMark/>
          </w:tcPr>
          <w:p w14:paraId="27503864" w14:textId="77777777" w:rsidR="00B8286D" w:rsidRPr="00757ED8" w:rsidRDefault="00B8286D" w:rsidP="00612B89"/>
        </w:tc>
        <w:tc>
          <w:tcPr>
            <w:tcW w:w="868" w:type="dxa"/>
            <w:tcBorders>
              <w:top w:val="nil"/>
              <w:left w:val="nil"/>
              <w:bottom w:val="nil"/>
              <w:right w:val="nil"/>
            </w:tcBorders>
            <w:shd w:val="clear" w:color="auto" w:fill="auto"/>
            <w:noWrap/>
            <w:hideMark/>
          </w:tcPr>
          <w:p w14:paraId="4B9015D1" w14:textId="77777777" w:rsidR="00B8286D" w:rsidRPr="00757ED8" w:rsidRDefault="00B8286D" w:rsidP="00612B89"/>
        </w:tc>
        <w:tc>
          <w:tcPr>
            <w:tcW w:w="1062" w:type="dxa"/>
            <w:tcBorders>
              <w:top w:val="nil"/>
              <w:left w:val="nil"/>
              <w:bottom w:val="nil"/>
              <w:right w:val="nil"/>
            </w:tcBorders>
            <w:shd w:val="clear" w:color="auto" w:fill="auto"/>
            <w:noWrap/>
            <w:vAlign w:val="center"/>
            <w:hideMark/>
          </w:tcPr>
          <w:p w14:paraId="71A1C352" w14:textId="77777777" w:rsidR="00B8286D" w:rsidRPr="00757ED8" w:rsidRDefault="00B8286D" w:rsidP="00612B89">
            <w:pPr>
              <w:jc w:val="center"/>
              <w:rPr>
                <w:color w:val="010205"/>
              </w:rPr>
            </w:pPr>
            <w:r w:rsidRPr="00757ED8">
              <w:rPr>
                <w:color w:val="010205"/>
              </w:rPr>
              <w:t>0.165*</w:t>
            </w:r>
          </w:p>
        </w:tc>
        <w:tc>
          <w:tcPr>
            <w:tcW w:w="868" w:type="dxa"/>
            <w:tcBorders>
              <w:top w:val="nil"/>
              <w:left w:val="nil"/>
              <w:bottom w:val="nil"/>
              <w:right w:val="nil"/>
            </w:tcBorders>
            <w:shd w:val="clear" w:color="auto" w:fill="auto"/>
            <w:noWrap/>
            <w:vAlign w:val="center"/>
            <w:hideMark/>
          </w:tcPr>
          <w:p w14:paraId="65CF1D2B" w14:textId="77777777" w:rsidR="00B8286D" w:rsidRPr="00757ED8" w:rsidRDefault="00B8286D" w:rsidP="00612B89">
            <w:pPr>
              <w:jc w:val="center"/>
              <w:rPr>
                <w:color w:val="010205"/>
              </w:rPr>
            </w:pPr>
            <w:r w:rsidRPr="00757ED8">
              <w:rPr>
                <w:color w:val="010205"/>
              </w:rPr>
              <w:t>0.249</w:t>
            </w:r>
          </w:p>
        </w:tc>
      </w:tr>
      <w:tr w:rsidR="00B8286D" w:rsidRPr="00757ED8" w14:paraId="727B6452" w14:textId="77777777" w:rsidTr="00DF1954">
        <w:trPr>
          <w:trHeight w:val="337"/>
        </w:trPr>
        <w:tc>
          <w:tcPr>
            <w:tcW w:w="3489" w:type="dxa"/>
            <w:tcBorders>
              <w:top w:val="single" w:sz="8" w:space="0" w:color="7F7F7F"/>
              <w:left w:val="nil"/>
              <w:bottom w:val="single" w:sz="8" w:space="0" w:color="7F7F7F"/>
              <w:right w:val="nil"/>
            </w:tcBorders>
            <w:shd w:val="clear" w:color="auto" w:fill="auto"/>
            <w:noWrap/>
            <w:vAlign w:val="center"/>
            <w:hideMark/>
          </w:tcPr>
          <w:p w14:paraId="4C4BE1E1" w14:textId="77777777" w:rsidR="00B8286D" w:rsidRPr="00757ED8" w:rsidRDefault="00B8286D" w:rsidP="00612B89">
            <w:pPr>
              <w:jc w:val="right"/>
              <w:rPr>
                <w:b/>
                <w:bCs/>
                <w:color w:val="000000"/>
              </w:rPr>
            </w:pPr>
            <w:r w:rsidRPr="00757ED8">
              <w:rPr>
                <w:b/>
                <w:bCs/>
                <w:color w:val="000000"/>
              </w:rPr>
              <w:t>Provision of MSK protective factors</w:t>
            </w:r>
          </w:p>
        </w:tc>
        <w:tc>
          <w:tcPr>
            <w:tcW w:w="1062" w:type="dxa"/>
            <w:tcBorders>
              <w:top w:val="single" w:sz="8" w:space="0" w:color="7F7F7F"/>
              <w:left w:val="nil"/>
              <w:bottom w:val="single" w:sz="8" w:space="0" w:color="7F7F7F"/>
              <w:right w:val="nil"/>
            </w:tcBorders>
            <w:shd w:val="clear" w:color="auto" w:fill="auto"/>
            <w:noWrap/>
            <w:hideMark/>
          </w:tcPr>
          <w:p w14:paraId="16255639"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3169883F"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hideMark/>
          </w:tcPr>
          <w:p w14:paraId="389CB3ED" w14:textId="77777777" w:rsidR="00B8286D" w:rsidRPr="00757ED8" w:rsidRDefault="00B8286D" w:rsidP="00612B89">
            <w:pPr>
              <w:rPr>
                <w:color w:val="000000"/>
              </w:rPr>
            </w:pPr>
            <w:r w:rsidRPr="00757ED8">
              <w:rPr>
                <w:color w:val="000000"/>
              </w:rPr>
              <w:t> </w:t>
            </w:r>
          </w:p>
        </w:tc>
        <w:tc>
          <w:tcPr>
            <w:tcW w:w="868" w:type="dxa"/>
            <w:tcBorders>
              <w:top w:val="single" w:sz="8" w:space="0" w:color="7F7F7F"/>
              <w:left w:val="nil"/>
              <w:bottom w:val="single" w:sz="8" w:space="0" w:color="7F7F7F"/>
              <w:right w:val="nil"/>
            </w:tcBorders>
            <w:shd w:val="clear" w:color="auto" w:fill="auto"/>
            <w:noWrap/>
            <w:hideMark/>
          </w:tcPr>
          <w:p w14:paraId="6EAF592C" w14:textId="77777777" w:rsidR="00B8286D" w:rsidRPr="00757ED8" w:rsidRDefault="00B8286D" w:rsidP="00612B89">
            <w:pPr>
              <w:rPr>
                <w:color w:val="000000"/>
              </w:rPr>
            </w:pPr>
            <w:r w:rsidRPr="00757ED8">
              <w:rPr>
                <w:color w:val="000000"/>
              </w:rPr>
              <w:t> </w:t>
            </w:r>
          </w:p>
        </w:tc>
        <w:tc>
          <w:tcPr>
            <w:tcW w:w="1062" w:type="dxa"/>
            <w:tcBorders>
              <w:top w:val="single" w:sz="8" w:space="0" w:color="7F7F7F"/>
              <w:left w:val="nil"/>
              <w:bottom w:val="single" w:sz="8" w:space="0" w:color="7F7F7F"/>
              <w:right w:val="nil"/>
            </w:tcBorders>
            <w:shd w:val="clear" w:color="auto" w:fill="auto"/>
            <w:noWrap/>
            <w:vAlign w:val="center"/>
            <w:hideMark/>
          </w:tcPr>
          <w:p w14:paraId="57FCD12A" w14:textId="77777777" w:rsidR="00B8286D" w:rsidRPr="00757ED8" w:rsidRDefault="00B8286D" w:rsidP="00612B89">
            <w:pPr>
              <w:jc w:val="center"/>
              <w:rPr>
                <w:color w:val="010205"/>
              </w:rPr>
            </w:pPr>
            <w:r w:rsidRPr="00757ED8">
              <w:rPr>
                <w:color w:val="010205"/>
              </w:rPr>
              <w:t>0.11</w:t>
            </w:r>
          </w:p>
        </w:tc>
        <w:tc>
          <w:tcPr>
            <w:tcW w:w="868" w:type="dxa"/>
            <w:tcBorders>
              <w:top w:val="single" w:sz="8" w:space="0" w:color="7F7F7F"/>
              <w:left w:val="nil"/>
              <w:bottom w:val="single" w:sz="8" w:space="0" w:color="7F7F7F"/>
              <w:right w:val="nil"/>
            </w:tcBorders>
            <w:shd w:val="clear" w:color="auto" w:fill="auto"/>
            <w:noWrap/>
            <w:vAlign w:val="center"/>
            <w:hideMark/>
          </w:tcPr>
          <w:p w14:paraId="18F10C8E" w14:textId="77777777" w:rsidR="00B8286D" w:rsidRPr="00757ED8" w:rsidRDefault="00B8286D" w:rsidP="00612B89">
            <w:pPr>
              <w:jc w:val="center"/>
              <w:rPr>
                <w:color w:val="010205"/>
              </w:rPr>
            </w:pPr>
            <w:r w:rsidRPr="00757ED8">
              <w:rPr>
                <w:color w:val="010205"/>
              </w:rPr>
              <w:t>0.097</w:t>
            </w:r>
          </w:p>
        </w:tc>
      </w:tr>
    </w:tbl>
    <w:p w14:paraId="02C49B99" w14:textId="77777777" w:rsidR="00B8286D" w:rsidRDefault="00B8286D" w:rsidP="00B8286D">
      <w:pPr>
        <w:spacing w:line="480" w:lineRule="auto"/>
        <w:rPr>
          <w:rFonts w:cstheme="minorHAnsi"/>
          <w:b/>
          <w:bCs/>
          <w:sz w:val="22"/>
          <w:szCs w:val="22"/>
        </w:rPr>
      </w:pPr>
    </w:p>
    <w:p w14:paraId="7CB03384" w14:textId="77777777" w:rsidR="00EE2AD2" w:rsidRDefault="00EE2AD2" w:rsidP="00B8286D">
      <w:pPr>
        <w:spacing w:line="480" w:lineRule="auto"/>
        <w:rPr>
          <w:rFonts w:cstheme="minorHAnsi"/>
          <w:b/>
          <w:bCs/>
          <w:sz w:val="22"/>
          <w:szCs w:val="22"/>
        </w:rPr>
      </w:pPr>
    </w:p>
    <w:p w14:paraId="03B0CF7B" w14:textId="719FC7EB" w:rsidR="003E7AE0" w:rsidRPr="00757ED8" w:rsidRDefault="008F6562" w:rsidP="00EE2AD2">
      <w:pPr>
        <w:rPr>
          <w:rFonts w:cstheme="minorHAnsi"/>
          <w:b/>
          <w:bCs/>
        </w:rPr>
      </w:pPr>
      <w:r w:rsidRPr="00757ED8">
        <w:rPr>
          <w:rFonts w:cstheme="minorHAnsi"/>
          <w:b/>
          <w:bCs/>
        </w:rPr>
        <w:t xml:space="preserve">Hierarchical </w:t>
      </w:r>
      <w:r w:rsidR="00524D3F">
        <w:rPr>
          <w:rFonts w:cstheme="minorHAnsi"/>
          <w:b/>
          <w:bCs/>
        </w:rPr>
        <w:t>s</w:t>
      </w:r>
      <w:r w:rsidRPr="00757ED8">
        <w:rPr>
          <w:rFonts w:cstheme="minorHAnsi"/>
          <w:b/>
          <w:bCs/>
        </w:rPr>
        <w:t xml:space="preserve">tepwise </w:t>
      </w:r>
      <w:r w:rsidR="00524D3F">
        <w:rPr>
          <w:rFonts w:cstheme="minorHAnsi"/>
          <w:b/>
          <w:bCs/>
        </w:rPr>
        <w:t>b</w:t>
      </w:r>
      <w:r w:rsidR="00EE2AD2" w:rsidRPr="00757ED8">
        <w:rPr>
          <w:rFonts w:cstheme="minorHAnsi"/>
          <w:b/>
          <w:bCs/>
        </w:rPr>
        <w:t xml:space="preserve">inary </w:t>
      </w:r>
      <w:r w:rsidR="00524D3F">
        <w:rPr>
          <w:rFonts w:cstheme="minorHAnsi"/>
          <w:b/>
          <w:bCs/>
        </w:rPr>
        <w:t>l</w:t>
      </w:r>
      <w:r w:rsidR="00EE2AD2" w:rsidRPr="00757ED8">
        <w:rPr>
          <w:rFonts w:cstheme="minorHAnsi"/>
          <w:b/>
          <w:bCs/>
        </w:rPr>
        <w:t>ogistic</w:t>
      </w:r>
      <w:r w:rsidRPr="00757ED8">
        <w:rPr>
          <w:rFonts w:cstheme="minorHAnsi"/>
          <w:b/>
          <w:bCs/>
        </w:rPr>
        <w:t xml:space="preserve"> </w:t>
      </w:r>
      <w:r w:rsidR="00524D3F">
        <w:rPr>
          <w:rFonts w:cstheme="minorHAnsi"/>
          <w:b/>
          <w:bCs/>
        </w:rPr>
        <w:t>r</w:t>
      </w:r>
      <w:r w:rsidRPr="00757ED8">
        <w:rPr>
          <w:rFonts w:cstheme="minorHAnsi"/>
          <w:b/>
          <w:bCs/>
        </w:rPr>
        <w:t xml:space="preserve">egression of individual, working, and role/environmental factors for </w:t>
      </w:r>
      <w:r w:rsidR="00EE2AD2" w:rsidRPr="00757ED8">
        <w:rPr>
          <w:rFonts w:cstheme="minorHAnsi"/>
          <w:b/>
          <w:bCs/>
        </w:rPr>
        <w:t>employment measures.</w:t>
      </w:r>
      <w:r w:rsidRPr="00757ED8">
        <w:rPr>
          <w:rFonts w:cstheme="minorHAnsi"/>
          <w:b/>
          <w:bCs/>
        </w:rPr>
        <w:t xml:space="preserve"> </w:t>
      </w:r>
    </w:p>
    <w:p w14:paraId="5BA20F2D" w14:textId="77777777" w:rsidR="00EE2AD2" w:rsidRDefault="00EE2AD2" w:rsidP="00EE2AD2">
      <w:pPr>
        <w:rPr>
          <w:rFonts w:cstheme="minorHAnsi"/>
          <w:b/>
          <w:bCs/>
          <w:sz w:val="22"/>
          <w:szCs w:val="22"/>
        </w:rPr>
      </w:pPr>
    </w:p>
    <w:p w14:paraId="6E441793" w14:textId="67313F9E" w:rsidR="00B8286D" w:rsidRPr="00757ED8" w:rsidRDefault="00B8286D">
      <w:pPr>
        <w:rPr>
          <w:rFonts w:cstheme="minorHAnsi"/>
          <w:b/>
          <w:bCs/>
        </w:rPr>
      </w:pPr>
      <w:r w:rsidRPr="00757ED8">
        <w:rPr>
          <w:rFonts w:cstheme="minorHAnsi"/>
          <w:b/>
          <w:bCs/>
        </w:rPr>
        <w:t xml:space="preserve">Table </w:t>
      </w:r>
      <w:r w:rsidR="00D025FF" w:rsidRPr="00757ED8">
        <w:rPr>
          <w:rFonts w:cstheme="minorHAnsi"/>
          <w:b/>
          <w:bCs/>
        </w:rPr>
        <w:t>5</w:t>
      </w:r>
    </w:p>
    <w:tbl>
      <w:tblPr>
        <w:tblW w:w="8738" w:type="dxa"/>
        <w:tblLook w:val="04A0" w:firstRow="1" w:lastRow="0" w:firstColumn="1" w:lastColumn="0" w:noHBand="0" w:noVBand="1"/>
      </w:tblPr>
      <w:tblGrid>
        <w:gridCol w:w="2177"/>
        <w:gridCol w:w="706"/>
        <w:gridCol w:w="598"/>
        <w:gridCol w:w="707"/>
        <w:gridCol w:w="398"/>
        <w:gridCol w:w="1034"/>
        <w:gridCol w:w="1720"/>
        <w:gridCol w:w="761"/>
        <w:gridCol w:w="925"/>
      </w:tblGrid>
      <w:tr w:rsidR="003E7AE0" w:rsidRPr="00757ED8" w14:paraId="18E2BD11" w14:textId="77777777" w:rsidTr="003E7AE0">
        <w:trPr>
          <w:trHeight w:val="358"/>
        </w:trPr>
        <w:tc>
          <w:tcPr>
            <w:tcW w:w="2975" w:type="dxa"/>
            <w:gridSpan w:val="2"/>
            <w:tcBorders>
              <w:top w:val="single" w:sz="8" w:space="0" w:color="7F7F7F"/>
              <w:left w:val="nil"/>
              <w:bottom w:val="single" w:sz="8" w:space="0" w:color="7F7F7F"/>
              <w:right w:val="nil"/>
            </w:tcBorders>
            <w:shd w:val="clear" w:color="auto" w:fill="auto"/>
            <w:noWrap/>
            <w:vAlign w:val="center"/>
            <w:hideMark/>
          </w:tcPr>
          <w:p w14:paraId="68348A57" w14:textId="77777777" w:rsidR="003E7AE0" w:rsidRPr="00757ED8" w:rsidRDefault="003E7AE0" w:rsidP="003E7AE0">
            <w:pPr>
              <w:jc w:val="center"/>
              <w:rPr>
                <w:color w:val="000000"/>
              </w:rPr>
            </w:pPr>
            <w:r w:rsidRPr="00757ED8">
              <w:rPr>
                <w:color w:val="000000"/>
              </w:rPr>
              <w:t>Variables in the Equation</w:t>
            </w:r>
          </w:p>
        </w:tc>
        <w:tc>
          <w:tcPr>
            <w:tcW w:w="533" w:type="dxa"/>
            <w:tcBorders>
              <w:top w:val="single" w:sz="8" w:space="0" w:color="7F7F7F"/>
              <w:left w:val="nil"/>
              <w:bottom w:val="single" w:sz="8" w:space="0" w:color="7F7F7F"/>
              <w:right w:val="nil"/>
            </w:tcBorders>
            <w:shd w:val="clear" w:color="auto" w:fill="auto"/>
            <w:noWrap/>
            <w:vAlign w:val="center"/>
            <w:hideMark/>
          </w:tcPr>
          <w:p w14:paraId="42AC25F7" w14:textId="77777777" w:rsidR="003E7AE0" w:rsidRPr="00757ED8" w:rsidRDefault="003E7AE0" w:rsidP="003E7AE0">
            <w:pPr>
              <w:rPr>
                <w:color w:val="000000"/>
              </w:rPr>
            </w:pPr>
            <w:r w:rsidRPr="00757ED8">
              <w:rPr>
                <w:color w:val="000000"/>
              </w:rPr>
              <w:t> </w:t>
            </w:r>
          </w:p>
        </w:tc>
        <w:tc>
          <w:tcPr>
            <w:tcW w:w="3799" w:type="dxa"/>
            <w:gridSpan w:val="4"/>
            <w:tcBorders>
              <w:top w:val="single" w:sz="8" w:space="0" w:color="7F7F7F"/>
              <w:left w:val="nil"/>
              <w:bottom w:val="single" w:sz="8" w:space="0" w:color="7F7F7F"/>
              <w:right w:val="nil"/>
            </w:tcBorders>
            <w:shd w:val="clear" w:color="auto" w:fill="auto"/>
            <w:noWrap/>
            <w:vAlign w:val="center"/>
            <w:hideMark/>
          </w:tcPr>
          <w:p w14:paraId="61393FF5" w14:textId="77777777" w:rsidR="003E7AE0" w:rsidRPr="00757ED8" w:rsidRDefault="003E7AE0" w:rsidP="003E7AE0">
            <w:pPr>
              <w:rPr>
                <w:b/>
                <w:bCs/>
                <w:color w:val="000000"/>
              </w:rPr>
            </w:pPr>
            <w:r w:rsidRPr="00757ED8">
              <w:rPr>
                <w:b/>
                <w:bCs/>
                <w:color w:val="000000"/>
              </w:rPr>
              <w:t xml:space="preserve">Considered Changing job due to MSK health </w:t>
            </w:r>
          </w:p>
        </w:tc>
        <w:tc>
          <w:tcPr>
            <w:tcW w:w="648" w:type="dxa"/>
            <w:tcBorders>
              <w:top w:val="single" w:sz="8" w:space="0" w:color="7F7F7F"/>
              <w:left w:val="nil"/>
              <w:bottom w:val="single" w:sz="8" w:space="0" w:color="7F7F7F"/>
              <w:right w:val="nil"/>
            </w:tcBorders>
            <w:shd w:val="clear" w:color="auto" w:fill="auto"/>
            <w:noWrap/>
            <w:vAlign w:val="center"/>
            <w:hideMark/>
          </w:tcPr>
          <w:p w14:paraId="6C5781ED" w14:textId="77777777" w:rsidR="003E7AE0" w:rsidRPr="00757ED8" w:rsidRDefault="003E7AE0" w:rsidP="003E7AE0">
            <w:pPr>
              <w:rPr>
                <w:color w:val="000000"/>
              </w:rPr>
            </w:pPr>
            <w:r w:rsidRPr="00757ED8">
              <w:rPr>
                <w:color w:val="000000"/>
              </w:rPr>
              <w:t> </w:t>
            </w:r>
          </w:p>
        </w:tc>
        <w:tc>
          <w:tcPr>
            <w:tcW w:w="783" w:type="dxa"/>
            <w:tcBorders>
              <w:top w:val="single" w:sz="8" w:space="0" w:color="7F7F7F"/>
              <w:left w:val="nil"/>
              <w:bottom w:val="single" w:sz="8" w:space="0" w:color="7F7F7F"/>
              <w:right w:val="nil"/>
            </w:tcBorders>
            <w:shd w:val="clear" w:color="auto" w:fill="auto"/>
            <w:noWrap/>
            <w:vAlign w:val="center"/>
            <w:hideMark/>
          </w:tcPr>
          <w:p w14:paraId="74205ED3" w14:textId="77777777" w:rsidR="003E7AE0" w:rsidRPr="00757ED8" w:rsidRDefault="003E7AE0" w:rsidP="003E7AE0">
            <w:pPr>
              <w:rPr>
                <w:color w:val="000000"/>
              </w:rPr>
            </w:pPr>
            <w:r w:rsidRPr="00757ED8">
              <w:rPr>
                <w:color w:val="000000"/>
              </w:rPr>
              <w:t> </w:t>
            </w:r>
          </w:p>
        </w:tc>
      </w:tr>
      <w:tr w:rsidR="003E7AE0" w:rsidRPr="00757ED8" w14:paraId="6D6897CB" w14:textId="77777777" w:rsidTr="003E7AE0">
        <w:trPr>
          <w:trHeight w:val="358"/>
        </w:trPr>
        <w:tc>
          <w:tcPr>
            <w:tcW w:w="2375" w:type="dxa"/>
            <w:tcBorders>
              <w:top w:val="nil"/>
              <w:left w:val="nil"/>
              <w:bottom w:val="single" w:sz="8" w:space="0" w:color="7F7F7F"/>
              <w:right w:val="nil"/>
            </w:tcBorders>
            <w:shd w:val="clear" w:color="auto" w:fill="auto"/>
            <w:noWrap/>
            <w:vAlign w:val="center"/>
            <w:hideMark/>
          </w:tcPr>
          <w:p w14:paraId="4D7BE4C1" w14:textId="77777777" w:rsidR="003E7AE0" w:rsidRPr="00757ED8" w:rsidRDefault="003E7AE0" w:rsidP="003E7AE0">
            <w:pPr>
              <w:rPr>
                <w:color w:val="000000"/>
              </w:rPr>
            </w:pPr>
            <w:r w:rsidRPr="00757ED8">
              <w:rPr>
                <w:color w:val="000000"/>
              </w:rPr>
              <w:t> </w:t>
            </w:r>
          </w:p>
        </w:tc>
        <w:tc>
          <w:tcPr>
            <w:tcW w:w="600" w:type="dxa"/>
            <w:tcBorders>
              <w:top w:val="nil"/>
              <w:left w:val="nil"/>
              <w:bottom w:val="single" w:sz="8" w:space="0" w:color="7F7F7F"/>
              <w:right w:val="nil"/>
            </w:tcBorders>
            <w:shd w:val="clear" w:color="auto" w:fill="auto"/>
            <w:noWrap/>
            <w:vAlign w:val="center"/>
            <w:hideMark/>
          </w:tcPr>
          <w:p w14:paraId="2503A711" w14:textId="77777777" w:rsidR="003E7AE0" w:rsidRPr="00757ED8" w:rsidRDefault="003E7AE0" w:rsidP="003E7AE0">
            <w:pPr>
              <w:rPr>
                <w:color w:val="000000"/>
              </w:rPr>
            </w:pPr>
            <w:r w:rsidRPr="00757ED8">
              <w:rPr>
                <w:color w:val="000000"/>
              </w:rPr>
              <w:t>B</w:t>
            </w:r>
          </w:p>
        </w:tc>
        <w:tc>
          <w:tcPr>
            <w:tcW w:w="533" w:type="dxa"/>
            <w:tcBorders>
              <w:top w:val="nil"/>
              <w:left w:val="nil"/>
              <w:bottom w:val="single" w:sz="8" w:space="0" w:color="7F7F7F"/>
              <w:right w:val="nil"/>
            </w:tcBorders>
            <w:shd w:val="clear" w:color="auto" w:fill="auto"/>
            <w:noWrap/>
            <w:vAlign w:val="center"/>
            <w:hideMark/>
          </w:tcPr>
          <w:p w14:paraId="182D00AF" w14:textId="77777777" w:rsidR="003E7AE0" w:rsidRPr="00757ED8" w:rsidRDefault="003E7AE0" w:rsidP="003E7AE0">
            <w:pPr>
              <w:rPr>
                <w:color w:val="000000"/>
              </w:rPr>
            </w:pPr>
            <w:r w:rsidRPr="00757ED8">
              <w:rPr>
                <w:color w:val="000000"/>
              </w:rPr>
              <w:t>S.E.</w:t>
            </w:r>
          </w:p>
        </w:tc>
        <w:tc>
          <w:tcPr>
            <w:tcW w:w="605" w:type="dxa"/>
            <w:tcBorders>
              <w:top w:val="nil"/>
              <w:left w:val="nil"/>
              <w:bottom w:val="single" w:sz="8" w:space="0" w:color="7F7F7F"/>
              <w:right w:val="nil"/>
            </w:tcBorders>
            <w:shd w:val="clear" w:color="auto" w:fill="auto"/>
            <w:noWrap/>
            <w:vAlign w:val="center"/>
            <w:hideMark/>
          </w:tcPr>
          <w:p w14:paraId="117FF452" w14:textId="77777777" w:rsidR="003E7AE0" w:rsidRPr="00757ED8" w:rsidRDefault="003E7AE0" w:rsidP="003E7AE0">
            <w:pPr>
              <w:rPr>
                <w:color w:val="000000"/>
              </w:rPr>
            </w:pPr>
            <w:r w:rsidRPr="00757ED8">
              <w:rPr>
                <w:color w:val="000000"/>
              </w:rPr>
              <w:t>Wald</w:t>
            </w:r>
          </w:p>
        </w:tc>
        <w:tc>
          <w:tcPr>
            <w:tcW w:w="333" w:type="dxa"/>
            <w:tcBorders>
              <w:top w:val="nil"/>
              <w:left w:val="nil"/>
              <w:bottom w:val="single" w:sz="8" w:space="0" w:color="7F7F7F"/>
              <w:right w:val="nil"/>
            </w:tcBorders>
            <w:shd w:val="clear" w:color="auto" w:fill="auto"/>
            <w:noWrap/>
            <w:vAlign w:val="center"/>
            <w:hideMark/>
          </w:tcPr>
          <w:p w14:paraId="74CCB0D9" w14:textId="77777777" w:rsidR="003E7AE0" w:rsidRPr="00757ED8" w:rsidRDefault="003E7AE0" w:rsidP="003E7AE0">
            <w:pPr>
              <w:rPr>
                <w:color w:val="000000"/>
              </w:rPr>
            </w:pPr>
            <w:r w:rsidRPr="00757ED8">
              <w:rPr>
                <w:color w:val="000000"/>
              </w:rPr>
              <w:t>df</w:t>
            </w:r>
          </w:p>
        </w:tc>
        <w:tc>
          <w:tcPr>
            <w:tcW w:w="988" w:type="dxa"/>
            <w:tcBorders>
              <w:top w:val="nil"/>
              <w:left w:val="nil"/>
              <w:bottom w:val="single" w:sz="8" w:space="0" w:color="7F7F7F"/>
              <w:right w:val="nil"/>
            </w:tcBorders>
            <w:shd w:val="clear" w:color="auto" w:fill="auto"/>
            <w:noWrap/>
            <w:vAlign w:val="center"/>
            <w:hideMark/>
          </w:tcPr>
          <w:p w14:paraId="6BA96479" w14:textId="77777777" w:rsidR="003E7AE0" w:rsidRPr="00757ED8" w:rsidRDefault="003E7AE0" w:rsidP="003E7AE0">
            <w:pPr>
              <w:rPr>
                <w:color w:val="000000"/>
              </w:rPr>
            </w:pPr>
            <w:r w:rsidRPr="00757ED8">
              <w:rPr>
                <w:color w:val="000000"/>
              </w:rPr>
              <w:t>Exp(B)</w:t>
            </w:r>
          </w:p>
        </w:tc>
        <w:tc>
          <w:tcPr>
            <w:tcW w:w="1871" w:type="dxa"/>
            <w:tcBorders>
              <w:top w:val="nil"/>
              <w:left w:val="nil"/>
              <w:bottom w:val="single" w:sz="8" w:space="0" w:color="7F7F7F"/>
              <w:right w:val="nil"/>
            </w:tcBorders>
            <w:shd w:val="clear" w:color="auto" w:fill="auto"/>
            <w:noWrap/>
            <w:vAlign w:val="center"/>
            <w:hideMark/>
          </w:tcPr>
          <w:p w14:paraId="5C8068AC" w14:textId="77777777" w:rsidR="003E7AE0" w:rsidRPr="00757ED8" w:rsidRDefault="003E7AE0" w:rsidP="003E7AE0">
            <w:pPr>
              <w:rPr>
                <w:color w:val="000000"/>
              </w:rPr>
            </w:pPr>
            <w:r w:rsidRPr="00757ED8">
              <w:rPr>
                <w:color w:val="000000"/>
              </w:rPr>
              <w:t>95% C.I.for EXP(B)</w:t>
            </w:r>
          </w:p>
        </w:tc>
        <w:tc>
          <w:tcPr>
            <w:tcW w:w="648" w:type="dxa"/>
            <w:tcBorders>
              <w:top w:val="nil"/>
              <w:left w:val="nil"/>
              <w:bottom w:val="single" w:sz="8" w:space="0" w:color="7F7F7F"/>
              <w:right w:val="nil"/>
            </w:tcBorders>
            <w:shd w:val="clear" w:color="auto" w:fill="auto"/>
            <w:noWrap/>
            <w:vAlign w:val="center"/>
            <w:hideMark/>
          </w:tcPr>
          <w:p w14:paraId="453C6BEC" w14:textId="77777777" w:rsidR="003E7AE0" w:rsidRPr="00757ED8" w:rsidRDefault="003E7AE0" w:rsidP="003E7AE0">
            <w:pPr>
              <w:rPr>
                <w:color w:val="000000"/>
              </w:rPr>
            </w:pPr>
            <w:r w:rsidRPr="00757ED8">
              <w:rPr>
                <w:color w:val="000000"/>
              </w:rPr>
              <w:t> </w:t>
            </w:r>
          </w:p>
        </w:tc>
        <w:tc>
          <w:tcPr>
            <w:tcW w:w="783" w:type="dxa"/>
            <w:tcBorders>
              <w:top w:val="nil"/>
              <w:left w:val="nil"/>
              <w:bottom w:val="single" w:sz="8" w:space="0" w:color="7F7F7F"/>
              <w:right w:val="nil"/>
            </w:tcBorders>
            <w:shd w:val="clear" w:color="auto" w:fill="auto"/>
            <w:noWrap/>
            <w:vAlign w:val="center"/>
            <w:hideMark/>
          </w:tcPr>
          <w:p w14:paraId="3A05039E" w14:textId="77777777" w:rsidR="003E7AE0" w:rsidRPr="00757ED8" w:rsidRDefault="003E7AE0" w:rsidP="003E7AE0">
            <w:pPr>
              <w:rPr>
                <w:color w:val="000000"/>
              </w:rPr>
            </w:pPr>
            <w:r w:rsidRPr="00757ED8">
              <w:rPr>
                <w:color w:val="000000"/>
              </w:rPr>
              <w:t>Sig .</w:t>
            </w:r>
          </w:p>
        </w:tc>
      </w:tr>
      <w:tr w:rsidR="003E7AE0" w:rsidRPr="00757ED8" w14:paraId="6EB83253" w14:textId="77777777" w:rsidTr="003E7AE0">
        <w:trPr>
          <w:trHeight w:val="358"/>
        </w:trPr>
        <w:tc>
          <w:tcPr>
            <w:tcW w:w="2375" w:type="dxa"/>
            <w:tcBorders>
              <w:top w:val="nil"/>
              <w:left w:val="nil"/>
              <w:bottom w:val="nil"/>
              <w:right w:val="nil"/>
            </w:tcBorders>
            <w:shd w:val="clear" w:color="auto" w:fill="auto"/>
            <w:noWrap/>
            <w:hideMark/>
          </w:tcPr>
          <w:p w14:paraId="609426F4" w14:textId="77777777" w:rsidR="003E7AE0" w:rsidRPr="00757ED8" w:rsidRDefault="003E7AE0" w:rsidP="003E7AE0">
            <w:pPr>
              <w:rPr>
                <w:color w:val="000000"/>
              </w:rPr>
            </w:pPr>
          </w:p>
        </w:tc>
        <w:tc>
          <w:tcPr>
            <w:tcW w:w="600" w:type="dxa"/>
            <w:tcBorders>
              <w:top w:val="nil"/>
              <w:left w:val="nil"/>
              <w:bottom w:val="nil"/>
              <w:right w:val="nil"/>
            </w:tcBorders>
            <w:shd w:val="clear" w:color="auto" w:fill="auto"/>
            <w:noWrap/>
            <w:hideMark/>
          </w:tcPr>
          <w:p w14:paraId="2EA7412C" w14:textId="77777777" w:rsidR="003E7AE0" w:rsidRPr="00757ED8" w:rsidRDefault="003E7AE0" w:rsidP="003E7AE0"/>
        </w:tc>
        <w:tc>
          <w:tcPr>
            <w:tcW w:w="533" w:type="dxa"/>
            <w:tcBorders>
              <w:top w:val="nil"/>
              <w:left w:val="nil"/>
              <w:bottom w:val="nil"/>
              <w:right w:val="nil"/>
            </w:tcBorders>
            <w:shd w:val="clear" w:color="auto" w:fill="auto"/>
            <w:noWrap/>
            <w:hideMark/>
          </w:tcPr>
          <w:p w14:paraId="617C095A" w14:textId="77777777" w:rsidR="003E7AE0" w:rsidRPr="00757ED8" w:rsidRDefault="003E7AE0" w:rsidP="003E7AE0"/>
        </w:tc>
        <w:tc>
          <w:tcPr>
            <w:tcW w:w="605" w:type="dxa"/>
            <w:tcBorders>
              <w:top w:val="nil"/>
              <w:left w:val="nil"/>
              <w:bottom w:val="nil"/>
              <w:right w:val="nil"/>
            </w:tcBorders>
            <w:shd w:val="clear" w:color="auto" w:fill="auto"/>
            <w:noWrap/>
            <w:hideMark/>
          </w:tcPr>
          <w:p w14:paraId="6E7FAFC3" w14:textId="77777777" w:rsidR="003E7AE0" w:rsidRPr="00757ED8" w:rsidRDefault="003E7AE0" w:rsidP="003E7AE0"/>
        </w:tc>
        <w:tc>
          <w:tcPr>
            <w:tcW w:w="333" w:type="dxa"/>
            <w:tcBorders>
              <w:top w:val="nil"/>
              <w:left w:val="nil"/>
              <w:bottom w:val="nil"/>
              <w:right w:val="nil"/>
            </w:tcBorders>
            <w:shd w:val="clear" w:color="auto" w:fill="auto"/>
            <w:noWrap/>
            <w:hideMark/>
          </w:tcPr>
          <w:p w14:paraId="3386C586" w14:textId="77777777" w:rsidR="003E7AE0" w:rsidRPr="00757ED8" w:rsidRDefault="003E7AE0" w:rsidP="003E7AE0"/>
        </w:tc>
        <w:tc>
          <w:tcPr>
            <w:tcW w:w="988" w:type="dxa"/>
            <w:tcBorders>
              <w:top w:val="nil"/>
              <w:left w:val="nil"/>
              <w:bottom w:val="nil"/>
              <w:right w:val="nil"/>
            </w:tcBorders>
            <w:shd w:val="clear" w:color="auto" w:fill="auto"/>
            <w:noWrap/>
            <w:hideMark/>
          </w:tcPr>
          <w:p w14:paraId="54547EEB" w14:textId="77777777" w:rsidR="003E7AE0" w:rsidRPr="00757ED8" w:rsidRDefault="003E7AE0" w:rsidP="003E7AE0"/>
        </w:tc>
        <w:tc>
          <w:tcPr>
            <w:tcW w:w="1871" w:type="dxa"/>
            <w:tcBorders>
              <w:top w:val="nil"/>
              <w:left w:val="nil"/>
              <w:bottom w:val="nil"/>
              <w:right w:val="nil"/>
            </w:tcBorders>
            <w:shd w:val="clear" w:color="auto" w:fill="auto"/>
            <w:noWrap/>
            <w:vAlign w:val="center"/>
            <w:hideMark/>
          </w:tcPr>
          <w:p w14:paraId="4895E406" w14:textId="77777777" w:rsidR="003E7AE0" w:rsidRPr="00757ED8" w:rsidRDefault="003E7AE0" w:rsidP="003E7AE0">
            <w:pPr>
              <w:rPr>
                <w:color w:val="000000"/>
              </w:rPr>
            </w:pPr>
            <w:r w:rsidRPr="00757ED8">
              <w:rPr>
                <w:color w:val="000000"/>
              </w:rPr>
              <w:t>Lower</w:t>
            </w:r>
          </w:p>
        </w:tc>
        <w:tc>
          <w:tcPr>
            <w:tcW w:w="648" w:type="dxa"/>
            <w:tcBorders>
              <w:top w:val="nil"/>
              <w:left w:val="nil"/>
              <w:bottom w:val="nil"/>
              <w:right w:val="nil"/>
            </w:tcBorders>
            <w:shd w:val="clear" w:color="auto" w:fill="auto"/>
            <w:noWrap/>
            <w:vAlign w:val="center"/>
            <w:hideMark/>
          </w:tcPr>
          <w:p w14:paraId="39598E2D" w14:textId="77777777" w:rsidR="003E7AE0" w:rsidRPr="00757ED8" w:rsidRDefault="003E7AE0" w:rsidP="003E7AE0">
            <w:pPr>
              <w:rPr>
                <w:color w:val="000000"/>
              </w:rPr>
            </w:pPr>
            <w:r w:rsidRPr="00757ED8">
              <w:rPr>
                <w:color w:val="000000"/>
              </w:rPr>
              <w:t>Upper</w:t>
            </w:r>
          </w:p>
        </w:tc>
        <w:tc>
          <w:tcPr>
            <w:tcW w:w="783" w:type="dxa"/>
            <w:tcBorders>
              <w:top w:val="nil"/>
              <w:left w:val="nil"/>
              <w:bottom w:val="nil"/>
              <w:right w:val="nil"/>
            </w:tcBorders>
            <w:shd w:val="clear" w:color="auto" w:fill="auto"/>
            <w:noWrap/>
            <w:hideMark/>
          </w:tcPr>
          <w:p w14:paraId="3BB01F94" w14:textId="77777777" w:rsidR="003E7AE0" w:rsidRPr="00757ED8" w:rsidRDefault="003E7AE0" w:rsidP="003E7AE0">
            <w:pPr>
              <w:rPr>
                <w:color w:val="000000"/>
              </w:rPr>
            </w:pPr>
          </w:p>
        </w:tc>
      </w:tr>
      <w:tr w:rsidR="003E7AE0" w:rsidRPr="00757ED8" w14:paraId="57F9AB79"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2B6F97E2" w14:textId="77777777" w:rsidR="003E7AE0" w:rsidRPr="00757ED8" w:rsidRDefault="003E7AE0" w:rsidP="003E7AE0">
            <w:pPr>
              <w:rPr>
                <w:color w:val="000000"/>
              </w:rPr>
            </w:pPr>
            <w:r w:rsidRPr="00757ED8">
              <w:rPr>
                <w:color w:val="000000"/>
              </w:rPr>
              <w:t>Age</w:t>
            </w:r>
          </w:p>
        </w:tc>
        <w:tc>
          <w:tcPr>
            <w:tcW w:w="600" w:type="dxa"/>
            <w:tcBorders>
              <w:top w:val="single" w:sz="8" w:space="0" w:color="7F7F7F"/>
              <w:left w:val="nil"/>
              <w:bottom w:val="single" w:sz="8" w:space="0" w:color="7F7F7F"/>
              <w:right w:val="nil"/>
            </w:tcBorders>
            <w:shd w:val="clear" w:color="auto" w:fill="auto"/>
            <w:noWrap/>
            <w:vAlign w:val="center"/>
            <w:hideMark/>
          </w:tcPr>
          <w:p w14:paraId="73228B25" w14:textId="77777777" w:rsidR="003E7AE0" w:rsidRPr="00757ED8" w:rsidRDefault="003E7AE0" w:rsidP="003E7AE0">
            <w:pPr>
              <w:jc w:val="center"/>
              <w:rPr>
                <w:color w:val="000000"/>
              </w:rPr>
            </w:pPr>
            <w:r w:rsidRPr="00757ED8">
              <w:rPr>
                <w:color w:val="000000"/>
              </w:rPr>
              <w:t>0.01</w:t>
            </w:r>
          </w:p>
        </w:tc>
        <w:tc>
          <w:tcPr>
            <w:tcW w:w="533" w:type="dxa"/>
            <w:tcBorders>
              <w:top w:val="single" w:sz="8" w:space="0" w:color="7F7F7F"/>
              <w:left w:val="nil"/>
              <w:bottom w:val="single" w:sz="8" w:space="0" w:color="7F7F7F"/>
              <w:right w:val="nil"/>
            </w:tcBorders>
            <w:shd w:val="clear" w:color="auto" w:fill="auto"/>
            <w:noWrap/>
            <w:vAlign w:val="center"/>
            <w:hideMark/>
          </w:tcPr>
          <w:p w14:paraId="0F4106AD" w14:textId="77777777" w:rsidR="003E7AE0" w:rsidRPr="00757ED8" w:rsidRDefault="003E7AE0" w:rsidP="003E7AE0">
            <w:pPr>
              <w:jc w:val="center"/>
              <w:rPr>
                <w:color w:val="000000"/>
              </w:rPr>
            </w:pPr>
            <w:r w:rsidRPr="00757ED8">
              <w:rPr>
                <w:color w:val="000000"/>
              </w:rPr>
              <w:t>0.03</w:t>
            </w:r>
          </w:p>
        </w:tc>
        <w:tc>
          <w:tcPr>
            <w:tcW w:w="605" w:type="dxa"/>
            <w:tcBorders>
              <w:top w:val="single" w:sz="8" w:space="0" w:color="7F7F7F"/>
              <w:left w:val="nil"/>
              <w:bottom w:val="single" w:sz="8" w:space="0" w:color="7F7F7F"/>
              <w:right w:val="nil"/>
            </w:tcBorders>
            <w:shd w:val="clear" w:color="auto" w:fill="auto"/>
            <w:noWrap/>
            <w:vAlign w:val="center"/>
            <w:hideMark/>
          </w:tcPr>
          <w:p w14:paraId="4CA9D49E" w14:textId="77777777" w:rsidR="003E7AE0" w:rsidRPr="00757ED8" w:rsidRDefault="003E7AE0" w:rsidP="003E7AE0">
            <w:pPr>
              <w:jc w:val="center"/>
              <w:rPr>
                <w:color w:val="000000"/>
              </w:rPr>
            </w:pPr>
            <w:r w:rsidRPr="00757ED8">
              <w:rPr>
                <w:color w:val="000000"/>
              </w:rPr>
              <w:t>0.13</w:t>
            </w:r>
          </w:p>
        </w:tc>
        <w:tc>
          <w:tcPr>
            <w:tcW w:w="333" w:type="dxa"/>
            <w:tcBorders>
              <w:top w:val="single" w:sz="8" w:space="0" w:color="7F7F7F"/>
              <w:left w:val="nil"/>
              <w:bottom w:val="single" w:sz="8" w:space="0" w:color="7F7F7F"/>
              <w:right w:val="nil"/>
            </w:tcBorders>
            <w:shd w:val="clear" w:color="auto" w:fill="auto"/>
            <w:noWrap/>
            <w:vAlign w:val="center"/>
            <w:hideMark/>
          </w:tcPr>
          <w:p w14:paraId="2A4E8CF6"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228291DC" w14:textId="77777777" w:rsidR="003E7AE0" w:rsidRPr="00757ED8" w:rsidRDefault="003E7AE0" w:rsidP="003E7AE0">
            <w:pPr>
              <w:jc w:val="center"/>
              <w:rPr>
                <w:color w:val="000000"/>
              </w:rPr>
            </w:pPr>
            <w:r w:rsidRPr="00757ED8">
              <w:rPr>
                <w:color w:val="000000"/>
              </w:rPr>
              <w:t>1.01</w:t>
            </w:r>
          </w:p>
        </w:tc>
        <w:tc>
          <w:tcPr>
            <w:tcW w:w="1871" w:type="dxa"/>
            <w:tcBorders>
              <w:top w:val="single" w:sz="8" w:space="0" w:color="7F7F7F"/>
              <w:left w:val="nil"/>
              <w:bottom w:val="single" w:sz="8" w:space="0" w:color="7F7F7F"/>
              <w:right w:val="nil"/>
            </w:tcBorders>
            <w:shd w:val="clear" w:color="auto" w:fill="auto"/>
            <w:noWrap/>
            <w:vAlign w:val="center"/>
            <w:hideMark/>
          </w:tcPr>
          <w:p w14:paraId="06226C42" w14:textId="77777777" w:rsidR="003E7AE0" w:rsidRPr="00757ED8" w:rsidRDefault="003E7AE0" w:rsidP="003E7AE0">
            <w:pPr>
              <w:jc w:val="center"/>
              <w:rPr>
                <w:color w:val="000000"/>
              </w:rPr>
            </w:pPr>
            <w:r w:rsidRPr="00757ED8">
              <w:rPr>
                <w:color w:val="000000"/>
              </w:rPr>
              <w:t>0.95</w:t>
            </w:r>
          </w:p>
        </w:tc>
        <w:tc>
          <w:tcPr>
            <w:tcW w:w="648" w:type="dxa"/>
            <w:tcBorders>
              <w:top w:val="single" w:sz="8" w:space="0" w:color="7F7F7F"/>
              <w:left w:val="nil"/>
              <w:bottom w:val="single" w:sz="8" w:space="0" w:color="7F7F7F"/>
              <w:right w:val="nil"/>
            </w:tcBorders>
            <w:shd w:val="clear" w:color="auto" w:fill="auto"/>
            <w:noWrap/>
            <w:vAlign w:val="center"/>
            <w:hideMark/>
          </w:tcPr>
          <w:p w14:paraId="719FD074" w14:textId="77777777" w:rsidR="003E7AE0" w:rsidRPr="00757ED8" w:rsidRDefault="003E7AE0" w:rsidP="003E7AE0">
            <w:pPr>
              <w:jc w:val="center"/>
              <w:rPr>
                <w:color w:val="000000"/>
              </w:rPr>
            </w:pPr>
            <w:r w:rsidRPr="00757ED8">
              <w:rPr>
                <w:color w:val="000000"/>
              </w:rPr>
              <w:t>1.08</w:t>
            </w:r>
          </w:p>
        </w:tc>
        <w:tc>
          <w:tcPr>
            <w:tcW w:w="783" w:type="dxa"/>
            <w:tcBorders>
              <w:top w:val="single" w:sz="8" w:space="0" w:color="7F7F7F"/>
              <w:left w:val="nil"/>
              <w:bottom w:val="single" w:sz="8" w:space="0" w:color="7F7F7F"/>
              <w:right w:val="nil"/>
            </w:tcBorders>
            <w:shd w:val="clear" w:color="auto" w:fill="auto"/>
            <w:noWrap/>
            <w:vAlign w:val="center"/>
            <w:hideMark/>
          </w:tcPr>
          <w:p w14:paraId="1B0CDFFD" w14:textId="77777777" w:rsidR="003E7AE0" w:rsidRPr="00757ED8" w:rsidRDefault="003E7AE0" w:rsidP="003E7AE0">
            <w:pPr>
              <w:jc w:val="center"/>
              <w:rPr>
                <w:color w:val="000000"/>
              </w:rPr>
            </w:pPr>
            <w:r w:rsidRPr="00757ED8">
              <w:rPr>
                <w:color w:val="000000"/>
              </w:rPr>
              <w:t>0.72</w:t>
            </w:r>
          </w:p>
        </w:tc>
      </w:tr>
      <w:tr w:rsidR="003E7AE0" w:rsidRPr="00757ED8" w14:paraId="0EBB815B" w14:textId="77777777" w:rsidTr="003E7AE0">
        <w:trPr>
          <w:trHeight w:val="358"/>
        </w:trPr>
        <w:tc>
          <w:tcPr>
            <w:tcW w:w="2375" w:type="dxa"/>
            <w:tcBorders>
              <w:top w:val="nil"/>
              <w:left w:val="nil"/>
              <w:bottom w:val="nil"/>
              <w:right w:val="nil"/>
            </w:tcBorders>
            <w:shd w:val="clear" w:color="auto" w:fill="auto"/>
            <w:noWrap/>
            <w:vAlign w:val="center"/>
            <w:hideMark/>
          </w:tcPr>
          <w:p w14:paraId="20343480" w14:textId="77777777" w:rsidR="003E7AE0" w:rsidRPr="00757ED8" w:rsidRDefault="003E7AE0" w:rsidP="003E7AE0">
            <w:pPr>
              <w:rPr>
                <w:color w:val="000000"/>
              </w:rPr>
            </w:pPr>
            <w:r w:rsidRPr="00757ED8">
              <w:rPr>
                <w:color w:val="000000"/>
              </w:rPr>
              <w:t>No of children</w:t>
            </w:r>
          </w:p>
        </w:tc>
        <w:tc>
          <w:tcPr>
            <w:tcW w:w="600" w:type="dxa"/>
            <w:tcBorders>
              <w:top w:val="nil"/>
              <w:left w:val="nil"/>
              <w:bottom w:val="nil"/>
              <w:right w:val="nil"/>
            </w:tcBorders>
            <w:shd w:val="clear" w:color="auto" w:fill="auto"/>
            <w:noWrap/>
            <w:vAlign w:val="center"/>
            <w:hideMark/>
          </w:tcPr>
          <w:p w14:paraId="0DCEC96D" w14:textId="77777777" w:rsidR="003E7AE0" w:rsidRPr="00757ED8" w:rsidRDefault="003E7AE0" w:rsidP="003E7AE0">
            <w:pPr>
              <w:jc w:val="center"/>
              <w:rPr>
                <w:color w:val="000000"/>
              </w:rPr>
            </w:pPr>
            <w:r w:rsidRPr="00757ED8">
              <w:rPr>
                <w:color w:val="000000"/>
              </w:rPr>
              <w:t>-0.05</w:t>
            </w:r>
          </w:p>
        </w:tc>
        <w:tc>
          <w:tcPr>
            <w:tcW w:w="533" w:type="dxa"/>
            <w:tcBorders>
              <w:top w:val="nil"/>
              <w:left w:val="nil"/>
              <w:bottom w:val="nil"/>
              <w:right w:val="nil"/>
            </w:tcBorders>
            <w:shd w:val="clear" w:color="auto" w:fill="auto"/>
            <w:noWrap/>
            <w:vAlign w:val="center"/>
            <w:hideMark/>
          </w:tcPr>
          <w:p w14:paraId="5112138B" w14:textId="77777777" w:rsidR="003E7AE0" w:rsidRPr="00757ED8" w:rsidRDefault="003E7AE0" w:rsidP="003E7AE0">
            <w:pPr>
              <w:jc w:val="center"/>
              <w:rPr>
                <w:color w:val="000000"/>
              </w:rPr>
            </w:pPr>
            <w:r w:rsidRPr="00757ED8">
              <w:rPr>
                <w:color w:val="000000"/>
              </w:rPr>
              <w:t>0.26</w:t>
            </w:r>
          </w:p>
        </w:tc>
        <w:tc>
          <w:tcPr>
            <w:tcW w:w="605" w:type="dxa"/>
            <w:tcBorders>
              <w:top w:val="nil"/>
              <w:left w:val="nil"/>
              <w:bottom w:val="nil"/>
              <w:right w:val="nil"/>
            </w:tcBorders>
            <w:shd w:val="clear" w:color="auto" w:fill="auto"/>
            <w:noWrap/>
            <w:vAlign w:val="center"/>
            <w:hideMark/>
          </w:tcPr>
          <w:p w14:paraId="3D849722" w14:textId="77777777" w:rsidR="003E7AE0" w:rsidRPr="00757ED8" w:rsidRDefault="003E7AE0" w:rsidP="003E7AE0">
            <w:pPr>
              <w:jc w:val="center"/>
              <w:rPr>
                <w:color w:val="000000"/>
              </w:rPr>
            </w:pPr>
            <w:r w:rsidRPr="00757ED8">
              <w:rPr>
                <w:color w:val="000000"/>
              </w:rPr>
              <w:t>0.03</w:t>
            </w:r>
          </w:p>
        </w:tc>
        <w:tc>
          <w:tcPr>
            <w:tcW w:w="333" w:type="dxa"/>
            <w:tcBorders>
              <w:top w:val="nil"/>
              <w:left w:val="nil"/>
              <w:bottom w:val="nil"/>
              <w:right w:val="nil"/>
            </w:tcBorders>
            <w:shd w:val="clear" w:color="auto" w:fill="auto"/>
            <w:noWrap/>
            <w:vAlign w:val="center"/>
            <w:hideMark/>
          </w:tcPr>
          <w:p w14:paraId="22A6D2D0"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74F238C5" w14:textId="77777777" w:rsidR="003E7AE0" w:rsidRPr="00757ED8" w:rsidRDefault="003E7AE0" w:rsidP="003E7AE0">
            <w:pPr>
              <w:jc w:val="center"/>
              <w:rPr>
                <w:color w:val="000000"/>
              </w:rPr>
            </w:pPr>
            <w:r w:rsidRPr="00757ED8">
              <w:rPr>
                <w:color w:val="000000"/>
              </w:rPr>
              <w:t>0.96</w:t>
            </w:r>
          </w:p>
        </w:tc>
        <w:tc>
          <w:tcPr>
            <w:tcW w:w="1871" w:type="dxa"/>
            <w:tcBorders>
              <w:top w:val="nil"/>
              <w:left w:val="nil"/>
              <w:bottom w:val="nil"/>
              <w:right w:val="nil"/>
            </w:tcBorders>
            <w:shd w:val="clear" w:color="auto" w:fill="auto"/>
            <w:noWrap/>
            <w:vAlign w:val="center"/>
            <w:hideMark/>
          </w:tcPr>
          <w:p w14:paraId="0B78DB26" w14:textId="77777777" w:rsidR="003E7AE0" w:rsidRPr="00757ED8" w:rsidRDefault="003E7AE0" w:rsidP="003E7AE0">
            <w:pPr>
              <w:jc w:val="center"/>
              <w:rPr>
                <w:color w:val="000000"/>
              </w:rPr>
            </w:pPr>
            <w:r w:rsidRPr="00757ED8">
              <w:rPr>
                <w:color w:val="000000"/>
              </w:rPr>
              <w:t>0.57</w:t>
            </w:r>
          </w:p>
        </w:tc>
        <w:tc>
          <w:tcPr>
            <w:tcW w:w="648" w:type="dxa"/>
            <w:tcBorders>
              <w:top w:val="nil"/>
              <w:left w:val="nil"/>
              <w:bottom w:val="nil"/>
              <w:right w:val="nil"/>
            </w:tcBorders>
            <w:shd w:val="clear" w:color="auto" w:fill="auto"/>
            <w:noWrap/>
            <w:vAlign w:val="center"/>
            <w:hideMark/>
          </w:tcPr>
          <w:p w14:paraId="367C04C4" w14:textId="77777777" w:rsidR="003E7AE0" w:rsidRPr="00757ED8" w:rsidRDefault="003E7AE0" w:rsidP="003E7AE0">
            <w:pPr>
              <w:jc w:val="center"/>
              <w:rPr>
                <w:color w:val="000000"/>
              </w:rPr>
            </w:pPr>
            <w:r w:rsidRPr="00757ED8">
              <w:rPr>
                <w:color w:val="000000"/>
              </w:rPr>
              <w:t>1.60</w:t>
            </w:r>
          </w:p>
        </w:tc>
        <w:tc>
          <w:tcPr>
            <w:tcW w:w="783" w:type="dxa"/>
            <w:tcBorders>
              <w:top w:val="nil"/>
              <w:left w:val="nil"/>
              <w:bottom w:val="nil"/>
              <w:right w:val="nil"/>
            </w:tcBorders>
            <w:shd w:val="clear" w:color="auto" w:fill="auto"/>
            <w:noWrap/>
            <w:vAlign w:val="center"/>
            <w:hideMark/>
          </w:tcPr>
          <w:p w14:paraId="4ECFA360" w14:textId="77777777" w:rsidR="003E7AE0" w:rsidRPr="00757ED8" w:rsidRDefault="003E7AE0" w:rsidP="003E7AE0">
            <w:pPr>
              <w:jc w:val="center"/>
              <w:rPr>
                <w:color w:val="000000"/>
              </w:rPr>
            </w:pPr>
            <w:r w:rsidRPr="00757ED8">
              <w:rPr>
                <w:color w:val="000000"/>
              </w:rPr>
              <w:t>0.86</w:t>
            </w:r>
          </w:p>
        </w:tc>
      </w:tr>
      <w:tr w:rsidR="003E7AE0" w:rsidRPr="00757ED8" w14:paraId="3A889CE2"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4A5E2D9D" w14:textId="77777777" w:rsidR="003E7AE0" w:rsidRPr="00757ED8" w:rsidRDefault="003E7AE0" w:rsidP="003E7AE0">
            <w:pPr>
              <w:rPr>
                <w:color w:val="000000"/>
              </w:rPr>
            </w:pPr>
            <w:r w:rsidRPr="00757ED8">
              <w:rPr>
                <w:color w:val="000000"/>
              </w:rPr>
              <w:t>Education level</w:t>
            </w:r>
          </w:p>
        </w:tc>
        <w:tc>
          <w:tcPr>
            <w:tcW w:w="600" w:type="dxa"/>
            <w:tcBorders>
              <w:top w:val="single" w:sz="8" w:space="0" w:color="7F7F7F"/>
              <w:left w:val="nil"/>
              <w:bottom w:val="single" w:sz="8" w:space="0" w:color="7F7F7F"/>
              <w:right w:val="nil"/>
            </w:tcBorders>
            <w:shd w:val="clear" w:color="auto" w:fill="auto"/>
            <w:noWrap/>
            <w:vAlign w:val="center"/>
            <w:hideMark/>
          </w:tcPr>
          <w:p w14:paraId="1A08CAA9" w14:textId="77777777" w:rsidR="003E7AE0" w:rsidRPr="00757ED8" w:rsidRDefault="003E7AE0" w:rsidP="003E7AE0">
            <w:pPr>
              <w:jc w:val="center"/>
              <w:rPr>
                <w:color w:val="000000"/>
              </w:rPr>
            </w:pPr>
            <w:r w:rsidRPr="00757ED8">
              <w:rPr>
                <w:color w:val="000000"/>
              </w:rPr>
              <w:t>-0.11</w:t>
            </w:r>
          </w:p>
        </w:tc>
        <w:tc>
          <w:tcPr>
            <w:tcW w:w="533" w:type="dxa"/>
            <w:tcBorders>
              <w:top w:val="single" w:sz="8" w:space="0" w:color="7F7F7F"/>
              <w:left w:val="nil"/>
              <w:bottom w:val="single" w:sz="8" w:space="0" w:color="7F7F7F"/>
              <w:right w:val="nil"/>
            </w:tcBorders>
            <w:shd w:val="clear" w:color="auto" w:fill="auto"/>
            <w:noWrap/>
            <w:vAlign w:val="center"/>
            <w:hideMark/>
          </w:tcPr>
          <w:p w14:paraId="5E537B14" w14:textId="77777777" w:rsidR="003E7AE0" w:rsidRPr="00757ED8" w:rsidRDefault="003E7AE0" w:rsidP="003E7AE0">
            <w:pPr>
              <w:jc w:val="center"/>
              <w:rPr>
                <w:color w:val="000000"/>
              </w:rPr>
            </w:pPr>
            <w:r w:rsidRPr="00757ED8">
              <w:rPr>
                <w:color w:val="000000"/>
              </w:rPr>
              <w:t>0.19</w:t>
            </w:r>
          </w:p>
        </w:tc>
        <w:tc>
          <w:tcPr>
            <w:tcW w:w="605" w:type="dxa"/>
            <w:tcBorders>
              <w:top w:val="single" w:sz="8" w:space="0" w:color="7F7F7F"/>
              <w:left w:val="nil"/>
              <w:bottom w:val="single" w:sz="8" w:space="0" w:color="7F7F7F"/>
              <w:right w:val="nil"/>
            </w:tcBorders>
            <w:shd w:val="clear" w:color="auto" w:fill="auto"/>
            <w:noWrap/>
            <w:vAlign w:val="center"/>
            <w:hideMark/>
          </w:tcPr>
          <w:p w14:paraId="43A58542" w14:textId="77777777" w:rsidR="003E7AE0" w:rsidRPr="00757ED8" w:rsidRDefault="003E7AE0" w:rsidP="003E7AE0">
            <w:pPr>
              <w:jc w:val="center"/>
              <w:rPr>
                <w:color w:val="000000"/>
              </w:rPr>
            </w:pPr>
            <w:r w:rsidRPr="00757ED8">
              <w:rPr>
                <w:color w:val="000000"/>
              </w:rPr>
              <w:t>0.34</w:t>
            </w:r>
          </w:p>
        </w:tc>
        <w:tc>
          <w:tcPr>
            <w:tcW w:w="333" w:type="dxa"/>
            <w:tcBorders>
              <w:top w:val="single" w:sz="8" w:space="0" w:color="7F7F7F"/>
              <w:left w:val="nil"/>
              <w:bottom w:val="single" w:sz="8" w:space="0" w:color="7F7F7F"/>
              <w:right w:val="nil"/>
            </w:tcBorders>
            <w:shd w:val="clear" w:color="auto" w:fill="auto"/>
            <w:noWrap/>
            <w:vAlign w:val="center"/>
            <w:hideMark/>
          </w:tcPr>
          <w:p w14:paraId="3FF60A65"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5CF9A13A" w14:textId="77777777" w:rsidR="003E7AE0" w:rsidRPr="00757ED8" w:rsidRDefault="003E7AE0" w:rsidP="003E7AE0">
            <w:pPr>
              <w:jc w:val="center"/>
              <w:rPr>
                <w:color w:val="000000"/>
              </w:rPr>
            </w:pPr>
            <w:r w:rsidRPr="00757ED8">
              <w:rPr>
                <w:color w:val="000000"/>
              </w:rPr>
              <w:t>0.90</w:t>
            </w:r>
          </w:p>
        </w:tc>
        <w:tc>
          <w:tcPr>
            <w:tcW w:w="1871" w:type="dxa"/>
            <w:tcBorders>
              <w:top w:val="single" w:sz="8" w:space="0" w:color="7F7F7F"/>
              <w:left w:val="nil"/>
              <w:bottom w:val="single" w:sz="8" w:space="0" w:color="7F7F7F"/>
              <w:right w:val="nil"/>
            </w:tcBorders>
            <w:shd w:val="clear" w:color="auto" w:fill="auto"/>
            <w:noWrap/>
            <w:vAlign w:val="center"/>
            <w:hideMark/>
          </w:tcPr>
          <w:p w14:paraId="6FAB146B" w14:textId="77777777" w:rsidR="003E7AE0" w:rsidRPr="00757ED8" w:rsidRDefault="003E7AE0" w:rsidP="003E7AE0">
            <w:pPr>
              <w:jc w:val="center"/>
              <w:rPr>
                <w:color w:val="000000"/>
              </w:rPr>
            </w:pPr>
            <w:r w:rsidRPr="00757ED8">
              <w:rPr>
                <w:color w:val="000000"/>
              </w:rPr>
              <w:t>0.62</w:t>
            </w:r>
          </w:p>
        </w:tc>
        <w:tc>
          <w:tcPr>
            <w:tcW w:w="648" w:type="dxa"/>
            <w:tcBorders>
              <w:top w:val="single" w:sz="8" w:space="0" w:color="7F7F7F"/>
              <w:left w:val="nil"/>
              <w:bottom w:val="single" w:sz="8" w:space="0" w:color="7F7F7F"/>
              <w:right w:val="nil"/>
            </w:tcBorders>
            <w:shd w:val="clear" w:color="auto" w:fill="auto"/>
            <w:noWrap/>
            <w:vAlign w:val="center"/>
            <w:hideMark/>
          </w:tcPr>
          <w:p w14:paraId="113B51B9" w14:textId="77777777" w:rsidR="003E7AE0" w:rsidRPr="00757ED8" w:rsidRDefault="003E7AE0" w:rsidP="003E7AE0">
            <w:pPr>
              <w:jc w:val="center"/>
              <w:rPr>
                <w:color w:val="000000"/>
              </w:rPr>
            </w:pPr>
            <w:r w:rsidRPr="00757ED8">
              <w:rPr>
                <w:color w:val="000000"/>
              </w:rPr>
              <w:t>1.29</w:t>
            </w:r>
          </w:p>
        </w:tc>
        <w:tc>
          <w:tcPr>
            <w:tcW w:w="783" w:type="dxa"/>
            <w:tcBorders>
              <w:top w:val="single" w:sz="8" w:space="0" w:color="7F7F7F"/>
              <w:left w:val="nil"/>
              <w:bottom w:val="single" w:sz="8" w:space="0" w:color="7F7F7F"/>
              <w:right w:val="nil"/>
            </w:tcBorders>
            <w:shd w:val="clear" w:color="auto" w:fill="auto"/>
            <w:noWrap/>
            <w:vAlign w:val="center"/>
            <w:hideMark/>
          </w:tcPr>
          <w:p w14:paraId="2BBADBA2" w14:textId="77777777" w:rsidR="003E7AE0" w:rsidRPr="00757ED8" w:rsidRDefault="003E7AE0" w:rsidP="003E7AE0">
            <w:pPr>
              <w:jc w:val="center"/>
              <w:rPr>
                <w:color w:val="000000"/>
              </w:rPr>
            </w:pPr>
            <w:r w:rsidRPr="00757ED8">
              <w:rPr>
                <w:color w:val="000000"/>
              </w:rPr>
              <w:t>0.56</w:t>
            </w:r>
          </w:p>
        </w:tc>
      </w:tr>
      <w:tr w:rsidR="003E7AE0" w:rsidRPr="00757ED8" w14:paraId="063818E6" w14:textId="77777777" w:rsidTr="003E7AE0">
        <w:trPr>
          <w:trHeight w:val="358"/>
        </w:trPr>
        <w:tc>
          <w:tcPr>
            <w:tcW w:w="2375" w:type="dxa"/>
            <w:tcBorders>
              <w:top w:val="nil"/>
              <w:left w:val="nil"/>
              <w:bottom w:val="nil"/>
              <w:right w:val="nil"/>
            </w:tcBorders>
            <w:shd w:val="clear" w:color="auto" w:fill="auto"/>
            <w:noWrap/>
            <w:vAlign w:val="center"/>
            <w:hideMark/>
          </w:tcPr>
          <w:p w14:paraId="25F76B6F" w14:textId="77777777" w:rsidR="003E7AE0" w:rsidRPr="00757ED8" w:rsidRDefault="003E7AE0" w:rsidP="003E7AE0">
            <w:pPr>
              <w:rPr>
                <w:color w:val="000000"/>
              </w:rPr>
            </w:pPr>
            <w:r w:rsidRPr="00757ED8">
              <w:rPr>
                <w:color w:val="000000"/>
              </w:rPr>
              <w:t>Hours per week</w:t>
            </w:r>
          </w:p>
        </w:tc>
        <w:tc>
          <w:tcPr>
            <w:tcW w:w="600" w:type="dxa"/>
            <w:tcBorders>
              <w:top w:val="nil"/>
              <w:left w:val="nil"/>
              <w:bottom w:val="nil"/>
              <w:right w:val="nil"/>
            </w:tcBorders>
            <w:shd w:val="clear" w:color="auto" w:fill="auto"/>
            <w:noWrap/>
            <w:vAlign w:val="center"/>
            <w:hideMark/>
          </w:tcPr>
          <w:p w14:paraId="1FE1594B" w14:textId="77777777" w:rsidR="003E7AE0" w:rsidRPr="00757ED8" w:rsidRDefault="003E7AE0" w:rsidP="003E7AE0">
            <w:pPr>
              <w:jc w:val="center"/>
              <w:rPr>
                <w:color w:val="000000"/>
              </w:rPr>
            </w:pPr>
            <w:r w:rsidRPr="00757ED8">
              <w:rPr>
                <w:color w:val="000000"/>
              </w:rPr>
              <w:t>0.02</w:t>
            </w:r>
          </w:p>
        </w:tc>
        <w:tc>
          <w:tcPr>
            <w:tcW w:w="533" w:type="dxa"/>
            <w:tcBorders>
              <w:top w:val="nil"/>
              <w:left w:val="nil"/>
              <w:bottom w:val="nil"/>
              <w:right w:val="nil"/>
            </w:tcBorders>
            <w:shd w:val="clear" w:color="auto" w:fill="auto"/>
            <w:noWrap/>
            <w:vAlign w:val="center"/>
            <w:hideMark/>
          </w:tcPr>
          <w:p w14:paraId="232B4F2A" w14:textId="77777777" w:rsidR="003E7AE0" w:rsidRPr="00757ED8" w:rsidRDefault="003E7AE0" w:rsidP="003E7AE0">
            <w:pPr>
              <w:jc w:val="center"/>
              <w:rPr>
                <w:color w:val="000000"/>
              </w:rPr>
            </w:pPr>
            <w:r w:rsidRPr="00757ED8">
              <w:rPr>
                <w:color w:val="000000"/>
              </w:rPr>
              <w:t>0.03</w:t>
            </w:r>
          </w:p>
        </w:tc>
        <w:tc>
          <w:tcPr>
            <w:tcW w:w="605" w:type="dxa"/>
            <w:tcBorders>
              <w:top w:val="nil"/>
              <w:left w:val="nil"/>
              <w:bottom w:val="nil"/>
              <w:right w:val="nil"/>
            </w:tcBorders>
            <w:shd w:val="clear" w:color="auto" w:fill="auto"/>
            <w:noWrap/>
            <w:vAlign w:val="center"/>
            <w:hideMark/>
          </w:tcPr>
          <w:p w14:paraId="4F88CB95" w14:textId="77777777" w:rsidR="003E7AE0" w:rsidRPr="00757ED8" w:rsidRDefault="003E7AE0" w:rsidP="003E7AE0">
            <w:pPr>
              <w:jc w:val="center"/>
              <w:rPr>
                <w:color w:val="000000"/>
              </w:rPr>
            </w:pPr>
            <w:r w:rsidRPr="00757ED8">
              <w:rPr>
                <w:color w:val="000000"/>
              </w:rPr>
              <w:t>0.49</w:t>
            </w:r>
          </w:p>
        </w:tc>
        <w:tc>
          <w:tcPr>
            <w:tcW w:w="333" w:type="dxa"/>
            <w:tcBorders>
              <w:top w:val="nil"/>
              <w:left w:val="nil"/>
              <w:bottom w:val="nil"/>
              <w:right w:val="nil"/>
            </w:tcBorders>
            <w:shd w:val="clear" w:color="auto" w:fill="auto"/>
            <w:noWrap/>
            <w:vAlign w:val="center"/>
            <w:hideMark/>
          </w:tcPr>
          <w:p w14:paraId="4DF6FE5A"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178899C4" w14:textId="77777777" w:rsidR="003E7AE0" w:rsidRPr="00757ED8" w:rsidRDefault="003E7AE0" w:rsidP="003E7AE0">
            <w:pPr>
              <w:jc w:val="center"/>
              <w:rPr>
                <w:color w:val="000000"/>
              </w:rPr>
            </w:pPr>
            <w:r w:rsidRPr="00757ED8">
              <w:rPr>
                <w:color w:val="000000"/>
              </w:rPr>
              <w:t>1.02</w:t>
            </w:r>
          </w:p>
        </w:tc>
        <w:tc>
          <w:tcPr>
            <w:tcW w:w="1871" w:type="dxa"/>
            <w:tcBorders>
              <w:top w:val="nil"/>
              <w:left w:val="nil"/>
              <w:bottom w:val="nil"/>
              <w:right w:val="nil"/>
            </w:tcBorders>
            <w:shd w:val="clear" w:color="auto" w:fill="auto"/>
            <w:noWrap/>
            <w:vAlign w:val="center"/>
            <w:hideMark/>
          </w:tcPr>
          <w:p w14:paraId="6E7FAA39" w14:textId="77777777" w:rsidR="003E7AE0" w:rsidRPr="00757ED8" w:rsidRDefault="003E7AE0" w:rsidP="003E7AE0">
            <w:pPr>
              <w:jc w:val="center"/>
              <w:rPr>
                <w:color w:val="000000"/>
              </w:rPr>
            </w:pPr>
            <w:r w:rsidRPr="00757ED8">
              <w:rPr>
                <w:color w:val="000000"/>
              </w:rPr>
              <w:t>0.97</w:t>
            </w:r>
          </w:p>
        </w:tc>
        <w:tc>
          <w:tcPr>
            <w:tcW w:w="648" w:type="dxa"/>
            <w:tcBorders>
              <w:top w:val="nil"/>
              <w:left w:val="nil"/>
              <w:bottom w:val="nil"/>
              <w:right w:val="nil"/>
            </w:tcBorders>
            <w:shd w:val="clear" w:color="auto" w:fill="auto"/>
            <w:noWrap/>
            <w:vAlign w:val="center"/>
            <w:hideMark/>
          </w:tcPr>
          <w:p w14:paraId="32B24B7D" w14:textId="77777777" w:rsidR="003E7AE0" w:rsidRPr="00757ED8" w:rsidRDefault="003E7AE0" w:rsidP="003E7AE0">
            <w:pPr>
              <w:jc w:val="center"/>
              <w:rPr>
                <w:color w:val="000000"/>
              </w:rPr>
            </w:pPr>
            <w:r w:rsidRPr="00757ED8">
              <w:rPr>
                <w:color w:val="000000"/>
              </w:rPr>
              <w:t>1.07</w:t>
            </w:r>
          </w:p>
        </w:tc>
        <w:tc>
          <w:tcPr>
            <w:tcW w:w="783" w:type="dxa"/>
            <w:tcBorders>
              <w:top w:val="nil"/>
              <w:left w:val="nil"/>
              <w:bottom w:val="nil"/>
              <w:right w:val="nil"/>
            </w:tcBorders>
            <w:shd w:val="clear" w:color="auto" w:fill="auto"/>
            <w:noWrap/>
            <w:vAlign w:val="center"/>
            <w:hideMark/>
          </w:tcPr>
          <w:p w14:paraId="7D06BAC5" w14:textId="77777777" w:rsidR="003E7AE0" w:rsidRPr="00757ED8" w:rsidRDefault="003E7AE0" w:rsidP="003E7AE0">
            <w:pPr>
              <w:jc w:val="center"/>
              <w:rPr>
                <w:color w:val="000000"/>
              </w:rPr>
            </w:pPr>
            <w:r w:rsidRPr="00757ED8">
              <w:rPr>
                <w:color w:val="000000"/>
              </w:rPr>
              <w:t>0.49</w:t>
            </w:r>
          </w:p>
        </w:tc>
      </w:tr>
      <w:tr w:rsidR="003E7AE0" w:rsidRPr="00757ED8" w14:paraId="206DE7CD"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311FD073" w14:textId="77777777" w:rsidR="003E7AE0" w:rsidRPr="00757ED8" w:rsidRDefault="003E7AE0" w:rsidP="003E7AE0">
            <w:pPr>
              <w:rPr>
                <w:color w:val="000000"/>
              </w:rPr>
            </w:pPr>
            <w:r w:rsidRPr="00757ED8">
              <w:rPr>
                <w:color w:val="000000"/>
              </w:rPr>
              <w:t>Days per week</w:t>
            </w:r>
          </w:p>
        </w:tc>
        <w:tc>
          <w:tcPr>
            <w:tcW w:w="600" w:type="dxa"/>
            <w:tcBorders>
              <w:top w:val="single" w:sz="8" w:space="0" w:color="7F7F7F"/>
              <w:left w:val="nil"/>
              <w:bottom w:val="single" w:sz="8" w:space="0" w:color="7F7F7F"/>
              <w:right w:val="nil"/>
            </w:tcBorders>
            <w:shd w:val="clear" w:color="auto" w:fill="auto"/>
            <w:noWrap/>
            <w:vAlign w:val="center"/>
            <w:hideMark/>
          </w:tcPr>
          <w:p w14:paraId="2C8C9BA7" w14:textId="77777777" w:rsidR="003E7AE0" w:rsidRPr="00757ED8" w:rsidRDefault="003E7AE0" w:rsidP="003E7AE0">
            <w:pPr>
              <w:jc w:val="center"/>
              <w:rPr>
                <w:color w:val="000000"/>
              </w:rPr>
            </w:pPr>
            <w:r w:rsidRPr="00757ED8">
              <w:rPr>
                <w:color w:val="000000"/>
              </w:rPr>
              <w:t>-0.16</w:t>
            </w:r>
          </w:p>
        </w:tc>
        <w:tc>
          <w:tcPr>
            <w:tcW w:w="533" w:type="dxa"/>
            <w:tcBorders>
              <w:top w:val="single" w:sz="8" w:space="0" w:color="7F7F7F"/>
              <w:left w:val="nil"/>
              <w:bottom w:val="single" w:sz="8" w:space="0" w:color="7F7F7F"/>
              <w:right w:val="nil"/>
            </w:tcBorders>
            <w:shd w:val="clear" w:color="auto" w:fill="auto"/>
            <w:noWrap/>
            <w:vAlign w:val="center"/>
            <w:hideMark/>
          </w:tcPr>
          <w:p w14:paraId="293C2146" w14:textId="77777777" w:rsidR="003E7AE0" w:rsidRPr="00757ED8" w:rsidRDefault="003E7AE0" w:rsidP="003E7AE0">
            <w:pPr>
              <w:jc w:val="center"/>
              <w:rPr>
                <w:color w:val="000000"/>
              </w:rPr>
            </w:pPr>
            <w:r w:rsidRPr="00757ED8">
              <w:rPr>
                <w:color w:val="000000"/>
              </w:rPr>
              <w:t>0.32</w:t>
            </w:r>
          </w:p>
        </w:tc>
        <w:tc>
          <w:tcPr>
            <w:tcW w:w="605" w:type="dxa"/>
            <w:tcBorders>
              <w:top w:val="single" w:sz="8" w:space="0" w:color="7F7F7F"/>
              <w:left w:val="nil"/>
              <w:bottom w:val="single" w:sz="8" w:space="0" w:color="7F7F7F"/>
              <w:right w:val="nil"/>
            </w:tcBorders>
            <w:shd w:val="clear" w:color="auto" w:fill="auto"/>
            <w:noWrap/>
            <w:vAlign w:val="center"/>
            <w:hideMark/>
          </w:tcPr>
          <w:p w14:paraId="02D53879" w14:textId="77777777" w:rsidR="003E7AE0" w:rsidRPr="00757ED8" w:rsidRDefault="003E7AE0" w:rsidP="003E7AE0">
            <w:pPr>
              <w:jc w:val="center"/>
              <w:rPr>
                <w:color w:val="000000"/>
              </w:rPr>
            </w:pPr>
            <w:r w:rsidRPr="00757ED8">
              <w:rPr>
                <w:color w:val="000000"/>
              </w:rPr>
              <w:t>0.23</w:t>
            </w:r>
          </w:p>
        </w:tc>
        <w:tc>
          <w:tcPr>
            <w:tcW w:w="333" w:type="dxa"/>
            <w:tcBorders>
              <w:top w:val="single" w:sz="8" w:space="0" w:color="7F7F7F"/>
              <w:left w:val="nil"/>
              <w:bottom w:val="single" w:sz="8" w:space="0" w:color="7F7F7F"/>
              <w:right w:val="nil"/>
            </w:tcBorders>
            <w:shd w:val="clear" w:color="auto" w:fill="auto"/>
            <w:noWrap/>
            <w:vAlign w:val="center"/>
            <w:hideMark/>
          </w:tcPr>
          <w:p w14:paraId="48E43CB8"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76FA329D" w14:textId="77777777" w:rsidR="003E7AE0" w:rsidRPr="00757ED8" w:rsidRDefault="003E7AE0" w:rsidP="003E7AE0">
            <w:pPr>
              <w:jc w:val="center"/>
              <w:rPr>
                <w:color w:val="000000"/>
              </w:rPr>
            </w:pPr>
            <w:r w:rsidRPr="00757ED8">
              <w:rPr>
                <w:color w:val="000000"/>
              </w:rPr>
              <w:t>0.86</w:t>
            </w:r>
          </w:p>
        </w:tc>
        <w:tc>
          <w:tcPr>
            <w:tcW w:w="1871" w:type="dxa"/>
            <w:tcBorders>
              <w:top w:val="single" w:sz="8" w:space="0" w:color="7F7F7F"/>
              <w:left w:val="nil"/>
              <w:bottom w:val="single" w:sz="8" w:space="0" w:color="7F7F7F"/>
              <w:right w:val="nil"/>
            </w:tcBorders>
            <w:shd w:val="clear" w:color="auto" w:fill="auto"/>
            <w:noWrap/>
            <w:vAlign w:val="center"/>
            <w:hideMark/>
          </w:tcPr>
          <w:p w14:paraId="7774A4B9" w14:textId="77777777" w:rsidR="003E7AE0" w:rsidRPr="00757ED8" w:rsidRDefault="003E7AE0" w:rsidP="003E7AE0">
            <w:pPr>
              <w:jc w:val="center"/>
              <w:rPr>
                <w:color w:val="000000"/>
              </w:rPr>
            </w:pPr>
            <w:r w:rsidRPr="00757ED8">
              <w:rPr>
                <w:color w:val="000000"/>
              </w:rPr>
              <w:t>0.46</w:t>
            </w:r>
          </w:p>
        </w:tc>
        <w:tc>
          <w:tcPr>
            <w:tcW w:w="648" w:type="dxa"/>
            <w:tcBorders>
              <w:top w:val="single" w:sz="8" w:space="0" w:color="7F7F7F"/>
              <w:left w:val="nil"/>
              <w:bottom w:val="single" w:sz="8" w:space="0" w:color="7F7F7F"/>
              <w:right w:val="nil"/>
            </w:tcBorders>
            <w:shd w:val="clear" w:color="auto" w:fill="auto"/>
            <w:noWrap/>
            <w:vAlign w:val="center"/>
            <w:hideMark/>
          </w:tcPr>
          <w:p w14:paraId="50E0386E" w14:textId="77777777" w:rsidR="003E7AE0" w:rsidRPr="00757ED8" w:rsidRDefault="003E7AE0" w:rsidP="003E7AE0">
            <w:pPr>
              <w:jc w:val="center"/>
              <w:rPr>
                <w:color w:val="000000"/>
              </w:rPr>
            </w:pPr>
            <w:r w:rsidRPr="00757ED8">
              <w:rPr>
                <w:color w:val="000000"/>
              </w:rPr>
              <w:t>1.61</w:t>
            </w:r>
          </w:p>
        </w:tc>
        <w:tc>
          <w:tcPr>
            <w:tcW w:w="783" w:type="dxa"/>
            <w:tcBorders>
              <w:top w:val="single" w:sz="8" w:space="0" w:color="7F7F7F"/>
              <w:left w:val="nil"/>
              <w:bottom w:val="single" w:sz="8" w:space="0" w:color="7F7F7F"/>
              <w:right w:val="nil"/>
            </w:tcBorders>
            <w:shd w:val="clear" w:color="auto" w:fill="auto"/>
            <w:noWrap/>
            <w:vAlign w:val="center"/>
            <w:hideMark/>
          </w:tcPr>
          <w:p w14:paraId="44E1AB1A" w14:textId="77777777" w:rsidR="003E7AE0" w:rsidRPr="00757ED8" w:rsidRDefault="003E7AE0" w:rsidP="003E7AE0">
            <w:pPr>
              <w:jc w:val="center"/>
              <w:rPr>
                <w:color w:val="000000"/>
              </w:rPr>
            </w:pPr>
            <w:r w:rsidRPr="00757ED8">
              <w:rPr>
                <w:color w:val="000000"/>
              </w:rPr>
              <w:t>0.63</w:t>
            </w:r>
          </w:p>
        </w:tc>
      </w:tr>
      <w:tr w:rsidR="003E7AE0" w:rsidRPr="00757ED8" w14:paraId="1089A94D" w14:textId="77777777" w:rsidTr="003E7AE0">
        <w:trPr>
          <w:trHeight w:val="358"/>
        </w:trPr>
        <w:tc>
          <w:tcPr>
            <w:tcW w:w="2375" w:type="dxa"/>
            <w:tcBorders>
              <w:top w:val="nil"/>
              <w:left w:val="nil"/>
              <w:bottom w:val="nil"/>
              <w:right w:val="nil"/>
            </w:tcBorders>
            <w:shd w:val="clear" w:color="auto" w:fill="auto"/>
            <w:noWrap/>
            <w:vAlign w:val="center"/>
            <w:hideMark/>
          </w:tcPr>
          <w:p w14:paraId="336277C5" w14:textId="77777777" w:rsidR="003E7AE0" w:rsidRPr="00757ED8" w:rsidRDefault="003E7AE0" w:rsidP="003E7AE0">
            <w:pPr>
              <w:rPr>
                <w:color w:val="000000"/>
              </w:rPr>
            </w:pPr>
            <w:r w:rsidRPr="00757ED8">
              <w:rPr>
                <w:color w:val="000000"/>
              </w:rPr>
              <w:t>Years of service</w:t>
            </w:r>
          </w:p>
        </w:tc>
        <w:tc>
          <w:tcPr>
            <w:tcW w:w="600" w:type="dxa"/>
            <w:tcBorders>
              <w:top w:val="nil"/>
              <w:left w:val="nil"/>
              <w:bottom w:val="nil"/>
              <w:right w:val="nil"/>
            </w:tcBorders>
            <w:shd w:val="clear" w:color="auto" w:fill="auto"/>
            <w:noWrap/>
            <w:vAlign w:val="center"/>
            <w:hideMark/>
          </w:tcPr>
          <w:p w14:paraId="6399814D" w14:textId="77777777" w:rsidR="003E7AE0" w:rsidRPr="00757ED8" w:rsidRDefault="003E7AE0" w:rsidP="003E7AE0">
            <w:pPr>
              <w:jc w:val="center"/>
              <w:rPr>
                <w:color w:val="000000"/>
              </w:rPr>
            </w:pPr>
            <w:r w:rsidRPr="00757ED8">
              <w:rPr>
                <w:color w:val="000000"/>
              </w:rPr>
              <w:t>-0.02</w:t>
            </w:r>
          </w:p>
        </w:tc>
        <w:tc>
          <w:tcPr>
            <w:tcW w:w="533" w:type="dxa"/>
            <w:tcBorders>
              <w:top w:val="nil"/>
              <w:left w:val="nil"/>
              <w:bottom w:val="nil"/>
              <w:right w:val="nil"/>
            </w:tcBorders>
            <w:shd w:val="clear" w:color="auto" w:fill="auto"/>
            <w:noWrap/>
            <w:vAlign w:val="center"/>
            <w:hideMark/>
          </w:tcPr>
          <w:p w14:paraId="130264C8" w14:textId="77777777" w:rsidR="003E7AE0" w:rsidRPr="00757ED8" w:rsidRDefault="003E7AE0" w:rsidP="003E7AE0">
            <w:pPr>
              <w:jc w:val="center"/>
              <w:rPr>
                <w:color w:val="000000"/>
              </w:rPr>
            </w:pPr>
            <w:r w:rsidRPr="00757ED8">
              <w:rPr>
                <w:color w:val="000000"/>
              </w:rPr>
              <w:t>0.03</w:t>
            </w:r>
          </w:p>
        </w:tc>
        <w:tc>
          <w:tcPr>
            <w:tcW w:w="605" w:type="dxa"/>
            <w:tcBorders>
              <w:top w:val="nil"/>
              <w:left w:val="nil"/>
              <w:bottom w:val="nil"/>
              <w:right w:val="nil"/>
            </w:tcBorders>
            <w:shd w:val="clear" w:color="auto" w:fill="auto"/>
            <w:noWrap/>
            <w:vAlign w:val="center"/>
            <w:hideMark/>
          </w:tcPr>
          <w:p w14:paraId="5DE0FF28" w14:textId="77777777" w:rsidR="003E7AE0" w:rsidRPr="00757ED8" w:rsidRDefault="003E7AE0" w:rsidP="003E7AE0">
            <w:pPr>
              <w:jc w:val="center"/>
              <w:rPr>
                <w:color w:val="000000"/>
              </w:rPr>
            </w:pPr>
            <w:r w:rsidRPr="00757ED8">
              <w:rPr>
                <w:color w:val="000000"/>
              </w:rPr>
              <w:t>0.50</w:t>
            </w:r>
          </w:p>
        </w:tc>
        <w:tc>
          <w:tcPr>
            <w:tcW w:w="333" w:type="dxa"/>
            <w:tcBorders>
              <w:top w:val="nil"/>
              <w:left w:val="nil"/>
              <w:bottom w:val="nil"/>
              <w:right w:val="nil"/>
            </w:tcBorders>
            <w:shd w:val="clear" w:color="auto" w:fill="auto"/>
            <w:noWrap/>
            <w:vAlign w:val="center"/>
            <w:hideMark/>
          </w:tcPr>
          <w:p w14:paraId="1BA98BB5"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526160FD" w14:textId="77777777" w:rsidR="003E7AE0" w:rsidRPr="00757ED8" w:rsidRDefault="003E7AE0" w:rsidP="003E7AE0">
            <w:pPr>
              <w:jc w:val="center"/>
              <w:rPr>
                <w:color w:val="000000"/>
              </w:rPr>
            </w:pPr>
            <w:r w:rsidRPr="00757ED8">
              <w:rPr>
                <w:color w:val="000000"/>
              </w:rPr>
              <w:t>0.98</w:t>
            </w:r>
          </w:p>
        </w:tc>
        <w:tc>
          <w:tcPr>
            <w:tcW w:w="1871" w:type="dxa"/>
            <w:tcBorders>
              <w:top w:val="nil"/>
              <w:left w:val="nil"/>
              <w:bottom w:val="nil"/>
              <w:right w:val="nil"/>
            </w:tcBorders>
            <w:shd w:val="clear" w:color="auto" w:fill="auto"/>
            <w:noWrap/>
            <w:vAlign w:val="center"/>
            <w:hideMark/>
          </w:tcPr>
          <w:p w14:paraId="7CD2B9A0" w14:textId="77777777" w:rsidR="003E7AE0" w:rsidRPr="00757ED8" w:rsidRDefault="003E7AE0" w:rsidP="003E7AE0">
            <w:pPr>
              <w:jc w:val="center"/>
              <w:rPr>
                <w:color w:val="000000"/>
              </w:rPr>
            </w:pPr>
            <w:r w:rsidRPr="00757ED8">
              <w:rPr>
                <w:color w:val="000000"/>
              </w:rPr>
              <w:t>0.93</w:t>
            </w:r>
          </w:p>
        </w:tc>
        <w:tc>
          <w:tcPr>
            <w:tcW w:w="648" w:type="dxa"/>
            <w:tcBorders>
              <w:top w:val="nil"/>
              <w:left w:val="nil"/>
              <w:bottom w:val="nil"/>
              <w:right w:val="nil"/>
            </w:tcBorders>
            <w:shd w:val="clear" w:color="auto" w:fill="auto"/>
            <w:noWrap/>
            <w:vAlign w:val="center"/>
            <w:hideMark/>
          </w:tcPr>
          <w:p w14:paraId="3B2828A9" w14:textId="77777777" w:rsidR="003E7AE0" w:rsidRPr="00757ED8" w:rsidRDefault="003E7AE0" w:rsidP="003E7AE0">
            <w:pPr>
              <w:jc w:val="center"/>
              <w:rPr>
                <w:color w:val="000000"/>
              </w:rPr>
            </w:pPr>
            <w:r w:rsidRPr="00757ED8">
              <w:rPr>
                <w:color w:val="000000"/>
              </w:rPr>
              <w:t>1.04</w:t>
            </w:r>
          </w:p>
        </w:tc>
        <w:tc>
          <w:tcPr>
            <w:tcW w:w="783" w:type="dxa"/>
            <w:tcBorders>
              <w:top w:val="nil"/>
              <w:left w:val="nil"/>
              <w:bottom w:val="nil"/>
              <w:right w:val="nil"/>
            </w:tcBorders>
            <w:shd w:val="clear" w:color="auto" w:fill="auto"/>
            <w:noWrap/>
            <w:vAlign w:val="center"/>
            <w:hideMark/>
          </w:tcPr>
          <w:p w14:paraId="0EACA6DA" w14:textId="77777777" w:rsidR="003E7AE0" w:rsidRPr="00757ED8" w:rsidRDefault="003E7AE0" w:rsidP="003E7AE0">
            <w:pPr>
              <w:jc w:val="center"/>
              <w:rPr>
                <w:color w:val="000000"/>
              </w:rPr>
            </w:pPr>
            <w:r w:rsidRPr="00757ED8">
              <w:rPr>
                <w:color w:val="000000"/>
              </w:rPr>
              <w:t>0.48</w:t>
            </w:r>
          </w:p>
        </w:tc>
      </w:tr>
      <w:tr w:rsidR="003E7AE0" w:rsidRPr="00757ED8" w14:paraId="6A1BBC1B"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0C30B9FB" w14:textId="77777777" w:rsidR="003E7AE0" w:rsidRPr="00757ED8" w:rsidRDefault="003E7AE0" w:rsidP="003E7AE0">
            <w:pPr>
              <w:rPr>
                <w:color w:val="000000"/>
              </w:rPr>
            </w:pPr>
            <w:r w:rsidRPr="00757ED8">
              <w:rPr>
                <w:color w:val="000000"/>
              </w:rPr>
              <w:t>Percentage of practical work in role</w:t>
            </w:r>
          </w:p>
        </w:tc>
        <w:tc>
          <w:tcPr>
            <w:tcW w:w="600" w:type="dxa"/>
            <w:tcBorders>
              <w:top w:val="single" w:sz="8" w:space="0" w:color="7F7F7F"/>
              <w:left w:val="nil"/>
              <w:bottom w:val="single" w:sz="8" w:space="0" w:color="7F7F7F"/>
              <w:right w:val="nil"/>
            </w:tcBorders>
            <w:shd w:val="clear" w:color="auto" w:fill="auto"/>
            <w:noWrap/>
            <w:vAlign w:val="center"/>
            <w:hideMark/>
          </w:tcPr>
          <w:p w14:paraId="445B7ED7" w14:textId="77777777" w:rsidR="003E7AE0" w:rsidRPr="00757ED8" w:rsidRDefault="003E7AE0" w:rsidP="003E7AE0">
            <w:pPr>
              <w:jc w:val="center"/>
              <w:rPr>
                <w:color w:val="000000"/>
              </w:rPr>
            </w:pPr>
            <w:r w:rsidRPr="00757ED8">
              <w:rPr>
                <w:color w:val="000000"/>
              </w:rPr>
              <w:t>0.00</w:t>
            </w:r>
          </w:p>
        </w:tc>
        <w:tc>
          <w:tcPr>
            <w:tcW w:w="533" w:type="dxa"/>
            <w:tcBorders>
              <w:top w:val="single" w:sz="8" w:space="0" w:color="7F7F7F"/>
              <w:left w:val="nil"/>
              <w:bottom w:val="single" w:sz="8" w:space="0" w:color="7F7F7F"/>
              <w:right w:val="nil"/>
            </w:tcBorders>
            <w:shd w:val="clear" w:color="auto" w:fill="auto"/>
            <w:noWrap/>
            <w:vAlign w:val="center"/>
            <w:hideMark/>
          </w:tcPr>
          <w:p w14:paraId="051DE1D7" w14:textId="77777777" w:rsidR="003E7AE0" w:rsidRPr="00757ED8" w:rsidRDefault="003E7AE0" w:rsidP="003E7AE0">
            <w:pPr>
              <w:jc w:val="center"/>
              <w:rPr>
                <w:color w:val="000000"/>
              </w:rPr>
            </w:pPr>
            <w:r w:rsidRPr="00757ED8">
              <w:rPr>
                <w:color w:val="000000"/>
              </w:rPr>
              <w:t>0.01</w:t>
            </w:r>
          </w:p>
        </w:tc>
        <w:tc>
          <w:tcPr>
            <w:tcW w:w="605" w:type="dxa"/>
            <w:tcBorders>
              <w:top w:val="single" w:sz="8" w:space="0" w:color="7F7F7F"/>
              <w:left w:val="nil"/>
              <w:bottom w:val="single" w:sz="8" w:space="0" w:color="7F7F7F"/>
              <w:right w:val="nil"/>
            </w:tcBorders>
            <w:shd w:val="clear" w:color="auto" w:fill="auto"/>
            <w:noWrap/>
            <w:vAlign w:val="center"/>
            <w:hideMark/>
          </w:tcPr>
          <w:p w14:paraId="666D9F83" w14:textId="77777777" w:rsidR="003E7AE0" w:rsidRPr="00757ED8" w:rsidRDefault="003E7AE0" w:rsidP="003E7AE0">
            <w:pPr>
              <w:jc w:val="center"/>
              <w:rPr>
                <w:color w:val="000000"/>
              </w:rPr>
            </w:pPr>
            <w:r w:rsidRPr="00757ED8">
              <w:rPr>
                <w:color w:val="000000"/>
              </w:rPr>
              <w:t>0.23</w:t>
            </w:r>
          </w:p>
        </w:tc>
        <w:tc>
          <w:tcPr>
            <w:tcW w:w="333" w:type="dxa"/>
            <w:tcBorders>
              <w:top w:val="single" w:sz="8" w:space="0" w:color="7F7F7F"/>
              <w:left w:val="nil"/>
              <w:bottom w:val="single" w:sz="8" w:space="0" w:color="7F7F7F"/>
              <w:right w:val="nil"/>
            </w:tcBorders>
            <w:shd w:val="clear" w:color="auto" w:fill="auto"/>
            <w:noWrap/>
            <w:vAlign w:val="center"/>
            <w:hideMark/>
          </w:tcPr>
          <w:p w14:paraId="168D5D74"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4846DE17" w14:textId="77777777" w:rsidR="003E7AE0" w:rsidRPr="00757ED8" w:rsidRDefault="003E7AE0" w:rsidP="003E7AE0">
            <w:pPr>
              <w:jc w:val="center"/>
              <w:rPr>
                <w:color w:val="000000"/>
              </w:rPr>
            </w:pPr>
            <w:r w:rsidRPr="00757ED8">
              <w:rPr>
                <w:color w:val="000000"/>
              </w:rPr>
              <w:t>1.00</w:t>
            </w:r>
          </w:p>
        </w:tc>
        <w:tc>
          <w:tcPr>
            <w:tcW w:w="1871" w:type="dxa"/>
            <w:tcBorders>
              <w:top w:val="single" w:sz="8" w:space="0" w:color="7F7F7F"/>
              <w:left w:val="nil"/>
              <w:bottom w:val="single" w:sz="8" w:space="0" w:color="7F7F7F"/>
              <w:right w:val="nil"/>
            </w:tcBorders>
            <w:shd w:val="clear" w:color="auto" w:fill="auto"/>
            <w:noWrap/>
            <w:vAlign w:val="center"/>
            <w:hideMark/>
          </w:tcPr>
          <w:p w14:paraId="61C305F9" w14:textId="77777777" w:rsidR="003E7AE0" w:rsidRPr="00757ED8" w:rsidRDefault="003E7AE0" w:rsidP="003E7AE0">
            <w:pPr>
              <w:jc w:val="center"/>
              <w:rPr>
                <w:color w:val="000000"/>
              </w:rPr>
            </w:pPr>
            <w:r w:rsidRPr="00757ED8">
              <w:rPr>
                <w:color w:val="000000"/>
              </w:rPr>
              <w:t>0.99</w:t>
            </w:r>
          </w:p>
        </w:tc>
        <w:tc>
          <w:tcPr>
            <w:tcW w:w="648" w:type="dxa"/>
            <w:tcBorders>
              <w:top w:val="single" w:sz="8" w:space="0" w:color="7F7F7F"/>
              <w:left w:val="nil"/>
              <w:bottom w:val="single" w:sz="8" w:space="0" w:color="7F7F7F"/>
              <w:right w:val="nil"/>
            </w:tcBorders>
            <w:shd w:val="clear" w:color="auto" w:fill="auto"/>
            <w:noWrap/>
            <w:vAlign w:val="center"/>
            <w:hideMark/>
          </w:tcPr>
          <w:p w14:paraId="11C917B2" w14:textId="77777777" w:rsidR="003E7AE0" w:rsidRPr="00757ED8" w:rsidRDefault="003E7AE0" w:rsidP="003E7AE0">
            <w:pPr>
              <w:jc w:val="center"/>
              <w:rPr>
                <w:color w:val="000000"/>
              </w:rPr>
            </w:pPr>
            <w:r w:rsidRPr="00757ED8">
              <w:rPr>
                <w:color w:val="000000"/>
              </w:rPr>
              <w:t>1.02</w:t>
            </w:r>
          </w:p>
        </w:tc>
        <w:tc>
          <w:tcPr>
            <w:tcW w:w="783" w:type="dxa"/>
            <w:tcBorders>
              <w:top w:val="single" w:sz="8" w:space="0" w:color="7F7F7F"/>
              <w:left w:val="nil"/>
              <w:bottom w:val="single" w:sz="8" w:space="0" w:color="7F7F7F"/>
              <w:right w:val="nil"/>
            </w:tcBorders>
            <w:shd w:val="clear" w:color="auto" w:fill="auto"/>
            <w:noWrap/>
            <w:vAlign w:val="center"/>
            <w:hideMark/>
          </w:tcPr>
          <w:p w14:paraId="6A9ED344" w14:textId="77777777" w:rsidR="003E7AE0" w:rsidRPr="00757ED8" w:rsidRDefault="003E7AE0" w:rsidP="003E7AE0">
            <w:pPr>
              <w:jc w:val="center"/>
              <w:rPr>
                <w:color w:val="000000"/>
              </w:rPr>
            </w:pPr>
            <w:r w:rsidRPr="00757ED8">
              <w:rPr>
                <w:color w:val="000000"/>
              </w:rPr>
              <w:t>0.63</w:t>
            </w:r>
          </w:p>
        </w:tc>
      </w:tr>
      <w:tr w:rsidR="003E7AE0" w:rsidRPr="00757ED8" w14:paraId="5CF85024" w14:textId="77777777" w:rsidTr="003E7AE0">
        <w:trPr>
          <w:trHeight w:val="358"/>
        </w:trPr>
        <w:tc>
          <w:tcPr>
            <w:tcW w:w="2375" w:type="dxa"/>
            <w:tcBorders>
              <w:top w:val="nil"/>
              <w:left w:val="nil"/>
              <w:bottom w:val="nil"/>
              <w:right w:val="nil"/>
            </w:tcBorders>
            <w:shd w:val="clear" w:color="auto" w:fill="auto"/>
            <w:noWrap/>
            <w:vAlign w:val="center"/>
            <w:hideMark/>
          </w:tcPr>
          <w:p w14:paraId="450C40EF" w14:textId="77777777" w:rsidR="003E7AE0" w:rsidRPr="00757ED8" w:rsidRDefault="003E7AE0" w:rsidP="003E7AE0">
            <w:pPr>
              <w:rPr>
                <w:color w:val="000000"/>
              </w:rPr>
            </w:pPr>
            <w:r w:rsidRPr="00757ED8">
              <w:rPr>
                <w:color w:val="000000"/>
              </w:rPr>
              <w:lastRenderedPageBreak/>
              <w:t>Bothersomeness</w:t>
            </w:r>
          </w:p>
        </w:tc>
        <w:tc>
          <w:tcPr>
            <w:tcW w:w="600" w:type="dxa"/>
            <w:tcBorders>
              <w:top w:val="nil"/>
              <w:left w:val="nil"/>
              <w:bottom w:val="nil"/>
              <w:right w:val="nil"/>
            </w:tcBorders>
            <w:shd w:val="clear" w:color="auto" w:fill="auto"/>
            <w:noWrap/>
            <w:vAlign w:val="center"/>
            <w:hideMark/>
          </w:tcPr>
          <w:p w14:paraId="0223E499" w14:textId="77777777" w:rsidR="003E7AE0" w:rsidRPr="00757ED8" w:rsidRDefault="003E7AE0" w:rsidP="003E7AE0">
            <w:pPr>
              <w:jc w:val="center"/>
              <w:rPr>
                <w:color w:val="000000"/>
              </w:rPr>
            </w:pPr>
            <w:r w:rsidRPr="00757ED8">
              <w:rPr>
                <w:color w:val="000000"/>
              </w:rPr>
              <w:t>-0.87</w:t>
            </w:r>
          </w:p>
        </w:tc>
        <w:tc>
          <w:tcPr>
            <w:tcW w:w="533" w:type="dxa"/>
            <w:tcBorders>
              <w:top w:val="nil"/>
              <w:left w:val="nil"/>
              <w:bottom w:val="nil"/>
              <w:right w:val="nil"/>
            </w:tcBorders>
            <w:shd w:val="clear" w:color="auto" w:fill="auto"/>
            <w:noWrap/>
            <w:vAlign w:val="center"/>
            <w:hideMark/>
          </w:tcPr>
          <w:p w14:paraId="360577E8" w14:textId="77777777" w:rsidR="003E7AE0" w:rsidRPr="00757ED8" w:rsidRDefault="003E7AE0" w:rsidP="003E7AE0">
            <w:pPr>
              <w:jc w:val="center"/>
              <w:rPr>
                <w:color w:val="000000"/>
              </w:rPr>
            </w:pPr>
            <w:r w:rsidRPr="00757ED8">
              <w:rPr>
                <w:color w:val="000000"/>
              </w:rPr>
              <w:t>0.29</w:t>
            </w:r>
          </w:p>
        </w:tc>
        <w:tc>
          <w:tcPr>
            <w:tcW w:w="605" w:type="dxa"/>
            <w:tcBorders>
              <w:top w:val="nil"/>
              <w:left w:val="nil"/>
              <w:bottom w:val="nil"/>
              <w:right w:val="nil"/>
            </w:tcBorders>
            <w:shd w:val="clear" w:color="auto" w:fill="auto"/>
            <w:noWrap/>
            <w:vAlign w:val="center"/>
            <w:hideMark/>
          </w:tcPr>
          <w:p w14:paraId="0AD5CD36" w14:textId="77777777" w:rsidR="003E7AE0" w:rsidRPr="00757ED8" w:rsidRDefault="003E7AE0" w:rsidP="003E7AE0">
            <w:pPr>
              <w:jc w:val="center"/>
              <w:rPr>
                <w:color w:val="000000"/>
              </w:rPr>
            </w:pPr>
            <w:r w:rsidRPr="00757ED8">
              <w:rPr>
                <w:color w:val="000000"/>
              </w:rPr>
              <w:t>9.24</w:t>
            </w:r>
          </w:p>
        </w:tc>
        <w:tc>
          <w:tcPr>
            <w:tcW w:w="333" w:type="dxa"/>
            <w:tcBorders>
              <w:top w:val="nil"/>
              <w:left w:val="nil"/>
              <w:bottom w:val="nil"/>
              <w:right w:val="nil"/>
            </w:tcBorders>
            <w:shd w:val="clear" w:color="auto" w:fill="auto"/>
            <w:noWrap/>
            <w:vAlign w:val="center"/>
            <w:hideMark/>
          </w:tcPr>
          <w:p w14:paraId="472E5780"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57DF9CE5" w14:textId="77777777" w:rsidR="003E7AE0" w:rsidRPr="00757ED8" w:rsidRDefault="003E7AE0" w:rsidP="003E7AE0">
            <w:pPr>
              <w:jc w:val="center"/>
              <w:rPr>
                <w:color w:val="000000"/>
              </w:rPr>
            </w:pPr>
            <w:r w:rsidRPr="00757ED8">
              <w:rPr>
                <w:color w:val="000000"/>
              </w:rPr>
              <w:t>0.42</w:t>
            </w:r>
          </w:p>
        </w:tc>
        <w:tc>
          <w:tcPr>
            <w:tcW w:w="1871" w:type="dxa"/>
            <w:tcBorders>
              <w:top w:val="nil"/>
              <w:left w:val="nil"/>
              <w:bottom w:val="nil"/>
              <w:right w:val="nil"/>
            </w:tcBorders>
            <w:shd w:val="clear" w:color="auto" w:fill="auto"/>
            <w:noWrap/>
            <w:vAlign w:val="center"/>
            <w:hideMark/>
          </w:tcPr>
          <w:p w14:paraId="3892DD66" w14:textId="77777777" w:rsidR="003E7AE0" w:rsidRPr="00757ED8" w:rsidRDefault="003E7AE0" w:rsidP="003E7AE0">
            <w:pPr>
              <w:jc w:val="center"/>
              <w:rPr>
                <w:color w:val="000000"/>
              </w:rPr>
            </w:pPr>
            <w:r w:rsidRPr="00757ED8">
              <w:rPr>
                <w:color w:val="000000"/>
              </w:rPr>
              <w:t>0.24</w:t>
            </w:r>
          </w:p>
        </w:tc>
        <w:tc>
          <w:tcPr>
            <w:tcW w:w="648" w:type="dxa"/>
            <w:tcBorders>
              <w:top w:val="nil"/>
              <w:left w:val="nil"/>
              <w:bottom w:val="nil"/>
              <w:right w:val="nil"/>
            </w:tcBorders>
            <w:shd w:val="clear" w:color="auto" w:fill="auto"/>
            <w:noWrap/>
            <w:vAlign w:val="center"/>
            <w:hideMark/>
          </w:tcPr>
          <w:p w14:paraId="75447495" w14:textId="77777777" w:rsidR="003E7AE0" w:rsidRPr="00757ED8" w:rsidRDefault="003E7AE0" w:rsidP="003E7AE0">
            <w:pPr>
              <w:jc w:val="center"/>
              <w:rPr>
                <w:color w:val="000000"/>
              </w:rPr>
            </w:pPr>
            <w:r w:rsidRPr="00757ED8">
              <w:rPr>
                <w:color w:val="000000"/>
              </w:rPr>
              <w:t>0.73</w:t>
            </w:r>
          </w:p>
        </w:tc>
        <w:tc>
          <w:tcPr>
            <w:tcW w:w="783" w:type="dxa"/>
            <w:tcBorders>
              <w:top w:val="nil"/>
              <w:left w:val="nil"/>
              <w:bottom w:val="nil"/>
              <w:right w:val="nil"/>
            </w:tcBorders>
            <w:shd w:val="clear" w:color="auto" w:fill="auto"/>
            <w:noWrap/>
            <w:vAlign w:val="center"/>
            <w:hideMark/>
          </w:tcPr>
          <w:p w14:paraId="5E3972DC" w14:textId="77777777" w:rsidR="003E7AE0" w:rsidRPr="00757ED8" w:rsidRDefault="003E7AE0" w:rsidP="003E7AE0">
            <w:pPr>
              <w:jc w:val="center"/>
              <w:rPr>
                <w:color w:val="000000"/>
              </w:rPr>
            </w:pPr>
            <w:r w:rsidRPr="00757ED8">
              <w:rPr>
                <w:color w:val="000000"/>
              </w:rPr>
              <w:t>0.002**</w:t>
            </w:r>
          </w:p>
        </w:tc>
      </w:tr>
      <w:tr w:rsidR="003E7AE0" w:rsidRPr="00757ED8" w14:paraId="6EEABB64"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3D275656" w14:textId="77777777" w:rsidR="003E7AE0" w:rsidRPr="00757ED8" w:rsidRDefault="003E7AE0" w:rsidP="003E7AE0">
            <w:pPr>
              <w:rPr>
                <w:color w:val="000000"/>
              </w:rPr>
            </w:pPr>
            <w:r w:rsidRPr="00757ED8">
              <w:rPr>
                <w:color w:val="000000"/>
              </w:rPr>
              <w:t>Sick leave due to MSK</w:t>
            </w:r>
          </w:p>
        </w:tc>
        <w:tc>
          <w:tcPr>
            <w:tcW w:w="600" w:type="dxa"/>
            <w:tcBorders>
              <w:top w:val="single" w:sz="8" w:space="0" w:color="7F7F7F"/>
              <w:left w:val="nil"/>
              <w:bottom w:val="single" w:sz="8" w:space="0" w:color="7F7F7F"/>
              <w:right w:val="nil"/>
            </w:tcBorders>
            <w:shd w:val="clear" w:color="auto" w:fill="auto"/>
            <w:noWrap/>
            <w:vAlign w:val="center"/>
            <w:hideMark/>
          </w:tcPr>
          <w:p w14:paraId="2927F23E" w14:textId="77777777" w:rsidR="003E7AE0" w:rsidRPr="00757ED8" w:rsidRDefault="003E7AE0" w:rsidP="003E7AE0">
            <w:pPr>
              <w:jc w:val="center"/>
              <w:rPr>
                <w:color w:val="000000"/>
              </w:rPr>
            </w:pPr>
            <w:r w:rsidRPr="00757ED8">
              <w:rPr>
                <w:color w:val="000000"/>
              </w:rPr>
              <w:t>0.36</w:t>
            </w:r>
          </w:p>
        </w:tc>
        <w:tc>
          <w:tcPr>
            <w:tcW w:w="533" w:type="dxa"/>
            <w:tcBorders>
              <w:top w:val="single" w:sz="8" w:space="0" w:color="7F7F7F"/>
              <w:left w:val="nil"/>
              <w:bottom w:val="single" w:sz="8" w:space="0" w:color="7F7F7F"/>
              <w:right w:val="nil"/>
            </w:tcBorders>
            <w:shd w:val="clear" w:color="auto" w:fill="auto"/>
            <w:noWrap/>
            <w:vAlign w:val="center"/>
            <w:hideMark/>
          </w:tcPr>
          <w:p w14:paraId="7C84F58F" w14:textId="77777777" w:rsidR="003E7AE0" w:rsidRPr="00757ED8" w:rsidRDefault="003E7AE0" w:rsidP="003E7AE0">
            <w:pPr>
              <w:jc w:val="center"/>
              <w:rPr>
                <w:color w:val="000000"/>
              </w:rPr>
            </w:pPr>
            <w:r w:rsidRPr="00757ED8">
              <w:rPr>
                <w:color w:val="000000"/>
              </w:rPr>
              <w:t>0.47</w:t>
            </w:r>
          </w:p>
        </w:tc>
        <w:tc>
          <w:tcPr>
            <w:tcW w:w="605" w:type="dxa"/>
            <w:tcBorders>
              <w:top w:val="single" w:sz="8" w:space="0" w:color="7F7F7F"/>
              <w:left w:val="nil"/>
              <w:bottom w:val="single" w:sz="8" w:space="0" w:color="7F7F7F"/>
              <w:right w:val="nil"/>
            </w:tcBorders>
            <w:shd w:val="clear" w:color="auto" w:fill="auto"/>
            <w:noWrap/>
            <w:vAlign w:val="center"/>
            <w:hideMark/>
          </w:tcPr>
          <w:p w14:paraId="13CD6244" w14:textId="77777777" w:rsidR="003E7AE0" w:rsidRPr="00757ED8" w:rsidRDefault="003E7AE0" w:rsidP="003E7AE0">
            <w:pPr>
              <w:jc w:val="center"/>
              <w:rPr>
                <w:color w:val="000000"/>
              </w:rPr>
            </w:pPr>
            <w:r w:rsidRPr="00757ED8">
              <w:rPr>
                <w:color w:val="000000"/>
              </w:rPr>
              <w:t>0.60</w:t>
            </w:r>
          </w:p>
        </w:tc>
        <w:tc>
          <w:tcPr>
            <w:tcW w:w="333" w:type="dxa"/>
            <w:tcBorders>
              <w:top w:val="single" w:sz="8" w:space="0" w:color="7F7F7F"/>
              <w:left w:val="nil"/>
              <w:bottom w:val="single" w:sz="8" w:space="0" w:color="7F7F7F"/>
              <w:right w:val="nil"/>
            </w:tcBorders>
            <w:shd w:val="clear" w:color="auto" w:fill="auto"/>
            <w:noWrap/>
            <w:vAlign w:val="center"/>
            <w:hideMark/>
          </w:tcPr>
          <w:p w14:paraId="493F9329"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26FD582C" w14:textId="77777777" w:rsidR="003E7AE0" w:rsidRPr="00757ED8" w:rsidRDefault="003E7AE0" w:rsidP="003E7AE0">
            <w:pPr>
              <w:jc w:val="center"/>
              <w:rPr>
                <w:color w:val="000000"/>
              </w:rPr>
            </w:pPr>
            <w:r w:rsidRPr="00757ED8">
              <w:rPr>
                <w:color w:val="000000"/>
              </w:rPr>
              <w:t>1.43</w:t>
            </w:r>
          </w:p>
        </w:tc>
        <w:tc>
          <w:tcPr>
            <w:tcW w:w="1871" w:type="dxa"/>
            <w:tcBorders>
              <w:top w:val="single" w:sz="8" w:space="0" w:color="7F7F7F"/>
              <w:left w:val="nil"/>
              <w:bottom w:val="single" w:sz="8" w:space="0" w:color="7F7F7F"/>
              <w:right w:val="nil"/>
            </w:tcBorders>
            <w:shd w:val="clear" w:color="auto" w:fill="auto"/>
            <w:noWrap/>
            <w:vAlign w:val="center"/>
            <w:hideMark/>
          </w:tcPr>
          <w:p w14:paraId="602C6660" w14:textId="77777777" w:rsidR="003E7AE0" w:rsidRPr="00757ED8" w:rsidRDefault="003E7AE0" w:rsidP="003E7AE0">
            <w:pPr>
              <w:jc w:val="center"/>
              <w:rPr>
                <w:color w:val="000000"/>
              </w:rPr>
            </w:pPr>
            <w:r w:rsidRPr="00757ED8">
              <w:rPr>
                <w:color w:val="000000"/>
              </w:rPr>
              <w:t>0.58</w:t>
            </w:r>
          </w:p>
        </w:tc>
        <w:tc>
          <w:tcPr>
            <w:tcW w:w="648" w:type="dxa"/>
            <w:tcBorders>
              <w:top w:val="single" w:sz="8" w:space="0" w:color="7F7F7F"/>
              <w:left w:val="nil"/>
              <w:bottom w:val="single" w:sz="8" w:space="0" w:color="7F7F7F"/>
              <w:right w:val="nil"/>
            </w:tcBorders>
            <w:shd w:val="clear" w:color="auto" w:fill="auto"/>
            <w:noWrap/>
            <w:vAlign w:val="center"/>
            <w:hideMark/>
          </w:tcPr>
          <w:p w14:paraId="22605B46" w14:textId="77777777" w:rsidR="003E7AE0" w:rsidRPr="00757ED8" w:rsidRDefault="003E7AE0" w:rsidP="003E7AE0">
            <w:pPr>
              <w:jc w:val="center"/>
              <w:rPr>
                <w:color w:val="000000"/>
              </w:rPr>
            </w:pPr>
            <w:r w:rsidRPr="00757ED8">
              <w:rPr>
                <w:color w:val="000000"/>
              </w:rPr>
              <w:t>3.57</w:t>
            </w:r>
          </w:p>
        </w:tc>
        <w:tc>
          <w:tcPr>
            <w:tcW w:w="783" w:type="dxa"/>
            <w:tcBorders>
              <w:top w:val="single" w:sz="8" w:space="0" w:color="7F7F7F"/>
              <w:left w:val="nil"/>
              <w:bottom w:val="single" w:sz="8" w:space="0" w:color="7F7F7F"/>
              <w:right w:val="nil"/>
            </w:tcBorders>
            <w:shd w:val="clear" w:color="auto" w:fill="auto"/>
            <w:noWrap/>
            <w:vAlign w:val="center"/>
            <w:hideMark/>
          </w:tcPr>
          <w:p w14:paraId="659A6392" w14:textId="77777777" w:rsidR="003E7AE0" w:rsidRPr="00757ED8" w:rsidRDefault="003E7AE0" w:rsidP="003E7AE0">
            <w:pPr>
              <w:jc w:val="center"/>
              <w:rPr>
                <w:color w:val="000000"/>
              </w:rPr>
            </w:pPr>
            <w:r w:rsidRPr="00757ED8">
              <w:rPr>
                <w:color w:val="000000"/>
              </w:rPr>
              <w:t>0.44</w:t>
            </w:r>
          </w:p>
        </w:tc>
      </w:tr>
      <w:tr w:rsidR="003E7AE0" w:rsidRPr="00757ED8" w14:paraId="75885929" w14:textId="77777777" w:rsidTr="003E7AE0">
        <w:trPr>
          <w:trHeight w:val="358"/>
        </w:trPr>
        <w:tc>
          <w:tcPr>
            <w:tcW w:w="2375" w:type="dxa"/>
            <w:tcBorders>
              <w:top w:val="nil"/>
              <w:left w:val="nil"/>
              <w:bottom w:val="nil"/>
              <w:right w:val="nil"/>
            </w:tcBorders>
            <w:shd w:val="clear" w:color="auto" w:fill="auto"/>
            <w:noWrap/>
            <w:vAlign w:val="center"/>
            <w:hideMark/>
          </w:tcPr>
          <w:p w14:paraId="3E23E5FC" w14:textId="77777777" w:rsidR="003E7AE0" w:rsidRPr="00757ED8" w:rsidRDefault="003E7AE0" w:rsidP="003E7AE0">
            <w:pPr>
              <w:rPr>
                <w:color w:val="000000"/>
              </w:rPr>
            </w:pPr>
            <w:r w:rsidRPr="00757ED8">
              <w:rPr>
                <w:color w:val="000000"/>
              </w:rPr>
              <w:t>Number of pain locations</w:t>
            </w:r>
          </w:p>
        </w:tc>
        <w:tc>
          <w:tcPr>
            <w:tcW w:w="600" w:type="dxa"/>
            <w:tcBorders>
              <w:top w:val="nil"/>
              <w:left w:val="nil"/>
              <w:bottom w:val="nil"/>
              <w:right w:val="nil"/>
            </w:tcBorders>
            <w:shd w:val="clear" w:color="auto" w:fill="auto"/>
            <w:noWrap/>
            <w:vAlign w:val="center"/>
            <w:hideMark/>
          </w:tcPr>
          <w:p w14:paraId="023ADBBA" w14:textId="77777777" w:rsidR="003E7AE0" w:rsidRPr="00757ED8" w:rsidRDefault="003E7AE0" w:rsidP="003E7AE0">
            <w:pPr>
              <w:jc w:val="center"/>
              <w:rPr>
                <w:color w:val="000000"/>
              </w:rPr>
            </w:pPr>
            <w:r w:rsidRPr="00757ED8">
              <w:rPr>
                <w:color w:val="000000"/>
              </w:rPr>
              <w:t>-0.25</w:t>
            </w:r>
          </w:p>
        </w:tc>
        <w:tc>
          <w:tcPr>
            <w:tcW w:w="533" w:type="dxa"/>
            <w:tcBorders>
              <w:top w:val="nil"/>
              <w:left w:val="nil"/>
              <w:bottom w:val="nil"/>
              <w:right w:val="nil"/>
            </w:tcBorders>
            <w:shd w:val="clear" w:color="auto" w:fill="auto"/>
            <w:noWrap/>
            <w:vAlign w:val="center"/>
            <w:hideMark/>
          </w:tcPr>
          <w:p w14:paraId="270C269E" w14:textId="77777777" w:rsidR="003E7AE0" w:rsidRPr="00757ED8" w:rsidRDefault="003E7AE0" w:rsidP="003E7AE0">
            <w:pPr>
              <w:jc w:val="center"/>
              <w:rPr>
                <w:color w:val="000000"/>
              </w:rPr>
            </w:pPr>
            <w:r w:rsidRPr="00757ED8">
              <w:rPr>
                <w:color w:val="000000"/>
              </w:rPr>
              <w:t>0.11</w:t>
            </w:r>
          </w:p>
        </w:tc>
        <w:tc>
          <w:tcPr>
            <w:tcW w:w="605" w:type="dxa"/>
            <w:tcBorders>
              <w:top w:val="nil"/>
              <w:left w:val="nil"/>
              <w:bottom w:val="nil"/>
              <w:right w:val="nil"/>
            </w:tcBorders>
            <w:shd w:val="clear" w:color="auto" w:fill="auto"/>
            <w:noWrap/>
            <w:vAlign w:val="center"/>
            <w:hideMark/>
          </w:tcPr>
          <w:p w14:paraId="18325026" w14:textId="77777777" w:rsidR="003E7AE0" w:rsidRPr="00757ED8" w:rsidRDefault="003E7AE0" w:rsidP="003E7AE0">
            <w:pPr>
              <w:jc w:val="center"/>
              <w:rPr>
                <w:color w:val="000000"/>
              </w:rPr>
            </w:pPr>
            <w:r w:rsidRPr="00757ED8">
              <w:rPr>
                <w:color w:val="000000"/>
              </w:rPr>
              <w:t>5.06</w:t>
            </w:r>
          </w:p>
        </w:tc>
        <w:tc>
          <w:tcPr>
            <w:tcW w:w="333" w:type="dxa"/>
            <w:tcBorders>
              <w:top w:val="nil"/>
              <w:left w:val="nil"/>
              <w:bottom w:val="nil"/>
              <w:right w:val="nil"/>
            </w:tcBorders>
            <w:shd w:val="clear" w:color="auto" w:fill="auto"/>
            <w:noWrap/>
            <w:vAlign w:val="center"/>
            <w:hideMark/>
          </w:tcPr>
          <w:p w14:paraId="5D3976A1"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0088DA81" w14:textId="77777777" w:rsidR="003E7AE0" w:rsidRPr="00757ED8" w:rsidRDefault="003E7AE0" w:rsidP="003E7AE0">
            <w:pPr>
              <w:jc w:val="center"/>
              <w:rPr>
                <w:color w:val="000000"/>
              </w:rPr>
            </w:pPr>
            <w:r w:rsidRPr="00757ED8">
              <w:rPr>
                <w:color w:val="000000"/>
              </w:rPr>
              <w:t>0.78</w:t>
            </w:r>
          </w:p>
        </w:tc>
        <w:tc>
          <w:tcPr>
            <w:tcW w:w="1871" w:type="dxa"/>
            <w:tcBorders>
              <w:top w:val="nil"/>
              <w:left w:val="nil"/>
              <w:bottom w:val="nil"/>
              <w:right w:val="nil"/>
            </w:tcBorders>
            <w:shd w:val="clear" w:color="auto" w:fill="auto"/>
            <w:noWrap/>
            <w:vAlign w:val="center"/>
            <w:hideMark/>
          </w:tcPr>
          <w:p w14:paraId="1D333C71" w14:textId="77777777" w:rsidR="003E7AE0" w:rsidRPr="00757ED8" w:rsidRDefault="003E7AE0" w:rsidP="003E7AE0">
            <w:pPr>
              <w:jc w:val="center"/>
              <w:rPr>
                <w:color w:val="000000"/>
              </w:rPr>
            </w:pPr>
            <w:r w:rsidRPr="00757ED8">
              <w:rPr>
                <w:color w:val="000000"/>
              </w:rPr>
              <w:t>0.63</w:t>
            </w:r>
          </w:p>
        </w:tc>
        <w:tc>
          <w:tcPr>
            <w:tcW w:w="648" w:type="dxa"/>
            <w:tcBorders>
              <w:top w:val="nil"/>
              <w:left w:val="nil"/>
              <w:bottom w:val="nil"/>
              <w:right w:val="nil"/>
            </w:tcBorders>
            <w:shd w:val="clear" w:color="auto" w:fill="auto"/>
            <w:noWrap/>
            <w:vAlign w:val="center"/>
            <w:hideMark/>
          </w:tcPr>
          <w:p w14:paraId="51A269A8" w14:textId="77777777" w:rsidR="003E7AE0" w:rsidRPr="00757ED8" w:rsidRDefault="003E7AE0" w:rsidP="003E7AE0">
            <w:pPr>
              <w:jc w:val="center"/>
              <w:rPr>
                <w:color w:val="000000"/>
              </w:rPr>
            </w:pPr>
            <w:r w:rsidRPr="00757ED8">
              <w:rPr>
                <w:color w:val="000000"/>
              </w:rPr>
              <w:t>0.97</w:t>
            </w:r>
          </w:p>
        </w:tc>
        <w:tc>
          <w:tcPr>
            <w:tcW w:w="783" w:type="dxa"/>
            <w:tcBorders>
              <w:top w:val="nil"/>
              <w:left w:val="nil"/>
              <w:bottom w:val="nil"/>
              <w:right w:val="nil"/>
            </w:tcBorders>
            <w:shd w:val="clear" w:color="auto" w:fill="auto"/>
            <w:noWrap/>
            <w:vAlign w:val="center"/>
            <w:hideMark/>
          </w:tcPr>
          <w:p w14:paraId="5EBC369F" w14:textId="77777777" w:rsidR="003E7AE0" w:rsidRPr="00757ED8" w:rsidRDefault="003E7AE0" w:rsidP="003E7AE0">
            <w:pPr>
              <w:jc w:val="center"/>
              <w:rPr>
                <w:color w:val="000000"/>
              </w:rPr>
            </w:pPr>
            <w:r w:rsidRPr="00757ED8">
              <w:rPr>
                <w:color w:val="000000"/>
              </w:rPr>
              <w:t>0.024*</w:t>
            </w:r>
          </w:p>
        </w:tc>
      </w:tr>
      <w:tr w:rsidR="003E7AE0" w:rsidRPr="00757ED8" w14:paraId="7114FBDB"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0AD16D36" w14:textId="77777777" w:rsidR="003E7AE0" w:rsidRPr="00757ED8" w:rsidRDefault="003E7AE0" w:rsidP="003E7AE0">
            <w:pPr>
              <w:rPr>
                <w:color w:val="000000"/>
              </w:rPr>
            </w:pPr>
            <w:r w:rsidRPr="00757ED8">
              <w:rPr>
                <w:color w:val="000000"/>
              </w:rPr>
              <w:t>Average pain intensity</w:t>
            </w:r>
          </w:p>
        </w:tc>
        <w:tc>
          <w:tcPr>
            <w:tcW w:w="600" w:type="dxa"/>
            <w:tcBorders>
              <w:top w:val="single" w:sz="8" w:space="0" w:color="7F7F7F"/>
              <w:left w:val="nil"/>
              <w:bottom w:val="single" w:sz="8" w:space="0" w:color="7F7F7F"/>
              <w:right w:val="nil"/>
            </w:tcBorders>
            <w:shd w:val="clear" w:color="auto" w:fill="auto"/>
            <w:noWrap/>
            <w:vAlign w:val="center"/>
            <w:hideMark/>
          </w:tcPr>
          <w:p w14:paraId="1F577913" w14:textId="77777777" w:rsidR="003E7AE0" w:rsidRPr="00757ED8" w:rsidRDefault="003E7AE0" w:rsidP="003E7AE0">
            <w:pPr>
              <w:jc w:val="center"/>
              <w:rPr>
                <w:color w:val="000000"/>
              </w:rPr>
            </w:pPr>
            <w:r w:rsidRPr="00757ED8">
              <w:rPr>
                <w:color w:val="000000"/>
              </w:rPr>
              <w:t>0.23</w:t>
            </w:r>
          </w:p>
        </w:tc>
        <w:tc>
          <w:tcPr>
            <w:tcW w:w="533" w:type="dxa"/>
            <w:tcBorders>
              <w:top w:val="single" w:sz="8" w:space="0" w:color="7F7F7F"/>
              <w:left w:val="nil"/>
              <w:bottom w:val="single" w:sz="8" w:space="0" w:color="7F7F7F"/>
              <w:right w:val="nil"/>
            </w:tcBorders>
            <w:shd w:val="clear" w:color="auto" w:fill="auto"/>
            <w:noWrap/>
            <w:vAlign w:val="center"/>
            <w:hideMark/>
          </w:tcPr>
          <w:p w14:paraId="79CC9A2D" w14:textId="77777777" w:rsidR="003E7AE0" w:rsidRPr="00757ED8" w:rsidRDefault="003E7AE0" w:rsidP="003E7AE0">
            <w:pPr>
              <w:jc w:val="center"/>
              <w:rPr>
                <w:color w:val="000000"/>
              </w:rPr>
            </w:pPr>
            <w:r w:rsidRPr="00757ED8">
              <w:rPr>
                <w:color w:val="000000"/>
              </w:rPr>
              <w:t>0.46</w:t>
            </w:r>
          </w:p>
        </w:tc>
        <w:tc>
          <w:tcPr>
            <w:tcW w:w="605" w:type="dxa"/>
            <w:tcBorders>
              <w:top w:val="single" w:sz="8" w:space="0" w:color="7F7F7F"/>
              <w:left w:val="nil"/>
              <w:bottom w:val="single" w:sz="8" w:space="0" w:color="7F7F7F"/>
              <w:right w:val="nil"/>
            </w:tcBorders>
            <w:shd w:val="clear" w:color="auto" w:fill="auto"/>
            <w:noWrap/>
            <w:vAlign w:val="center"/>
            <w:hideMark/>
          </w:tcPr>
          <w:p w14:paraId="3943AD1B" w14:textId="77777777" w:rsidR="003E7AE0" w:rsidRPr="00757ED8" w:rsidRDefault="003E7AE0" w:rsidP="003E7AE0">
            <w:pPr>
              <w:jc w:val="center"/>
              <w:rPr>
                <w:color w:val="000000"/>
              </w:rPr>
            </w:pPr>
            <w:r w:rsidRPr="00757ED8">
              <w:rPr>
                <w:color w:val="000000"/>
              </w:rPr>
              <w:t>0.25</w:t>
            </w:r>
          </w:p>
        </w:tc>
        <w:tc>
          <w:tcPr>
            <w:tcW w:w="333" w:type="dxa"/>
            <w:tcBorders>
              <w:top w:val="single" w:sz="8" w:space="0" w:color="7F7F7F"/>
              <w:left w:val="nil"/>
              <w:bottom w:val="single" w:sz="8" w:space="0" w:color="7F7F7F"/>
              <w:right w:val="nil"/>
            </w:tcBorders>
            <w:shd w:val="clear" w:color="auto" w:fill="auto"/>
            <w:noWrap/>
            <w:vAlign w:val="center"/>
            <w:hideMark/>
          </w:tcPr>
          <w:p w14:paraId="7454A8EA"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6EE11D7A" w14:textId="77777777" w:rsidR="003E7AE0" w:rsidRPr="00757ED8" w:rsidRDefault="003E7AE0" w:rsidP="003E7AE0">
            <w:pPr>
              <w:jc w:val="center"/>
              <w:rPr>
                <w:color w:val="000000"/>
              </w:rPr>
            </w:pPr>
            <w:r w:rsidRPr="00757ED8">
              <w:rPr>
                <w:color w:val="000000"/>
              </w:rPr>
              <w:t>1.26</w:t>
            </w:r>
          </w:p>
        </w:tc>
        <w:tc>
          <w:tcPr>
            <w:tcW w:w="1871" w:type="dxa"/>
            <w:tcBorders>
              <w:top w:val="single" w:sz="8" w:space="0" w:color="7F7F7F"/>
              <w:left w:val="nil"/>
              <w:bottom w:val="single" w:sz="8" w:space="0" w:color="7F7F7F"/>
              <w:right w:val="nil"/>
            </w:tcBorders>
            <w:shd w:val="clear" w:color="auto" w:fill="auto"/>
            <w:noWrap/>
            <w:vAlign w:val="center"/>
            <w:hideMark/>
          </w:tcPr>
          <w:p w14:paraId="4D34D6EB" w14:textId="77777777" w:rsidR="003E7AE0" w:rsidRPr="00757ED8" w:rsidRDefault="003E7AE0" w:rsidP="003E7AE0">
            <w:pPr>
              <w:jc w:val="center"/>
              <w:rPr>
                <w:color w:val="000000"/>
              </w:rPr>
            </w:pPr>
            <w:r w:rsidRPr="00757ED8">
              <w:rPr>
                <w:color w:val="000000"/>
              </w:rPr>
              <w:t>0.51</w:t>
            </w:r>
          </w:p>
        </w:tc>
        <w:tc>
          <w:tcPr>
            <w:tcW w:w="648" w:type="dxa"/>
            <w:tcBorders>
              <w:top w:val="single" w:sz="8" w:space="0" w:color="7F7F7F"/>
              <w:left w:val="nil"/>
              <w:bottom w:val="single" w:sz="8" w:space="0" w:color="7F7F7F"/>
              <w:right w:val="nil"/>
            </w:tcBorders>
            <w:shd w:val="clear" w:color="auto" w:fill="auto"/>
            <w:noWrap/>
            <w:vAlign w:val="center"/>
            <w:hideMark/>
          </w:tcPr>
          <w:p w14:paraId="7F25CA1D" w14:textId="77777777" w:rsidR="003E7AE0" w:rsidRPr="00757ED8" w:rsidRDefault="003E7AE0" w:rsidP="003E7AE0">
            <w:pPr>
              <w:jc w:val="center"/>
              <w:rPr>
                <w:color w:val="000000"/>
              </w:rPr>
            </w:pPr>
            <w:r w:rsidRPr="00757ED8">
              <w:rPr>
                <w:color w:val="000000"/>
              </w:rPr>
              <w:t>3.11</w:t>
            </w:r>
          </w:p>
        </w:tc>
        <w:tc>
          <w:tcPr>
            <w:tcW w:w="783" w:type="dxa"/>
            <w:tcBorders>
              <w:top w:val="single" w:sz="8" w:space="0" w:color="7F7F7F"/>
              <w:left w:val="nil"/>
              <w:bottom w:val="single" w:sz="8" w:space="0" w:color="7F7F7F"/>
              <w:right w:val="nil"/>
            </w:tcBorders>
            <w:shd w:val="clear" w:color="auto" w:fill="auto"/>
            <w:noWrap/>
            <w:vAlign w:val="center"/>
            <w:hideMark/>
          </w:tcPr>
          <w:p w14:paraId="67C7A515" w14:textId="77777777" w:rsidR="003E7AE0" w:rsidRPr="00757ED8" w:rsidRDefault="003E7AE0" w:rsidP="003E7AE0">
            <w:pPr>
              <w:jc w:val="center"/>
              <w:rPr>
                <w:color w:val="000000"/>
              </w:rPr>
            </w:pPr>
            <w:r w:rsidRPr="00757ED8">
              <w:rPr>
                <w:color w:val="000000"/>
              </w:rPr>
              <w:t>0.62</w:t>
            </w:r>
          </w:p>
        </w:tc>
      </w:tr>
      <w:tr w:rsidR="003E7AE0" w:rsidRPr="00757ED8" w14:paraId="24F27896" w14:textId="77777777" w:rsidTr="003E7AE0">
        <w:trPr>
          <w:trHeight w:val="358"/>
        </w:trPr>
        <w:tc>
          <w:tcPr>
            <w:tcW w:w="2375" w:type="dxa"/>
            <w:tcBorders>
              <w:top w:val="nil"/>
              <w:left w:val="nil"/>
              <w:bottom w:val="nil"/>
              <w:right w:val="nil"/>
            </w:tcBorders>
            <w:shd w:val="clear" w:color="auto" w:fill="auto"/>
            <w:noWrap/>
            <w:vAlign w:val="center"/>
            <w:hideMark/>
          </w:tcPr>
          <w:p w14:paraId="4D0EE99C" w14:textId="77777777" w:rsidR="003E7AE0" w:rsidRPr="00757ED8" w:rsidRDefault="003E7AE0" w:rsidP="003E7AE0">
            <w:pPr>
              <w:rPr>
                <w:color w:val="000000"/>
              </w:rPr>
            </w:pPr>
            <w:r w:rsidRPr="00757ED8">
              <w:rPr>
                <w:color w:val="000000"/>
              </w:rPr>
              <w:t>Average time since onset</w:t>
            </w:r>
          </w:p>
        </w:tc>
        <w:tc>
          <w:tcPr>
            <w:tcW w:w="600" w:type="dxa"/>
            <w:tcBorders>
              <w:top w:val="nil"/>
              <w:left w:val="nil"/>
              <w:bottom w:val="nil"/>
              <w:right w:val="nil"/>
            </w:tcBorders>
            <w:shd w:val="clear" w:color="auto" w:fill="auto"/>
            <w:noWrap/>
            <w:vAlign w:val="center"/>
            <w:hideMark/>
          </w:tcPr>
          <w:p w14:paraId="5024D29F" w14:textId="77777777" w:rsidR="003E7AE0" w:rsidRPr="00757ED8" w:rsidRDefault="003E7AE0" w:rsidP="003E7AE0">
            <w:pPr>
              <w:jc w:val="center"/>
              <w:rPr>
                <w:color w:val="000000"/>
              </w:rPr>
            </w:pPr>
            <w:r w:rsidRPr="00757ED8">
              <w:rPr>
                <w:color w:val="000000"/>
              </w:rPr>
              <w:t>-0.09</w:t>
            </w:r>
          </w:p>
        </w:tc>
        <w:tc>
          <w:tcPr>
            <w:tcW w:w="533" w:type="dxa"/>
            <w:tcBorders>
              <w:top w:val="nil"/>
              <w:left w:val="nil"/>
              <w:bottom w:val="nil"/>
              <w:right w:val="nil"/>
            </w:tcBorders>
            <w:shd w:val="clear" w:color="auto" w:fill="auto"/>
            <w:noWrap/>
            <w:vAlign w:val="center"/>
            <w:hideMark/>
          </w:tcPr>
          <w:p w14:paraId="2FB10C82" w14:textId="77777777" w:rsidR="003E7AE0" w:rsidRPr="00757ED8" w:rsidRDefault="003E7AE0" w:rsidP="003E7AE0">
            <w:pPr>
              <w:jc w:val="center"/>
              <w:rPr>
                <w:color w:val="000000"/>
              </w:rPr>
            </w:pPr>
            <w:r w:rsidRPr="00757ED8">
              <w:rPr>
                <w:color w:val="000000"/>
              </w:rPr>
              <w:t>0.19</w:t>
            </w:r>
          </w:p>
        </w:tc>
        <w:tc>
          <w:tcPr>
            <w:tcW w:w="605" w:type="dxa"/>
            <w:tcBorders>
              <w:top w:val="nil"/>
              <w:left w:val="nil"/>
              <w:bottom w:val="nil"/>
              <w:right w:val="nil"/>
            </w:tcBorders>
            <w:shd w:val="clear" w:color="auto" w:fill="auto"/>
            <w:noWrap/>
            <w:vAlign w:val="center"/>
            <w:hideMark/>
          </w:tcPr>
          <w:p w14:paraId="36399C89" w14:textId="77777777" w:rsidR="003E7AE0" w:rsidRPr="00757ED8" w:rsidRDefault="003E7AE0" w:rsidP="003E7AE0">
            <w:pPr>
              <w:jc w:val="center"/>
              <w:rPr>
                <w:color w:val="000000"/>
              </w:rPr>
            </w:pPr>
            <w:r w:rsidRPr="00757ED8">
              <w:rPr>
                <w:color w:val="000000"/>
              </w:rPr>
              <w:t>0.21</w:t>
            </w:r>
          </w:p>
        </w:tc>
        <w:tc>
          <w:tcPr>
            <w:tcW w:w="333" w:type="dxa"/>
            <w:tcBorders>
              <w:top w:val="nil"/>
              <w:left w:val="nil"/>
              <w:bottom w:val="nil"/>
              <w:right w:val="nil"/>
            </w:tcBorders>
            <w:shd w:val="clear" w:color="auto" w:fill="auto"/>
            <w:noWrap/>
            <w:vAlign w:val="center"/>
            <w:hideMark/>
          </w:tcPr>
          <w:p w14:paraId="5B370E48"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6A2BCA2D" w14:textId="77777777" w:rsidR="003E7AE0" w:rsidRPr="00757ED8" w:rsidRDefault="003E7AE0" w:rsidP="003E7AE0">
            <w:pPr>
              <w:jc w:val="center"/>
              <w:rPr>
                <w:color w:val="000000"/>
              </w:rPr>
            </w:pPr>
            <w:r w:rsidRPr="00757ED8">
              <w:rPr>
                <w:color w:val="000000"/>
              </w:rPr>
              <w:t>0.92</w:t>
            </w:r>
          </w:p>
        </w:tc>
        <w:tc>
          <w:tcPr>
            <w:tcW w:w="1871" w:type="dxa"/>
            <w:tcBorders>
              <w:top w:val="nil"/>
              <w:left w:val="nil"/>
              <w:bottom w:val="nil"/>
              <w:right w:val="nil"/>
            </w:tcBorders>
            <w:shd w:val="clear" w:color="auto" w:fill="auto"/>
            <w:noWrap/>
            <w:vAlign w:val="center"/>
            <w:hideMark/>
          </w:tcPr>
          <w:p w14:paraId="2CF82160" w14:textId="77777777" w:rsidR="003E7AE0" w:rsidRPr="00757ED8" w:rsidRDefault="003E7AE0" w:rsidP="003E7AE0">
            <w:pPr>
              <w:jc w:val="center"/>
              <w:rPr>
                <w:color w:val="000000"/>
              </w:rPr>
            </w:pPr>
            <w:r w:rsidRPr="00757ED8">
              <w:rPr>
                <w:color w:val="000000"/>
              </w:rPr>
              <w:t>0.63</w:t>
            </w:r>
          </w:p>
        </w:tc>
        <w:tc>
          <w:tcPr>
            <w:tcW w:w="648" w:type="dxa"/>
            <w:tcBorders>
              <w:top w:val="nil"/>
              <w:left w:val="nil"/>
              <w:bottom w:val="nil"/>
              <w:right w:val="nil"/>
            </w:tcBorders>
            <w:shd w:val="clear" w:color="auto" w:fill="auto"/>
            <w:noWrap/>
            <w:vAlign w:val="center"/>
            <w:hideMark/>
          </w:tcPr>
          <w:p w14:paraId="46253179" w14:textId="77777777" w:rsidR="003E7AE0" w:rsidRPr="00757ED8" w:rsidRDefault="003E7AE0" w:rsidP="003E7AE0">
            <w:pPr>
              <w:jc w:val="center"/>
              <w:rPr>
                <w:color w:val="000000"/>
              </w:rPr>
            </w:pPr>
            <w:r w:rsidRPr="00757ED8">
              <w:rPr>
                <w:color w:val="000000"/>
              </w:rPr>
              <w:t>1.33</w:t>
            </w:r>
          </w:p>
        </w:tc>
        <w:tc>
          <w:tcPr>
            <w:tcW w:w="783" w:type="dxa"/>
            <w:tcBorders>
              <w:top w:val="nil"/>
              <w:left w:val="nil"/>
              <w:bottom w:val="nil"/>
              <w:right w:val="nil"/>
            </w:tcBorders>
            <w:shd w:val="clear" w:color="auto" w:fill="auto"/>
            <w:noWrap/>
            <w:vAlign w:val="center"/>
            <w:hideMark/>
          </w:tcPr>
          <w:p w14:paraId="1BE7C161" w14:textId="77777777" w:rsidR="003E7AE0" w:rsidRPr="00757ED8" w:rsidRDefault="003E7AE0" w:rsidP="003E7AE0">
            <w:pPr>
              <w:jc w:val="center"/>
              <w:rPr>
                <w:color w:val="000000"/>
              </w:rPr>
            </w:pPr>
            <w:r w:rsidRPr="00757ED8">
              <w:rPr>
                <w:color w:val="000000"/>
              </w:rPr>
              <w:t>0.64</w:t>
            </w:r>
          </w:p>
        </w:tc>
      </w:tr>
      <w:tr w:rsidR="003E7AE0" w:rsidRPr="00757ED8" w14:paraId="239353B3"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0508DDE0" w14:textId="77777777" w:rsidR="003E7AE0" w:rsidRPr="00757ED8" w:rsidRDefault="003E7AE0" w:rsidP="003E7AE0">
            <w:pPr>
              <w:rPr>
                <w:color w:val="000000"/>
              </w:rPr>
            </w:pPr>
            <w:r w:rsidRPr="00757ED8">
              <w:rPr>
                <w:color w:val="000000"/>
              </w:rPr>
              <w:t>Average Pain frequency</w:t>
            </w:r>
          </w:p>
        </w:tc>
        <w:tc>
          <w:tcPr>
            <w:tcW w:w="600" w:type="dxa"/>
            <w:tcBorders>
              <w:top w:val="single" w:sz="8" w:space="0" w:color="7F7F7F"/>
              <w:left w:val="nil"/>
              <w:bottom w:val="single" w:sz="8" w:space="0" w:color="7F7F7F"/>
              <w:right w:val="nil"/>
            </w:tcBorders>
            <w:shd w:val="clear" w:color="auto" w:fill="auto"/>
            <w:noWrap/>
            <w:vAlign w:val="center"/>
            <w:hideMark/>
          </w:tcPr>
          <w:p w14:paraId="40348383" w14:textId="77777777" w:rsidR="003E7AE0" w:rsidRPr="00757ED8" w:rsidRDefault="003E7AE0" w:rsidP="003E7AE0">
            <w:pPr>
              <w:jc w:val="center"/>
              <w:rPr>
                <w:color w:val="000000"/>
              </w:rPr>
            </w:pPr>
            <w:r w:rsidRPr="00757ED8">
              <w:rPr>
                <w:color w:val="000000"/>
              </w:rPr>
              <w:t>-0.52</w:t>
            </w:r>
          </w:p>
        </w:tc>
        <w:tc>
          <w:tcPr>
            <w:tcW w:w="533" w:type="dxa"/>
            <w:tcBorders>
              <w:top w:val="single" w:sz="8" w:space="0" w:color="7F7F7F"/>
              <w:left w:val="nil"/>
              <w:bottom w:val="single" w:sz="8" w:space="0" w:color="7F7F7F"/>
              <w:right w:val="nil"/>
            </w:tcBorders>
            <w:shd w:val="clear" w:color="auto" w:fill="auto"/>
            <w:noWrap/>
            <w:vAlign w:val="center"/>
            <w:hideMark/>
          </w:tcPr>
          <w:p w14:paraId="39A607B7" w14:textId="77777777" w:rsidR="003E7AE0" w:rsidRPr="00757ED8" w:rsidRDefault="003E7AE0" w:rsidP="003E7AE0">
            <w:pPr>
              <w:jc w:val="center"/>
              <w:rPr>
                <w:color w:val="000000"/>
              </w:rPr>
            </w:pPr>
            <w:r w:rsidRPr="00757ED8">
              <w:rPr>
                <w:color w:val="000000"/>
              </w:rPr>
              <w:t>0.24</w:t>
            </w:r>
          </w:p>
        </w:tc>
        <w:tc>
          <w:tcPr>
            <w:tcW w:w="605" w:type="dxa"/>
            <w:tcBorders>
              <w:top w:val="single" w:sz="8" w:space="0" w:color="7F7F7F"/>
              <w:left w:val="nil"/>
              <w:bottom w:val="single" w:sz="8" w:space="0" w:color="7F7F7F"/>
              <w:right w:val="nil"/>
            </w:tcBorders>
            <w:shd w:val="clear" w:color="auto" w:fill="auto"/>
            <w:noWrap/>
            <w:vAlign w:val="center"/>
            <w:hideMark/>
          </w:tcPr>
          <w:p w14:paraId="3182CA21" w14:textId="77777777" w:rsidR="003E7AE0" w:rsidRPr="00757ED8" w:rsidRDefault="003E7AE0" w:rsidP="003E7AE0">
            <w:pPr>
              <w:jc w:val="center"/>
              <w:rPr>
                <w:color w:val="000000"/>
              </w:rPr>
            </w:pPr>
            <w:r w:rsidRPr="00757ED8">
              <w:rPr>
                <w:color w:val="000000"/>
              </w:rPr>
              <w:t>4.55</w:t>
            </w:r>
          </w:p>
        </w:tc>
        <w:tc>
          <w:tcPr>
            <w:tcW w:w="333" w:type="dxa"/>
            <w:tcBorders>
              <w:top w:val="single" w:sz="8" w:space="0" w:color="7F7F7F"/>
              <w:left w:val="nil"/>
              <w:bottom w:val="single" w:sz="8" w:space="0" w:color="7F7F7F"/>
              <w:right w:val="nil"/>
            </w:tcBorders>
            <w:shd w:val="clear" w:color="auto" w:fill="auto"/>
            <w:noWrap/>
            <w:vAlign w:val="center"/>
            <w:hideMark/>
          </w:tcPr>
          <w:p w14:paraId="019114E1"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35DABAC1" w14:textId="77777777" w:rsidR="003E7AE0" w:rsidRPr="00757ED8" w:rsidRDefault="003E7AE0" w:rsidP="003E7AE0">
            <w:pPr>
              <w:jc w:val="center"/>
              <w:rPr>
                <w:color w:val="000000"/>
              </w:rPr>
            </w:pPr>
            <w:r w:rsidRPr="00757ED8">
              <w:rPr>
                <w:color w:val="000000"/>
              </w:rPr>
              <w:t>0.60</w:t>
            </w:r>
          </w:p>
        </w:tc>
        <w:tc>
          <w:tcPr>
            <w:tcW w:w="1871" w:type="dxa"/>
            <w:tcBorders>
              <w:top w:val="single" w:sz="8" w:space="0" w:color="7F7F7F"/>
              <w:left w:val="nil"/>
              <w:bottom w:val="single" w:sz="8" w:space="0" w:color="7F7F7F"/>
              <w:right w:val="nil"/>
            </w:tcBorders>
            <w:shd w:val="clear" w:color="auto" w:fill="auto"/>
            <w:noWrap/>
            <w:vAlign w:val="center"/>
            <w:hideMark/>
          </w:tcPr>
          <w:p w14:paraId="233B4EBD" w14:textId="77777777" w:rsidR="003E7AE0" w:rsidRPr="00757ED8" w:rsidRDefault="003E7AE0" w:rsidP="003E7AE0">
            <w:pPr>
              <w:jc w:val="center"/>
              <w:rPr>
                <w:color w:val="000000"/>
              </w:rPr>
            </w:pPr>
            <w:r w:rsidRPr="00757ED8">
              <w:rPr>
                <w:color w:val="000000"/>
              </w:rPr>
              <w:t>0.37</w:t>
            </w:r>
          </w:p>
        </w:tc>
        <w:tc>
          <w:tcPr>
            <w:tcW w:w="648" w:type="dxa"/>
            <w:tcBorders>
              <w:top w:val="single" w:sz="8" w:space="0" w:color="7F7F7F"/>
              <w:left w:val="nil"/>
              <w:bottom w:val="single" w:sz="8" w:space="0" w:color="7F7F7F"/>
              <w:right w:val="nil"/>
            </w:tcBorders>
            <w:shd w:val="clear" w:color="auto" w:fill="auto"/>
            <w:noWrap/>
            <w:vAlign w:val="center"/>
            <w:hideMark/>
          </w:tcPr>
          <w:p w14:paraId="354878AF" w14:textId="77777777" w:rsidR="003E7AE0" w:rsidRPr="00757ED8" w:rsidRDefault="003E7AE0" w:rsidP="003E7AE0">
            <w:pPr>
              <w:jc w:val="center"/>
              <w:rPr>
                <w:color w:val="000000"/>
              </w:rPr>
            </w:pPr>
            <w:r w:rsidRPr="00757ED8">
              <w:rPr>
                <w:color w:val="000000"/>
              </w:rPr>
              <w:t>0.96</w:t>
            </w:r>
          </w:p>
        </w:tc>
        <w:tc>
          <w:tcPr>
            <w:tcW w:w="783" w:type="dxa"/>
            <w:tcBorders>
              <w:top w:val="single" w:sz="8" w:space="0" w:color="7F7F7F"/>
              <w:left w:val="nil"/>
              <w:bottom w:val="single" w:sz="8" w:space="0" w:color="7F7F7F"/>
              <w:right w:val="nil"/>
            </w:tcBorders>
            <w:shd w:val="clear" w:color="auto" w:fill="auto"/>
            <w:noWrap/>
            <w:vAlign w:val="center"/>
            <w:hideMark/>
          </w:tcPr>
          <w:p w14:paraId="384AAB1D" w14:textId="77777777" w:rsidR="003E7AE0" w:rsidRPr="00757ED8" w:rsidRDefault="003E7AE0" w:rsidP="003E7AE0">
            <w:pPr>
              <w:jc w:val="center"/>
              <w:rPr>
                <w:color w:val="000000"/>
              </w:rPr>
            </w:pPr>
            <w:r w:rsidRPr="00757ED8">
              <w:rPr>
                <w:color w:val="000000"/>
              </w:rPr>
              <w:t>0.03*</w:t>
            </w:r>
          </w:p>
        </w:tc>
      </w:tr>
      <w:tr w:rsidR="003E7AE0" w:rsidRPr="00757ED8" w14:paraId="672D0CA6" w14:textId="77777777" w:rsidTr="003E7AE0">
        <w:trPr>
          <w:trHeight w:val="358"/>
        </w:trPr>
        <w:tc>
          <w:tcPr>
            <w:tcW w:w="2375" w:type="dxa"/>
            <w:tcBorders>
              <w:top w:val="nil"/>
              <w:left w:val="nil"/>
              <w:bottom w:val="nil"/>
              <w:right w:val="nil"/>
            </w:tcBorders>
            <w:shd w:val="clear" w:color="auto" w:fill="auto"/>
            <w:noWrap/>
            <w:vAlign w:val="center"/>
            <w:hideMark/>
          </w:tcPr>
          <w:p w14:paraId="65FEBD89" w14:textId="77777777" w:rsidR="003E7AE0" w:rsidRPr="00757ED8" w:rsidRDefault="003E7AE0" w:rsidP="003E7AE0">
            <w:pPr>
              <w:rPr>
                <w:color w:val="000000"/>
              </w:rPr>
            </w:pPr>
            <w:r w:rsidRPr="00757ED8">
              <w:rPr>
                <w:color w:val="000000"/>
              </w:rPr>
              <w:t>Average Pain Duration</w:t>
            </w:r>
          </w:p>
        </w:tc>
        <w:tc>
          <w:tcPr>
            <w:tcW w:w="600" w:type="dxa"/>
            <w:tcBorders>
              <w:top w:val="nil"/>
              <w:left w:val="nil"/>
              <w:bottom w:val="nil"/>
              <w:right w:val="nil"/>
            </w:tcBorders>
            <w:shd w:val="clear" w:color="auto" w:fill="auto"/>
            <w:noWrap/>
            <w:vAlign w:val="center"/>
            <w:hideMark/>
          </w:tcPr>
          <w:p w14:paraId="78BA23DB" w14:textId="77777777" w:rsidR="003E7AE0" w:rsidRPr="00757ED8" w:rsidRDefault="003E7AE0" w:rsidP="003E7AE0">
            <w:pPr>
              <w:jc w:val="center"/>
              <w:rPr>
                <w:color w:val="000000"/>
              </w:rPr>
            </w:pPr>
            <w:r w:rsidRPr="00757ED8">
              <w:rPr>
                <w:color w:val="000000"/>
              </w:rPr>
              <w:t>-0.08</w:t>
            </w:r>
          </w:p>
        </w:tc>
        <w:tc>
          <w:tcPr>
            <w:tcW w:w="533" w:type="dxa"/>
            <w:tcBorders>
              <w:top w:val="nil"/>
              <w:left w:val="nil"/>
              <w:bottom w:val="nil"/>
              <w:right w:val="nil"/>
            </w:tcBorders>
            <w:shd w:val="clear" w:color="auto" w:fill="auto"/>
            <w:noWrap/>
            <w:vAlign w:val="center"/>
            <w:hideMark/>
          </w:tcPr>
          <w:p w14:paraId="17FE88C4" w14:textId="77777777" w:rsidR="003E7AE0" w:rsidRPr="00757ED8" w:rsidRDefault="003E7AE0" w:rsidP="003E7AE0">
            <w:pPr>
              <w:jc w:val="center"/>
              <w:rPr>
                <w:color w:val="000000"/>
              </w:rPr>
            </w:pPr>
            <w:r w:rsidRPr="00757ED8">
              <w:rPr>
                <w:color w:val="000000"/>
              </w:rPr>
              <w:t>0.18</w:t>
            </w:r>
          </w:p>
        </w:tc>
        <w:tc>
          <w:tcPr>
            <w:tcW w:w="605" w:type="dxa"/>
            <w:tcBorders>
              <w:top w:val="nil"/>
              <w:left w:val="nil"/>
              <w:bottom w:val="nil"/>
              <w:right w:val="nil"/>
            </w:tcBorders>
            <w:shd w:val="clear" w:color="auto" w:fill="auto"/>
            <w:noWrap/>
            <w:vAlign w:val="center"/>
            <w:hideMark/>
          </w:tcPr>
          <w:p w14:paraId="1AD17297" w14:textId="77777777" w:rsidR="003E7AE0" w:rsidRPr="00757ED8" w:rsidRDefault="003E7AE0" w:rsidP="003E7AE0">
            <w:pPr>
              <w:jc w:val="center"/>
              <w:rPr>
                <w:color w:val="000000"/>
              </w:rPr>
            </w:pPr>
            <w:r w:rsidRPr="00757ED8">
              <w:rPr>
                <w:color w:val="000000"/>
              </w:rPr>
              <w:t>0.20</w:t>
            </w:r>
          </w:p>
        </w:tc>
        <w:tc>
          <w:tcPr>
            <w:tcW w:w="333" w:type="dxa"/>
            <w:tcBorders>
              <w:top w:val="nil"/>
              <w:left w:val="nil"/>
              <w:bottom w:val="nil"/>
              <w:right w:val="nil"/>
            </w:tcBorders>
            <w:shd w:val="clear" w:color="auto" w:fill="auto"/>
            <w:noWrap/>
            <w:vAlign w:val="center"/>
            <w:hideMark/>
          </w:tcPr>
          <w:p w14:paraId="7025C4D9"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73FDA94C" w14:textId="77777777" w:rsidR="003E7AE0" w:rsidRPr="00757ED8" w:rsidRDefault="003E7AE0" w:rsidP="003E7AE0">
            <w:pPr>
              <w:jc w:val="center"/>
              <w:rPr>
                <w:color w:val="000000"/>
              </w:rPr>
            </w:pPr>
            <w:r w:rsidRPr="00757ED8">
              <w:rPr>
                <w:color w:val="000000"/>
              </w:rPr>
              <w:t>0.92</w:t>
            </w:r>
          </w:p>
        </w:tc>
        <w:tc>
          <w:tcPr>
            <w:tcW w:w="1871" w:type="dxa"/>
            <w:tcBorders>
              <w:top w:val="nil"/>
              <w:left w:val="nil"/>
              <w:bottom w:val="nil"/>
              <w:right w:val="nil"/>
            </w:tcBorders>
            <w:shd w:val="clear" w:color="auto" w:fill="auto"/>
            <w:noWrap/>
            <w:vAlign w:val="center"/>
            <w:hideMark/>
          </w:tcPr>
          <w:p w14:paraId="6554BB2C" w14:textId="77777777" w:rsidR="003E7AE0" w:rsidRPr="00757ED8" w:rsidRDefault="003E7AE0" w:rsidP="003E7AE0">
            <w:pPr>
              <w:jc w:val="center"/>
              <w:rPr>
                <w:color w:val="000000"/>
              </w:rPr>
            </w:pPr>
            <w:r w:rsidRPr="00757ED8">
              <w:rPr>
                <w:color w:val="000000"/>
              </w:rPr>
              <w:t>0.64</w:t>
            </w:r>
          </w:p>
        </w:tc>
        <w:tc>
          <w:tcPr>
            <w:tcW w:w="648" w:type="dxa"/>
            <w:tcBorders>
              <w:top w:val="nil"/>
              <w:left w:val="nil"/>
              <w:bottom w:val="nil"/>
              <w:right w:val="nil"/>
            </w:tcBorders>
            <w:shd w:val="clear" w:color="auto" w:fill="auto"/>
            <w:noWrap/>
            <w:vAlign w:val="center"/>
            <w:hideMark/>
          </w:tcPr>
          <w:p w14:paraId="7E9D7CD8" w14:textId="77777777" w:rsidR="003E7AE0" w:rsidRPr="00757ED8" w:rsidRDefault="003E7AE0" w:rsidP="003E7AE0">
            <w:pPr>
              <w:jc w:val="center"/>
              <w:rPr>
                <w:color w:val="000000"/>
              </w:rPr>
            </w:pPr>
            <w:r w:rsidRPr="00757ED8">
              <w:rPr>
                <w:color w:val="000000"/>
              </w:rPr>
              <w:t>1.32</w:t>
            </w:r>
          </w:p>
        </w:tc>
        <w:tc>
          <w:tcPr>
            <w:tcW w:w="783" w:type="dxa"/>
            <w:tcBorders>
              <w:top w:val="nil"/>
              <w:left w:val="nil"/>
              <w:bottom w:val="nil"/>
              <w:right w:val="nil"/>
            </w:tcBorders>
            <w:shd w:val="clear" w:color="auto" w:fill="auto"/>
            <w:noWrap/>
            <w:vAlign w:val="center"/>
            <w:hideMark/>
          </w:tcPr>
          <w:p w14:paraId="7ACB5FF4" w14:textId="77777777" w:rsidR="003E7AE0" w:rsidRPr="00757ED8" w:rsidRDefault="003E7AE0" w:rsidP="003E7AE0">
            <w:pPr>
              <w:jc w:val="center"/>
              <w:rPr>
                <w:color w:val="000000"/>
              </w:rPr>
            </w:pPr>
            <w:r w:rsidRPr="00757ED8">
              <w:rPr>
                <w:color w:val="000000"/>
              </w:rPr>
              <w:t>0.66</w:t>
            </w:r>
          </w:p>
        </w:tc>
      </w:tr>
      <w:tr w:rsidR="003E7AE0" w:rsidRPr="00757ED8" w14:paraId="07174C36"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464B23A1" w14:textId="77777777" w:rsidR="003E7AE0" w:rsidRPr="00757ED8" w:rsidRDefault="003E7AE0" w:rsidP="003E7AE0">
            <w:pPr>
              <w:rPr>
                <w:color w:val="000000"/>
              </w:rPr>
            </w:pPr>
            <w:r w:rsidRPr="00757ED8">
              <w:rPr>
                <w:color w:val="000000"/>
              </w:rPr>
              <w:t>Average frequency of MSK role risk activities</w:t>
            </w:r>
          </w:p>
        </w:tc>
        <w:tc>
          <w:tcPr>
            <w:tcW w:w="600" w:type="dxa"/>
            <w:tcBorders>
              <w:top w:val="single" w:sz="8" w:space="0" w:color="7F7F7F"/>
              <w:left w:val="nil"/>
              <w:bottom w:val="single" w:sz="8" w:space="0" w:color="7F7F7F"/>
              <w:right w:val="nil"/>
            </w:tcBorders>
            <w:shd w:val="clear" w:color="auto" w:fill="auto"/>
            <w:noWrap/>
            <w:vAlign w:val="center"/>
            <w:hideMark/>
          </w:tcPr>
          <w:p w14:paraId="4BA2C3D6" w14:textId="77777777" w:rsidR="003E7AE0" w:rsidRPr="00757ED8" w:rsidRDefault="003E7AE0" w:rsidP="003E7AE0">
            <w:pPr>
              <w:jc w:val="center"/>
              <w:rPr>
                <w:color w:val="000000"/>
              </w:rPr>
            </w:pPr>
            <w:r w:rsidRPr="00757ED8">
              <w:rPr>
                <w:color w:val="000000"/>
              </w:rPr>
              <w:t>-0.09</w:t>
            </w:r>
          </w:p>
        </w:tc>
        <w:tc>
          <w:tcPr>
            <w:tcW w:w="533" w:type="dxa"/>
            <w:tcBorders>
              <w:top w:val="single" w:sz="8" w:space="0" w:color="7F7F7F"/>
              <w:left w:val="nil"/>
              <w:bottom w:val="single" w:sz="8" w:space="0" w:color="7F7F7F"/>
              <w:right w:val="nil"/>
            </w:tcBorders>
            <w:shd w:val="clear" w:color="auto" w:fill="auto"/>
            <w:noWrap/>
            <w:vAlign w:val="center"/>
            <w:hideMark/>
          </w:tcPr>
          <w:p w14:paraId="3E3FB53F" w14:textId="77777777" w:rsidR="003E7AE0" w:rsidRPr="00757ED8" w:rsidRDefault="003E7AE0" w:rsidP="003E7AE0">
            <w:pPr>
              <w:jc w:val="center"/>
              <w:rPr>
                <w:color w:val="000000"/>
              </w:rPr>
            </w:pPr>
            <w:r w:rsidRPr="00757ED8">
              <w:rPr>
                <w:color w:val="000000"/>
              </w:rPr>
              <w:t>0.33</w:t>
            </w:r>
          </w:p>
        </w:tc>
        <w:tc>
          <w:tcPr>
            <w:tcW w:w="605" w:type="dxa"/>
            <w:tcBorders>
              <w:top w:val="single" w:sz="8" w:space="0" w:color="7F7F7F"/>
              <w:left w:val="nil"/>
              <w:bottom w:val="single" w:sz="8" w:space="0" w:color="7F7F7F"/>
              <w:right w:val="nil"/>
            </w:tcBorders>
            <w:shd w:val="clear" w:color="auto" w:fill="auto"/>
            <w:noWrap/>
            <w:vAlign w:val="center"/>
            <w:hideMark/>
          </w:tcPr>
          <w:p w14:paraId="2D18F6D2" w14:textId="77777777" w:rsidR="003E7AE0" w:rsidRPr="00757ED8" w:rsidRDefault="003E7AE0" w:rsidP="003E7AE0">
            <w:pPr>
              <w:jc w:val="center"/>
              <w:rPr>
                <w:color w:val="000000"/>
              </w:rPr>
            </w:pPr>
            <w:r w:rsidRPr="00757ED8">
              <w:rPr>
                <w:color w:val="000000"/>
              </w:rPr>
              <w:t>0.07</w:t>
            </w:r>
          </w:p>
        </w:tc>
        <w:tc>
          <w:tcPr>
            <w:tcW w:w="333" w:type="dxa"/>
            <w:tcBorders>
              <w:top w:val="single" w:sz="8" w:space="0" w:color="7F7F7F"/>
              <w:left w:val="nil"/>
              <w:bottom w:val="single" w:sz="8" w:space="0" w:color="7F7F7F"/>
              <w:right w:val="nil"/>
            </w:tcBorders>
            <w:shd w:val="clear" w:color="auto" w:fill="auto"/>
            <w:noWrap/>
            <w:vAlign w:val="center"/>
            <w:hideMark/>
          </w:tcPr>
          <w:p w14:paraId="31C1B453"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6F2FAC6A" w14:textId="77777777" w:rsidR="003E7AE0" w:rsidRPr="00757ED8" w:rsidRDefault="003E7AE0" w:rsidP="003E7AE0">
            <w:pPr>
              <w:jc w:val="center"/>
              <w:rPr>
                <w:color w:val="000000"/>
              </w:rPr>
            </w:pPr>
            <w:r w:rsidRPr="00757ED8">
              <w:rPr>
                <w:color w:val="000000"/>
              </w:rPr>
              <w:t>0.92</w:t>
            </w:r>
          </w:p>
        </w:tc>
        <w:tc>
          <w:tcPr>
            <w:tcW w:w="1871" w:type="dxa"/>
            <w:tcBorders>
              <w:top w:val="single" w:sz="8" w:space="0" w:color="7F7F7F"/>
              <w:left w:val="nil"/>
              <w:bottom w:val="single" w:sz="8" w:space="0" w:color="7F7F7F"/>
              <w:right w:val="nil"/>
            </w:tcBorders>
            <w:shd w:val="clear" w:color="auto" w:fill="auto"/>
            <w:noWrap/>
            <w:vAlign w:val="center"/>
            <w:hideMark/>
          </w:tcPr>
          <w:p w14:paraId="12F65DAA" w14:textId="77777777" w:rsidR="003E7AE0" w:rsidRPr="00757ED8" w:rsidRDefault="003E7AE0" w:rsidP="003E7AE0">
            <w:pPr>
              <w:jc w:val="center"/>
              <w:rPr>
                <w:color w:val="000000"/>
              </w:rPr>
            </w:pPr>
            <w:r w:rsidRPr="00757ED8">
              <w:rPr>
                <w:color w:val="000000"/>
              </w:rPr>
              <w:t>0.48</w:t>
            </w:r>
          </w:p>
        </w:tc>
        <w:tc>
          <w:tcPr>
            <w:tcW w:w="648" w:type="dxa"/>
            <w:tcBorders>
              <w:top w:val="single" w:sz="8" w:space="0" w:color="7F7F7F"/>
              <w:left w:val="nil"/>
              <w:bottom w:val="single" w:sz="8" w:space="0" w:color="7F7F7F"/>
              <w:right w:val="nil"/>
            </w:tcBorders>
            <w:shd w:val="clear" w:color="auto" w:fill="auto"/>
            <w:noWrap/>
            <w:vAlign w:val="center"/>
            <w:hideMark/>
          </w:tcPr>
          <w:p w14:paraId="1073FFAE" w14:textId="77777777" w:rsidR="003E7AE0" w:rsidRPr="00757ED8" w:rsidRDefault="003E7AE0" w:rsidP="003E7AE0">
            <w:pPr>
              <w:jc w:val="center"/>
              <w:rPr>
                <w:color w:val="000000"/>
              </w:rPr>
            </w:pPr>
            <w:r w:rsidRPr="00757ED8">
              <w:rPr>
                <w:color w:val="000000"/>
              </w:rPr>
              <w:t>1.74</w:t>
            </w:r>
          </w:p>
        </w:tc>
        <w:tc>
          <w:tcPr>
            <w:tcW w:w="783" w:type="dxa"/>
            <w:tcBorders>
              <w:top w:val="single" w:sz="8" w:space="0" w:color="7F7F7F"/>
              <w:left w:val="nil"/>
              <w:bottom w:val="single" w:sz="8" w:space="0" w:color="7F7F7F"/>
              <w:right w:val="nil"/>
            </w:tcBorders>
            <w:shd w:val="clear" w:color="auto" w:fill="auto"/>
            <w:noWrap/>
            <w:vAlign w:val="center"/>
            <w:hideMark/>
          </w:tcPr>
          <w:p w14:paraId="4D245D2C" w14:textId="77777777" w:rsidR="003E7AE0" w:rsidRPr="00757ED8" w:rsidRDefault="003E7AE0" w:rsidP="003E7AE0">
            <w:pPr>
              <w:jc w:val="center"/>
              <w:rPr>
                <w:color w:val="000000"/>
              </w:rPr>
            </w:pPr>
            <w:r w:rsidRPr="00757ED8">
              <w:rPr>
                <w:color w:val="000000"/>
              </w:rPr>
              <w:t>0.80</w:t>
            </w:r>
          </w:p>
        </w:tc>
      </w:tr>
      <w:tr w:rsidR="003E7AE0" w:rsidRPr="00757ED8" w14:paraId="517E0A9A" w14:textId="77777777" w:rsidTr="003E7AE0">
        <w:trPr>
          <w:trHeight w:val="358"/>
        </w:trPr>
        <w:tc>
          <w:tcPr>
            <w:tcW w:w="2375" w:type="dxa"/>
            <w:tcBorders>
              <w:top w:val="nil"/>
              <w:left w:val="nil"/>
              <w:bottom w:val="nil"/>
              <w:right w:val="nil"/>
            </w:tcBorders>
            <w:shd w:val="clear" w:color="auto" w:fill="auto"/>
            <w:noWrap/>
            <w:vAlign w:val="center"/>
            <w:hideMark/>
          </w:tcPr>
          <w:p w14:paraId="23D36453" w14:textId="77777777" w:rsidR="003E7AE0" w:rsidRPr="00757ED8" w:rsidRDefault="003E7AE0" w:rsidP="003E7AE0">
            <w:pPr>
              <w:rPr>
                <w:color w:val="000000"/>
              </w:rPr>
            </w:pPr>
            <w:r w:rsidRPr="00757ED8">
              <w:rPr>
                <w:color w:val="000000"/>
              </w:rPr>
              <w:t>Average frequency of Role MSK pain</w:t>
            </w:r>
          </w:p>
        </w:tc>
        <w:tc>
          <w:tcPr>
            <w:tcW w:w="600" w:type="dxa"/>
            <w:tcBorders>
              <w:top w:val="nil"/>
              <w:left w:val="nil"/>
              <w:bottom w:val="nil"/>
              <w:right w:val="nil"/>
            </w:tcBorders>
            <w:shd w:val="clear" w:color="auto" w:fill="auto"/>
            <w:noWrap/>
            <w:vAlign w:val="center"/>
            <w:hideMark/>
          </w:tcPr>
          <w:p w14:paraId="7FBC7A2C" w14:textId="77777777" w:rsidR="003E7AE0" w:rsidRPr="00757ED8" w:rsidRDefault="003E7AE0" w:rsidP="003E7AE0">
            <w:pPr>
              <w:jc w:val="center"/>
              <w:rPr>
                <w:color w:val="000000"/>
              </w:rPr>
            </w:pPr>
            <w:r w:rsidRPr="00757ED8">
              <w:rPr>
                <w:color w:val="000000"/>
              </w:rPr>
              <w:t>-0.74</w:t>
            </w:r>
          </w:p>
        </w:tc>
        <w:tc>
          <w:tcPr>
            <w:tcW w:w="533" w:type="dxa"/>
            <w:tcBorders>
              <w:top w:val="nil"/>
              <w:left w:val="nil"/>
              <w:bottom w:val="nil"/>
              <w:right w:val="nil"/>
            </w:tcBorders>
            <w:shd w:val="clear" w:color="auto" w:fill="auto"/>
            <w:noWrap/>
            <w:vAlign w:val="center"/>
            <w:hideMark/>
          </w:tcPr>
          <w:p w14:paraId="7CA7E8C2" w14:textId="77777777" w:rsidR="003E7AE0" w:rsidRPr="00757ED8" w:rsidRDefault="003E7AE0" w:rsidP="003E7AE0">
            <w:pPr>
              <w:jc w:val="center"/>
              <w:rPr>
                <w:color w:val="000000"/>
              </w:rPr>
            </w:pPr>
            <w:r w:rsidRPr="00757ED8">
              <w:rPr>
                <w:color w:val="000000"/>
              </w:rPr>
              <w:t>0.49</w:t>
            </w:r>
          </w:p>
        </w:tc>
        <w:tc>
          <w:tcPr>
            <w:tcW w:w="605" w:type="dxa"/>
            <w:tcBorders>
              <w:top w:val="nil"/>
              <w:left w:val="nil"/>
              <w:bottom w:val="nil"/>
              <w:right w:val="nil"/>
            </w:tcBorders>
            <w:shd w:val="clear" w:color="auto" w:fill="auto"/>
            <w:noWrap/>
            <w:vAlign w:val="center"/>
            <w:hideMark/>
          </w:tcPr>
          <w:p w14:paraId="50996791" w14:textId="77777777" w:rsidR="003E7AE0" w:rsidRPr="00757ED8" w:rsidRDefault="003E7AE0" w:rsidP="003E7AE0">
            <w:pPr>
              <w:jc w:val="center"/>
              <w:rPr>
                <w:color w:val="000000"/>
              </w:rPr>
            </w:pPr>
            <w:r w:rsidRPr="00757ED8">
              <w:rPr>
                <w:color w:val="000000"/>
              </w:rPr>
              <w:t>2.31</w:t>
            </w:r>
          </w:p>
        </w:tc>
        <w:tc>
          <w:tcPr>
            <w:tcW w:w="333" w:type="dxa"/>
            <w:tcBorders>
              <w:top w:val="nil"/>
              <w:left w:val="nil"/>
              <w:bottom w:val="nil"/>
              <w:right w:val="nil"/>
            </w:tcBorders>
            <w:shd w:val="clear" w:color="auto" w:fill="auto"/>
            <w:noWrap/>
            <w:vAlign w:val="center"/>
            <w:hideMark/>
          </w:tcPr>
          <w:p w14:paraId="282700B7"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7B533A8D" w14:textId="77777777" w:rsidR="003E7AE0" w:rsidRPr="00757ED8" w:rsidRDefault="003E7AE0" w:rsidP="003E7AE0">
            <w:pPr>
              <w:jc w:val="center"/>
              <w:rPr>
                <w:color w:val="000000"/>
              </w:rPr>
            </w:pPr>
            <w:r w:rsidRPr="00757ED8">
              <w:rPr>
                <w:color w:val="000000"/>
              </w:rPr>
              <w:t>0.48</w:t>
            </w:r>
          </w:p>
        </w:tc>
        <w:tc>
          <w:tcPr>
            <w:tcW w:w="1871" w:type="dxa"/>
            <w:tcBorders>
              <w:top w:val="nil"/>
              <w:left w:val="nil"/>
              <w:bottom w:val="nil"/>
              <w:right w:val="nil"/>
            </w:tcBorders>
            <w:shd w:val="clear" w:color="auto" w:fill="auto"/>
            <w:noWrap/>
            <w:vAlign w:val="center"/>
            <w:hideMark/>
          </w:tcPr>
          <w:p w14:paraId="42FA3DC4" w14:textId="77777777" w:rsidR="003E7AE0" w:rsidRPr="00757ED8" w:rsidRDefault="003E7AE0" w:rsidP="003E7AE0">
            <w:pPr>
              <w:jc w:val="center"/>
              <w:rPr>
                <w:color w:val="000000"/>
              </w:rPr>
            </w:pPr>
            <w:r w:rsidRPr="00757ED8">
              <w:rPr>
                <w:color w:val="000000"/>
              </w:rPr>
              <w:t>0.19</w:t>
            </w:r>
          </w:p>
        </w:tc>
        <w:tc>
          <w:tcPr>
            <w:tcW w:w="648" w:type="dxa"/>
            <w:tcBorders>
              <w:top w:val="nil"/>
              <w:left w:val="nil"/>
              <w:bottom w:val="nil"/>
              <w:right w:val="nil"/>
            </w:tcBorders>
            <w:shd w:val="clear" w:color="auto" w:fill="auto"/>
            <w:noWrap/>
            <w:vAlign w:val="center"/>
            <w:hideMark/>
          </w:tcPr>
          <w:p w14:paraId="15205C80" w14:textId="77777777" w:rsidR="003E7AE0" w:rsidRPr="00757ED8" w:rsidRDefault="003E7AE0" w:rsidP="003E7AE0">
            <w:pPr>
              <w:jc w:val="center"/>
              <w:rPr>
                <w:color w:val="000000"/>
              </w:rPr>
            </w:pPr>
            <w:r w:rsidRPr="00757ED8">
              <w:rPr>
                <w:color w:val="000000"/>
              </w:rPr>
              <w:t>1.24</w:t>
            </w:r>
          </w:p>
        </w:tc>
        <w:tc>
          <w:tcPr>
            <w:tcW w:w="783" w:type="dxa"/>
            <w:tcBorders>
              <w:top w:val="nil"/>
              <w:left w:val="nil"/>
              <w:bottom w:val="nil"/>
              <w:right w:val="nil"/>
            </w:tcBorders>
            <w:shd w:val="clear" w:color="auto" w:fill="auto"/>
            <w:noWrap/>
            <w:vAlign w:val="center"/>
            <w:hideMark/>
          </w:tcPr>
          <w:p w14:paraId="15895B3E" w14:textId="77777777" w:rsidR="003E7AE0" w:rsidRPr="00757ED8" w:rsidRDefault="003E7AE0" w:rsidP="003E7AE0">
            <w:pPr>
              <w:jc w:val="center"/>
              <w:rPr>
                <w:color w:val="000000"/>
              </w:rPr>
            </w:pPr>
            <w:r w:rsidRPr="00757ED8">
              <w:rPr>
                <w:color w:val="000000"/>
              </w:rPr>
              <w:t>0.13</w:t>
            </w:r>
          </w:p>
        </w:tc>
      </w:tr>
      <w:tr w:rsidR="003E7AE0" w:rsidRPr="00757ED8" w14:paraId="7A989673"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6B698ECF" w14:textId="77777777" w:rsidR="003E7AE0" w:rsidRPr="00757ED8" w:rsidRDefault="003E7AE0" w:rsidP="003E7AE0">
            <w:pPr>
              <w:rPr>
                <w:color w:val="000000"/>
              </w:rPr>
            </w:pPr>
            <w:r w:rsidRPr="00757ED8">
              <w:rPr>
                <w:color w:val="000000"/>
              </w:rPr>
              <w:t>Provision of MSK protective Factors</w:t>
            </w:r>
          </w:p>
        </w:tc>
        <w:tc>
          <w:tcPr>
            <w:tcW w:w="600" w:type="dxa"/>
            <w:tcBorders>
              <w:top w:val="single" w:sz="8" w:space="0" w:color="7F7F7F"/>
              <w:left w:val="nil"/>
              <w:bottom w:val="single" w:sz="8" w:space="0" w:color="7F7F7F"/>
              <w:right w:val="nil"/>
            </w:tcBorders>
            <w:shd w:val="clear" w:color="auto" w:fill="auto"/>
            <w:noWrap/>
            <w:vAlign w:val="center"/>
            <w:hideMark/>
          </w:tcPr>
          <w:p w14:paraId="4B98855F" w14:textId="77777777" w:rsidR="003E7AE0" w:rsidRPr="00757ED8" w:rsidRDefault="003E7AE0" w:rsidP="003E7AE0">
            <w:pPr>
              <w:jc w:val="center"/>
              <w:rPr>
                <w:color w:val="000000"/>
              </w:rPr>
            </w:pPr>
            <w:r w:rsidRPr="00757ED8">
              <w:rPr>
                <w:color w:val="000000"/>
              </w:rPr>
              <w:t>0.82</w:t>
            </w:r>
          </w:p>
        </w:tc>
        <w:tc>
          <w:tcPr>
            <w:tcW w:w="533" w:type="dxa"/>
            <w:tcBorders>
              <w:top w:val="single" w:sz="8" w:space="0" w:color="7F7F7F"/>
              <w:left w:val="nil"/>
              <w:bottom w:val="single" w:sz="8" w:space="0" w:color="7F7F7F"/>
              <w:right w:val="nil"/>
            </w:tcBorders>
            <w:shd w:val="clear" w:color="auto" w:fill="auto"/>
            <w:noWrap/>
            <w:vAlign w:val="center"/>
            <w:hideMark/>
          </w:tcPr>
          <w:p w14:paraId="35417630" w14:textId="77777777" w:rsidR="003E7AE0" w:rsidRPr="00757ED8" w:rsidRDefault="003E7AE0" w:rsidP="003E7AE0">
            <w:pPr>
              <w:jc w:val="center"/>
              <w:rPr>
                <w:color w:val="000000"/>
              </w:rPr>
            </w:pPr>
            <w:r w:rsidRPr="00757ED8">
              <w:rPr>
                <w:color w:val="000000"/>
              </w:rPr>
              <w:t>0.55</w:t>
            </w:r>
          </w:p>
        </w:tc>
        <w:tc>
          <w:tcPr>
            <w:tcW w:w="605" w:type="dxa"/>
            <w:tcBorders>
              <w:top w:val="single" w:sz="8" w:space="0" w:color="7F7F7F"/>
              <w:left w:val="nil"/>
              <w:bottom w:val="single" w:sz="8" w:space="0" w:color="7F7F7F"/>
              <w:right w:val="nil"/>
            </w:tcBorders>
            <w:shd w:val="clear" w:color="auto" w:fill="auto"/>
            <w:noWrap/>
            <w:vAlign w:val="center"/>
            <w:hideMark/>
          </w:tcPr>
          <w:p w14:paraId="2B5FDFC3" w14:textId="77777777" w:rsidR="003E7AE0" w:rsidRPr="00757ED8" w:rsidRDefault="003E7AE0" w:rsidP="003E7AE0">
            <w:pPr>
              <w:jc w:val="center"/>
              <w:rPr>
                <w:color w:val="000000"/>
              </w:rPr>
            </w:pPr>
            <w:r w:rsidRPr="00757ED8">
              <w:rPr>
                <w:color w:val="000000"/>
              </w:rPr>
              <w:t>2.22</w:t>
            </w:r>
          </w:p>
        </w:tc>
        <w:tc>
          <w:tcPr>
            <w:tcW w:w="333" w:type="dxa"/>
            <w:tcBorders>
              <w:top w:val="single" w:sz="8" w:space="0" w:color="7F7F7F"/>
              <w:left w:val="nil"/>
              <w:bottom w:val="single" w:sz="8" w:space="0" w:color="7F7F7F"/>
              <w:right w:val="nil"/>
            </w:tcBorders>
            <w:shd w:val="clear" w:color="auto" w:fill="auto"/>
            <w:noWrap/>
            <w:vAlign w:val="center"/>
            <w:hideMark/>
          </w:tcPr>
          <w:p w14:paraId="18180AE4"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6D669881" w14:textId="77777777" w:rsidR="003E7AE0" w:rsidRPr="00757ED8" w:rsidRDefault="003E7AE0" w:rsidP="003E7AE0">
            <w:pPr>
              <w:jc w:val="center"/>
              <w:rPr>
                <w:color w:val="000000"/>
              </w:rPr>
            </w:pPr>
            <w:r w:rsidRPr="00757ED8">
              <w:rPr>
                <w:color w:val="000000"/>
              </w:rPr>
              <w:t>2.26</w:t>
            </w:r>
          </w:p>
        </w:tc>
        <w:tc>
          <w:tcPr>
            <w:tcW w:w="1871" w:type="dxa"/>
            <w:tcBorders>
              <w:top w:val="single" w:sz="8" w:space="0" w:color="7F7F7F"/>
              <w:left w:val="nil"/>
              <w:bottom w:val="single" w:sz="8" w:space="0" w:color="7F7F7F"/>
              <w:right w:val="nil"/>
            </w:tcBorders>
            <w:shd w:val="clear" w:color="auto" w:fill="auto"/>
            <w:noWrap/>
            <w:vAlign w:val="center"/>
            <w:hideMark/>
          </w:tcPr>
          <w:p w14:paraId="13F5783D" w14:textId="77777777" w:rsidR="003E7AE0" w:rsidRPr="00757ED8" w:rsidRDefault="003E7AE0" w:rsidP="003E7AE0">
            <w:pPr>
              <w:jc w:val="center"/>
              <w:rPr>
                <w:color w:val="000000"/>
              </w:rPr>
            </w:pPr>
            <w:r w:rsidRPr="00757ED8">
              <w:rPr>
                <w:color w:val="000000"/>
              </w:rPr>
              <w:t>0.77</w:t>
            </w:r>
          </w:p>
        </w:tc>
        <w:tc>
          <w:tcPr>
            <w:tcW w:w="648" w:type="dxa"/>
            <w:tcBorders>
              <w:top w:val="single" w:sz="8" w:space="0" w:color="7F7F7F"/>
              <w:left w:val="nil"/>
              <w:bottom w:val="single" w:sz="8" w:space="0" w:color="7F7F7F"/>
              <w:right w:val="nil"/>
            </w:tcBorders>
            <w:shd w:val="clear" w:color="auto" w:fill="auto"/>
            <w:noWrap/>
            <w:vAlign w:val="center"/>
            <w:hideMark/>
          </w:tcPr>
          <w:p w14:paraId="4B127AE0" w14:textId="77777777" w:rsidR="003E7AE0" w:rsidRPr="00757ED8" w:rsidRDefault="003E7AE0" w:rsidP="003E7AE0">
            <w:pPr>
              <w:jc w:val="center"/>
              <w:rPr>
                <w:color w:val="000000"/>
              </w:rPr>
            </w:pPr>
            <w:r w:rsidRPr="00757ED8">
              <w:rPr>
                <w:color w:val="000000"/>
              </w:rPr>
              <w:t>6.59</w:t>
            </w:r>
          </w:p>
        </w:tc>
        <w:tc>
          <w:tcPr>
            <w:tcW w:w="783" w:type="dxa"/>
            <w:tcBorders>
              <w:top w:val="single" w:sz="8" w:space="0" w:color="7F7F7F"/>
              <w:left w:val="nil"/>
              <w:bottom w:val="single" w:sz="8" w:space="0" w:color="7F7F7F"/>
              <w:right w:val="nil"/>
            </w:tcBorders>
            <w:shd w:val="clear" w:color="auto" w:fill="auto"/>
            <w:noWrap/>
            <w:vAlign w:val="center"/>
            <w:hideMark/>
          </w:tcPr>
          <w:p w14:paraId="1F00BE7D" w14:textId="77777777" w:rsidR="003E7AE0" w:rsidRPr="00757ED8" w:rsidRDefault="003E7AE0" w:rsidP="003E7AE0">
            <w:pPr>
              <w:jc w:val="center"/>
              <w:rPr>
                <w:color w:val="000000"/>
              </w:rPr>
            </w:pPr>
            <w:r w:rsidRPr="00757ED8">
              <w:rPr>
                <w:color w:val="000000"/>
              </w:rPr>
              <w:t>0.14</w:t>
            </w:r>
          </w:p>
        </w:tc>
      </w:tr>
      <w:tr w:rsidR="003E7AE0" w:rsidRPr="00757ED8" w14:paraId="527C434A" w14:textId="77777777" w:rsidTr="003E7AE0">
        <w:trPr>
          <w:trHeight w:val="358"/>
        </w:trPr>
        <w:tc>
          <w:tcPr>
            <w:tcW w:w="2375" w:type="dxa"/>
            <w:tcBorders>
              <w:top w:val="nil"/>
              <w:left w:val="nil"/>
              <w:bottom w:val="nil"/>
              <w:right w:val="nil"/>
            </w:tcBorders>
            <w:shd w:val="clear" w:color="auto" w:fill="auto"/>
            <w:noWrap/>
            <w:vAlign w:val="center"/>
            <w:hideMark/>
          </w:tcPr>
          <w:p w14:paraId="4AD0C033" w14:textId="77777777" w:rsidR="003E7AE0" w:rsidRPr="00757ED8" w:rsidRDefault="003E7AE0" w:rsidP="003E7AE0">
            <w:pPr>
              <w:rPr>
                <w:color w:val="000000"/>
              </w:rPr>
            </w:pPr>
            <w:r w:rsidRPr="00757ED8">
              <w:rPr>
                <w:color w:val="000000"/>
              </w:rPr>
              <w:t>Average perceived need for more setting MSK protective factors</w:t>
            </w:r>
          </w:p>
        </w:tc>
        <w:tc>
          <w:tcPr>
            <w:tcW w:w="600" w:type="dxa"/>
            <w:tcBorders>
              <w:top w:val="nil"/>
              <w:left w:val="nil"/>
              <w:bottom w:val="nil"/>
              <w:right w:val="nil"/>
            </w:tcBorders>
            <w:shd w:val="clear" w:color="auto" w:fill="auto"/>
            <w:noWrap/>
            <w:vAlign w:val="center"/>
            <w:hideMark/>
          </w:tcPr>
          <w:p w14:paraId="456A3945" w14:textId="77777777" w:rsidR="003E7AE0" w:rsidRPr="00757ED8" w:rsidRDefault="003E7AE0" w:rsidP="003E7AE0">
            <w:pPr>
              <w:jc w:val="center"/>
              <w:rPr>
                <w:color w:val="000000"/>
              </w:rPr>
            </w:pPr>
            <w:r w:rsidRPr="00757ED8">
              <w:rPr>
                <w:color w:val="000000"/>
              </w:rPr>
              <w:t>-1.04</w:t>
            </w:r>
          </w:p>
        </w:tc>
        <w:tc>
          <w:tcPr>
            <w:tcW w:w="533" w:type="dxa"/>
            <w:tcBorders>
              <w:top w:val="nil"/>
              <w:left w:val="nil"/>
              <w:bottom w:val="nil"/>
              <w:right w:val="nil"/>
            </w:tcBorders>
            <w:shd w:val="clear" w:color="auto" w:fill="auto"/>
            <w:noWrap/>
            <w:vAlign w:val="center"/>
            <w:hideMark/>
          </w:tcPr>
          <w:p w14:paraId="1723F69E" w14:textId="77777777" w:rsidR="003E7AE0" w:rsidRPr="00757ED8" w:rsidRDefault="003E7AE0" w:rsidP="003E7AE0">
            <w:pPr>
              <w:jc w:val="center"/>
              <w:rPr>
                <w:color w:val="000000"/>
              </w:rPr>
            </w:pPr>
            <w:r w:rsidRPr="00757ED8">
              <w:rPr>
                <w:color w:val="000000"/>
              </w:rPr>
              <w:t>0.31</w:t>
            </w:r>
          </w:p>
        </w:tc>
        <w:tc>
          <w:tcPr>
            <w:tcW w:w="605" w:type="dxa"/>
            <w:tcBorders>
              <w:top w:val="nil"/>
              <w:left w:val="nil"/>
              <w:bottom w:val="nil"/>
              <w:right w:val="nil"/>
            </w:tcBorders>
            <w:shd w:val="clear" w:color="auto" w:fill="auto"/>
            <w:noWrap/>
            <w:vAlign w:val="center"/>
            <w:hideMark/>
          </w:tcPr>
          <w:p w14:paraId="59B8CA1D" w14:textId="77777777" w:rsidR="003E7AE0" w:rsidRPr="00757ED8" w:rsidRDefault="003E7AE0" w:rsidP="003E7AE0">
            <w:pPr>
              <w:jc w:val="center"/>
              <w:rPr>
                <w:color w:val="000000"/>
              </w:rPr>
            </w:pPr>
            <w:r w:rsidRPr="00757ED8">
              <w:rPr>
                <w:color w:val="000000"/>
              </w:rPr>
              <w:t>11.57</w:t>
            </w:r>
          </w:p>
        </w:tc>
        <w:tc>
          <w:tcPr>
            <w:tcW w:w="333" w:type="dxa"/>
            <w:tcBorders>
              <w:top w:val="nil"/>
              <w:left w:val="nil"/>
              <w:bottom w:val="nil"/>
              <w:right w:val="nil"/>
            </w:tcBorders>
            <w:shd w:val="clear" w:color="auto" w:fill="auto"/>
            <w:noWrap/>
            <w:vAlign w:val="center"/>
            <w:hideMark/>
          </w:tcPr>
          <w:p w14:paraId="212E95A6"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132FD65A" w14:textId="77777777" w:rsidR="003E7AE0" w:rsidRPr="00757ED8" w:rsidRDefault="003E7AE0" w:rsidP="003E7AE0">
            <w:pPr>
              <w:jc w:val="center"/>
              <w:rPr>
                <w:color w:val="000000"/>
              </w:rPr>
            </w:pPr>
            <w:r w:rsidRPr="00757ED8">
              <w:rPr>
                <w:color w:val="000000"/>
              </w:rPr>
              <w:t>0.35</w:t>
            </w:r>
          </w:p>
        </w:tc>
        <w:tc>
          <w:tcPr>
            <w:tcW w:w="1871" w:type="dxa"/>
            <w:tcBorders>
              <w:top w:val="nil"/>
              <w:left w:val="nil"/>
              <w:bottom w:val="nil"/>
              <w:right w:val="nil"/>
            </w:tcBorders>
            <w:shd w:val="clear" w:color="auto" w:fill="auto"/>
            <w:noWrap/>
            <w:vAlign w:val="center"/>
            <w:hideMark/>
          </w:tcPr>
          <w:p w14:paraId="2D3EF464" w14:textId="77777777" w:rsidR="003E7AE0" w:rsidRPr="00757ED8" w:rsidRDefault="003E7AE0" w:rsidP="003E7AE0">
            <w:pPr>
              <w:jc w:val="center"/>
              <w:rPr>
                <w:color w:val="000000"/>
              </w:rPr>
            </w:pPr>
            <w:r w:rsidRPr="00757ED8">
              <w:rPr>
                <w:color w:val="000000"/>
              </w:rPr>
              <w:t>0.20</w:t>
            </w:r>
          </w:p>
        </w:tc>
        <w:tc>
          <w:tcPr>
            <w:tcW w:w="648" w:type="dxa"/>
            <w:tcBorders>
              <w:top w:val="nil"/>
              <w:left w:val="nil"/>
              <w:bottom w:val="nil"/>
              <w:right w:val="nil"/>
            </w:tcBorders>
            <w:shd w:val="clear" w:color="auto" w:fill="auto"/>
            <w:noWrap/>
            <w:vAlign w:val="center"/>
            <w:hideMark/>
          </w:tcPr>
          <w:p w14:paraId="633274EC" w14:textId="77777777" w:rsidR="003E7AE0" w:rsidRPr="00757ED8" w:rsidRDefault="003E7AE0" w:rsidP="003E7AE0">
            <w:pPr>
              <w:jc w:val="center"/>
              <w:rPr>
                <w:color w:val="000000"/>
              </w:rPr>
            </w:pPr>
            <w:r w:rsidRPr="00757ED8">
              <w:rPr>
                <w:color w:val="000000"/>
              </w:rPr>
              <w:t>0.64</w:t>
            </w:r>
          </w:p>
        </w:tc>
        <w:tc>
          <w:tcPr>
            <w:tcW w:w="783" w:type="dxa"/>
            <w:tcBorders>
              <w:top w:val="nil"/>
              <w:left w:val="nil"/>
              <w:bottom w:val="nil"/>
              <w:right w:val="nil"/>
            </w:tcBorders>
            <w:shd w:val="clear" w:color="auto" w:fill="auto"/>
            <w:noWrap/>
            <w:vAlign w:val="center"/>
            <w:hideMark/>
          </w:tcPr>
          <w:p w14:paraId="21BC5E59" w14:textId="77777777" w:rsidR="003E7AE0" w:rsidRPr="00757ED8" w:rsidRDefault="003E7AE0" w:rsidP="003E7AE0">
            <w:pPr>
              <w:jc w:val="center"/>
              <w:rPr>
                <w:color w:val="000000"/>
              </w:rPr>
            </w:pPr>
            <w:r w:rsidRPr="00757ED8">
              <w:rPr>
                <w:color w:val="000000"/>
              </w:rPr>
              <w:t>0.001**</w:t>
            </w:r>
          </w:p>
        </w:tc>
      </w:tr>
      <w:tr w:rsidR="003E7AE0" w:rsidRPr="00757ED8" w14:paraId="3AC149F0"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042E4840" w14:textId="77777777" w:rsidR="003E7AE0" w:rsidRPr="00757ED8" w:rsidRDefault="003E7AE0" w:rsidP="003E7AE0">
            <w:pPr>
              <w:rPr>
                <w:color w:val="000000"/>
              </w:rPr>
            </w:pPr>
            <w:r w:rsidRPr="00757ED8">
              <w:rPr>
                <w:color w:val="000000"/>
              </w:rPr>
              <w:t>Constant</w:t>
            </w:r>
          </w:p>
        </w:tc>
        <w:tc>
          <w:tcPr>
            <w:tcW w:w="600" w:type="dxa"/>
            <w:tcBorders>
              <w:top w:val="single" w:sz="8" w:space="0" w:color="7F7F7F"/>
              <w:left w:val="nil"/>
              <w:bottom w:val="single" w:sz="8" w:space="0" w:color="7F7F7F"/>
              <w:right w:val="nil"/>
            </w:tcBorders>
            <w:shd w:val="clear" w:color="auto" w:fill="auto"/>
            <w:noWrap/>
            <w:vAlign w:val="center"/>
            <w:hideMark/>
          </w:tcPr>
          <w:p w14:paraId="7E9674F8" w14:textId="77777777" w:rsidR="003E7AE0" w:rsidRPr="00757ED8" w:rsidRDefault="003E7AE0" w:rsidP="003E7AE0">
            <w:pPr>
              <w:jc w:val="center"/>
              <w:rPr>
                <w:color w:val="000000"/>
              </w:rPr>
            </w:pPr>
            <w:r w:rsidRPr="00757ED8">
              <w:rPr>
                <w:color w:val="000000"/>
              </w:rPr>
              <w:t>10.37</w:t>
            </w:r>
          </w:p>
        </w:tc>
        <w:tc>
          <w:tcPr>
            <w:tcW w:w="533" w:type="dxa"/>
            <w:tcBorders>
              <w:top w:val="single" w:sz="8" w:space="0" w:color="7F7F7F"/>
              <w:left w:val="nil"/>
              <w:bottom w:val="single" w:sz="8" w:space="0" w:color="7F7F7F"/>
              <w:right w:val="nil"/>
            </w:tcBorders>
            <w:shd w:val="clear" w:color="auto" w:fill="auto"/>
            <w:noWrap/>
            <w:vAlign w:val="center"/>
            <w:hideMark/>
          </w:tcPr>
          <w:p w14:paraId="6D12575C" w14:textId="77777777" w:rsidR="003E7AE0" w:rsidRPr="00757ED8" w:rsidRDefault="003E7AE0" w:rsidP="003E7AE0">
            <w:pPr>
              <w:jc w:val="center"/>
              <w:rPr>
                <w:color w:val="000000"/>
              </w:rPr>
            </w:pPr>
            <w:r w:rsidRPr="00757ED8">
              <w:rPr>
                <w:color w:val="000000"/>
              </w:rPr>
              <w:t>2.98</w:t>
            </w:r>
          </w:p>
        </w:tc>
        <w:tc>
          <w:tcPr>
            <w:tcW w:w="605" w:type="dxa"/>
            <w:tcBorders>
              <w:top w:val="single" w:sz="8" w:space="0" w:color="7F7F7F"/>
              <w:left w:val="nil"/>
              <w:bottom w:val="single" w:sz="8" w:space="0" w:color="7F7F7F"/>
              <w:right w:val="nil"/>
            </w:tcBorders>
            <w:shd w:val="clear" w:color="auto" w:fill="auto"/>
            <w:noWrap/>
            <w:vAlign w:val="center"/>
            <w:hideMark/>
          </w:tcPr>
          <w:p w14:paraId="73AE5BA1" w14:textId="77777777" w:rsidR="003E7AE0" w:rsidRPr="00757ED8" w:rsidRDefault="003E7AE0" w:rsidP="003E7AE0">
            <w:pPr>
              <w:jc w:val="center"/>
              <w:rPr>
                <w:color w:val="000000"/>
              </w:rPr>
            </w:pPr>
            <w:r w:rsidRPr="00757ED8">
              <w:rPr>
                <w:color w:val="000000"/>
              </w:rPr>
              <w:t>12.12</w:t>
            </w:r>
          </w:p>
        </w:tc>
        <w:tc>
          <w:tcPr>
            <w:tcW w:w="333" w:type="dxa"/>
            <w:tcBorders>
              <w:top w:val="single" w:sz="8" w:space="0" w:color="7F7F7F"/>
              <w:left w:val="nil"/>
              <w:bottom w:val="single" w:sz="8" w:space="0" w:color="7F7F7F"/>
              <w:right w:val="nil"/>
            </w:tcBorders>
            <w:shd w:val="clear" w:color="auto" w:fill="auto"/>
            <w:noWrap/>
            <w:vAlign w:val="center"/>
            <w:hideMark/>
          </w:tcPr>
          <w:p w14:paraId="02FE2F65"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6C6CEB90" w14:textId="77777777" w:rsidR="003E7AE0" w:rsidRPr="00757ED8" w:rsidRDefault="003E7AE0" w:rsidP="003E7AE0">
            <w:pPr>
              <w:jc w:val="center"/>
              <w:rPr>
                <w:color w:val="000000"/>
              </w:rPr>
            </w:pPr>
            <w:r w:rsidRPr="00757ED8">
              <w:rPr>
                <w:color w:val="000000"/>
              </w:rPr>
              <w:t>31958.03</w:t>
            </w:r>
          </w:p>
        </w:tc>
        <w:tc>
          <w:tcPr>
            <w:tcW w:w="1871" w:type="dxa"/>
            <w:tcBorders>
              <w:top w:val="single" w:sz="8" w:space="0" w:color="7F7F7F"/>
              <w:left w:val="nil"/>
              <w:bottom w:val="single" w:sz="8" w:space="0" w:color="7F7F7F"/>
              <w:right w:val="nil"/>
            </w:tcBorders>
            <w:shd w:val="clear" w:color="auto" w:fill="auto"/>
            <w:noWrap/>
            <w:vAlign w:val="center"/>
            <w:hideMark/>
          </w:tcPr>
          <w:p w14:paraId="2995E429" w14:textId="77777777" w:rsidR="003E7AE0" w:rsidRPr="00757ED8" w:rsidRDefault="003E7AE0" w:rsidP="003E7AE0">
            <w:pPr>
              <w:jc w:val="center"/>
              <w:rPr>
                <w:color w:val="000000"/>
              </w:rPr>
            </w:pPr>
            <w:r w:rsidRPr="00757ED8">
              <w:rPr>
                <w:color w:val="000000"/>
              </w:rPr>
              <w:t> </w:t>
            </w:r>
          </w:p>
        </w:tc>
        <w:tc>
          <w:tcPr>
            <w:tcW w:w="648" w:type="dxa"/>
            <w:tcBorders>
              <w:top w:val="single" w:sz="8" w:space="0" w:color="7F7F7F"/>
              <w:left w:val="nil"/>
              <w:bottom w:val="single" w:sz="8" w:space="0" w:color="7F7F7F"/>
              <w:right w:val="nil"/>
            </w:tcBorders>
            <w:shd w:val="clear" w:color="auto" w:fill="auto"/>
            <w:noWrap/>
            <w:vAlign w:val="center"/>
            <w:hideMark/>
          </w:tcPr>
          <w:p w14:paraId="765EB236" w14:textId="77777777" w:rsidR="003E7AE0" w:rsidRPr="00757ED8" w:rsidRDefault="003E7AE0" w:rsidP="003E7AE0">
            <w:pPr>
              <w:jc w:val="center"/>
              <w:rPr>
                <w:color w:val="000000"/>
              </w:rPr>
            </w:pPr>
            <w:r w:rsidRPr="00757ED8">
              <w:rPr>
                <w:color w:val="000000"/>
              </w:rPr>
              <w:t> </w:t>
            </w:r>
          </w:p>
        </w:tc>
        <w:tc>
          <w:tcPr>
            <w:tcW w:w="783" w:type="dxa"/>
            <w:tcBorders>
              <w:top w:val="single" w:sz="8" w:space="0" w:color="7F7F7F"/>
              <w:left w:val="nil"/>
              <w:bottom w:val="single" w:sz="8" w:space="0" w:color="7F7F7F"/>
              <w:right w:val="nil"/>
            </w:tcBorders>
            <w:shd w:val="clear" w:color="auto" w:fill="auto"/>
            <w:noWrap/>
            <w:vAlign w:val="center"/>
            <w:hideMark/>
          </w:tcPr>
          <w:p w14:paraId="29E7C019" w14:textId="77777777" w:rsidR="003E7AE0" w:rsidRPr="00757ED8" w:rsidRDefault="003E7AE0" w:rsidP="003E7AE0">
            <w:pPr>
              <w:jc w:val="center"/>
              <w:rPr>
                <w:color w:val="000000"/>
              </w:rPr>
            </w:pPr>
            <w:r w:rsidRPr="00757ED8">
              <w:rPr>
                <w:color w:val="000000"/>
              </w:rPr>
              <w:t>0</w:t>
            </w:r>
          </w:p>
        </w:tc>
      </w:tr>
      <w:tr w:rsidR="003E7AE0" w:rsidRPr="00757ED8" w14:paraId="1B5A5867" w14:textId="77777777" w:rsidTr="003E7AE0">
        <w:trPr>
          <w:trHeight w:val="358"/>
        </w:trPr>
        <w:tc>
          <w:tcPr>
            <w:tcW w:w="2375" w:type="dxa"/>
            <w:tcBorders>
              <w:top w:val="nil"/>
              <w:left w:val="nil"/>
              <w:bottom w:val="single" w:sz="8" w:space="0" w:color="7F7F7F"/>
              <w:right w:val="nil"/>
            </w:tcBorders>
            <w:shd w:val="clear" w:color="auto" w:fill="auto"/>
            <w:noWrap/>
            <w:vAlign w:val="center"/>
            <w:hideMark/>
          </w:tcPr>
          <w:p w14:paraId="243E4146" w14:textId="77777777" w:rsidR="003E7AE0" w:rsidRPr="00757ED8" w:rsidRDefault="003E7AE0" w:rsidP="003E7AE0">
            <w:pPr>
              <w:rPr>
                <w:color w:val="000000"/>
              </w:rPr>
            </w:pPr>
            <w:r w:rsidRPr="00757ED8">
              <w:rPr>
                <w:color w:val="000000"/>
              </w:rPr>
              <w:t> </w:t>
            </w:r>
          </w:p>
        </w:tc>
        <w:tc>
          <w:tcPr>
            <w:tcW w:w="600" w:type="dxa"/>
            <w:tcBorders>
              <w:top w:val="nil"/>
              <w:left w:val="nil"/>
              <w:bottom w:val="single" w:sz="8" w:space="0" w:color="7F7F7F"/>
              <w:right w:val="nil"/>
            </w:tcBorders>
            <w:shd w:val="clear" w:color="auto" w:fill="auto"/>
            <w:noWrap/>
            <w:vAlign w:val="center"/>
            <w:hideMark/>
          </w:tcPr>
          <w:p w14:paraId="035AE00B" w14:textId="77777777" w:rsidR="003E7AE0" w:rsidRPr="00757ED8" w:rsidRDefault="003E7AE0" w:rsidP="003E7AE0">
            <w:pPr>
              <w:rPr>
                <w:color w:val="000000"/>
              </w:rPr>
            </w:pPr>
            <w:r w:rsidRPr="00757ED8">
              <w:rPr>
                <w:color w:val="000000"/>
              </w:rPr>
              <w:t> </w:t>
            </w:r>
          </w:p>
        </w:tc>
        <w:tc>
          <w:tcPr>
            <w:tcW w:w="533" w:type="dxa"/>
            <w:tcBorders>
              <w:top w:val="nil"/>
              <w:left w:val="nil"/>
              <w:bottom w:val="single" w:sz="8" w:space="0" w:color="7F7F7F"/>
              <w:right w:val="nil"/>
            </w:tcBorders>
            <w:shd w:val="clear" w:color="auto" w:fill="auto"/>
            <w:noWrap/>
            <w:vAlign w:val="center"/>
            <w:hideMark/>
          </w:tcPr>
          <w:p w14:paraId="5051AFA8" w14:textId="77777777" w:rsidR="003E7AE0" w:rsidRPr="00757ED8" w:rsidRDefault="003E7AE0" w:rsidP="003E7AE0">
            <w:pPr>
              <w:rPr>
                <w:color w:val="000000"/>
              </w:rPr>
            </w:pPr>
            <w:r w:rsidRPr="00757ED8">
              <w:rPr>
                <w:color w:val="000000"/>
              </w:rPr>
              <w:t> </w:t>
            </w:r>
          </w:p>
        </w:tc>
        <w:tc>
          <w:tcPr>
            <w:tcW w:w="4447" w:type="dxa"/>
            <w:gridSpan w:val="5"/>
            <w:tcBorders>
              <w:top w:val="single" w:sz="8" w:space="0" w:color="7F7F7F"/>
              <w:left w:val="nil"/>
              <w:bottom w:val="single" w:sz="8" w:space="0" w:color="7F7F7F"/>
              <w:right w:val="nil"/>
            </w:tcBorders>
            <w:shd w:val="clear" w:color="auto" w:fill="auto"/>
            <w:noWrap/>
            <w:vAlign w:val="center"/>
            <w:hideMark/>
          </w:tcPr>
          <w:p w14:paraId="68CC9992" w14:textId="77777777" w:rsidR="003E7AE0" w:rsidRPr="00757ED8" w:rsidRDefault="003E7AE0" w:rsidP="003E7AE0">
            <w:pPr>
              <w:rPr>
                <w:b/>
                <w:bCs/>
                <w:color w:val="000000"/>
              </w:rPr>
            </w:pPr>
            <w:r w:rsidRPr="00757ED8">
              <w:rPr>
                <w:b/>
                <w:bCs/>
                <w:color w:val="000000"/>
              </w:rPr>
              <w:t>Taken sick leave due to MSK health problems</w:t>
            </w:r>
          </w:p>
        </w:tc>
        <w:tc>
          <w:tcPr>
            <w:tcW w:w="783" w:type="dxa"/>
            <w:tcBorders>
              <w:top w:val="nil"/>
              <w:left w:val="nil"/>
              <w:bottom w:val="single" w:sz="8" w:space="0" w:color="7F7F7F"/>
              <w:right w:val="nil"/>
            </w:tcBorders>
            <w:shd w:val="clear" w:color="auto" w:fill="auto"/>
            <w:noWrap/>
            <w:vAlign w:val="center"/>
            <w:hideMark/>
          </w:tcPr>
          <w:p w14:paraId="0C2C5234" w14:textId="77777777" w:rsidR="003E7AE0" w:rsidRPr="00757ED8" w:rsidRDefault="003E7AE0" w:rsidP="003E7AE0">
            <w:pPr>
              <w:rPr>
                <w:color w:val="000000"/>
              </w:rPr>
            </w:pPr>
            <w:r w:rsidRPr="00757ED8">
              <w:rPr>
                <w:color w:val="000000"/>
              </w:rPr>
              <w:t> </w:t>
            </w:r>
          </w:p>
        </w:tc>
      </w:tr>
      <w:tr w:rsidR="003E7AE0" w:rsidRPr="00757ED8" w14:paraId="7F8957FB" w14:textId="77777777" w:rsidTr="003E7AE0">
        <w:trPr>
          <w:trHeight w:val="358"/>
        </w:trPr>
        <w:tc>
          <w:tcPr>
            <w:tcW w:w="2375" w:type="dxa"/>
            <w:tcBorders>
              <w:top w:val="nil"/>
              <w:left w:val="nil"/>
              <w:bottom w:val="nil"/>
              <w:right w:val="nil"/>
            </w:tcBorders>
            <w:shd w:val="clear" w:color="auto" w:fill="auto"/>
            <w:noWrap/>
            <w:vAlign w:val="center"/>
            <w:hideMark/>
          </w:tcPr>
          <w:p w14:paraId="73FE3424" w14:textId="77777777" w:rsidR="003E7AE0" w:rsidRPr="00757ED8" w:rsidRDefault="003E7AE0" w:rsidP="003E7AE0">
            <w:pPr>
              <w:rPr>
                <w:color w:val="000000"/>
              </w:rPr>
            </w:pPr>
            <w:r w:rsidRPr="00757ED8">
              <w:rPr>
                <w:color w:val="000000"/>
              </w:rPr>
              <w:t>Age</w:t>
            </w:r>
          </w:p>
        </w:tc>
        <w:tc>
          <w:tcPr>
            <w:tcW w:w="600" w:type="dxa"/>
            <w:tcBorders>
              <w:top w:val="nil"/>
              <w:left w:val="nil"/>
              <w:bottom w:val="nil"/>
              <w:right w:val="nil"/>
            </w:tcBorders>
            <w:shd w:val="clear" w:color="auto" w:fill="auto"/>
            <w:noWrap/>
            <w:vAlign w:val="center"/>
            <w:hideMark/>
          </w:tcPr>
          <w:p w14:paraId="7A234947" w14:textId="77777777" w:rsidR="003E7AE0" w:rsidRPr="00757ED8" w:rsidRDefault="003E7AE0" w:rsidP="003E7AE0">
            <w:pPr>
              <w:jc w:val="center"/>
              <w:rPr>
                <w:color w:val="000000"/>
              </w:rPr>
            </w:pPr>
            <w:r w:rsidRPr="00757ED8">
              <w:rPr>
                <w:color w:val="000000"/>
              </w:rPr>
              <w:t>0.02</w:t>
            </w:r>
          </w:p>
        </w:tc>
        <w:tc>
          <w:tcPr>
            <w:tcW w:w="533" w:type="dxa"/>
            <w:tcBorders>
              <w:top w:val="nil"/>
              <w:left w:val="nil"/>
              <w:bottom w:val="nil"/>
              <w:right w:val="nil"/>
            </w:tcBorders>
            <w:shd w:val="clear" w:color="auto" w:fill="auto"/>
            <w:noWrap/>
            <w:vAlign w:val="center"/>
            <w:hideMark/>
          </w:tcPr>
          <w:p w14:paraId="36BF20E7" w14:textId="77777777" w:rsidR="003E7AE0" w:rsidRPr="00757ED8" w:rsidRDefault="003E7AE0" w:rsidP="003E7AE0">
            <w:pPr>
              <w:jc w:val="center"/>
              <w:rPr>
                <w:color w:val="000000"/>
              </w:rPr>
            </w:pPr>
            <w:r w:rsidRPr="00757ED8">
              <w:rPr>
                <w:color w:val="000000"/>
              </w:rPr>
              <w:t>0.03</w:t>
            </w:r>
          </w:p>
        </w:tc>
        <w:tc>
          <w:tcPr>
            <w:tcW w:w="605" w:type="dxa"/>
            <w:tcBorders>
              <w:top w:val="nil"/>
              <w:left w:val="nil"/>
              <w:bottom w:val="nil"/>
              <w:right w:val="nil"/>
            </w:tcBorders>
            <w:shd w:val="clear" w:color="auto" w:fill="auto"/>
            <w:noWrap/>
            <w:vAlign w:val="center"/>
            <w:hideMark/>
          </w:tcPr>
          <w:p w14:paraId="5D5E1E59" w14:textId="77777777" w:rsidR="003E7AE0" w:rsidRPr="00757ED8" w:rsidRDefault="003E7AE0" w:rsidP="003E7AE0">
            <w:pPr>
              <w:jc w:val="center"/>
              <w:rPr>
                <w:color w:val="000000"/>
              </w:rPr>
            </w:pPr>
            <w:r w:rsidRPr="00757ED8">
              <w:rPr>
                <w:color w:val="000000"/>
              </w:rPr>
              <w:t>0.64</w:t>
            </w:r>
          </w:p>
        </w:tc>
        <w:tc>
          <w:tcPr>
            <w:tcW w:w="333" w:type="dxa"/>
            <w:tcBorders>
              <w:top w:val="nil"/>
              <w:left w:val="nil"/>
              <w:bottom w:val="nil"/>
              <w:right w:val="nil"/>
            </w:tcBorders>
            <w:shd w:val="clear" w:color="auto" w:fill="auto"/>
            <w:noWrap/>
            <w:vAlign w:val="center"/>
            <w:hideMark/>
          </w:tcPr>
          <w:p w14:paraId="7EBF33C4"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0831D494" w14:textId="77777777" w:rsidR="003E7AE0" w:rsidRPr="00757ED8" w:rsidRDefault="003E7AE0" w:rsidP="003E7AE0">
            <w:pPr>
              <w:jc w:val="center"/>
              <w:rPr>
                <w:color w:val="000000"/>
              </w:rPr>
            </w:pPr>
            <w:r w:rsidRPr="00757ED8">
              <w:rPr>
                <w:color w:val="000000"/>
              </w:rPr>
              <w:t>1.02</w:t>
            </w:r>
          </w:p>
        </w:tc>
        <w:tc>
          <w:tcPr>
            <w:tcW w:w="1871" w:type="dxa"/>
            <w:tcBorders>
              <w:top w:val="nil"/>
              <w:left w:val="nil"/>
              <w:bottom w:val="nil"/>
              <w:right w:val="nil"/>
            </w:tcBorders>
            <w:shd w:val="clear" w:color="auto" w:fill="auto"/>
            <w:noWrap/>
            <w:vAlign w:val="center"/>
            <w:hideMark/>
          </w:tcPr>
          <w:p w14:paraId="7AB4D44E" w14:textId="77777777" w:rsidR="003E7AE0" w:rsidRPr="00757ED8" w:rsidRDefault="003E7AE0" w:rsidP="008E3359">
            <w:pPr>
              <w:jc w:val="center"/>
              <w:rPr>
                <w:color w:val="000000"/>
              </w:rPr>
            </w:pPr>
            <w:r w:rsidRPr="00757ED8">
              <w:rPr>
                <w:color w:val="000000"/>
              </w:rPr>
              <w:t>0.97</w:t>
            </w:r>
          </w:p>
        </w:tc>
        <w:tc>
          <w:tcPr>
            <w:tcW w:w="648" w:type="dxa"/>
            <w:tcBorders>
              <w:top w:val="nil"/>
              <w:left w:val="nil"/>
              <w:bottom w:val="nil"/>
              <w:right w:val="nil"/>
            </w:tcBorders>
            <w:shd w:val="clear" w:color="auto" w:fill="auto"/>
            <w:noWrap/>
            <w:vAlign w:val="center"/>
            <w:hideMark/>
          </w:tcPr>
          <w:p w14:paraId="0641AA6D" w14:textId="77777777" w:rsidR="003E7AE0" w:rsidRPr="00757ED8" w:rsidRDefault="003E7AE0" w:rsidP="003E7AE0">
            <w:pPr>
              <w:jc w:val="right"/>
              <w:rPr>
                <w:color w:val="000000"/>
              </w:rPr>
            </w:pPr>
            <w:r w:rsidRPr="00757ED8">
              <w:rPr>
                <w:color w:val="000000"/>
              </w:rPr>
              <w:t>1.08</w:t>
            </w:r>
          </w:p>
        </w:tc>
        <w:tc>
          <w:tcPr>
            <w:tcW w:w="783" w:type="dxa"/>
            <w:tcBorders>
              <w:top w:val="nil"/>
              <w:left w:val="nil"/>
              <w:bottom w:val="nil"/>
              <w:right w:val="nil"/>
            </w:tcBorders>
            <w:shd w:val="clear" w:color="auto" w:fill="auto"/>
            <w:noWrap/>
            <w:vAlign w:val="center"/>
            <w:hideMark/>
          </w:tcPr>
          <w:p w14:paraId="2033D544" w14:textId="77777777" w:rsidR="003E7AE0" w:rsidRPr="00757ED8" w:rsidRDefault="003E7AE0" w:rsidP="003E7AE0">
            <w:pPr>
              <w:jc w:val="center"/>
              <w:rPr>
                <w:color w:val="000000"/>
              </w:rPr>
            </w:pPr>
            <w:r w:rsidRPr="00757ED8">
              <w:rPr>
                <w:color w:val="000000"/>
              </w:rPr>
              <w:t>0.42</w:t>
            </w:r>
          </w:p>
        </w:tc>
      </w:tr>
      <w:tr w:rsidR="003E7AE0" w:rsidRPr="00757ED8" w14:paraId="363D3349"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530146EC" w14:textId="77777777" w:rsidR="003E7AE0" w:rsidRPr="00757ED8" w:rsidRDefault="003E7AE0" w:rsidP="003E7AE0">
            <w:pPr>
              <w:rPr>
                <w:color w:val="000000"/>
              </w:rPr>
            </w:pPr>
            <w:r w:rsidRPr="00757ED8">
              <w:rPr>
                <w:color w:val="000000"/>
              </w:rPr>
              <w:t>No of children</w:t>
            </w:r>
          </w:p>
        </w:tc>
        <w:tc>
          <w:tcPr>
            <w:tcW w:w="600" w:type="dxa"/>
            <w:tcBorders>
              <w:top w:val="single" w:sz="8" w:space="0" w:color="7F7F7F"/>
              <w:left w:val="nil"/>
              <w:bottom w:val="single" w:sz="8" w:space="0" w:color="7F7F7F"/>
              <w:right w:val="nil"/>
            </w:tcBorders>
            <w:shd w:val="clear" w:color="auto" w:fill="auto"/>
            <w:noWrap/>
            <w:vAlign w:val="center"/>
            <w:hideMark/>
          </w:tcPr>
          <w:p w14:paraId="730AA69F" w14:textId="77777777" w:rsidR="003E7AE0" w:rsidRPr="00757ED8" w:rsidRDefault="003E7AE0" w:rsidP="003E7AE0">
            <w:pPr>
              <w:jc w:val="center"/>
              <w:rPr>
                <w:color w:val="000000"/>
              </w:rPr>
            </w:pPr>
            <w:r w:rsidRPr="00757ED8">
              <w:rPr>
                <w:color w:val="000000"/>
              </w:rPr>
              <w:t>-0.03</w:t>
            </w:r>
          </w:p>
        </w:tc>
        <w:tc>
          <w:tcPr>
            <w:tcW w:w="533" w:type="dxa"/>
            <w:tcBorders>
              <w:top w:val="single" w:sz="8" w:space="0" w:color="7F7F7F"/>
              <w:left w:val="nil"/>
              <w:bottom w:val="single" w:sz="8" w:space="0" w:color="7F7F7F"/>
              <w:right w:val="nil"/>
            </w:tcBorders>
            <w:shd w:val="clear" w:color="auto" w:fill="auto"/>
            <w:noWrap/>
            <w:vAlign w:val="center"/>
            <w:hideMark/>
          </w:tcPr>
          <w:p w14:paraId="7AA70843" w14:textId="77777777" w:rsidR="003E7AE0" w:rsidRPr="00757ED8" w:rsidRDefault="003E7AE0" w:rsidP="003E7AE0">
            <w:pPr>
              <w:jc w:val="center"/>
              <w:rPr>
                <w:color w:val="000000"/>
              </w:rPr>
            </w:pPr>
            <w:r w:rsidRPr="00757ED8">
              <w:rPr>
                <w:color w:val="000000"/>
              </w:rPr>
              <w:t>0.22</w:t>
            </w:r>
          </w:p>
        </w:tc>
        <w:tc>
          <w:tcPr>
            <w:tcW w:w="605" w:type="dxa"/>
            <w:tcBorders>
              <w:top w:val="single" w:sz="8" w:space="0" w:color="7F7F7F"/>
              <w:left w:val="nil"/>
              <w:bottom w:val="single" w:sz="8" w:space="0" w:color="7F7F7F"/>
              <w:right w:val="nil"/>
            </w:tcBorders>
            <w:shd w:val="clear" w:color="auto" w:fill="auto"/>
            <w:noWrap/>
            <w:vAlign w:val="center"/>
            <w:hideMark/>
          </w:tcPr>
          <w:p w14:paraId="74F4DEC2" w14:textId="77777777" w:rsidR="003E7AE0" w:rsidRPr="00757ED8" w:rsidRDefault="003E7AE0" w:rsidP="003E7AE0">
            <w:pPr>
              <w:jc w:val="center"/>
              <w:rPr>
                <w:color w:val="000000"/>
              </w:rPr>
            </w:pPr>
            <w:r w:rsidRPr="00757ED8">
              <w:rPr>
                <w:color w:val="000000"/>
              </w:rPr>
              <w:t>0.03</w:t>
            </w:r>
          </w:p>
        </w:tc>
        <w:tc>
          <w:tcPr>
            <w:tcW w:w="333" w:type="dxa"/>
            <w:tcBorders>
              <w:top w:val="single" w:sz="8" w:space="0" w:color="7F7F7F"/>
              <w:left w:val="nil"/>
              <w:bottom w:val="single" w:sz="8" w:space="0" w:color="7F7F7F"/>
              <w:right w:val="nil"/>
            </w:tcBorders>
            <w:shd w:val="clear" w:color="auto" w:fill="auto"/>
            <w:noWrap/>
            <w:vAlign w:val="center"/>
            <w:hideMark/>
          </w:tcPr>
          <w:p w14:paraId="7112B262"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755247D1" w14:textId="77777777" w:rsidR="003E7AE0" w:rsidRPr="00757ED8" w:rsidRDefault="003E7AE0" w:rsidP="003E7AE0">
            <w:pPr>
              <w:jc w:val="center"/>
              <w:rPr>
                <w:color w:val="000000"/>
              </w:rPr>
            </w:pPr>
            <w:r w:rsidRPr="00757ED8">
              <w:rPr>
                <w:color w:val="000000"/>
              </w:rPr>
              <w:t>0.97</w:t>
            </w:r>
          </w:p>
        </w:tc>
        <w:tc>
          <w:tcPr>
            <w:tcW w:w="1871" w:type="dxa"/>
            <w:tcBorders>
              <w:top w:val="single" w:sz="8" w:space="0" w:color="7F7F7F"/>
              <w:left w:val="nil"/>
              <w:bottom w:val="single" w:sz="8" w:space="0" w:color="7F7F7F"/>
              <w:right w:val="nil"/>
            </w:tcBorders>
            <w:shd w:val="clear" w:color="auto" w:fill="auto"/>
            <w:noWrap/>
            <w:vAlign w:val="center"/>
            <w:hideMark/>
          </w:tcPr>
          <w:p w14:paraId="709A249E" w14:textId="77777777" w:rsidR="003E7AE0" w:rsidRPr="00757ED8" w:rsidRDefault="003E7AE0" w:rsidP="008E3359">
            <w:pPr>
              <w:jc w:val="center"/>
              <w:rPr>
                <w:color w:val="000000"/>
              </w:rPr>
            </w:pPr>
            <w:r w:rsidRPr="00757ED8">
              <w:rPr>
                <w:color w:val="000000"/>
              </w:rPr>
              <w:t>0.63</w:t>
            </w:r>
          </w:p>
        </w:tc>
        <w:tc>
          <w:tcPr>
            <w:tcW w:w="648" w:type="dxa"/>
            <w:tcBorders>
              <w:top w:val="single" w:sz="8" w:space="0" w:color="7F7F7F"/>
              <w:left w:val="nil"/>
              <w:bottom w:val="single" w:sz="8" w:space="0" w:color="7F7F7F"/>
              <w:right w:val="nil"/>
            </w:tcBorders>
            <w:shd w:val="clear" w:color="auto" w:fill="auto"/>
            <w:noWrap/>
            <w:vAlign w:val="center"/>
            <w:hideMark/>
          </w:tcPr>
          <w:p w14:paraId="647BBFCD" w14:textId="77777777" w:rsidR="003E7AE0" w:rsidRPr="00757ED8" w:rsidRDefault="003E7AE0" w:rsidP="003E7AE0">
            <w:pPr>
              <w:jc w:val="right"/>
              <w:rPr>
                <w:color w:val="000000"/>
              </w:rPr>
            </w:pPr>
            <w:r w:rsidRPr="00757ED8">
              <w:rPr>
                <w:color w:val="000000"/>
              </w:rPr>
              <w:t>1.48</w:t>
            </w:r>
          </w:p>
        </w:tc>
        <w:tc>
          <w:tcPr>
            <w:tcW w:w="783" w:type="dxa"/>
            <w:tcBorders>
              <w:top w:val="single" w:sz="8" w:space="0" w:color="7F7F7F"/>
              <w:left w:val="nil"/>
              <w:bottom w:val="single" w:sz="8" w:space="0" w:color="7F7F7F"/>
              <w:right w:val="nil"/>
            </w:tcBorders>
            <w:shd w:val="clear" w:color="auto" w:fill="auto"/>
            <w:noWrap/>
            <w:vAlign w:val="center"/>
            <w:hideMark/>
          </w:tcPr>
          <w:p w14:paraId="7A7A05CB" w14:textId="77777777" w:rsidR="003E7AE0" w:rsidRPr="00757ED8" w:rsidRDefault="003E7AE0" w:rsidP="003E7AE0">
            <w:pPr>
              <w:jc w:val="center"/>
              <w:rPr>
                <w:color w:val="000000"/>
              </w:rPr>
            </w:pPr>
            <w:r w:rsidRPr="00757ED8">
              <w:rPr>
                <w:color w:val="000000"/>
              </w:rPr>
              <w:t>0.88</w:t>
            </w:r>
          </w:p>
        </w:tc>
      </w:tr>
      <w:tr w:rsidR="003E7AE0" w:rsidRPr="00757ED8" w14:paraId="28BBB2AA" w14:textId="77777777" w:rsidTr="003E7AE0">
        <w:trPr>
          <w:trHeight w:val="358"/>
        </w:trPr>
        <w:tc>
          <w:tcPr>
            <w:tcW w:w="2375" w:type="dxa"/>
            <w:tcBorders>
              <w:top w:val="nil"/>
              <w:left w:val="nil"/>
              <w:bottom w:val="nil"/>
              <w:right w:val="nil"/>
            </w:tcBorders>
            <w:shd w:val="clear" w:color="auto" w:fill="auto"/>
            <w:noWrap/>
            <w:vAlign w:val="center"/>
            <w:hideMark/>
          </w:tcPr>
          <w:p w14:paraId="64E538C8" w14:textId="77777777" w:rsidR="003E7AE0" w:rsidRPr="00757ED8" w:rsidRDefault="003E7AE0" w:rsidP="003E7AE0">
            <w:pPr>
              <w:rPr>
                <w:color w:val="000000"/>
              </w:rPr>
            </w:pPr>
            <w:r w:rsidRPr="00757ED8">
              <w:rPr>
                <w:color w:val="000000"/>
              </w:rPr>
              <w:t>Education level</w:t>
            </w:r>
          </w:p>
        </w:tc>
        <w:tc>
          <w:tcPr>
            <w:tcW w:w="600" w:type="dxa"/>
            <w:tcBorders>
              <w:top w:val="nil"/>
              <w:left w:val="nil"/>
              <w:bottom w:val="nil"/>
              <w:right w:val="nil"/>
            </w:tcBorders>
            <w:shd w:val="clear" w:color="auto" w:fill="auto"/>
            <w:noWrap/>
            <w:vAlign w:val="center"/>
            <w:hideMark/>
          </w:tcPr>
          <w:p w14:paraId="48C03283" w14:textId="77777777" w:rsidR="003E7AE0" w:rsidRPr="00757ED8" w:rsidRDefault="003E7AE0" w:rsidP="003E7AE0">
            <w:pPr>
              <w:jc w:val="center"/>
              <w:rPr>
                <w:color w:val="000000"/>
              </w:rPr>
            </w:pPr>
            <w:r w:rsidRPr="00757ED8">
              <w:rPr>
                <w:color w:val="000000"/>
              </w:rPr>
              <w:t>-0.06</w:t>
            </w:r>
          </w:p>
        </w:tc>
        <w:tc>
          <w:tcPr>
            <w:tcW w:w="533" w:type="dxa"/>
            <w:tcBorders>
              <w:top w:val="nil"/>
              <w:left w:val="nil"/>
              <w:bottom w:val="nil"/>
              <w:right w:val="nil"/>
            </w:tcBorders>
            <w:shd w:val="clear" w:color="auto" w:fill="auto"/>
            <w:noWrap/>
            <w:vAlign w:val="center"/>
            <w:hideMark/>
          </w:tcPr>
          <w:p w14:paraId="105EADF9" w14:textId="77777777" w:rsidR="003E7AE0" w:rsidRPr="00757ED8" w:rsidRDefault="003E7AE0" w:rsidP="003E7AE0">
            <w:pPr>
              <w:jc w:val="center"/>
              <w:rPr>
                <w:color w:val="000000"/>
              </w:rPr>
            </w:pPr>
            <w:r w:rsidRPr="00757ED8">
              <w:rPr>
                <w:color w:val="000000"/>
              </w:rPr>
              <w:t>0.16</w:t>
            </w:r>
          </w:p>
        </w:tc>
        <w:tc>
          <w:tcPr>
            <w:tcW w:w="605" w:type="dxa"/>
            <w:tcBorders>
              <w:top w:val="nil"/>
              <w:left w:val="nil"/>
              <w:bottom w:val="nil"/>
              <w:right w:val="nil"/>
            </w:tcBorders>
            <w:shd w:val="clear" w:color="auto" w:fill="auto"/>
            <w:noWrap/>
            <w:vAlign w:val="center"/>
            <w:hideMark/>
          </w:tcPr>
          <w:p w14:paraId="1B44EFE4" w14:textId="77777777" w:rsidR="003E7AE0" w:rsidRPr="00757ED8" w:rsidRDefault="003E7AE0" w:rsidP="003E7AE0">
            <w:pPr>
              <w:jc w:val="center"/>
              <w:rPr>
                <w:color w:val="000000"/>
              </w:rPr>
            </w:pPr>
            <w:r w:rsidRPr="00757ED8">
              <w:rPr>
                <w:color w:val="000000"/>
              </w:rPr>
              <w:t>0.17</w:t>
            </w:r>
          </w:p>
        </w:tc>
        <w:tc>
          <w:tcPr>
            <w:tcW w:w="333" w:type="dxa"/>
            <w:tcBorders>
              <w:top w:val="nil"/>
              <w:left w:val="nil"/>
              <w:bottom w:val="nil"/>
              <w:right w:val="nil"/>
            </w:tcBorders>
            <w:shd w:val="clear" w:color="auto" w:fill="auto"/>
            <w:noWrap/>
            <w:vAlign w:val="center"/>
            <w:hideMark/>
          </w:tcPr>
          <w:p w14:paraId="3EB3CDC7"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12EA1DDE" w14:textId="77777777" w:rsidR="003E7AE0" w:rsidRPr="00757ED8" w:rsidRDefault="003E7AE0" w:rsidP="003E7AE0">
            <w:pPr>
              <w:jc w:val="center"/>
              <w:rPr>
                <w:color w:val="000000"/>
              </w:rPr>
            </w:pPr>
            <w:r w:rsidRPr="00757ED8">
              <w:rPr>
                <w:color w:val="000000"/>
              </w:rPr>
              <w:t>0.94</w:t>
            </w:r>
          </w:p>
        </w:tc>
        <w:tc>
          <w:tcPr>
            <w:tcW w:w="1871" w:type="dxa"/>
            <w:tcBorders>
              <w:top w:val="nil"/>
              <w:left w:val="nil"/>
              <w:bottom w:val="nil"/>
              <w:right w:val="nil"/>
            </w:tcBorders>
            <w:shd w:val="clear" w:color="auto" w:fill="auto"/>
            <w:noWrap/>
            <w:vAlign w:val="center"/>
            <w:hideMark/>
          </w:tcPr>
          <w:p w14:paraId="3A888792" w14:textId="77777777" w:rsidR="003E7AE0" w:rsidRPr="00757ED8" w:rsidRDefault="003E7AE0" w:rsidP="008E3359">
            <w:pPr>
              <w:jc w:val="center"/>
              <w:rPr>
                <w:color w:val="000000"/>
              </w:rPr>
            </w:pPr>
            <w:r w:rsidRPr="00757ED8">
              <w:rPr>
                <w:color w:val="000000"/>
              </w:rPr>
              <w:t>0.69</w:t>
            </w:r>
          </w:p>
        </w:tc>
        <w:tc>
          <w:tcPr>
            <w:tcW w:w="648" w:type="dxa"/>
            <w:tcBorders>
              <w:top w:val="nil"/>
              <w:left w:val="nil"/>
              <w:bottom w:val="nil"/>
              <w:right w:val="nil"/>
            </w:tcBorders>
            <w:shd w:val="clear" w:color="auto" w:fill="auto"/>
            <w:noWrap/>
            <w:vAlign w:val="center"/>
            <w:hideMark/>
          </w:tcPr>
          <w:p w14:paraId="22C5AF2D" w14:textId="77777777" w:rsidR="003E7AE0" w:rsidRPr="00757ED8" w:rsidRDefault="003E7AE0" w:rsidP="003E7AE0">
            <w:pPr>
              <w:jc w:val="right"/>
              <w:rPr>
                <w:color w:val="000000"/>
              </w:rPr>
            </w:pPr>
            <w:r w:rsidRPr="00757ED8">
              <w:rPr>
                <w:color w:val="000000"/>
              </w:rPr>
              <w:t>1.27</w:t>
            </w:r>
          </w:p>
        </w:tc>
        <w:tc>
          <w:tcPr>
            <w:tcW w:w="783" w:type="dxa"/>
            <w:tcBorders>
              <w:top w:val="nil"/>
              <w:left w:val="nil"/>
              <w:bottom w:val="nil"/>
              <w:right w:val="nil"/>
            </w:tcBorders>
            <w:shd w:val="clear" w:color="auto" w:fill="auto"/>
            <w:noWrap/>
            <w:vAlign w:val="center"/>
            <w:hideMark/>
          </w:tcPr>
          <w:p w14:paraId="14DE2199" w14:textId="77777777" w:rsidR="003E7AE0" w:rsidRPr="00757ED8" w:rsidRDefault="003E7AE0" w:rsidP="003E7AE0">
            <w:pPr>
              <w:jc w:val="center"/>
              <w:rPr>
                <w:color w:val="000000"/>
              </w:rPr>
            </w:pPr>
            <w:r w:rsidRPr="00757ED8">
              <w:rPr>
                <w:color w:val="000000"/>
              </w:rPr>
              <w:t>0.68</w:t>
            </w:r>
          </w:p>
        </w:tc>
      </w:tr>
      <w:tr w:rsidR="003E7AE0" w:rsidRPr="00757ED8" w14:paraId="295234F5"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43C1F38E" w14:textId="77777777" w:rsidR="003E7AE0" w:rsidRPr="00757ED8" w:rsidRDefault="003E7AE0" w:rsidP="003E7AE0">
            <w:pPr>
              <w:rPr>
                <w:color w:val="000000"/>
              </w:rPr>
            </w:pPr>
            <w:r w:rsidRPr="00757ED8">
              <w:rPr>
                <w:color w:val="000000"/>
              </w:rPr>
              <w:t>Hours per week</w:t>
            </w:r>
          </w:p>
        </w:tc>
        <w:tc>
          <w:tcPr>
            <w:tcW w:w="600" w:type="dxa"/>
            <w:tcBorders>
              <w:top w:val="single" w:sz="8" w:space="0" w:color="7F7F7F"/>
              <w:left w:val="nil"/>
              <w:bottom w:val="single" w:sz="8" w:space="0" w:color="7F7F7F"/>
              <w:right w:val="nil"/>
            </w:tcBorders>
            <w:shd w:val="clear" w:color="auto" w:fill="auto"/>
            <w:noWrap/>
            <w:vAlign w:val="center"/>
            <w:hideMark/>
          </w:tcPr>
          <w:p w14:paraId="02A97996" w14:textId="77777777" w:rsidR="003E7AE0" w:rsidRPr="00757ED8" w:rsidRDefault="003E7AE0" w:rsidP="003E7AE0">
            <w:pPr>
              <w:jc w:val="center"/>
              <w:rPr>
                <w:color w:val="000000"/>
              </w:rPr>
            </w:pPr>
            <w:r w:rsidRPr="00757ED8">
              <w:rPr>
                <w:color w:val="000000"/>
              </w:rPr>
              <w:t>-0.01</w:t>
            </w:r>
          </w:p>
        </w:tc>
        <w:tc>
          <w:tcPr>
            <w:tcW w:w="533" w:type="dxa"/>
            <w:tcBorders>
              <w:top w:val="single" w:sz="8" w:space="0" w:color="7F7F7F"/>
              <w:left w:val="nil"/>
              <w:bottom w:val="single" w:sz="8" w:space="0" w:color="7F7F7F"/>
              <w:right w:val="nil"/>
            </w:tcBorders>
            <w:shd w:val="clear" w:color="auto" w:fill="auto"/>
            <w:noWrap/>
            <w:vAlign w:val="center"/>
            <w:hideMark/>
          </w:tcPr>
          <w:p w14:paraId="3AAA31A8" w14:textId="77777777" w:rsidR="003E7AE0" w:rsidRPr="00757ED8" w:rsidRDefault="003E7AE0" w:rsidP="003E7AE0">
            <w:pPr>
              <w:jc w:val="center"/>
              <w:rPr>
                <w:color w:val="000000"/>
              </w:rPr>
            </w:pPr>
            <w:r w:rsidRPr="00757ED8">
              <w:rPr>
                <w:color w:val="000000"/>
              </w:rPr>
              <w:t>0.02</w:t>
            </w:r>
          </w:p>
        </w:tc>
        <w:tc>
          <w:tcPr>
            <w:tcW w:w="605" w:type="dxa"/>
            <w:tcBorders>
              <w:top w:val="single" w:sz="8" w:space="0" w:color="7F7F7F"/>
              <w:left w:val="nil"/>
              <w:bottom w:val="single" w:sz="8" w:space="0" w:color="7F7F7F"/>
              <w:right w:val="nil"/>
            </w:tcBorders>
            <w:shd w:val="clear" w:color="auto" w:fill="auto"/>
            <w:noWrap/>
            <w:vAlign w:val="center"/>
            <w:hideMark/>
          </w:tcPr>
          <w:p w14:paraId="2E3FBC6C" w14:textId="77777777" w:rsidR="003E7AE0" w:rsidRPr="00757ED8" w:rsidRDefault="003E7AE0" w:rsidP="003E7AE0">
            <w:pPr>
              <w:jc w:val="center"/>
              <w:rPr>
                <w:color w:val="000000"/>
              </w:rPr>
            </w:pPr>
            <w:r w:rsidRPr="00757ED8">
              <w:rPr>
                <w:color w:val="000000"/>
              </w:rPr>
              <w:t>0.07</w:t>
            </w:r>
          </w:p>
        </w:tc>
        <w:tc>
          <w:tcPr>
            <w:tcW w:w="333" w:type="dxa"/>
            <w:tcBorders>
              <w:top w:val="single" w:sz="8" w:space="0" w:color="7F7F7F"/>
              <w:left w:val="nil"/>
              <w:bottom w:val="single" w:sz="8" w:space="0" w:color="7F7F7F"/>
              <w:right w:val="nil"/>
            </w:tcBorders>
            <w:shd w:val="clear" w:color="auto" w:fill="auto"/>
            <w:noWrap/>
            <w:vAlign w:val="center"/>
            <w:hideMark/>
          </w:tcPr>
          <w:p w14:paraId="5E2C432A"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63198A7B" w14:textId="77777777" w:rsidR="003E7AE0" w:rsidRPr="00757ED8" w:rsidRDefault="003E7AE0" w:rsidP="003E7AE0">
            <w:pPr>
              <w:jc w:val="center"/>
              <w:rPr>
                <w:color w:val="000000"/>
              </w:rPr>
            </w:pPr>
            <w:r w:rsidRPr="00757ED8">
              <w:rPr>
                <w:color w:val="000000"/>
              </w:rPr>
              <w:t>0.99</w:t>
            </w:r>
          </w:p>
        </w:tc>
        <w:tc>
          <w:tcPr>
            <w:tcW w:w="1871" w:type="dxa"/>
            <w:tcBorders>
              <w:top w:val="single" w:sz="8" w:space="0" w:color="7F7F7F"/>
              <w:left w:val="nil"/>
              <w:bottom w:val="single" w:sz="8" w:space="0" w:color="7F7F7F"/>
              <w:right w:val="nil"/>
            </w:tcBorders>
            <w:shd w:val="clear" w:color="auto" w:fill="auto"/>
            <w:noWrap/>
            <w:vAlign w:val="center"/>
            <w:hideMark/>
          </w:tcPr>
          <w:p w14:paraId="65E283EC" w14:textId="77777777" w:rsidR="003E7AE0" w:rsidRPr="00757ED8" w:rsidRDefault="003E7AE0" w:rsidP="008E3359">
            <w:pPr>
              <w:jc w:val="center"/>
              <w:rPr>
                <w:color w:val="000000"/>
              </w:rPr>
            </w:pPr>
            <w:r w:rsidRPr="00757ED8">
              <w:rPr>
                <w:color w:val="000000"/>
              </w:rPr>
              <w:t>0.95</w:t>
            </w:r>
          </w:p>
        </w:tc>
        <w:tc>
          <w:tcPr>
            <w:tcW w:w="648" w:type="dxa"/>
            <w:tcBorders>
              <w:top w:val="single" w:sz="8" w:space="0" w:color="7F7F7F"/>
              <w:left w:val="nil"/>
              <w:bottom w:val="single" w:sz="8" w:space="0" w:color="7F7F7F"/>
              <w:right w:val="nil"/>
            </w:tcBorders>
            <w:shd w:val="clear" w:color="auto" w:fill="auto"/>
            <w:noWrap/>
            <w:vAlign w:val="center"/>
            <w:hideMark/>
          </w:tcPr>
          <w:p w14:paraId="3DEBDC83" w14:textId="77777777" w:rsidR="003E7AE0" w:rsidRPr="00757ED8" w:rsidRDefault="003E7AE0" w:rsidP="003E7AE0">
            <w:pPr>
              <w:jc w:val="right"/>
              <w:rPr>
                <w:color w:val="000000"/>
              </w:rPr>
            </w:pPr>
            <w:r w:rsidRPr="00757ED8">
              <w:rPr>
                <w:color w:val="000000"/>
              </w:rPr>
              <w:t>1.04</w:t>
            </w:r>
          </w:p>
        </w:tc>
        <w:tc>
          <w:tcPr>
            <w:tcW w:w="783" w:type="dxa"/>
            <w:tcBorders>
              <w:top w:val="single" w:sz="8" w:space="0" w:color="7F7F7F"/>
              <w:left w:val="nil"/>
              <w:bottom w:val="single" w:sz="8" w:space="0" w:color="7F7F7F"/>
              <w:right w:val="nil"/>
            </w:tcBorders>
            <w:shd w:val="clear" w:color="auto" w:fill="auto"/>
            <w:noWrap/>
            <w:vAlign w:val="center"/>
            <w:hideMark/>
          </w:tcPr>
          <w:p w14:paraId="1C775706" w14:textId="77777777" w:rsidR="003E7AE0" w:rsidRPr="00757ED8" w:rsidRDefault="003E7AE0" w:rsidP="003E7AE0">
            <w:pPr>
              <w:jc w:val="center"/>
              <w:rPr>
                <w:color w:val="000000"/>
              </w:rPr>
            </w:pPr>
            <w:r w:rsidRPr="00757ED8">
              <w:rPr>
                <w:color w:val="000000"/>
              </w:rPr>
              <w:t>0.79</w:t>
            </w:r>
          </w:p>
        </w:tc>
      </w:tr>
      <w:tr w:rsidR="003E7AE0" w:rsidRPr="00757ED8" w14:paraId="4FE3BFC4" w14:textId="77777777" w:rsidTr="003E7AE0">
        <w:trPr>
          <w:trHeight w:val="358"/>
        </w:trPr>
        <w:tc>
          <w:tcPr>
            <w:tcW w:w="2375" w:type="dxa"/>
            <w:tcBorders>
              <w:top w:val="nil"/>
              <w:left w:val="nil"/>
              <w:bottom w:val="nil"/>
              <w:right w:val="nil"/>
            </w:tcBorders>
            <w:shd w:val="clear" w:color="auto" w:fill="auto"/>
            <w:noWrap/>
            <w:vAlign w:val="center"/>
            <w:hideMark/>
          </w:tcPr>
          <w:p w14:paraId="51C6622F" w14:textId="77777777" w:rsidR="003E7AE0" w:rsidRPr="00757ED8" w:rsidRDefault="003E7AE0" w:rsidP="003E7AE0">
            <w:pPr>
              <w:rPr>
                <w:color w:val="000000"/>
              </w:rPr>
            </w:pPr>
            <w:r w:rsidRPr="00757ED8">
              <w:rPr>
                <w:color w:val="000000"/>
              </w:rPr>
              <w:t>Days per week</w:t>
            </w:r>
          </w:p>
        </w:tc>
        <w:tc>
          <w:tcPr>
            <w:tcW w:w="600" w:type="dxa"/>
            <w:tcBorders>
              <w:top w:val="nil"/>
              <w:left w:val="nil"/>
              <w:bottom w:val="nil"/>
              <w:right w:val="nil"/>
            </w:tcBorders>
            <w:shd w:val="clear" w:color="auto" w:fill="auto"/>
            <w:noWrap/>
            <w:vAlign w:val="center"/>
            <w:hideMark/>
          </w:tcPr>
          <w:p w14:paraId="42B19458" w14:textId="77777777" w:rsidR="003E7AE0" w:rsidRPr="00757ED8" w:rsidRDefault="003E7AE0" w:rsidP="003E7AE0">
            <w:pPr>
              <w:jc w:val="center"/>
              <w:rPr>
                <w:color w:val="000000"/>
              </w:rPr>
            </w:pPr>
            <w:r w:rsidRPr="00757ED8">
              <w:rPr>
                <w:color w:val="000000"/>
              </w:rPr>
              <w:t>-0.08</w:t>
            </w:r>
          </w:p>
        </w:tc>
        <w:tc>
          <w:tcPr>
            <w:tcW w:w="533" w:type="dxa"/>
            <w:tcBorders>
              <w:top w:val="nil"/>
              <w:left w:val="nil"/>
              <w:bottom w:val="nil"/>
              <w:right w:val="nil"/>
            </w:tcBorders>
            <w:shd w:val="clear" w:color="auto" w:fill="auto"/>
            <w:noWrap/>
            <w:vAlign w:val="center"/>
            <w:hideMark/>
          </w:tcPr>
          <w:p w14:paraId="3194C3B2" w14:textId="77777777" w:rsidR="003E7AE0" w:rsidRPr="00757ED8" w:rsidRDefault="003E7AE0" w:rsidP="003E7AE0">
            <w:pPr>
              <w:jc w:val="center"/>
              <w:rPr>
                <w:color w:val="000000"/>
              </w:rPr>
            </w:pPr>
            <w:r w:rsidRPr="00757ED8">
              <w:rPr>
                <w:color w:val="000000"/>
              </w:rPr>
              <w:t>0.28</w:t>
            </w:r>
          </w:p>
        </w:tc>
        <w:tc>
          <w:tcPr>
            <w:tcW w:w="605" w:type="dxa"/>
            <w:tcBorders>
              <w:top w:val="nil"/>
              <w:left w:val="nil"/>
              <w:bottom w:val="nil"/>
              <w:right w:val="nil"/>
            </w:tcBorders>
            <w:shd w:val="clear" w:color="auto" w:fill="auto"/>
            <w:noWrap/>
            <w:vAlign w:val="center"/>
            <w:hideMark/>
          </w:tcPr>
          <w:p w14:paraId="33244155" w14:textId="77777777" w:rsidR="003E7AE0" w:rsidRPr="00757ED8" w:rsidRDefault="003E7AE0" w:rsidP="003E7AE0">
            <w:pPr>
              <w:jc w:val="center"/>
              <w:rPr>
                <w:color w:val="000000"/>
              </w:rPr>
            </w:pPr>
            <w:r w:rsidRPr="00757ED8">
              <w:rPr>
                <w:color w:val="000000"/>
              </w:rPr>
              <w:t>0.08</w:t>
            </w:r>
          </w:p>
        </w:tc>
        <w:tc>
          <w:tcPr>
            <w:tcW w:w="333" w:type="dxa"/>
            <w:tcBorders>
              <w:top w:val="nil"/>
              <w:left w:val="nil"/>
              <w:bottom w:val="nil"/>
              <w:right w:val="nil"/>
            </w:tcBorders>
            <w:shd w:val="clear" w:color="auto" w:fill="auto"/>
            <w:noWrap/>
            <w:vAlign w:val="center"/>
            <w:hideMark/>
          </w:tcPr>
          <w:p w14:paraId="10EB202A"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273DAD45" w14:textId="77777777" w:rsidR="003E7AE0" w:rsidRPr="00757ED8" w:rsidRDefault="003E7AE0" w:rsidP="003E7AE0">
            <w:pPr>
              <w:jc w:val="center"/>
              <w:rPr>
                <w:color w:val="000000"/>
              </w:rPr>
            </w:pPr>
            <w:r w:rsidRPr="00757ED8">
              <w:rPr>
                <w:color w:val="000000"/>
              </w:rPr>
              <w:t>0.92</w:t>
            </w:r>
          </w:p>
        </w:tc>
        <w:tc>
          <w:tcPr>
            <w:tcW w:w="1871" w:type="dxa"/>
            <w:tcBorders>
              <w:top w:val="nil"/>
              <w:left w:val="nil"/>
              <w:bottom w:val="nil"/>
              <w:right w:val="nil"/>
            </w:tcBorders>
            <w:shd w:val="clear" w:color="auto" w:fill="auto"/>
            <w:noWrap/>
            <w:vAlign w:val="center"/>
            <w:hideMark/>
          </w:tcPr>
          <w:p w14:paraId="042D0AE2" w14:textId="77777777" w:rsidR="003E7AE0" w:rsidRPr="00757ED8" w:rsidRDefault="003E7AE0" w:rsidP="008E3359">
            <w:pPr>
              <w:jc w:val="center"/>
              <w:rPr>
                <w:color w:val="000000"/>
              </w:rPr>
            </w:pPr>
            <w:r w:rsidRPr="00757ED8">
              <w:rPr>
                <w:color w:val="000000"/>
              </w:rPr>
              <w:t>0.53</w:t>
            </w:r>
          </w:p>
        </w:tc>
        <w:tc>
          <w:tcPr>
            <w:tcW w:w="648" w:type="dxa"/>
            <w:tcBorders>
              <w:top w:val="nil"/>
              <w:left w:val="nil"/>
              <w:bottom w:val="nil"/>
              <w:right w:val="nil"/>
            </w:tcBorders>
            <w:shd w:val="clear" w:color="auto" w:fill="auto"/>
            <w:noWrap/>
            <w:vAlign w:val="center"/>
            <w:hideMark/>
          </w:tcPr>
          <w:p w14:paraId="4F073945" w14:textId="77777777" w:rsidR="003E7AE0" w:rsidRPr="00757ED8" w:rsidRDefault="003E7AE0" w:rsidP="003E7AE0">
            <w:pPr>
              <w:jc w:val="right"/>
              <w:rPr>
                <w:color w:val="000000"/>
              </w:rPr>
            </w:pPr>
            <w:r w:rsidRPr="00757ED8">
              <w:rPr>
                <w:color w:val="000000"/>
              </w:rPr>
              <w:t>1.60</w:t>
            </w:r>
          </w:p>
        </w:tc>
        <w:tc>
          <w:tcPr>
            <w:tcW w:w="783" w:type="dxa"/>
            <w:tcBorders>
              <w:top w:val="nil"/>
              <w:left w:val="nil"/>
              <w:bottom w:val="nil"/>
              <w:right w:val="nil"/>
            </w:tcBorders>
            <w:shd w:val="clear" w:color="auto" w:fill="auto"/>
            <w:noWrap/>
            <w:vAlign w:val="center"/>
            <w:hideMark/>
          </w:tcPr>
          <w:p w14:paraId="632CFC9B" w14:textId="77777777" w:rsidR="003E7AE0" w:rsidRPr="00757ED8" w:rsidRDefault="003E7AE0" w:rsidP="003E7AE0">
            <w:pPr>
              <w:jc w:val="center"/>
              <w:rPr>
                <w:color w:val="000000"/>
              </w:rPr>
            </w:pPr>
            <w:r w:rsidRPr="00757ED8">
              <w:rPr>
                <w:color w:val="000000"/>
              </w:rPr>
              <w:t>0.77</w:t>
            </w:r>
          </w:p>
        </w:tc>
      </w:tr>
      <w:tr w:rsidR="003E7AE0" w:rsidRPr="00757ED8" w14:paraId="6D14F7D3"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6F40ACE6" w14:textId="77777777" w:rsidR="003E7AE0" w:rsidRPr="00757ED8" w:rsidRDefault="003E7AE0" w:rsidP="003E7AE0">
            <w:pPr>
              <w:rPr>
                <w:color w:val="000000"/>
              </w:rPr>
            </w:pPr>
            <w:r w:rsidRPr="00757ED8">
              <w:rPr>
                <w:color w:val="000000"/>
              </w:rPr>
              <w:t>Years of service</w:t>
            </w:r>
          </w:p>
        </w:tc>
        <w:tc>
          <w:tcPr>
            <w:tcW w:w="600" w:type="dxa"/>
            <w:tcBorders>
              <w:top w:val="single" w:sz="8" w:space="0" w:color="7F7F7F"/>
              <w:left w:val="nil"/>
              <w:bottom w:val="single" w:sz="8" w:space="0" w:color="7F7F7F"/>
              <w:right w:val="nil"/>
            </w:tcBorders>
            <w:shd w:val="clear" w:color="auto" w:fill="auto"/>
            <w:noWrap/>
            <w:vAlign w:val="center"/>
            <w:hideMark/>
          </w:tcPr>
          <w:p w14:paraId="1F35E692" w14:textId="77777777" w:rsidR="003E7AE0" w:rsidRPr="00757ED8" w:rsidRDefault="003E7AE0" w:rsidP="003E7AE0">
            <w:pPr>
              <w:jc w:val="center"/>
              <w:rPr>
                <w:color w:val="000000"/>
              </w:rPr>
            </w:pPr>
            <w:r w:rsidRPr="00757ED8">
              <w:rPr>
                <w:color w:val="000000"/>
              </w:rPr>
              <w:t>-0.03</w:t>
            </w:r>
          </w:p>
        </w:tc>
        <w:tc>
          <w:tcPr>
            <w:tcW w:w="533" w:type="dxa"/>
            <w:tcBorders>
              <w:top w:val="single" w:sz="8" w:space="0" w:color="7F7F7F"/>
              <w:left w:val="nil"/>
              <w:bottom w:val="single" w:sz="8" w:space="0" w:color="7F7F7F"/>
              <w:right w:val="nil"/>
            </w:tcBorders>
            <w:shd w:val="clear" w:color="auto" w:fill="auto"/>
            <w:noWrap/>
            <w:vAlign w:val="center"/>
            <w:hideMark/>
          </w:tcPr>
          <w:p w14:paraId="71DB41FB" w14:textId="77777777" w:rsidR="003E7AE0" w:rsidRPr="00757ED8" w:rsidRDefault="003E7AE0" w:rsidP="003E7AE0">
            <w:pPr>
              <w:jc w:val="center"/>
              <w:rPr>
                <w:color w:val="000000"/>
              </w:rPr>
            </w:pPr>
            <w:r w:rsidRPr="00757ED8">
              <w:rPr>
                <w:color w:val="000000"/>
              </w:rPr>
              <w:t>0.03</w:t>
            </w:r>
          </w:p>
        </w:tc>
        <w:tc>
          <w:tcPr>
            <w:tcW w:w="605" w:type="dxa"/>
            <w:tcBorders>
              <w:top w:val="single" w:sz="8" w:space="0" w:color="7F7F7F"/>
              <w:left w:val="nil"/>
              <w:bottom w:val="single" w:sz="8" w:space="0" w:color="7F7F7F"/>
              <w:right w:val="nil"/>
            </w:tcBorders>
            <w:shd w:val="clear" w:color="auto" w:fill="auto"/>
            <w:noWrap/>
            <w:vAlign w:val="center"/>
            <w:hideMark/>
          </w:tcPr>
          <w:p w14:paraId="037F3D50" w14:textId="77777777" w:rsidR="003E7AE0" w:rsidRPr="00757ED8" w:rsidRDefault="003E7AE0" w:rsidP="003E7AE0">
            <w:pPr>
              <w:jc w:val="center"/>
              <w:rPr>
                <w:color w:val="000000"/>
              </w:rPr>
            </w:pPr>
            <w:r w:rsidRPr="00757ED8">
              <w:rPr>
                <w:color w:val="000000"/>
              </w:rPr>
              <w:t>1.20</w:t>
            </w:r>
          </w:p>
        </w:tc>
        <w:tc>
          <w:tcPr>
            <w:tcW w:w="333" w:type="dxa"/>
            <w:tcBorders>
              <w:top w:val="single" w:sz="8" w:space="0" w:color="7F7F7F"/>
              <w:left w:val="nil"/>
              <w:bottom w:val="single" w:sz="8" w:space="0" w:color="7F7F7F"/>
              <w:right w:val="nil"/>
            </w:tcBorders>
            <w:shd w:val="clear" w:color="auto" w:fill="auto"/>
            <w:noWrap/>
            <w:vAlign w:val="center"/>
            <w:hideMark/>
          </w:tcPr>
          <w:p w14:paraId="435FD4BE"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4E715D15" w14:textId="77777777" w:rsidR="003E7AE0" w:rsidRPr="00757ED8" w:rsidRDefault="003E7AE0" w:rsidP="003E7AE0">
            <w:pPr>
              <w:jc w:val="center"/>
              <w:rPr>
                <w:color w:val="000000"/>
              </w:rPr>
            </w:pPr>
            <w:r w:rsidRPr="00757ED8">
              <w:rPr>
                <w:color w:val="000000"/>
              </w:rPr>
              <w:t>0.97</w:t>
            </w:r>
          </w:p>
        </w:tc>
        <w:tc>
          <w:tcPr>
            <w:tcW w:w="1871" w:type="dxa"/>
            <w:tcBorders>
              <w:top w:val="single" w:sz="8" w:space="0" w:color="7F7F7F"/>
              <w:left w:val="nil"/>
              <w:bottom w:val="single" w:sz="8" w:space="0" w:color="7F7F7F"/>
              <w:right w:val="nil"/>
            </w:tcBorders>
            <w:shd w:val="clear" w:color="auto" w:fill="auto"/>
            <w:noWrap/>
            <w:vAlign w:val="center"/>
            <w:hideMark/>
          </w:tcPr>
          <w:p w14:paraId="6E0CC338" w14:textId="77777777" w:rsidR="003E7AE0" w:rsidRPr="00757ED8" w:rsidRDefault="003E7AE0" w:rsidP="008E3359">
            <w:pPr>
              <w:jc w:val="center"/>
              <w:rPr>
                <w:color w:val="000000"/>
              </w:rPr>
            </w:pPr>
            <w:r w:rsidRPr="00757ED8">
              <w:rPr>
                <w:color w:val="000000"/>
              </w:rPr>
              <w:t>0.93</w:t>
            </w:r>
          </w:p>
        </w:tc>
        <w:tc>
          <w:tcPr>
            <w:tcW w:w="648" w:type="dxa"/>
            <w:tcBorders>
              <w:top w:val="single" w:sz="8" w:space="0" w:color="7F7F7F"/>
              <w:left w:val="nil"/>
              <w:bottom w:val="single" w:sz="8" w:space="0" w:color="7F7F7F"/>
              <w:right w:val="nil"/>
            </w:tcBorders>
            <w:shd w:val="clear" w:color="auto" w:fill="auto"/>
            <w:noWrap/>
            <w:vAlign w:val="center"/>
            <w:hideMark/>
          </w:tcPr>
          <w:p w14:paraId="7AAA3E51" w14:textId="77777777" w:rsidR="003E7AE0" w:rsidRPr="00757ED8" w:rsidRDefault="003E7AE0" w:rsidP="003E7AE0">
            <w:pPr>
              <w:jc w:val="right"/>
              <w:rPr>
                <w:color w:val="000000"/>
              </w:rPr>
            </w:pPr>
            <w:r w:rsidRPr="00757ED8">
              <w:rPr>
                <w:color w:val="000000"/>
              </w:rPr>
              <w:t>1.02</w:t>
            </w:r>
          </w:p>
        </w:tc>
        <w:tc>
          <w:tcPr>
            <w:tcW w:w="783" w:type="dxa"/>
            <w:tcBorders>
              <w:top w:val="single" w:sz="8" w:space="0" w:color="7F7F7F"/>
              <w:left w:val="nil"/>
              <w:bottom w:val="single" w:sz="8" w:space="0" w:color="7F7F7F"/>
              <w:right w:val="nil"/>
            </w:tcBorders>
            <w:shd w:val="clear" w:color="auto" w:fill="auto"/>
            <w:noWrap/>
            <w:vAlign w:val="center"/>
            <w:hideMark/>
          </w:tcPr>
          <w:p w14:paraId="702596BE" w14:textId="77777777" w:rsidR="003E7AE0" w:rsidRPr="00757ED8" w:rsidRDefault="003E7AE0" w:rsidP="003E7AE0">
            <w:pPr>
              <w:jc w:val="center"/>
              <w:rPr>
                <w:color w:val="000000"/>
              </w:rPr>
            </w:pPr>
            <w:r w:rsidRPr="00757ED8">
              <w:rPr>
                <w:color w:val="000000"/>
              </w:rPr>
              <w:t>0.27</w:t>
            </w:r>
          </w:p>
        </w:tc>
      </w:tr>
      <w:tr w:rsidR="003E7AE0" w:rsidRPr="00757ED8" w14:paraId="2D55BA42" w14:textId="77777777" w:rsidTr="003E7AE0">
        <w:trPr>
          <w:trHeight w:val="358"/>
        </w:trPr>
        <w:tc>
          <w:tcPr>
            <w:tcW w:w="2375" w:type="dxa"/>
            <w:tcBorders>
              <w:top w:val="nil"/>
              <w:left w:val="nil"/>
              <w:bottom w:val="nil"/>
              <w:right w:val="nil"/>
            </w:tcBorders>
            <w:shd w:val="clear" w:color="auto" w:fill="auto"/>
            <w:noWrap/>
            <w:vAlign w:val="center"/>
            <w:hideMark/>
          </w:tcPr>
          <w:p w14:paraId="58743CC8" w14:textId="77777777" w:rsidR="003E7AE0" w:rsidRPr="00757ED8" w:rsidRDefault="003E7AE0" w:rsidP="003E7AE0">
            <w:pPr>
              <w:rPr>
                <w:color w:val="000000"/>
              </w:rPr>
            </w:pPr>
            <w:r w:rsidRPr="00757ED8">
              <w:rPr>
                <w:color w:val="000000"/>
              </w:rPr>
              <w:t>Percentage of practical work in role</w:t>
            </w:r>
          </w:p>
        </w:tc>
        <w:tc>
          <w:tcPr>
            <w:tcW w:w="600" w:type="dxa"/>
            <w:tcBorders>
              <w:top w:val="nil"/>
              <w:left w:val="nil"/>
              <w:bottom w:val="nil"/>
              <w:right w:val="nil"/>
            </w:tcBorders>
            <w:shd w:val="clear" w:color="auto" w:fill="auto"/>
            <w:noWrap/>
            <w:vAlign w:val="center"/>
            <w:hideMark/>
          </w:tcPr>
          <w:p w14:paraId="7E4CAA7B" w14:textId="77777777" w:rsidR="003E7AE0" w:rsidRPr="00757ED8" w:rsidRDefault="003E7AE0" w:rsidP="003E7AE0">
            <w:pPr>
              <w:jc w:val="center"/>
              <w:rPr>
                <w:color w:val="000000"/>
              </w:rPr>
            </w:pPr>
            <w:r w:rsidRPr="00757ED8">
              <w:rPr>
                <w:color w:val="000000"/>
              </w:rPr>
              <w:t>0.00</w:t>
            </w:r>
          </w:p>
        </w:tc>
        <w:tc>
          <w:tcPr>
            <w:tcW w:w="533" w:type="dxa"/>
            <w:tcBorders>
              <w:top w:val="nil"/>
              <w:left w:val="nil"/>
              <w:bottom w:val="nil"/>
              <w:right w:val="nil"/>
            </w:tcBorders>
            <w:shd w:val="clear" w:color="auto" w:fill="auto"/>
            <w:noWrap/>
            <w:vAlign w:val="center"/>
            <w:hideMark/>
          </w:tcPr>
          <w:p w14:paraId="5E352B1D" w14:textId="77777777" w:rsidR="003E7AE0" w:rsidRPr="00757ED8" w:rsidRDefault="003E7AE0" w:rsidP="003E7AE0">
            <w:pPr>
              <w:jc w:val="center"/>
              <w:rPr>
                <w:color w:val="000000"/>
              </w:rPr>
            </w:pPr>
            <w:r w:rsidRPr="00757ED8">
              <w:rPr>
                <w:color w:val="000000"/>
              </w:rPr>
              <w:t>0.01</w:t>
            </w:r>
          </w:p>
        </w:tc>
        <w:tc>
          <w:tcPr>
            <w:tcW w:w="605" w:type="dxa"/>
            <w:tcBorders>
              <w:top w:val="nil"/>
              <w:left w:val="nil"/>
              <w:bottom w:val="nil"/>
              <w:right w:val="nil"/>
            </w:tcBorders>
            <w:shd w:val="clear" w:color="auto" w:fill="auto"/>
            <w:noWrap/>
            <w:vAlign w:val="center"/>
            <w:hideMark/>
          </w:tcPr>
          <w:p w14:paraId="38C3F03F" w14:textId="77777777" w:rsidR="003E7AE0" w:rsidRPr="00757ED8" w:rsidRDefault="003E7AE0" w:rsidP="003E7AE0">
            <w:pPr>
              <w:jc w:val="center"/>
              <w:rPr>
                <w:color w:val="000000"/>
              </w:rPr>
            </w:pPr>
            <w:r w:rsidRPr="00757ED8">
              <w:rPr>
                <w:color w:val="000000"/>
              </w:rPr>
              <w:t>0.01</w:t>
            </w:r>
          </w:p>
        </w:tc>
        <w:tc>
          <w:tcPr>
            <w:tcW w:w="333" w:type="dxa"/>
            <w:tcBorders>
              <w:top w:val="nil"/>
              <w:left w:val="nil"/>
              <w:bottom w:val="nil"/>
              <w:right w:val="nil"/>
            </w:tcBorders>
            <w:shd w:val="clear" w:color="auto" w:fill="auto"/>
            <w:noWrap/>
            <w:vAlign w:val="center"/>
            <w:hideMark/>
          </w:tcPr>
          <w:p w14:paraId="4FE46C44"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091A3C35" w14:textId="77777777" w:rsidR="003E7AE0" w:rsidRPr="00757ED8" w:rsidRDefault="003E7AE0" w:rsidP="003E7AE0">
            <w:pPr>
              <w:jc w:val="center"/>
              <w:rPr>
                <w:color w:val="000000"/>
              </w:rPr>
            </w:pPr>
            <w:r w:rsidRPr="00757ED8">
              <w:rPr>
                <w:color w:val="000000"/>
              </w:rPr>
              <w:t>1.00</w:t>
            </w:r>
          </w:p>
        </w:tc>
        <w:tc>
          <w:tcPr>
            <w:tcW w:w="1871" w:type="dxa"/>
            <w:tcBorders>
              <w:top w:val="nil"/>
              <w:left w:val="nil"/>
              <w:bottom w:val="nil"/>
              <w:right w:val="nil"/>
            </w:tcBorders>
            <w:shd w:val="clear" w:color="auto" w:fill="auto"/>
            <w:noWrap/>
            <w:vAlign w:val="center"/>
            <w:hideMark/>
          </w:tcPr>
          <w:p w14:paraId="4E846604" w14:textId="77777777" w:rsidR="003E7AE0" w:rsidRPr="00757ED8" w:rsidRDefault="003E7AE0" w:rsidP="008E3359">
            <w:pPr>
              <w:jc w:val="center"/>
              <w:rPr>
                <w:color w:val="000000"/>
              </w:rPr>
            </w:pPr>
            <w:r w:rsidRPr="00757ED8">
              <w:rPr>
                <w:color w:val="000000"/>
              </w:rPr>
              <w:t>0.99</w:t>
            </w:r>
          </w:p>
        </w:tc>
        <w:tc>
          <w:tcPr>
            <w:tcW w:w="648" w:type="dxa"/>
            <w:tcBorders>
              <w:top w:val="nil"/>
              <w:left w:val="nil"/>
              <w:bottom w:val="nil"/>
              <w:right w:val="nil"/>
            </w:tcBorders>
            <w:shd w:val="clear" w:color="auto" w:fill="auto"/>
            <w:noWrap/>
            <w:vAlign w:val="center"/>
            <w:hideMark/>
          </w:tcPr>
          <w:p w14:paraId="484A7A19" w14:textId="77777777" w:rsidR="003E7AE0" w:rsidRPr="00757ED8" w:rsidRDefault="003E7AE0" w:rsidP="003E7AE0">
            <w:pPr>
              <w:jc w:val="right"/>
              <w:rPr>
                <w:color w:val="000000"/>
              </w:rPr>
            </w:pPr>
            <w:r w:rsidRPr="00757ED8">
              <w:rPr>
                <w:color w:val="000000"/>
              </w:rPr>
              <w:t>1.02</w:t>
            </w:r>
          </w:p>
        </w:tc>
        <w:tc>
          <w:tcPr>
            <w:tcW w:w="783" w:type="dxa"/>
            <w:tcBorders>
              <w:top w:val="nil"/>
              <w:left w:val="nil"/>
              <w:bottom w:val="nil"/>
              <w:right w:val="nil"/>
            </w:tcBorders>
            <w:shd w:val="clear" w:color="auto" w:fill="auto"/>
            <w:noWrap/>
            <w:vAlign w:val="center"/>
            <w:hideMark/>
          </w:tcPr>
          <w:p w14:paraId="6C3AF855" w14:textId="77777777" w:rsidR="003E7AE0" w:rsidRPr="00757ED8" w:rsidRDefault="003E7AE0" w:rsidP="003E7AE0">
            <w:pPr>
              <w:jc w:val="center"/>
              <w:rPr>
                <w:color w:val="000000"/>
              </w:rPr>
            </w:pPr>
            <w:r w:rsidRPr="00757ED8">
              <w:rPr>
                <w:color w:val="000000"/>
              </w:rPr>
              <w:t>0.93</w:t>
            </w:r>
          </w:p>
        </w:tc>
      </w:tr>
      <w:tr w:rsidR="003E7AE0" w:rsidRPr="00757ED8" w14:paraId="42B793C0"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4CD746AD" w14:textId="77777777" w:rsidR="003E7AE0" w:rsidRPr="00757ED8" w:rsidRDefault="003E7AE0" w:rsidP="003E7AE0">
            <w:pPr>
              <w:rPr>
                <w:color w:val="000000"/>
              </w:rPr>
            </w:pPr>
            <w:r w:rsidRPr="00757ED8">
              <w:rPr>
                <w:color w:val="000000"/>
              </w:rPr>
              <w:t>Bothersomeness</w:t>
            </w:r>
          </w:p>
        </w:tc>
        <w:tc>
          <w:tcPr>
            <w:tcW w:w="600" w:type="dxa"/>
            <w:tcBorders>
              <w:top w:val="single" w:sz="8" w:space="0" w:color="7F7F7F"/>
              <w:left w:val="nil"/>
              <w:bottom w:val="single" w:sz="8" w:space="0" w:color="7F7F7F"/>
              <w:right w:val="nil"/>
            </w:tcBorders>
            <w:shd w:val="clear" w:color="auto" w:fill="auto"/>
            <w:noWrap/>
            <w:vAlign w:val="center"/>
            <w:hideMark/>
          </w:tcPr>
          <w:p w14:paraId="79BF265F" w14:textId="77777777" w:rsidR="003E7AE0" w:rsidRPr="00757ED8" w:rsidRDefault="003E7AE0" w:rsidP="003E7AE0">
            <w:pPr>
              <w:jc w:val="center"/>
              <w:rPr>
                <w:color w:val="000000"/>
              </w:rPr>
            </w:pPr>
            <w:r w:rsidRPr="00757ED8">
              <w:rPr>
                <w:color w:val="000000"/>
              </w:rPr>
              <w:t>-0.31</w:t>
            </w:r>
          </w:p>
        </w:tc>
        <w:tc>
          <w:tcPr>
            <w:tcW w:w="533" w:type="dxa"/>
            <w:tcBorders>
              <w:top w:val="single" w:sz="8" w:space="0" w:color="7F7F7F"/>
              <w:left w:val="nil"/>
              <w:bottom w:val="single" w:sz="8" w:space="0" w:color="7F7F7F"/>
              <w:right w:val="nil"/>
            </w:tcBorders>
            <w:shd w:val="clear" w:color="auto" w:fill="auto"/>
            <w:noWrap/>
            <w:vAlign w:val="center"/>
            <w:hideMark/>
          </w:tcPr>
          <w:p w14:paraId="35300E50" w14:textId="77777777" w:rsidR="003E7AE0" w:rsidRPr="00757ED8" w:rsidRDefault="003E7AE0" w:rsidP="003E7AE0">
            <w:pPr>
              <w:jc w:val="center"/>
              <w:rPr>
                <w:color w:val="000000"/>
              </w:rPr>
            </w:pPr>
            <w:r w:rsidRPr="00757ED8">
              <w:rPr>
                <w:color w:val="000000"/>
              </w:rPr>
              <w:t>0.24</w:t>
            </w:r>
          </w:p>
        </w:tc>
        <w:tc>
          <w:tcPr>
            <w:tcW w:w="605" w:type="dxa"/>
            <w:tcBorders>
              <w:top w:val="single" w:sz="8" w:space="0" w:color="7F7F7F"/>
              <w:left w:val="nil"/>
              <w:bottom w:val="single" w:sz="8" w:space="0" w:color="7F7F7F"/>
              <w:right w:val="nil"/>
            </w:tcBorders>
            <w:shd w:val="clear" w:color="auto" w:fill="auto"/>
            <w:noWrap/>
            <w:vAlign w:val="center"/>
            <w:hideMark/>
          </w:tcPr>
          <w:p w14:paraId="0FA1DA06" w14:textId="77777777" w:rsidR="003E7AE0" w:rsidRPr="00757ED8" w:rsidRDefault="003E7AE0" w:rsidP="003E7AE0">
            <w:pPr>
              <w:jc w:val="center"/>
              <w:rPr>
                <w:color w:val="000000"/>
              </w:rPr>
            </w:pPr>
            <w:r w:rsidRPr="00757ED8">
              <w:rPr>
                <w:color w:val="000000"/>
              </w:rPr>
              <w:t>1.66</w:t>
            </w:r>
          </w:p>
        </w:tc>
        <w:tc>
          <w:tcPr>
            <w:tcW w:w="333" w:type="dxa"/>
            <w:tcBorders>
              <w:top w:val="single" w:sz="8" w:space="0" w:color="7F7F7F"/>
              <w:left w:val="nil"/>
              <w:bottom w:val="single" w:sz="8" w:space="0" w:color="7F7F7F"/>
              <w:right w:val="nil"/>
            </w:tcBorders>
            <w:shd w:val="clear" w:color="auto" w:fill="auto"/>
            <w:noWrap/>
            <w:vAlign w:val="center"/>
            <w:hideMark/>
          </w:tcPr>
          <w:p w14:paraId="4F35CC2E"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5DE6DCCC" w14:textId="77777777" w:rsidR="003E7AE0" w:rsidRPr="00757ED8" w:rsidRDefault="003E7AE0" w:rsidP="003E7AE0">
            <w:pPr>
              <w:jc w:val="center"/>
              <w:rPr>
                <w:color w:val="000000"/>
              </w:rPr>
            </w:pPr>
            <w:r w:rsidRPr="00757ED8">
              <w:rPr>
                <w:color w:val="000000"/>
              </w:rPr>
              <w:t>0.74</w:t>
            </w:r>
          </w:p>
        </w:tc>
        <w:tc>
          <w:tcPr>
            <w:tcW w:w="1871" w:type="dxa"/>
            <w:tcBorders>
              <w:top w:val="single" w:sz="8" w:space="0" w:color="7F7F7F"/>
              <w:left w:val="nil"/>
              <w:bottom w:val="single" w:sz="8" w:space="0" w:color="7F7F7F"/>
              <w:right w:val="nil"/>
            </w:tcBorders>
            <w:shd w:val="clear" w:color="auto" w:fill="auto"/>
            <w:noWrap/>
            <w:vAlign w:val="center"/>
            <w:hideMark/>
          </w:tcPr>
          <w:p w14:paraId="7CB16103" w14:textId="77777777" w:rsidR="003E7AE0" w:rsidRPr="00757ED8" w:rsidRDefault="003E7AE0" w:rsidP="008E3359">
            <w:pPr>
              <w:jc w:val="center"/>
              <w:rPr>
                <w:color w:val="000000"/>
              </w:rPr>
            </w:pPr>
            <w:r w:rsidRPr="00757ED8">
              <w:rPr>
                <w:color w:val="000000"/>
              </w:rPr>
              <w:t>0.46</w:t>
            </w:r>
          </w:p>
        </w:tc>
        <w:tc>
          <w:tcPr>
            <w:tcW w:w="648" w:type="dxa"/>
            <w:tcBorders>
              <w:top w:val="single" w:sz="8" w:space="0" w:color="7F7F7F"/>
              <w:left w:val="nil"/>
              <w:bottom w:val="single" w:sz="8" w:space="0" w:color="7F7F7F"/>
              <w:right w:val="nil"/>
            </w:tcBorders>
            <w:shd w:val="clear" w:color="auto" w:fill="auto"/>
            <w:noWrap/>
            <w:vAlign w:val="center"/>
            <w:hideMark/>
          </w:tcPr>
          <w:p w14:paraId="3BE3A74D" w14:textId="77777777" w:rsidR="003E7AE0" w:rsidRPr="00757ED8" w:rsidRDefault="003E7AE0" w:rsidP="003E7AE0">
            <w:pPr>
              <w:jc w:val="right"/>
              <w:rPr>
                <w:color w:val="000000"/>
              </w:rPr>
            </w:pPr>
            <w:r w:rsidRPr="00757ED8">
              <w:rPr>
                <w:color w:val="000000"/>
              </w:rPr>
              <w:t>1.17</w:t>
            </w:r>
          </w:p>
        </w:tc>
        <w:tc>
          <w:tcPr>
            <w:tcW w:w="783" w:type="dxa"/>
            <w:tcBorders>
              <w:top w:val="single" w:sz="8" w:space="0" w:color="7F7F7F"/>
              <w:left w:val="nil"/>
              <w:bottom w:val="single" w:sz="8" w:space="0" w:color="7F7F7F"/>
              <w:right w:val="nil"/>
            </w:tcBorders>
            <w:shd w:val="clear" w:color="auto" w:fill="auto"/>
            <w:noWrap/>
            <w:vAlign w:val="center"/>
            <w:hideMark/>
          </w:tcPr>
          <w:p w14:paraId="27960E84" w14:textId="77777777" w:rsidR="003E7AE0" w:rsidRPr="00757ED8" w:rsidRDefault="003E7AE0" w:rsidP="003E7AE0">
            <w:pPr>
              <w:jc w:val="center"/>
              <w:rPr>
                <w:color w:val="000000"/>
              </w:rPr>
            </w:pPr>
            <w:r w:rsidRPr="00757ED8">
              <w:rPr>
                <w:color w:val="000000"/>
              </w:rPr>
              <w:t>0.20</w:t>
            </w:r>
          </w:p>
        </w:tc>
      </w:tr>
      <w:tr w:rsidR="003E7AE0" w:rsidRPr="00757ED8" w14:paraId="3C81396C" w14:textId="77777777" w:rsidTr="003E7AE0">
        <w:trPr>
          <w:trHeight w:val="358"/>
        </w:trPr>
        <w:tc>
          <w:tcPr>
            <w:tcW w:w="2375" w:type="dxa"/>
            <w:tcBorders>
              <w:top w:val="nil"/>
              <w:left w:val="nil"/>
              <w:bottom w:val="nil"/>
              <w:right w:val="nil"/>
            </w:tcBorders>
            <w:shd w:val="clear" w:color="auto" w:fill="auto"/>
            <w:noWrap/>
            <w:vAlign w:val="center"/>
            <w:hideMark/>
          </w:tcPr>
          <w:p w14:paraId="17AC16A0" w14:textId="77777777" w:rsidR="003E7AE0" w:rsidRPr="00757ED8" w:rsidRDefault="003E7AE0" w:rsidP="003E7AE0">
            <w:pPr>
              <w:rPr>
                <w:color w:val="000000"/>
              </w:rPr>
            </w:pPr>
            <w:r w:rsidRPr="00757ED8">
              <w:rPr>
                <w:color w:val="000000"/>
              </w:rPr>
              <w:t>Number of pain locations</w:t>
            </w:r>
          </w:p>
        </w:tc>
        <w:tc>
          <w:tcPr>
            <w:tcW w:w="600" w:type="dxa"/>
            <w:tcBorders>
              <w:top w:val="nil"/>
              <w:left w:val="nil"/>
              <w:bottom w:val="nil"/>
              <w:right w:val="nil"/>
            </w:tcBorders>
            <w:shd w:val="clear" w:color="auto" w:fill="auto"/>
            <w:noWrap/>
            <w:vAlign w:val="center"/>
            <w:hideMark/>
          </w:tcPr>
          <w:p w14:paraId="3FECC4DA" w14:textId="77777777" w:rsidR="003E7AE0" w:rsidRPr="00757ED8" w:rsidRDefault="003E7AE0" w:rsidP="003E7AE0">
            <w:pPr>
              <w:jc w:val="center"/>
              <w:rPr>
                <w:color w:val="000000"/>
              </w:rPr>
            </w:pPr>
            <w:r w:rsidRPr="00757ED8">
              <w:rPr>
                <w:color w:val="000000"/>
              </w:rPr>
              <w:t>-0.12</w:t>
            </w:r>
          </w:p>
        </w:tc>
        <w:tc>
          <w:tcPr>
            <w:tcW w:w="533" w:type="dxa"/>
            <w:tcBorders>
              <w:top w:val="nil"/>
              <w:left w:val="nil"/>
              <w:bottom w:val="nil"/>
              <w:right w:val="nil"/>
            </w:tcBorders>
            <w:shd w:val="clear" w:color="auto" w:fill="auto"/>
            <w:noWrap/>
            <w:vAlign w:val="center"/>
            <w:hideMark/>
          </w:tcPr>
          <w:p w14:paraId="7948B908" w14:textId="77777777" w:rsidR="003E7AE0" w:rsidRPr="00757ED8" w:rsidRDefault="003E7AE0" w:rsidP="003E7AE0">
            <w:pPr>
              <w:jc w:val="center"/>
              <w:rPr>
                <w:color w:val="000000"/>
              </w:rPr>
            </w:pPr>
            <w:r w:rsidRPr="00757ED8">
              <w:rPr>
                <w:color w:val="000000"/>
              </w:rPr>
              <w:t>0.10</w:t>
            </w:r>
          </w:p>
        </w:tc>
        <w:tc>
          <w:tcPr>
            <w:tcW w:w="605" w:type="dxa"/>
            <w:tcBorders>
              <w:top w:val="nil"/>
              <w:left w:val="nil"/>
              <w:bottom w:val="nil"/>
              <w:right w:val="nil"/>
            </w:tcBorders>
            <w:shd w:val="clear" w:color="auto" w:fill="auto"/>
            <w:noWrap/>
            <w:vAlign w:val="center"/>
            <w:hideMark/>
          </w:tcPr>
          <w:p w14:paraId="75EF5FF0" w14:textId="77777777" w:rsidR="003E7AE0" w:rsidRPr="00757ED8" w:rsidRDefault="003E7AE0" w:rsidP="003E7AE0">
            <w:pPr>
              <w:jc w:val="center"/>
              <w:rPr>
                <w:color w:val="000000"/>
              </w:rPr>
            </w:pPr>
            <w:r w:rsidRPr="00757ED8">
              <w:rPr>
                <w:color w:val="000000"/>
              </w:rPr>
              <w:t>1.66</w:t>
            </w:r>
          </w:p>
        </w:tc>
        <w:tc>
          <w:tcPr>
            <w:tcW w:w="333" w:type="dxa"/>
            <w:tcBorders>
              <w:top w:val="nil"/>
              <w:left w:val="nil"/>
              <w:bottom w:val="nil"/>
              <w:right w:val="nil"/>
            </w:tcBorders>
            <w:shd w:val="clear" w:color="auto" w:fill="auto"/>
            <w:noWrap/>
            <w:vAlign w:val="center"/>
            <w:hideMark/>
          </w:tcPr>
          <w:p w14:paraId="7B407A16"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7398A097" w14:textId="77777777" w:rsidR="003E7AE0" w:rsidRPr="00757ED8" w:rsidRDefault="003E7AE0" w:rsidP="003E7AE0">
            <w:pPr>
              <w:jc w:val="center"/>
              <w:rPr>
                <w:color w:val="000000"/>
              </w:rPr>
            </w:pPr>
            <w:r w:rsidRPr="00757ED8">
              <w:rPr>
                <w:color w:val="000000"/>
              </w:rPr>
              <w:t>0.88</w:t>
            </w:r>
          </w:p>
        </w:tc>
        <w:tc>
          <w:tcPr>
            <w:tcW w:w="1871" w:type="dxa"/>
            <w:tcBorders>
              <w:top w:val="nil"/>
              <w:left w:val="nil"/>
              <w:bottom w:val="nil"/>
              <w:right w:val="nil"/>
            </w:tcBorders>
            <w:shd w:val="clear" w:color="auto" w:fill="auto"/>
            <w:noWrap/>
            <w:vAlign w:val="center"/>
            <w:hideMark/>
          </w:tcPr>
          <w:p w14:paraId="4155B1C6" w14:textId="77777777" w:rsidR="003E7AE0" w:rsidRPr="00757ED8" w:rsidRDefault="003E7AE0" w:rsidP="008E3359">
            <w:pPr>
              <w:jc w:val="center"/>
              <w:rPr>
                <w:color w:val="000000"/>
              </w:rPr>
            </w:pPr>
            <w:r w:rsidRPr="00757ED8">
              <w:rPr>
                <w:color w:val="000000"/>
              </w:rPr>
              <w:t>0.73</w:t>
            </w:r>
          </w:p>
        </w:tc>
        <w:tc>
          <w:tcPr>
            <w:tcW w:w="648" w:type="dxa"/>
            <w:tcBorders>
              <w:top w:val="nil"/>
              <w:left w:val="nil"/>
              <w:bottom w:val="nil"/>
              <w:right w:val="nil"/>
            </w:tcBorders>
            <w:shd w:val="clear" w:color="auto" w:fill="auto"/>
            <w:noWrap/>
            <w:vAlign w:val="center"/>
            <w:hideMark/>
          </w:tcPr>
          <w:p w14:paraId="0F91C895" w14:textId="77777777" w:rsidR="003E7AE0" w:rsidRPr="00757ED8" w:rsidRDefault="003E7AE0" w:rsidP="003E7AE0">
            <w:pPr>
              <w:jc w:val="right"/>
              <w:rPr>
                <w:color w:val="000000"/>
              </w:rPr>
            </w:pPr>
            <w:r w:rsidRPr="00757ED8">
              <w:rPr>
                <w:color w:val="000000"/>
              </w:rPr>
              <w:t>1.07</w:t>
            </w:r>
          </w:p>
        </w:tc>
        <w:tc>
          <w:tcPr>
            <w:tcW w:w="783" w:type="dxa"/>
            <w:tcBorders>
              <w:top w:val="nil"/>
              <w:left w:val="nil"/>
              <w:bottom w:val="nil"/>
              <w:right w:val="nil"/>
            </w:tcBorders>
            <w:shd w:val="clear" w:color="auto" w:fill="auto"/>
            <w:noWrap/>
            <w:vAlign w:val="center"/>
            <w:hideMark/>
          </w:tcPr>
          <w:p w14:paraId="66C8B2D3" w14:textId="77777777" w:rsidR="003E7AE0" w:rsidRPr="00757ED8" w:rsidRDefault="003E7AE0" w:rsidP="003E7AE0">
            <w:pPr>
              <w:jc w:val="center"/>
              <w:rPr>
                <w:color w:val="000000"/>
              </w:rPr>
            </w:pPr>
            <w:r w:rsidRPr="00757ED8">
              <w:rPr>
                <w:color w:val="000000"/>
              </w:rPr>
              <w:t>0.20</w:t>
            </w:r>
          </w:p>
        </w:tc>
      </w:tr>
      <w:tr w:rsidR="003E7AE0" w:rsidRPr="00757ED8" w14:paraId="0615422E"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4484A5DF" w14:textId="77777777" w:rsidR="003E7AE0" w:rsidRPr="00757ED8" w:rsidRDefault="003E7AE0" w:rsidP="003E7AE0">
            <w:pPr>
              <w:rPr>
                <w:color w:val="000000"/>
              </w:rPr>
            </w:pPr>
            <w:r w:rsidRPr="00757ED8">
              <w:rPr>
                <w:color w:val="000000"/>
              </w:rPr>
              <w:lastRenderedPageBreak/>
              <w:t>Average pain intensity</w:t>
            </w:r>
          </w:p>
        </w:tc>
        <w:tc>
          <w:tcPr>
            <w:tcW w:w="600" w:type="dxa"/>
            <w:tcBorders>
              <w:top w:val="single" w:sz="8" w:space="0" w:color="7F7F7F"/>
              <w:left w:val="nil"/>
              <w:bottom w:val="single" w:sz="8" w:space="0" w:color="7F7F7F"/>
              <w:right w:val="nil"/>
            </w:tcBorders>
            <w:shd w:val="clear" w:color="auto" w:fill="auto"/>
            <w:noWrap/>
            <w:vAlign w:val="center"/>
            <w:hideMark/>
          </w:tcPr>
          <w:p w14:paraId="2FDC3A59" w14:textId="77777777" w:rsidR="003E7AE0" w:rsidRPr="00757ED8" w:rsidRDefault="003E7AE0" w:rsidP="003E7AE0">
            <w:pPr>
              <w:jc w:val="center"/>
              <w:rPr>
                <w:color w:val="000000"/>
              </w:rPr>
            </w:pPr>
            <w:r w:rsidRPr="00757ED8">
              <w:rPr>
                <w:color w:val="000000"/>
              </w:rPr>
              <w:t>-0.94</w:t>
            </w:r>
          </w:p>
        </w:tc>
        <w:tc>
          <w:tcPr>
            <w:tcW w:w="533" w:type="dxa"/>
            <w:tcBorders>
              <w:top w:val="single" w:sz="8" w:space="0" w:color="7F7F7F"/>
              <w:left w:val="nil"/>
              <w:bottom w:val="single" w:sz="8" w:space="0" w:color="7F7F7F"/>
              <w:right w:val="nil"/>
            </w:tcBorders>
            <w:shd w:val="clear" w:color="auto" w:fill="auto"/>
            <w:noWrap/>
            <w:vAlign w:val="center"/>
            <w:hideMark/>
          </w:tcPr>
          <w:p w14:paraId="2EB7361C" w14:textId="77777777" w:rsidR="003E7AE0" w:rsidRPr="00757ED8" w:rsidRDefault="003E7AE0" w:rsidP="003E7AE0">
            <w:pPr>
              <w:jc w:val="center"/>
              <w:rPr>
                <w:color w:val="000000"/>
              </w:rPr>
            </w:pPr>
            <w:r w:rsidRPr="00757ED8">
              <w:rPr>
                <w:color w:val="000000"/>
              </w:rPr>
              <w:t>0.43</w:t>
            </w:r>
          </w:p>
        </w:tc>
        <w:tc>
          <w:tcPr>
            <w:tcW w:w="605" w:type="dxa"/>
            <w:tcBorders>
              <w:top w:val="single" w:sz="8" w:space="0" w:color="7F7F7F"/>
              <w:left w:val="nil"/>
              <w:bottom w:val="single" w:sz="8" w:space="0" w:color="7F7F7F"/>
              <w:right w:val="nil"/>
            </w:tcBorders>
            <w:shd w:val="clear" w:color="auto" w:fill="auto"/>
            <w:noWrap/>
            <w:vAlign w:val="center"/>
            <w:hideMark/>
          </w:tcPr>
          <w:p w14:paraId="45A3987A" w14:textId="77777777" w:rsidR="003E7AE0" w:rsidRPr="00757ED8" w:rsidRDefault="003E7AE0" w:rsidP="003E7AE0">
            <w:pPr>
              <w:jc w:val="center"/>
              <w:rPr>
                <w:color w:val="000000"/>
              </w:rPr>
            </w:pPr>
            <w:r w:rsidRPr="00757ED8">
              <w:rPr>
                <w:color w:val="000000"/>
              </w:rPr>
              <w:t>4.72</w:t>
            </w:r>
          </w:p>
        </w:tc>
        <w:tc>
          <w:tcPr>
            <w:tcW w:w="333" w:type="dxa"/>
            <w:tcBorders>
              <w:top w:val="single" w:sz="8" w:space="0" w:color="7F7F7F"/>
              <w:left w:val="nil"/>
              <w:bottom w:val="single" w:sz="8" w:space="0" w:color="7F7F7F"/>
              <w:right w:val="nil"/>
            </w:tcBorders>
            <w:shd w:val="clear" w:color="auto" w:fill="auto"/>
            <w:noWrap/>
            <w:vAlign w:val="center"/>
            <w:hideMark/>
          </w:tcPr>
          <w:p w14:paraId="301D6506"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72B975D0" w14:textId="77777777" w:rsidR="003E7AE0" w:rsidRPr="00757ED8" w:rsidRDefault="003E7AE0" w:rsidP="003E7AE0">
            <w:pPr>
              <w:jc w:val="center"/>
              <w:rPr>
                <w:color w:val="000000"/>
              </w:rPr>
            </w:pPr>
            <w:r w:rsidRPr="00757ED8">
              <w:rPr>
                <w:color w:val="000000"/>
              </w:rPr>
              <w:t>0.39</w:t>
            </w:r>
          </w:p>
        </w:tc>
        <w:tc>
          <w:tcPr>
            <w:tcW w:w="1871" w:type="dxa"/>
            <w:tcBorders>
              <w:top w:val="single" w:sz="8" w:space="0" w:color="7F7F7F"/>
              <w:left w:val="nil"/>
              <w:bottom w:val="single" w:sz="8" w:space="0" w:color="7F7F7F"/>
              <w:right w:val="nil"/>
            </w:tcBorders>
            <w:shd w:val="clear" w:color="auto" w:fill="auto"/>
            <w:noWrap/>
            <w:vAlign w:val="center"/>
            <w:hideMark/>
          </w:tcPr>
          <w:p w14:paraId="4FE99636" w14:textId="77777777" w:rsidR="003E7AE0" w:rsidRPr="00757ED8" w:rsidRDefault="003E7AE0" w:rsidP="008E3359">
            <w:pPr>
              <w:jc w:val="center"/>
              <w:rPr>
                <w:color w:val="000000"/>
              </w:rPr>
            </w:pPr>
            <w:r w:rsidRPr="00757ED8">
              <w:rPr>
                <w:color w:val="000000"/>
              </w:rPr>
              <w:t>0.17</w:t>
            </w:r>
          </w:p>
        </w:tc>
        <w:tc>
          <w:tcPr>
            <w:tcW w:w="648" w:type="dxa"/>
            <w:tcBorders>
              <w:top w:val="single" w:sz="8" w:space="0" w:color="7F7F7F"/>
              <w:left w:val="nil"/>
              <w:bottom w:val="single" w:sz="8" w:space="0" w:color="7F7F7F"/>
              <w:right w:val="nil"/>
            </w:tcBorders>
            <w:shd w:val="clear" w:color="auto" w:fill="auto"/>
            <w:noWrap/>
            <w:vAlign w:val="center"/>
            <w:hideMark/>
          </w:tcPr>
          <w:p w14:paraId="4F3473F4" w14:textId="77777777" w:rsidR="003E7AE0" w:rsidRPr="00757ED8" w:rsidRDefault="003E7AE0" w:rsidP="003E7AE0">
            <w:pPr>
              <w:jc w:val="right"/>
              <w:rPr>
                <w:color w:val="000000"/>
              </w:rPr>
            </w:pPr>
            <w:r w:rsidRPr="00757ED8">
              <w:rPr>
                <w:color w:val="000000"/>
              </w:rPr>
              <w:t>0.91</w:t>
            </w:r>
          </w:p>
        </w:tc>
        <w:tc>
          <w:tcPr>
            <w:tcW w:w="783" w:type="dxa"/>
            <w:tcBorders>
              <w:top w:val="single" w:sz="8" w:space="0" w:color="7F7F7F"/>
              <w:left w:val="nil"/>
              <w:bottom w:val="single" w:sz="8" w:space="0" w:color="7F7F7F"/>
              <w:right w:val="nil"/>
            </w:tcBorders>
            <w:shd w:val="clear" w:color="auto" w:fill="auto"/>
            <w:noWrap/>
            <w:vAlign w:val="center"/>
            <w:hideMark/>
          </w:tcPr>
          <w:p w14:paraId="2A51256B" w14:textId="77777777" w:rsidR="003E7AE0" w:rsidRPr="00757ED8" w:rsidRDefault="003E7AE0" w:rsidP="003E7AE0">
            <w:pPr>
              <w:jc w:val="center"/>
              <w:rPr>
                <w:color w:val="000000"/>
              </w:rPr>
            </w:pPr>
            <w:r w:rsidRPr="00757ED8">
              <w:rPr>
                <w:color w:val="000000"/>
              </w:rPr>
              <w:t>0.03*</w:t>
            </w:r>
          </w:p>
        </w:tc>
      </w:tr>
      <w:tr w:rsidR="003E7AE0" w:rsidRPr="00757ED8" w14:paraId="64A98B57" w14:textId="77777777" w:rsidTr="003E7AE0">
        <w:trPr>
          <w:trHeight w:val="358"/>
        </w:trPr>
        <w:tc>
          <w:tcPr>
            <w:tcW w:w="2375" w:type="dxa"/>
            <w:tcBorders>
              <w:top w:val="nil"/>
              <w:left w:val="nil"/>
              <w:bottom w:val="nil"/>
              <w:right w:val="nil"/>
            </w:tcBorders>
            <w:shd w:val="clear" w:color="auto" w:fill="auto"/>
            <w:noWrap/>
            <w:vAlign w:val="center"/>
            <w:hideMark/>
          </w:tcPr>
          <w:p w14:paraId="78989D0C" w14:textId="77777777" w:rsidR="003E7AE0" w:rsidRPr="00757ED8" w:rsidRDefault="003E7AE0" w:rsidP="003E7AE0">
            <w:pPr>
              <w:rPr>
                <w:color w:val="000000"/>
              </w:rPr>
            </w:pPr>
            <w:r w:rsidRPr="00757ED8">
              <w:rPr>
                <w:color w:val="000000"/>
              </w:rPr>
              <w:t>Average time since onset</w:t>
            </w:r>
          </w:p>
        </w:tc>
        <w:tc>
          <w:tcPr>
            <w:tcW w:w="600" w:type="dxa"/>
            <w:tcBorders>
              <w:top w:val="nil"/>
              <w:left w:val="nil"/>
              <w:bottom w:val="nil"/>
              <w:right w:val="nil"/>
            </w:tcBorders>
            <w:shd w:val="clear" w:color="auto" w:fill="auto"/>
            <w:noWrap/>
            <w:vAlign w:val="center"/>
            <w:hideMark/>
          </w:tcPr>
          <w:p w14:paraId="11CDDA5C" w14:textId="77777777" w:rsidR="003E7AE0" w:rsidRPr="00757ED8" w:rsidRDefault="003E7AE0" w:rsidP="003E7AE0">
            <w:pPr>
              <w:jc w:val="center"/>
              <w:rPr>
                <w:color w:val="000000"/>
              </w:rPr>
            </w:pPr>
            <w:r w:rsidRPr="00757ED8">
              <w:rPr>
                <w:color w:val="000000"/>
              </w:rPr>
              <w:t>-0.04</w:t>
            </w:r>
          </w:p>
        </w:tc>
        <w:tc>
          <w:tcPr>
            <w:tcW w:w="533" w:type="dxa"/>
            <w:tcBorders>
              <w:top w:val="nil"/>
              <w:left w:val="nil"/>
              <w:bottom w:val="nil"/>
              <w:right w:val="nil"/>
            </w:tcBorders>
            <w:shd w:val="clear" w:color="auto" w:fill="auto"/>
            <w:noWrap/>
            <w:vAlign w:val="center"/>
            <w:hideMark/>
          </w:tcPr>
          <w:p w14:paraId="213EBEC9" w14:textId="77777777" w:rsidR="003E7AE0" w:rsidRPr="00757ED8" w:rsidRDefault="003E7AE0" w:rsidP="003E7AE0">
            <w:pPr>
              <w:jc w:val="center"/>
              <w:rPr>
                <w:color w:val="000000"/>
              </w:rPr>
            </w:pPr>
            <w:r w:rsidRPr="00757ED8">
              <w:rPr>
                <w:color w:val="000000"/>
              </w:rPr>
              <w:t>0.17</w:t>
            </w:r>
          </w:p>
        </w:tc>
        <w:tc>
          <w:tcPr>
            <w:tcW w:w="605" w:type="dxa"/>
            <w:tcBorders>
              <w:top w:val="nil"/>
              <w:left w:val="nil"/>
              <w:bottom w:val="nil"/>
              <w:right w:val="nil"/>
            </w:tcBorders>
            <w:shd w:val="clear" w:color="auto" w:fill="auto"/>
            <w:noWrap/>
            <w:vAlign w:val="center"/>
            <w:hideMark/>
          </w:tcPr>
          <w:p w14:paraId="7F29E3CE" w14:textId="77777777" w:rsidR="003E7AE0" w:rsidRPr="00757ED8" w:rsidRDefault="003E7AE0" w:rsidP="003E7AE0">
            <w:pPr>
              <w:jc w:val="center"/>
              <w:rPr>
                <w:color w:val="000000"/>
              </w:rPr>
            </w:pPr>
            <w:r w:rsidRPr="00757ED8">
              <w:rPr>
                <w:color w:val="000000"/>
              </w:rPr>
              <w:t>0.06</w:t>
            </w:r>
          </w:p>
        </w:tc>
        <w:tc>
          <w:tcPr>
            <w:tcW w:w="333" w:type="dxa"/>
            <w:tcBorders>
              <w:top w:val="nil"/>
              <w:left w:val="nil"/>
              <w:bottom w:val="nil"/>
              <w:right w:val="nil"/>
            </w:tcBorders>
            <w:shd w:val="clear" w:color="auto" w:fill="auto"/>
            <w:noWrap/>
            <w:vAlign w:val="center"/>
            <w:hideMark/>
          </w:tcPr>
          <w:p w14:paraId="05155E49"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1FCEC128" w14:textId="77777777" w:rsidR="003E7AE0" w:rsidRPr="00757ED8" w:rsidRDefault="003E7AE0" w:rsidP="003E7AE0">
            <w:pPr>
              <w:jc w:val="center"/>
              <w:rPr>
                <w:color w:val="000000"/>
              </w:rPr>
            </w:pPr>
            <w:r w:rsidRPr="00757ED8">
              <w:rPr>
                <w:color w:val="000000"/>
              </w:rPr>
              <w:t>0.96</w:t>
            </w:r>
          </w:p>
        </w:tc>
        <w:tc>
          <w:tcPr>
            <w:tcW w:w="1871" w:type="dxa"/>
            <w:tcBorders>
              <w:top w:val="nil"/>
              <w:left w:val="nil"/>
              <w:bottom w:val="nil"/>
              <w:right w:val="nil"/>
            </w:tcBorders>
            <w:shd w:val="clear" w:color="auto" w:fill="auto"/>
            <w:noWrap/>
            <w:vAlign w:val="center"/>
            <w:hideMark/>
          </w:tcPr>
          <w:p w14:paraId="59D4DC91" w14:textId="77777777" w:rsidR="003E7AE0" w:rsidRPr="00757ED8" w:rsidRDefault="003E7AE0" w:rsidP="008E3359">
            <w:pPr>
              <w:jc w:val="center"/>
              <w:rPr>
                <w:color w:val="000000"/>
              </w:rPr>
            </w:pPr>
            <w:r w:rsidRPr="00757ED8">
              <w:rPr>
                <w:color w:val="000000"/>
              </w:rPr>
              <w:t>0.68</w:t>
            </w:r>
          </w:p>
        </w:tc>
        <w:tc>
          <w:tcPr>
            <w:tcW w:w="648" w:type="dxa"/>
            <w:tcBorders>
              <w:top w:val="nil"/>
              <w:left w:val="nil"/>
              <w:bottom w:val="nil"/>
              <w:right w:val="nil"/>
            </w:tcBorders>
            <w:shd w:val="clear" w:color="auto" w:fill="auto"/>
            <w:noWrap/>
            <w:vAlign w:val="center"/>
            <w:hideMark/>
          </w:tcPr>
          <w:p w14:paraId="561E99FD" w14:textId="77777777" w:rsidR="003E7AE0" w:rsidRPr="00757ED8" w:rsidRDefault="003E7AE0" w:rsidP="003E7AE0">
            <w:pPr>
              <w:jc w:val="right"/>
              <w:rPr>
                <w:color w:val="000000"/>
              </w:rPr>
            </w:pPr>
            <w:r w:rsidRPr="00757ED8">
              <w:rPr>
                <w:color w:val="000000"/>
              </w:rPr>
              <w:t>1.35</w:t>
            </w:r>
          </w:p>
        </w:tc>
        <w:tc>
          <w:tcPr>
            <w:tcW w:w="783" w:type="dxa"/>
            <w:tcBorders>
              <w:top w:val="nil"/>
              <w:left w:val="nil"/>
              <w:bottom w:val="nil"/>
              <w:right w:val="nil"/>
            </w:tcBorders>
            <w:shd w:val="clear" w:color="auto" w:fill="auto"/>
            <w:noWrap/>
            <w:vAlign w:val="center"/>
            <w:hideMark/>
          </w:tcPr>
          <w:p w14:paraId="6F066DA7" w14:textId="77777777" w:rsidR="003E7AE0" w:rsidRPr="00757ED8" w:rsidRDefault="003E7AE0" w:rsidP="003E7AE0">
            <w:pPr>
              <w:jc w:val="center"/>
              <w:rPr>
                <w:color w:val="000000"/>
              </w:rPr>
            </w:pPr>
            <w:r w:rsidRPr="00757ED8">
              <w:rPr>
                <w:color w:val="000000"/>
              </w:rPr>
              <w:t>0.82</w:t>
            </w:r>
          </w:p>
        </w:tc>
      </w:tr>
      <w:tr w:rsidR="003E7AE0" w:rsidRPr="00757ED8" w14:paraId="44AA3950"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57536331" w14:textId="77777777" w:rsidR="003E7AE0" w:rsidRPr="00757ED8" w:rsidRDefault="003E7AE0" w:rsidP="003E7AE0">
            <w:pPr>
              <w:rPr>
                <w:color w:val="000000"/>
              </w:rPr>
            </w:pPr>
            <w:r w:rsidRPr="00757ED8">
              <w:rPr>
                <w:color w:val="000000"/>
              </w:rPr>
              <w:t>Average Pain frequency</w:t>
            </w:r>
          </w:p>
        </w:tc>
        <w:tc>
          <w:tcPr>
            <w:tcW w:w="600" w:type="dxa"/>
            <w:tcBorders>
              <w:top w:val="single" w:sz="8" w:space="0" w:color="7F7F7F"/>
              <w:left w:val="nil"/>
              <w:bottom w:val="single" w:sz="8" w:space="0" w:color="7F7F7F"/>
              <w:right w:val="nil"/>
            </w:tcBorders>
            <w:shd w:val="clear" w:color="auto" w:fill="auto"/>
            <w:noWrap/>
            <w:vAlign w:val="center"/>
            <w:hideMark/>
          </w:tcPr>
          <w:p w14:paraId="35113FCB" w14:textId="77777777" w:rsidR="003E7AE0" w:rsidRPr="00757ED8" w:rsidRDefault="003E7AE0" w:rsidP="003E7AE0">
            <w:pPr>
              <w:jc w:val="center"/>
              <w:rPr>
                <w:color w:val="000000"/>
              </w:rPr>
            </w:pPr>
            <w:r w:rsidRPr="00757ED8">
              <w:rPr>
                <w:color w:val="000000"/>
              </w:rPr>
              <w:t>0.23</w:t>
            </w:r>
          </w:p>
        </w:tc>
        <w:tc>
          <w:tcPr>
            <w:tcW w:w="533" w:type="dxa"/>
            <w:tcBorders>
              <w:top w:val="single" w:sz="8" w:space="0" w:color="7F7F7F"/>
              <w:left w:val="nil"/>
              <w:bottom w:val="single" w:sz="8" w:space="0" w:color="7F7F7F"/>
              <w:right w:val="nil"/>
            </w:tcBorders>
            <w:shd w:val="clear" w:color="auto" w:fill="auto"/>
            <w:noWrap/>
            <w:vAlign w:val="center"/>
            <w:hideMark/>
          </w:tcPr>
          <w:p w14:paraId="71C92549" w14:textId="77777777" w:rsidR="003E7AE0" w:rsidRPr="00757ED8" w:rsidRDefault="003E7AE0" w:rsidP="003E7AE0">
            <w:pPr>
              <w:jc w:val="center"/>
              <w:rPr>
                <w:color w:val="000000"/>
              </w:rPr>
            </w:pPr>
            <w:r w:rsidRPr="00757ED8">
              <w:rPr>
                <w:color w:val="000000"/>
              </w:rPr>
              <w:t>0.21</w:t>
            </w:r>
          </w:p>
        </w:tc>
        <w:tc>
          <w:tcPr>
            <w:tcW w:w="605" w:type="dxa"/>
            <w:tcBorders>
              <w:top w:val="single" w:sz="8" w:space="0" w:color="7F7F7F"/>
              <w:left w:val="nil"/>
              <w:bottom w:val="single" w:sz="8" w:space="0" w:color="7F7F7F"/>
              <w:right w:val="nil"/>
            </w:tcBorders>
            <w:shd w:val="clear" w:color="auto" w:fill="auto"/>
            <w:noWrap/>
            <w:vAlign w:val="center"/>
            <w:hideMark/>
          </w:tcPr>
          <w:p w14:paraId="4CA859DB" w14:textId="77777777" w:rsidR="003E7AE0" w:rsidRPr="00757ED8" w:rsidRDefault="003E7AE0" w:rsidP="003E7AE0">
            <w:pPr>
              <w:jc w:val="center"/>
              <w:rPr>
                <w:color w:val="000000"/>
              </w:rPr>
            </w:pPr>
            <w:r w:rsidRPr="00757ED8">
              <w:rPr>
                <w:color w:val="000000"/>
              </w:rPr>
              <w:t>1.24</w:t>
            </w:r>
          </w:p>
        </w:tc>
        <w:tc>
          <w:tcPr>
            <w:tcW w:w="333" w:type="dxa"/>
            <w:tcBorders>
              <w:top w:val="single" w:sz="8" w:space="0" w:color="7F7F7F"/>
              <w:left w:val="nil"/>
              <w:bottom w:val="single" w:sz="8" w:space="0" w:color="7F7F7F"/>
              <w:right w:val="nil"/>
            </w:tcBorders>
            <w:shd w:val="clear" w:color="auto" w:fill="auto"/>
            <w:noWrap/>
            <w:vAlign w:val="center"/>
            <w:hideMark/>
          </w:tcPr>
          <w:p w14:paraId="718BF59B"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215A2D5A" w14:textId="77777777" w:rsidR="003E7AE0" w:rsidRPr="00757ED8" w:rsidRDefault="003E7AE0" w:rsidP="003E7AE0">
            <w:pPr>
              <w:jc w:val="center"/>
              <w:rPr>
                <w:color w:val="000000"/>
              </w:rPr>
            </w:pPr>
            <w:r w:rsidRPr="00757ED8">
              <w:rPr>
                <w:color w:val="000000"/>
              </w:rPr>
              <w:t>1.26</w:t>
            </w:r>
          </w:p>
        </w:tc>
        <w:tc>
          <w:tcPr>
            <w:tcW w:w="1871" w:type="dxa"/>
            <w:tcBorders>
              <w:top w:val="single" w:sz="8" w:space="0" w:color="7F7F7F"/>
              <w:left w:val="nil"/>
              <w:bottom w:val="single" w:sz="8" w:space="0" w:color="7F7F7F"/>
              <w:right w:val="nil"/>
            </w:tcBorders>
            <w:shd w:val="clear" w:color="auto" w:fill="auto"/>
            <w:noWrap/>
            <w:vAlign w:val="center"/>
            <w:hideMark/>
          </w:tcPr>
          <w:p w14:paraId="1B8A9ADB" w14:textId="77777777" w:rsidR="003E7AE0" w:rsidRPr="00757ED8" w:rsidRDefault="003E7AE0" w:rsidP="008E3359">
            <w:pPr>
              <w:jc w:val="center"/>
              <w:rPr>
                <w:color w:val="000000"/>
              </w:rPr>
            </w:pPr>
            <w:r w:rsidRPr="00757ED8">
              <w:rPr>
                <w:color w:val="000000"/>
              </w:rPr>
              <w:t>0.84</w:t>
            </w:r>
          </w:p>
        </w:tc>
        <w:tc>
          <w:tcPr>
            <w:tcW w:w="648" w:type="dxa"/>
            <w:tcBorders>
              <w:top w:val="single" w:sz="8" w:space="0" w:color="7F7F7F"/>
              <w:left w:val="nil"/>
              <w:bottom w:val="single" w:sz="8" w:space="0" w:color="7F7F7F"/>
              <w:right w:val="nil"/>
            </w:tcBorders>
            <w:shd w:val="clear" w:color="auto" w:fill="auto"/>
            <w:noWrap/>
            <w:vAlign w:val="center"/>
            <w:hideMark/>
          </w:tcPr>
          <w:p w14:paraId="2F639023" w14:textId="77777777" w:rsidR="003E7AE0" w:rsidRPr="00757ED8" w:rsidRDefault="003E7AE0" w:rsidP="003E7AE0">
            <w:pPr>
              <w:jc w:val="right"/>
              <w:rPr>
                <w:color w:val="000000"/>
              </w:rPr>
            </w:pPr>
            <w:r w:rsidRPr="00757ED8">
              <w:rPr>
                <w:color w:val="000000"/>
              </w:rPr>
              <w:t>1.88</w:t>
            </w:r>
          </w:p>
        </w:tc>
        <w:tc>
          <w:tcPr>
            <w:tcW w:w="783" w:type="dxa"/>
            <w:tcBorders>
              <w:top w:val="single" w:sz="8" w:space="0" w:color="7F7F7F"/>
              <w:left w:val="nil"/>
              <w:bottom w:val="single" w:sz="8" w:space="0" w:color="7F7F7F"/>
              <w:right w:val="nil"/>
            </w:tcBorders>
            <w:shd w:val="clear" w:color="auto" w:fill="auto"/>
            <w:noWrap/>
            <w:vAlign w:val="center"/>
            <w:hideMark/>
          </w:tcPr>
          <w:p w14:paraId="199D5A9F" w14:textId="77777777" w:rsidR="003E7AE0" w:rsidRPr="00757ED8" w:rsidRDefault="003E7AE0" w:rsidP="003E7AE0">
            <w:pPr>
              <w:jc w:val="center"/>
              <w:rPr>
                <w:color w:val="000000"/>
              </w:rPr>
            </w:pPr>
            <w:r w:rsidRPr="00757ED8">
              <w:rPr>
                <w:color w:val="000000"/>
              </w:rPr>
              <w:t>0.27</w:t>
            </w:r>
          </w:p>
        </w:tc>
      </w:tr>
      <w:tr w:rsidR="003E7AE0" w:rsidRPr="00757ED8" w14:paraId="5CA77D28" w14:textId="77777777" w:rsidTr="003E7AE0">
        <w:trPr>
          <w:trHeight w:val="358"/>
        </w:trPr>
        <w:tc>
          <w:tcPr>
            <w:tcW w:w="2375" w:type="dxa"/>
            <w:tcBorders>
              <w:top w:val="nil"/>
              <w:left w:val="nil"/>
              <w:bottom w:val="nil"/>
              <w:right w:val="nil"/>
            </w:tcBorders>
            <w:shd w:val="clear" w:color="auto" w:fill="auto"/>
            <w:noWrap/>
            <w:vAlign w:val="center"/>
            <w:hideMark/>
          </w:tcPr>
          <w:p w14:paraId="51658AB4" w14:textId="77777777" w:rsidR="003E7AE0" w:rsidRPr="00757ED8" w:rsidRDefault="003E7AE0" w:rsidP="003E7AE0">
            <w:pPr>
              <w:rPr>
                <w:color w:val="000000"/>
              </w:rPr>
            </w:pPr>
            <w:r w:rsidRPr="00757ED8">
              <w:rPr>
                <w:color w:val="000000"/>
              </w:rPr>
              <w:t>Average Pain Duration</w:t>
            </w:r>
          </w:p>
        </w:tc>
        <w:tc>
          <w:tcPr>
            <w:tcW w:w="600" w:type="dxa"/>
            <w:tcBorders>
              <w:top w:val="nil"/>
              <w:left w:val="nil"/>
              <w:bottom w:val="nil"/>
              <w:right w:val="nil"/>
            </w:tcBorders>
            <w:shd w:val="clear" w:color="auto" w:fill="auto"/>
            <w:noWrap/>
            <w:vAlign w:val="center"/>
            <w:hideMark/>
          </w:tcPr>
          <w:p w14:paraId="3F86F0A9" w14:textId="77777777" w:rsidR="003E7AE0" w:rsidRPr="00757ED8" w:rsidRDefault="003E7AE0" w:rsidP="003E7AE0">
            <w:pPr>
              <w:jc w:val="center"/>
              <w:rPr>
                <w:color w:val="000000"/>
              </w:rPr>
            </w:pPr>
            <w:r w:rsidRPr="00757ED8">
              <w:rPr>
                <w:color w:val="000000"/>
              </w:rPr>
              <w:t>-0.08</w:t>
            </w:r>
          </w:p>
        </w:tc>
        <w:tc>
          <w:tcPr>
            <w:tcW w:w="533" w:type="dxa"/>
            <w:tcBorders>
              <w:top w:val="nil"/>
              <w:left w:val="nil"/>
              <w:bottom w:val="nil"/>
              <w:right w:val="nil"/>
            </w:tcBorders>
            <w:shd w:val="clear" w:color="auto" w:fill="auto"/>
            <w:noWrap/>
            <w:vAlign w:val="center"/>
            <w:hideMark/>
          </w:tcPr>
          <w:p w14:paraId="36CB51FF" w14:textId="77777777" w:rsidR="003E7AE0" w:rsidRPr="00757ED8" w:rsidRDefault="003E7AE0" w:rsidP="003E7AE0">
            <w:pPr>
              <w:jc w:val="center"/>
              <w:rPr>
                <w:color w:val="000000"/>
              </w:rPr>
            </w:pPr>
            <w:r w:rsidRPr="00757ED8">
              <w:rPr>
                <w:color w:val="000000"/>
              </w:rPr>
              <w:t>0.17</w:t>
            </w:r>
          </w:p>
        </w:tc>
        <w:tc>
          <w:tcPr>
            <w:tcW w:w="605" w:type="dxa"/>
            <w:tcBorders>
              <w:top w:val="nil"/>
              <w:left w:val="nil"/>
              <w:bottom w:val="nil"/>
              <w:right w:val="nil"/>
            </w:tcBorders>
            <w:shd w:val="clear" w:color="auto" w:fill="auto"/>
            <w:noWrap/>
            <w:vAlign w:val="center"/>
            <w:hideMark/>
          </w:tcPr>
          <w:p w14:paraId="31156BDE" w14:textId="77777777" w:rsidR="003E7AE0" w:rsidRPr="00757ED8" w:rsidRDefault="003E7AE0" w:rsidP="003E7AE0">
            <w:pPr>
              <w:jc w:val="center"/>
              <w:rPr>
                <w:color w:val="000000"/>
              </w:rPr>
            </w:pPr>
            <w:r w:rsidRPr="00757ED8">
              <w:rPr>
                <w:color w:val="000000"/>
              </w:rPr>
              <w:t>0.24</w:t>
            </w:r>
          </w:p>
        </w:tc>
        <w:tc>
          <w:tcPr>
            <w:tcW w:w="333" w:type="dxa"/>
            <w:tcBorders>
              <w:top w:val="nil"/>
              <w:left w:val="nil"/>
              <w:bottom w:val="nil"/>
              <w:right w:val="nil"/>
            </w:tcBorders>
            <w:shd w:val="clear" w:color="auto" w:fill="auto"/>
            <w:noWrap/>
            <w:vAlign w:val="center"/>
            <w:hideMark/>
          </w:tcPr>
          <w:p w14:paraId="1DD80163"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02B9EF5C" w14:textId="77777777" w:rsidR="003E7AE0" w:rsidRPr="00757ED8" w:rsidRDefault="003E7AE0" w:rsidP="003E7AE0">
            <w:pPr>
              <w:jc w:val="center"/>
              <w:rPr>
                <w:color w:val="000000"/>
              </w:rPr>
            </w:pPr>
            <w:r w:rsidRPr="00757ED8">
              <w:rPr>
                <w:color w:val="000000"/>
              </w:rPr>
              <w:t>0.92</w:t>
            </w:r>
          </w:p>
        </w:tc>
        <w:tc>
          <w:tcPr>
            <w:tcW w:w="1871" w:type="dxa"/>
            <w:tcBorders>
              <w:top w:val="nil"/>
              <w:left w:val="nil"/>
              <w:bottom w:val="nil"/>
              <w:right w:val="nil"/>
            </w:tcBorders>
            <w:shd w:val="clear" w:color="auto" w:fill="auto"/>
            <w:noWrap/>
            <w:vAlign w:val="center"/>
            <w:hideMark/>
          </w:tcPr>
          <w:p w14:paraId="32205F56" w14:textId="77777777" w:rsidR="003E7AE0" w:rsidRPr="00757ED8" w:rsidRDefault="003E7AE0" w:rsidP="008E3359">
            <w:pPr>
              <w:jc w:val="center"/>
              <w:rPr>
                <w:color w:val="000000"/>
              </w:rPr>
            </w:pPr>
            <w:r w:rsidRPr="00757ED8">
              <w:rPr>
                <w:color w:val="000000"/>
              </w:rPr>
              <w:t>0.67</w:t>
            </w:r>
          </w:p>
        </w:tc>
        <w:tc>
          <w:tcPr>
            <w:tcW w:w="648" w:type="dxa"/>
            <w:tcBorders>
              <w:top w:val="nil"/>
              <w:left w:val="nil"/>
              <w:bottom w:val="nil"/>
              <w:right w:val="nil"/>
            </w:tcBorders>
            <w:shd w:val="clear" w:color="auto" w:fill="auto"/>
            <w:noWrap/>
            <w:vAlign w:val="center"/>
            <w:hideMark/>
          </w:tcPr>
          <w:p w14:paraId="1EF62197" w14:textId="77777777" w:rsidR="003E7AE0" w:rsidRPr="00757ED8" w:rsidRDefault="003E7AE0" w:rsidP="003E7AE0">
            <w:pPr>
              <w:jc w:val="right"/>
              <w:rPr>
                <w:color w:val="000000"/>
              </w:rPr>
            </w:pPr>
            <w:r w:rsidRPr="00757ED8">
              <w:rPr>
                <w:color w:val="000000"/>
              </w:rPr>
              <w:t>1.28</w:t>
            </w:r>
          </w:p>
        </w:tc>
        <w:tc>
          <w:tcPr>
            <w:tcW w:w="783" w:type="dxa"/>
            <w:tcBorders>
              <w:top w:val="nil"/>
              <w:left w:val="nil"/>
              <w:bottom w:val="nil"/>
              <w:right w:val="nil"/>
            </w:tcBorders>
            <w:shd w:val="clear" w:color="auto" w:fill="auto"/>
            <w:noWrap/>
            <w:vAlign w:val="center"/>
            <w:hideMark/>
          </w:tcPr>
          <w:p w14:paraId="637362F0" w14:textId="77777777" w:rsidR="003E7AE0" w:rsidRPr="00757ED8" w:rsidRDefault="003E7AE0" w:rsidP="003E7AE0">
            <w:pPr>
              <w:jc w:val="center"/>
              <w:rPr>
                <w:color w:val="000000"/>
              </w:rPr>
            </w:pPr>
            <w:r w:rsidRPr="00757ED8">
              <w:rPr>
                <w:color w:val="000000"/>
              </w:rPr>
              <w:t>0.62</w:t>
            </w:r>
          </w:p>
        </w:tc>
      </w:tr>
      <w:tr w:rsidR="003E7AE0" w:rsidRPr="00757ED8" w14:paraId="6703283D"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20795DEC" w14:textId="77777777" w:rsidR="003E7AE0" w:rsidRPr="00757ED8" w:rsidRDefault="003E7AE0" w:rsidP="003E7AE0">
            <w:pPr>
              <w:rPr>
                <w:color w:val="000000"/>
              </w:rPr>
            </w:pPr>
            <w:r w:rsidRPr="00757ED8">
              <w:rPr>
                <w:color w:val="000000"/>
              </w:rPr>
              <w:t>Average frequency of MSK role risk activities</w:t>
            </w:r>
          </w:p>
        </w:tc>
        <w:tc>
          <w:tcPr>
            <w:tcW w:w="600" w:type="dxa"/>
            <w:tcBorders>
              <w:top w:val="single" w:sz="8" w:space="0" w:color="7F7F7F"/>
              <w:left w:val="nil"/>
              <w:bottom w:val="single" w:sz="8" w:space="0" w:color="7F7F7F"/>
              <w:right w:val="nil"/>
            </w:tcBorders>
            <w:shd w:val="clear" w:color="auto" w:fill="auto"/>
            <w:noWrap/>
            <w:vAlign w:val="center"/>
            <w:hideMark/>
          </w:tcPr>
          <w:p w14:paraId="6B14D9E8" w14:textId="77777777" w:rsidR="003E7AE0" w:rsidRPr="00757ED8" w:rsidRDefault="003E7AE0" w:rsidP="003E7AE0">
            <w:pPr>
              <w:jc w:val="center"/>
              <w:rPr>
                <w:color w:val="000000"/>
              </w:rPr>
            </w:pPr>
            <w:r w:rsidRPr="00757ED8">
              <w:rPr>
                <w:color w:val="000000"/>
              </w:rPr>
              <w:t>0.86</w:t>
            </w:r>
          </w:p>
        </w:tc>
        <w:tc>
          <w:tcPr>
            <w:tcW w:w="533" w:type="dxa"/>
            <w:tcBorders>
              <w:top w:val="single" w:sz="8" w:space="0" w:color="7F7F7F"/>
              <w:left w:val="nil"/>
              <w:bottom w:val="single" w:sz="8" w:space="0" w:color="7F7F7F"/>
              <w:right w:val="nil"/>
            </w:tcBorders>
            <w:shd w:val="clear" w:color="auto" w:fill="auto"/>
            <w:noWrap/>
            <w:vAlign w:val="center"/>
            <w:hideMark/>
          </w:tcPr>
          <w:p w14:paraId="19F89BCF" w14:textId="77777777" w:rsidR="003E7AE0" w:rsidRPr="00757ED8" w:rsidRDefault="003E7AE0" w:rsidP="003E7AE0">
            <w:pPr>
              <w:jc w:val="center"/>
              <w:rPr>
                <w:color w:val="000000"/>
              </w:rPr>
            </w:pPr>
            <w:r w:rsidRPr="00757ED8">
              <w:rPr>
                <w:color w:val="000000"/>
              </w:rPr>
              <w:t>0.31</w:t>
            </w:r>
          </w:p>
        </w:tc>
        <w:tc>
          <w:tcPr>
            <w:tcW w:w="605" w:type="dxa"/>
            <w:tcBorders>
              <w:top w:val="single" w:sz="8" w:space="0" w:color="7F7F7F"/>
              <w:left w:val="nil"/>
              <w:bottom w:val="single" w:sz="8" w:space="0" w:color="7F7F7F"/>
              <w:right w:val="nil"/>
            </w:tcBorders>
            <w:shd w:val="clear" w:color="auto" w:fill="auto"/>
            <w:noWrap/>
            <w:vAlign w:val="center"/>
            <w:hideMark/>
          </w:tcPr>
          <w:p w14:paraId="717E17DB" w14:textId="77777777" w:rsidR="003E7AE0" w:rsidRPr="00757ED8" w:rsidRDefault="003E7AE0" w:rsidP="003E7AE0">
            <w:pPr>
              <w:jc w:val="center"/>
              <w:rPr>
                <w:color w:val="000000"/>
              </w:rPr>
            </w:pPr>
            <w:r w:rsidRPr="00757ED8">
              <w:rPr>
                <w:color w:val="000000"/>
              </w:rPr>
              <w:t>7.82</w:t>
            </w:r>
          </w:p>
        </w:tc>
        <w:tc>
          <w:tcPr>
            <w:tcW w:w="333" w:type="dxa"/>
            <w:tcBorders>
              <w:top w:val="single" w:sz="8" w:space="0" w:color="7F7F7F"/>
              <w:left w:val="nil"/>
              <w:bottom w:val="single" w:sz="8" w:space="0" w:color="7F7F7F"/>
              <w:right w:val="nil"/>
            </w:tcBorders>
            <w:shd w:val="clear" w:color="auto" w:fill="auto"/>
            <w:noWrap/>
            <w:vAlign w:val="center"/>
            <w:hideMark/>
          </w:tcPr>
          <w:p w14:paraId="0D662D97"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23EFA53E" w14:textId="77777777" w:rsidR="003E7AE0" w:rsidRPr="00757ED8" w:rsidRDefault="003E7AE0" w:rsidP="003E7AE0">
            <w:pPr>
              <w:jc w:val="center"/>
              <w:rPr>
                <w:color w:val="000000"/>
              </w:rPr>
            </w:pPr>
            <w:r w:rsidRPr="00757ED8">
              <w:rPr>
                <w:color w:val="000000"/>
              </w:rPr>
              <w:t>2.36</w:t>
            </w:r>
          </w:p>
        </w:tc>
        <w:tc>
          <w:tcPr>
            <w:tcW w:w="1871" w:type="dxa"/>
            <w:tcBorders>
              <w:top w:val="single" w:sz="8" w:space="0" w:color="7F7F7F"/>
              <w:left w:val="nil"/>
              <w:bottom w:val="single" w:sz="8" w:space="0" w:color="7F7F7F"/>
              <w:right w:val="nil"/>
            </w:tcBorders>
            <w:shd w:val="clear" w:color="auto" w:fill="auto"/>
            <w:noWrap/>
            <w:vAlign w:val="center"/>
            <w:hideMark/>
          </w:tcPr>
          <w:p w14:paraId="3BA2F585" w14:textId="77777777" w:rsidR="003E7AE0" w:rsidRPr="00757ED8" w:rsidRDefault="003E7AE0" w:rsidP="008E3359">
            <w:pPr>
              <w:jc w:val="center"/>
              <w:rPr>
                <w:color w:val="000000"/>
              </w:rPr>
            </w:pPr>
            <w:r w:rsidRPr="00757ED8">
              <w:rPr>
                <w:color w:val="000000"/>
              </w:rPr>
              <w:t>1.29</w:t>
            </w:r>
          </w:p>
        </w:tc>
        <w:tc>
          <w:tcPr>
            <w:tcW w:w="648" w:type="dxa"/>
            <w:tcBorders>
              <w:top w:val="single" w:sz="8" w:space="0" w:color="7F7F7F"/>
              <w:left w:val="nil"/>
              <w:bottom w:val="single" w:sz="8" w:space="0" w:color="7F7F7F"/>
              <w:right w:val="nil"/>
            </w:tcBorders>
            <w:shd w:val="clear" w:color="auto" w:fill="auto"/>
            <w:noWrap/>
            <w:vAlign w:val="center"/>
            <w:hideMark/>
          </w:tcPr>
          <w:p w14:paraId="75B1B96B" w14:textId="77777777" w:rsidR="003E7AE0" w:rsidRPr="00757ED8" w:rsidRDefault="003E7AE0" w:rsidP="003E7AE0">
            <w:pPr>
              <w:jc w:val="right"/>
              <w:rPr>
                <w:color w:val="000000"/>
              </w:rPr>
            </w:pPr>
            <w:r w:rsidRPr="00757ED8">
              <w:rPr>
                <w:color w:val="000000"/>
              </w:rPr>
              <w:t>4.32</w:t>
            </w:r>
          </w:p>
        </w:tc>
        <w:tc>
          <w:tcPr>
            <w:tcW w:w="783" w:type="dxa"/>
            <w:tcBorders>
              <w:top w:val="single" w:sz="8" w:space="0" w:color="7F7F7F"/>
              <w:left w:val="nil"/>
              <w:bottom w:val="single" w:sz="8" w:space="0" w:color="7F7F7F"/>
              <w:right w:val="nil"/>
            </w:tcBorders>
            <w:shd w:val="clear" w:color="auto" w:fill="auto"/>
            <w:noWrap/>
            <w:vAlign w:val="center"/>
            <w:hideMark/>
          </w:tcPr>
          <w:p w14:paraId="3E23305D" w14:textId="77777777" w:rsidR="003E7AE0" w:rsidRPr="00757ED8" w:rsidRDefault="003E7AE0" w:rsidP="003E7AE0">
            <w:pPr>
              <w:jc w:val="center"/>
              <w:rPr>
                <w:color w:val="000000"/>
              </w:rPr>
            </w:pPr>
            <w:r w:rsidRPr="00757ED8">
              <w:rPr>
                <w:color w:val="000000"/>
              </w:rPr>
              <w:t>0.005**</w:t>
            </w:r>
          </w:p>
        </w:tc>
      </w:tr>
      <w:tr w:rsidR="003E7AE0" w:rsidRPr="00757ED8" w14:paraId="082FD0F7" w14:textId="77777777" w:rsidTr="003E7AE0">
        <w:trPr>
          <w:trHeight w:val="358"/>
        </w:trPr>
        <w:tc>
          <w:tcPr>
            <w:tcW w:w="2375" w:type="dxa"/>
            <w:tcBorders>
              <w:top w:val="nil"/>
              <w:left w:val="nil"/>
              <w:bottom w:val="nil"/>
              <w:right w:val="nil"/>
            </w:tcBorders>
            <w:shd w:val="clear" w:color="auto" w:fill="auto"/>
            <w:noWrap/>
            <w:vAlign w:val="center"/>
            <w:hideMark/>
          </w:tcPr>
          <w:p w14:paraId="7F2B9ECC" w14:textId="77777777" w:rsidR="003E7AE0" w:rsidRPr="00757ED8" w:rsidRDefault="003E7AE0" w:rsidP="003E7AE0">
            <w:pPr>
              <w:rPr>
                <w:color w:val="000000"/>
              </w:rPr>
            </w:pPr>
            <w:r w:rsidRPr="00757ED8">
              <w:rPr>
                <w:color w:val="000000"/>
              </w:rPr>
              <w:t>Average frequency of Role MSK pain</w:t>
            </w:r>
          </w:p>
        </w:tc>
        <w:tc>
          <w:tcPr>
            <w:tcW w:w="600" w:type="dxa"/>
            <w:tcBorders>
              <w:top w:val="nil"/>
              <w:left w:val="nil"/>
              <w:bottom w:val="nil"/>
              <w:right w:val="nil"/>
            </w:tcBorders>
            <w:shd w:val="clear" w:color="auto" w:fill="auto"/>
            <w:noWrap/>
            <w:vAlign w:val="center"/>
            <w:hideMark/>
          </w:tcPr>
          <w:p w14:paraId="4777F4DD" w14:textId="77777777" w:rsidR="003E7AE0" w:rsidRPr="00757ED8" w:rsidRDefault="003E7AE0" w:rsidP="003E7AE0">
            <w:pPr>
              <w:jc w:val="center"/>
              <w:rPr>
                <w:color w:val="000000"/>
              </w:rPr>
            </w:pPr>
            <w:r w:rsidRPr="00757ED8">
              <w:rPr>
                <w:color w:val="000000"/>
              </w:rPr>
              <w:t>-0.93</w:t>
            </w:r>
          </w:p>
        </w:tc>
        <w:tc>
          <w:tcPr>
            <w:tcW w:w="533" w:type="dxa"/>
            <w:tcBorders>
              <w:top w:val="nil"/>
              <w:left w:val="nil"/>
              <w:bottom w:val="nil"/>
              <w:right w:val="nil"/>
            </w:tcBorders>
            <w:shd w:val="clear" w:color="auto" w:fill="auto"/>
            <w:noWrap/>
            <w:vAlign w:val="center"/>
            <w:hideMark/>
          </w:tcPr>
          <w:p w14:paraId="5FF9ACC2" w14:textId="77777777" w:rsidR="003E7AE0" w:rsidRPr="00757ED8" w:rsidRDefault="003E7AE0" w:rsidP="003E7AE0">
            <w:pPr>
              <w:jc w:val="center"/>
              <w:rPr>
                <w:color w:val="000000"/>
              </w:rPr>
            </w:pPr>
            <w:r w:rsidRPr="00757ED8">
              <w:rPr>
                <w:color w:val="000000"/>
              </w:rPr>
              <w:t>0.46</w:t>
            </w:r>
          </w:p>
        </w:tc>
        <w:tc>
          <w:tcPr>
            <w:tcW w:w="605" w:type="dxa"/>
            <w:tcBorders>
              <w:top w:val="nil"/>
              <w:left w:val="nil"/>
              <w:bottom w:val="nil"/>
              <w:right w:val="nil"/>
            </w:tcBorders>
            <w:shd w:val="clear" w:color="auto" w:fill="auto"/>
            <w:noWrap/>
            <w:vAlign w:val="center"/>
            <w:hideMark/>
          </w:tcPr>
          <w:p w14:paraId="08656C97" w14:textId="77777777" w:rsidR="003E7AE0" w:rsidRPr="00757ED8" w:rsidRDefault="003E7AE0" w:rsidP="003E7AE0">
            <w:pPr>
              <w:jc w:val="center"/>
              <w:rPr>
                <w:color w:val="000000"/>
              </w:rPr>
            </w:pPr>
            <w:r w:rsidRPr="00757ED8">
              <w:rPr>
                <w:color w:val="000000"/>
              </w:rPr>
              <w:t>4.13</w:t>
            </w:r>
          </w:p>
        </w:tc>
        <w:tc>
          <w:tcPr>
            <w:tcW w:w="333" w:type="dxa"/>
            <w:tcBorders>
              <w:top w:val="nil"/>
              <w:left w:val="nil"/>
              <w:bottom w:val="nil"/>
              <w:right w:val="nil"/>
            </w:tcBorders>
            <w:shd w:val="clear" w:color="auto" w:fill="auto"/>
            <w:noWrap/>
            <w:vAlign w:val="center"/>
            <w:hideMark/>
          </w:tcPr>
          <w:p w14:paraId="360395BA"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nil"/>
              <w:right w:val="nil"/>
            </w:tcBorders>
            <w:shd w:val="clear" w:color="auto" w:fill="auto"/>
            <w:noWrap/>
            <w:vAlign w:val="center"/>
            <w:hideMark/>
          </w:tcPr>
          <w:p w14:paraId="4293D53D" w14:textId="77777777" w:rsidR="003E7AE0" w:rsidRPr="00757ED8" w:rsidRDefault="003E7AE0" w:rsidP="003E7AE0">
            <w:pPr>
              <w:jc w:val="center"/>
              <w:rPr>
                <w:color w:val="000000"/>
              </w:rPr>
            </w:pPr>
            <w:r w:rsidRPr="00757ED8">
              <w:rPr>
                <w:color w:val="000000"/>
              </w:rPr>
              <w:t>0.39</w:t>
            </w:r>
          </w:p>
        </w:tc>
        <w:tc>
          <w:tcPr>
            <w:tcW w:w="1871" w:type="dxa"/>
            <w:tcBorders>
              <w:top w:val="nil"/>
              <w:left w:val="nil"/>
              <w:bottom w:val="nil"/>
              <w:right w:val="nil"/>
            </w:tcBorders>
            <w:shd w:val="clear" w:color="auto" w:fill="auto"/>
            <w:noWrap/>
            <w:vAlign w:val="center"/>
            <w:hideMark/>
          </w:tcPr>
          <w:p w14:paraId="3C6868BE" w14:textId="77777777" w:rsidR="003E7AE0" w:rsidRPr="00757ED8" w:rsidRDefault="003E7AE0" w:rsidP="008C593A">
            <w:pPr>
              <w:jc w:val="center"/>
              <w:rPr>
                <w:color w:val="000000"/>
              </w:rPr>
            </w:pPr>
            <w:r w:rsidRPr="00757ED8">
              <w:rPr>
                <w:color w:val="000000"/>
              </w:rPr>
              <w:t>0.16</w:t>
            </w:r>
          </w:p>
        </w:tc>
        <w:tc>
          <w:tcPr>
            <w:tcW w:w="648" w:type="dxa"/>
            <w:tcBorders>
              <w:top w:val="nil"/>
              <w:left w:val="nil"/>
              <w:bottom w:val="nil"/>
              <w:right w:val="nil"/>
            </w:tcBorders>
            <w:shd w:val="clear" w:color="auto" w:fill="auto"/>
            <w:noWrap/>
            <w:vAlign w:val="center"/>
            <w:hideMark/>
          </w:tcPr>
          <w:p w14:paraId="0C8703DD" w14:textId="77777777" w:rsidR="003E7AE0" w:rsidRPr="00757ED8" w:rsidRDefault="003E7AE0" w:rsidP="003E7AE0">
            <w:pPr>
              <w:jc w:val="right"/>
              <w:rPr>
                <w:color w:val="000000"/>
              </w:rPr>
            </w:pPr>
            <w:r w:rsidRPr="00757ED8">
              <w:rPr>
                <w:color w:val="000000"/>
              </w:rPr>
              <w:t>0.97</w:t>
            </w:r>
          </w:p>
        </w:tc>
        <w:tc>
          <w:tcPr>
            <w:tcW w:w="783" w:type="dxa"/>
            <w:tcBorders>
              <w:top w:val="nil"/>
              <w:left w:val="nil"/>
              <w:bottom w:val="nil"/>
              <w:right w:val="nil"/>
            </w:tcBorders>
            <w:shd w:val="clear" w:color="auto" w:fill="auto"/>
            <w:noWrap/>
            <w:vAlign w:val="center"/>
            <w:hideMark/>
          </w:tcPr>
          <w:p w14:paraId="32ABE9A9" w14:textId="77777777" w:rsidR="003E7AE0" w:rsidRPr="00757ED8" w:rsidRDefault="003E7AE0" w:rsidP="003E7AE0">
            <w:pPr>
              <w:jc w:val="center"/>
              <w:rPr>
                <w:color w:val="000000"/>
              </w:rPr>
            </w:pPr>
            <w:r w:rsidRPr="00757ED8">
              <w:rPr>
                <w:color w:val="000000"/>
              </w:rPr>
              <w:t>0.04*</w:t>
            </w:r>
          </w:p>
        </w:tc>
      </w:tr>
      <w:tr w:rsidR="003E7AE0" w:rsidRPr="00757ED8" w14:paraId="3A069058" w14:textId="77777777" w:rsidTr="003E7AE0">
        <w:trPr>
          <w:trHeight w:val="358"/>
        </w:trPr>
        <w:tc>
          <w:tcPr>
            <w:tcW w:w="2375" w:type="dxa"/>
            <w:tcBorders>
              <w:top w:val="single" w:sz="8" w:space="0" w:color="7F7F7F"/>
              <w:left w:val="nil"/>
              <w:bottom w:val="single" w:sz="8" w:space="0" w:color="7F7F7F"/>
              <w:right w:val="nil"/>
            </w:tcBorders>
            <w:shd w:val="clear" w:color="auto" w:fill="auto"/>
            <w:noWrap/>
            <w:vAlign w:val="center"/>
            <w:hideMark/>
          </w:tcPr>
          <w:p w14:paraId="2D703BAB" w14:textId="77777777" w:rsidR="003E7AE0" w:rsidRPr="00757ED8" w:rsidRDefault="003E7AE0" w:rsidP="003E7AE0">
            <w:pPr>
              <w:rPr>
                <w:color w:val="000000"/>
              </w:rPr>
            </w:pPr>
            <w:r w:rsidRPr="00757ED8">
              <w:rPr>
                <w:color w:val="000000"/>
              </w:rPr>
              <w:t>Provision of MSK protective factors</w:t>
            </w:r>
          </w:p>
        </w:tc>
        <w:tc>
          <w:tcPr>
            <w:tcW w:w="600" w:type="dxa"/>
            <w:tcBorders>
              <w:top w:val="single" w:sz="8" w:space="0" w:color="7F7F7F"/>
              <w:left w:val="nil"/>
              <w:bottom w:val="single" w:sz="8" w:space="0" w:color="7F7F7F"/>
              <w:right w:val="nil"/>
            </w:tcBorders>
            <w:shd w:val="clear" w:color="auto" w:fill="auto"/>
            <w:noWrap/>
            <w:vAlign w:val="center"/>
            <w:hideMark/>
          </w:tcPr>
          <w:p w14:paraId="45ADE1D8" w14:textId="77777777" w:rsidR="003E7AE0" w:rsidRPr="00757ED8" w:rsidRDefault="003E7AE0" w:rsidP="003E7AE0">
            <w:pPr>
              <w:jc w:val="center"/>
              <w:rPr>
                <w:color w:val="000000"/>
              </w:rPr>
            </w:pPr>
            <w:r w:rsidRPr="00757ED8">
              <w:rPr>
                <w:color w:val="000000"/>
              </w:rPr>
              <w:t>-0.48</w:t>
            </w:r>
          </w:p>
        </w:tc>
        <w:tc>
          <w:tcPr>
            <w:tcW w:w="533" w:type="dxa"/>
            <w:tcBorders>
              <w:top w:val="single" w:sz="8" w:space="0" w:color="7F7F7F"/>
              <w:left w:val="nil"/>
              <w:bottom w:val="single" w:sz="8" w:space="0" w:color="7F7F7F"/>
              <w:right w:val="nil"/>
            </w:tcBorders>
            <w:shd w:val="clear" w:color="auto" w:fill="auto"/>
            <w:noWrap/>
            <w:vAlign w:val="center"/>
            <w:hideMark/>
          </w:tcPr>
          <w:p w14:paraId="3ABDE353" w14:textId="77777777" w:rsidR="003E7AE0" w:rsidRPr="00757ED8" w:rsidRDefault="003E7AE0" w:rsidP="003E7AE0">
            <w:pPr>
              <w:jc w:val="center"/>
              <w:rPr>
                <w:color w:val="000000"/>
              </w:rPr>
            </w:pPr>
            <w:r w:rsidRPr="00757ED8">
              <w:rPr>
                <w:color w:val="000000"/>
              </w:rPr>
              <w:t>0.42</w:t>
            </w:r>
          </w:p>
        </w:tc>
        <w:tc>
          <w:tcPr>
            <w:tcW w:w="605" w:type="dxa"/>
            <w:tcBorders>
              <w:top w:val="single" w:sz="8" w:space="0" w:color="7F7F7F"/>
              <w:left w:val="nil"/>
              <w:bottom w:val="single" w:sz="8" w:space="0" w:color="7F7F7F"/>
              <w:right w:val="nil"/>
            </w:tcBorders>
            <w:shd w:val="clear" w:color="auto" w:fill="auto"/>
            <w:noWrap/>
            <w:vAlign w:val="center"/>
            <w:hideMark/>
          </w:tcPr>
          <w:p w14:paraId="21C6C869" w14:textId="77777777" w:rsidR="003E7AE0" w:rsidRPr="00757ED8" w:rsidRDefault="003E7AE0" w:rsidP="003E7AE0">
            <w:pPr>
              <w:jc w:val="center"/>
              <w:rPr>
                <w:color w:val="000000"/>
              </w:rPr>
            </w:pPr>
            <w:r w:rsidRPr="00757ED8">
              <w:rPr>
                <w:color w:val="000000"/>
              </w:rPr>
              <w:t>1.29</w:t>
            </w:r>
          </w:p>
        </w:tc>
        <w:tc>
          <w:tcPr>
            <w:tcW w:w="333" w:type="dxa"/>
            <w:tcBorders>
              <w:top w:val="single" w:sz="8" w:space="0" w:color="7F7F7F"/>
              <w:left w:val="nil"/>
              <w:bottom w:val="single" w:sz="8" w:space="0" w:color="7F7F7F"/>
              <w:right w:val="nil"/>
            </w:tcBorders>
            <w:shd w:val="clear" w:color="auto" w:fill="auto"/>
            <w:noWrap/>
            <w:vAlign w:val="center"/>
            <w:hideMark/>
          </w:tcPr>
          <w:p w14:paraId="62033524" w14:textId="77777777" w:rsidR="003E7AE0" w:rsidRPr="00757ED8" w:rsidRDefault="003E7AE0" w:rsidP="003E7AE0">
            <w:pPr>
              <w:jc w:val="center"/>
              <w:rPr>
                <w:color w:val="000000"/>
              </w:rPr>
            </w:pPr>
            <w:r w:rsidRPr="00757ED8">
              <w:rPr>
                <w:color w:val="000000"/>
              </w:rPr>
              <w:t>1</w:t>
            </w:r>
          </w:p>
        </w:tc>
        <w:tc>
          <w:tcPr>
            <w:tcW w:w="988" w:type="dxa"/>
            <w:tcBorders>
              <w:top w:val="single" w:sz="8" w:space="0" w:color="7F7F7F"/>
              <w:left w:val="nil"/>
              <w:bottom w:val="single" w:sz="8" w:space="0" w:color="7F7F7F"/>
              <w:right w:val="nil"/>
            </w:tcBorders>
            <w:shd w:val="clear" w:color="auto" w:fill="auto"/>
            <w:noWrap/>
            <w:vAlign w:val="center"/>
            <w:hideMark/>
          </w:tcPr>
          <w:p w14:paraId="301A8D7B" w14:textId="77777777" w:rsidR="003E7AE0" w:rsidRPr="00757ED8" w:rsidRDefault="003E7AE0" w:rsidP="003E7AE0">
            <w:pPr>
              <w:jc w:val="center"/>
              <w:rPr>
                <w:color w:val="000000"/>
              </w:rPr>
            </w:pPr>
            <w:r w:rsidRPr="00757ED8">
              <w:rPr>
                <w:color w:val="000000"/>
              </w:rPr>
              <w:t>0.62</w:t>
            </w:r>
          </w:p>
        </w:tc>
        <w:tc>
          <w:tcPr>
            <w:tcW w:w="1871" w:type="dxa"/>
            <w:tcBorders>
              <w:top w:val="single" w:sz="8" w:space="0" w:color="7F7F7F"/>
              <w:left w:val="nil"/>
              <w:bottom w:val="single" w:sz="8" w:space="0" w:color="7F7F7F"/>
              <w:right w:val="nil"/>
            </w:tcBorders>
            <w:shd w:val="clear" w:color="auto" w:fill="auto"/>
            <w:noWrap/>
            <w:vAlign w:val="center"/>
            <w:hideMark/>
          </w:tcPr>
          <w:p w14:paraId="05B274A4" w14:textId="77777777" w:rsidR="003E7AE0" w:rsidRPr="00757ED8" w:rsidRDefault="003E7AE0" w:rsidP="008C593A">
            <w:pPr>
              <w:jc w:val="center"/>
              <w:rPr>
                <w:color w:val="000000"/>
              </w:rPr>
            </w:pPr>
            <w:r w:rsidRPr="00757ED8">
              <w:rPr>
                <w:color w:val="000000"/>
              </w:rPr>
              <w:t>0.27</w:t>
            </w:r>
          </w:p>
        </w:tc>
        <w:tc>
          <w:tcPr>
            <w:tcW w:w="648" w:type="dxa"/>
            <w:tcBorders>
              <w:top w:val="single" w:sz="8" w:space="0" w:color="7F7F7F"/>
              <w:left w:val="nil"/>
              <w:bottom w:val="single" w:sz="8" w:space="0" w:color="7F7F7F"/>
              <w:right w:val="nil"/>
            </w:tcBorders>
            <w:shd w:val="clear" w:color="auto" w:fill="auto"/>
            <w:noWrap/>
            <w:vAlign w:val="center"/>
            <w:hideMark/>
          </w:tcPr>
          <w:p w14:paraId="2A315999" w14:textId="77777777" w:rsidR="003E7AE0" w:rsidRPr="00757ED8" w:rsidRDefault="003E7AE0" w:rsidP="003E7AE0">
            <w:pPr>
              <w:jc w:val="right"/>
              <w:rPr>
                <w:color w:val="000000"/>
              </w:rPr>
            </w:pPr>
            <w:r w:rsidRPr="00757ED8">
              <w:rPr>
                <w:color w:val="000000"/>
              </w:rPr>
              <w:t>1.41</w:t>
            </w:r>
          </w:p>
        </w:tc>
        <w:tc>
          <w:tcPr>
            <w:tcW w:w="783" w:type="dxa"/>
            <w:tcBorders>
              <w:top w:val="single" w:sz="8" w:space="0" w:color="7F7F7F"/>
              <w:left w:val="nil"/>
              <w:bottom w:val="single" w:sz="8" w:space="0" w:color="7F7F7F"/>
              <w:right w:val="nil"/>
            </w:tcBorders>
            <w:shd w:val="clear" w:color="auto" w:fill="auto"/>
            <w:noWrap/>
            <w:vAlign w:val="center"/>
            <w:hideMark/>
          </w:tcPr>
          <w:p w14:paraId="424707E4" w14:textId="77777777" w:rsidR="003E7AE0" w:rsidRPr="00757ED8" w:rsidRDefault="003E7AE0" w:rsidP="003E7AE0">
            <w:pPr>
              <w:jc w:val="center"/>
              <w:rPr>
                <w:color w:val="000000"/>
              </w:rPr>
            </w:pPr>
            <w:r w:rsidRPr="00757ED8">
              <w:rPr>
                <w:color w:val="000000"/>
              </w:rPr>
              <w:t>0.26</w:t>
            </w:r>
          </w:p>
        </w:tc>
      </w:tr>
      <w:tr w:rsidR="003E7AE0" w:rsidRPr="00757ED8" w14:paraId="4F09AA1A" w14:textId="77777777" w:rsidTr="003E7AE0">
        <w:trPr>
          <w:trHeight w:val="358"/>
        </w:trPr>
        <w:tc>
          <w:tcPr>
            <w:tcW w:w="2375" w:type="dxa"/>
            <w:tcBorders>
              <w:top w:val="nil"/>
              <w:left w:val="nil"/>
              <w:bottom w:val="single" w:sz="8" w:space="0" w:color="7F7F7F"/>
              <w:right w:val="nil"/>
            </w:tcBorders>
            <w:shd w:val="clear" w:color="auto" w:fill="auto"/>
            <w:noWrap/>
            <w:vAlign w:val="center"/>
            <w:hideMark/>
          </w:tcPr>
          <w:p w14:paraId="28DC43A1" w14:textId="77777777" w:rsidR="003E7AE0" w:rsidRPr="00757ED8" w:rsidRDefault="003E7AE0" w:rsidP="003E7AE0">
            <w:pPr>
              <w:rPr>
                <w:color w:val="000000"/>
              </w:rPr>
            </w:pPr>
            <w:r w:rsidRPr="00757ED8">
              <w:rPr>
                <w:color w:val="000000"/>
              </w:rPr>
              <w:t>Constant</w:t>
            </w:r>
          </w:p>
        </w:tc>
        <w:tc>
          <w:tcPr>
            <w:tcW w:w="600" w:type="dxa"/>
            <w:tcBorders>
              <w:top w:val="nil"/>
              <w:left w:val="nil"/>
              <w:bottom w:val="single" w:sz="8" w:space="0" w:color="7F7F7F"/>
              <w:right w:val="nil"/>
            </w:tcBorders>
            <w:shd w:val="clear" w:color="auto" w:fill="auto"/>
            <w:noWrap/>
            <w:vAlign w:val="center"/>
            <w:hideMark/>
          </w:tcPr>
          <w:p w14:paraId="251B5227" w14:textId="77777777" w:rsidR="003E7AE0" w:rsidRPr="00757ED8" w:rsidRDefault="003E7AE0" w:rsidP="003E7AE0">
            <w:pPr>
              <w:jc w:val="center"/>
              <w:rPr>
                <w:color w:val="000000"/>
              </w:rPr>
            </w:pPr>
            <w:r w:rsidRPr="00757ED8">
              <w:rPr>
                <w:color w:val="000000"/>
              </w:rPr>
              <w:t>5.61</w:t>
            </w:r>
          </w:p>
        </w:tc>
        <w:tc>
          <w:tcPr>
            <w:tcW w:w="533" w:type="dxa"/>
            <w:tcBorders>
              <w:top w:val="nil"/>
              <w:left w:val="nil"/>
              <w:bottom w:val="single" w:sz="8" w:space="0" w:color="7F7F7F"/>
              <w:right w:val="nil"/>
            </w:tcBorders>
            <w:shd w:val="clear" w:color="auto" w:fill="auto"/>
            <w:noWrap/>
            <w:vAlign w:val="center"/>
            <w:hideMark/>
          </w:tcPr>
          <w:p w14:paraId="242B73C4" w14:textId="77777777" w:rsidR="003E7AE0" w:rsidRPr="00757ED8" w:rsidRDefault="003E7AE0" w:rsidP="003E7AE0">
            <w:pPr>
              <w:jc w:val="center"/>
              <w:rPr>
                <w:color w:val="000000"/>
              </w:rPr>
            </w:pPr>
            <w:r w:rsidRPr="00757ED8">
              <w:rPr>
                <w:color w:val="000000"/>
              </w:rPr>
              <w:t>2.36</w:t>
            </w:r>
          </w:p>
        </w:tc>
        <w:tc>
          <w:tcPr>
            <w:tcW w:w="605" w:type="dxa"/>
            <w:tcBorders>
              <w:top w:val="nil"/>
              <w:left w:val="nil"/>
              <w:bottom w:val="single" w:sz="8" w:space="0" w:color="7F7F7F"/>
              <w:right w:val="nil"/>
            </w:tcBorders>
            <w:shd w:val="clear" w:color="auto" w:fill="auto"/>
            <w:noWrap/>
            <w:vAlign w:val="center"/>
            <w:hideMark/>
          </w:tcPr>
          <w:p w14:paraId="3204F8A0" w14:textId="77777777" w:rsidR="003E7AE0" w:rsidRPr="00757ED8" w:rsidRDefault="003E7AE0" w:rsidP="003E7AE0">
            <w:pPr>
              <w:jc w:val="center"/>
              <w:rPr>
                <w:color w:val="000000"/>
              </w:rPr>
            </w:pPr>
            <w:r w:rsidRPr="00757ED8">
              <w:rPr>
                <w:color w:val="000000"/>
              </w:rPr>
              <w:t>5.67</w:t>
            </w:r>
          </w:p>
        </w:tc>
        <w:tc>
          <w:tcPr>
            <w:tcW w:w="333" w:type="dxa"/>
            <w:tcBorders>
              <w:top w:val="nil"/>
              <w:left w:val="nil"/>
              <w:bottom w:val="single" w:sz="8" w:space="0" w:color="7F7F7F"/>
              <w:right w:val="nil"/>
            </w:tcBorders>
            <w:shd w:val="clear" w:color="auto" w:fill="auto"/>
            <w:noWrap/>
            <w:vAlign w:val="center"/>
            <w:hideMark/>
          </w:tcPr>
          <w:p w14:paraId="03C2E47A" w14:textId="77777777" w:rsidR="003E7AE0" w:rsidRPr="00757ED8" w:rsidRDefault="003E7AE0" w:rsidP="003E7AE0">
            <w:pPr>
              <w:jc w:val="center"/>
              <w:rPr>
                <w:color w:val="000000"/>
              </w:rPr>
            </w:pPr>
            <w:r w:rsidRPr="00757ED8">
              <w:rPr>
                <w:color w:val="000000"/>
              </w:rPr>
              <w:t>1</w:t>
            </w:r>
          </w:p>
        </w:tc>
        <w:tc>
          <w:tcPr>
            <w:tcW w:w="988" w:type="dxa"/>
            <w:tcBorders>
              <w:top w:val="nil"/>
              <w:left w:val="nil"/>
              <w:bottom w:val="single" w:sz="8" w:space="0" w:color="7F7F7F"/>
              <w:right w:val="nil"/>
            </w:tcBorders>
            <w:shd w:val="clear" w:color="auto" w:fill="auto"/>
            <w:noWrap/>
            <w:vAlign w:val="center"/>
            <w:hideMark/>
          </w:tcPr>
          <w:p w14:paraId="66C3C155" w14:textId="77777777" w:rsidR="003E7AE0" w:rsidRPr="00757ED8" w:rsidRDefault="003E7AE0" w:rsidP="003E7AE0">
            <w:pPr>
              <w:jc w:val="center"/>
              <w:rPr>
                <w:color w:val="000000"/>
              </w:rPr>
            </w:pPr>
            <w:r w:rsidRPr="00757ED8">
              <w:rPr>
                <w:color w:val="000000"/>
              </w:rPr>
              <w:t>274.07</w:t>
            </w:r>
          </w:p>
        </w:tc>
        <w:tc>
          <w:tcPr>
            <w:tcW w:w="1871" w:type="dxa"/>
            <w:tcBorders>
              <w:top w:val="nil"/>
              <w:left w:val="nil"/>
              <w:bottom w:val="single" w:sz="8" w:space="0" w:color="7F7F7F"/>
              <w:right w:val="nil"/>
            </w:tcBorders>
            <w:shd w:val="clear" w:color="auto" w:fill="auto"/>
            <w:noWrap/>
            <w:vAlign w:val="center"/>
            <w:hideMark/>
          </w:tcPr>
          <w:p w14:paraId="7EDCCFBD" w14:textId="420E470C" w:rsidR="003E7AE0" w:rsidRPr="00757ED8" w:rsidRDefault="003E7AE0" w:rsidP="008C593A">
            <w:pPr>
              <w:jc w:val="center"/>
              <w:rPr>
                <w:color w:val="000000"/>
              </w:rPr>
            </w:pPr>
          </w:p>
        </w:tc>
        <w:tc>
          <w:tcPr>
            <w:tcW w:w="648" w:type="dxa"/>
            <w:tcBorders>
              <w:top w:val="nil"/>
              <w:left w:val="nil"/>
              <w:bottom w:val="single" w:sz="8" w:space="0" w:color="7F7F7F"/>
              <w:right w:val="nil"/>
            </w:tcBorders>
            <w:shd w:val="clear" w:color="auto" w:fill="auto"/>
            <w:noWrap/>
            <w:vAlign w:val="center"/>
            <w:hideMark/>
          </w:tcPr>
          <w:p w14:paraId="781A7B25" w14:textId="77777777" w:rsidR="003E7AE0" w:rsidRPr="00757ED8" w:rsidRDefault="003E7AE0" w:rsidP="003E7AE0">
            <w:pPr>
              <w:rPr>
                <w:color w:val="000000"/>
              </w:rPr>
            </w:pPr>
            <w:r w:rsidRPr="00757ED8">
              <w:rPr>
                <w:color w:val="000000"/>
              </w:rPr>
              <w:t> </w:t>
            </w:r>
          </w:p>
        </w:tc>
        <w:tc>
          <w:tcPr>
            <w:tcW w:w="783" w:type="dxa"/>
            <w:tcBorders>
              <w:top w:val="nil"/>
              <w:left w:val="nil"/>
              <w:bottom w:val="single" w:sz="8" w:space="0" w:color="7F7F7F"/>
              <w:right w:val="nil"/>
            </w:tcBorders>
            <w:shd w:val="clear" w:color="auto" w:fill="auto"/>
            <w:noWrap/>
            <w:vAlign w:val="center"/>
            <w:hideMark/>
          </w:tcPr>
          <w:p w14:paraId="2AF33374" w14:textId="77777777" w:rsidR="003E7AE0" w:rsidRPr="00757ED8" w:rsidRDefault="003E7AE0" w:rsidP="003E7AE0">
            <w:pPr>
              <w:jc w:val="center"/>
              <w:rPr>
                <w:color w:val="000000"/>
              </w:rPr>
            </w:pPr>
            <w:r w:rsidRPr="00757ED8">
              <w:rPr>
                <w:color w:val="000000"/>
              </w:rPr>
              <w:t>0.017</w:t>
            </w:r>
          </w:p>
        </w:tc>
      </w:tr>
    </w:tbl>
    <w:p w14:paraId="3662E3D8" w14:textId="77777777" w:rsidR="00B8286D" w:rsidRDefault="00B8286D">
      <w:pPr>
        <w:rPr>
          <w:rFonts w:cstheme="minorHAnsi"/>
          <w:sz w:val="22"/>
          <w:szCs w:val="22"/>
        </w:rPr>
      </w:pPr>
    </w:p>
    <w:sectPr w:rsidR="00B8286D" w:rsidSect="00366174">
      <w:headerReference w:type="even" r:id="rId39"/>
      <w:headerReference w:type="default" r:id="rId4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EC66" w14:textId="77777777" w:rsidR="00366174" w:rsidRDefault="00366174" w:rsidP="00467C3B">
      <w:r>
        <w:separator/>
      </w:r>
    </w:p>
  </w:endnote>
  <w:endnote w:type="continuationSeparator" w:id="0">
    <w:p w14:paraId="7EA2889A" w14:textId="77777777" w:rsidR="00366174" w:rsidRDefault="00366174" w:rsidP="00467C3B">
      <w:r>
        <w:continuationSeparator/>
      </w:r>
    </w:p>
  </w:endnote>
  <w:endnote w:type="continuationNotice" w:id="1">
    <w:p w14:paraId="34DD1E8E" w14:textId="77777777" w:rsidR="00366174" w:rsidRDefault="00366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26C4" w14:textId="77777777" w:rsidR="00366174" w:rsidRDefault="00366174" w:rsidP="00467C3B">
      <w:r>
        <w:separator/>
      </w:r>
    </w:p>
  </w:footnote>
  <w:footnote w:type="continuationSeparator" w:id="0">
    <w:p w14:paraId="5E3B886A" w14:textId="77777777" w:rsidR="00366174" w:rsidRDefault="00366174" w:rsidP="00467C3B">
      <w:r>
        <w:continuationSeparator/>
      </w:r>
    </w:p>
  </w:footnote>
  <w:footnote w:type="continuationNotice" w:id="1">
    <w:p w14:paraId="21A66FD9" w14:textId="77777777" w:rsidR="00366174" w:rsidRDefault="00366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9766924"/>
      <w:docPartObj>
        <w:docPartGallery w:val="Page Numbers (Top of Page)"/>
        <w:docPartUnique/>
      </w:docPartObj>
    </w:sdtPr>
    <w:sdtContent>
      <w:p w14:paraId="11AC6765" w14:textId="16702AE7" w:rsidR="00467C3B" w:rsidRDefault="00467C3B" w:rsidP="006138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E9A26" w14:textId="77777777" w:rsidR="00467C3B" w:rsidRDefault="00467C3B" w:rsidP="00467C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6632543"/>
      <w:docPartObj>
        <w:docPartGallery w:val="Page Numbers (Top of Page)"/>
        <w:docPartUnique/>
      </w:docPartObj>
    </w:sdtPr>
    <w:sdtContent>
      <w:p w14:paraId="322CC8C8" w14:textId="3BB12FB8" w:rsidR="00467C3B" w:rsidRDefault="00467C3B" w:rsidP="006138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A7891E" w14:textId="2FB7DE93" w:rsidR="006E54DD" w:rsidRPr="007931BD" w:rsidRDefault="006E54DD" w:rsidP="006E54DD">
    <w:pPr>
      <w:rPr>
        <w:sz w:val="22"/>
        <w:szCs w:val="22"/>
      </w:rPr>
    </w:pPr>
    <w:r w:rsidRPr="007931BD">
      <w:rPr>
        <w:sz w:val="22"/>
        <w:szCs w:val="22"/>
      </w:rPr>
      <w:t>MUSCULOSKELETAL</w:t>
    </w:r>
    <w:r w:rsidR="009C7A56" w:rsidRPr="007931BD">
      <w:rPr>
        <w:sz w:val="22"/>
        <w:szCs w:val="22"/>
      </w:rPr>
      <w:t xml:space="preserve"> </w:t>
    </w:r>
    <w:r w:rsidR="009A14BB">
      <w:rPr>
        <w:sz w:val="22"/>
        <w:szCs w:val="22"/>
      </w:rPr>
      <w:t>PAIN</w:t>
    </w:r>
    <w:r w:rsidR="009C7A56" w:rsidRPr="007931BD">
      <w:rPr>
        <w:sz w:val="22"/>
        <w:szCs w:val="22"/>
      </w:rPr>
      <w:t xml:space="preserve"> </w:t>
    </w:r>
    <w:r w:rsidR="00671352" w:rsidRPr="007931BD">
      <w:rPr>
        <w:sz w:val="22"/>
        <w:szCs w:val="22"/>
      </w:rPr>
      <w:t xml:space="preserve">AND </w:t>
    </w:r>
    <w:r w:rsidRPr="007931BD">
      <w:rPr>
        <w:sz w:val="22"/>
        <w:szCs w:val="22"/>
      </w:rPr>
      <w:t>PRACTICE IN UK EARLY</w:t>
    </w:r>
    <w:r w:rsidR="00065939">
      <w:rPr>
        <w:sz w:val="22"/>
        <w:szCs w:val="22"/>
      </w:rPr>
      <w:t xml:space="preserve"> CHILDHOOD</w:t>
    </w:r>
    <w:r w:rsidRPr="007931BD">
      <w:rPr>
        <w:sz w:val="22"/>
        <w:szCs w:val="22"/>
      </w:rPr>
      <w:t xml:space="preserve"> </w:t>
    </w:r>
    <w:r w:rsidR="009A14BB">
      <w:rPr>
        <w:sz w:val="22"/>
        <w:szCs w:val="22"/>
      </w:rPr>
      <w:t xml:space="preserve">EDUCATION </w:t>
    </w:r>
  </w:p>
  <w:p w14:paraId="03676F7D" w14:textId="77777777" w:rsidR="00467C3B" w:rsidRDefault="00467C3B" w:rsidP="00467C3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5F1C"/>
    <w:multiLevelType w:val="hybridMultilevel"/>
    <w:tmpl w:val="1E1C7A10"/>
    <w:lvl w:ilvl="0" w:tplc="F6A6F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3128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27"/>
    <w:rsid w:val="0000197D"/>
    <w:rsid w:val="000037E4"/>
    <w:rsid w:val="00004912"/>
    <w:rsid w:val="00005723"/>
    <w:rsid w:val="000064AC"/>
    <w:rsid w:val="00006B29"/>
    <w:rsid w:val="00006BDC"/>
    <w:rsid w:val="000100EE"/>
    <w:rsid w:val="0001021E"/>
    <w:rsid w:val="00010EF8"/>
    <w:rsid w:val="0001166E"/>
    <w:rsid w:val="00014943"/>
    <w:rsid w:val="000152AB"/>
    <w:rsid w:val="000157BE"/>
    <w:rsid w:val="000161A4"/>
    <w:rsid w:val="00016F7B"/>
    <w:rsid w:val="000201C0"/>
    <w:rsid w:val="00020694"/>
    <w:rsid w:val="00021CB6"/>
    <w:rsid w:val="00021FF8"/>
    <w:rsid w:val="00023269"/>
    <w:rsid w:val="000244F6"/>
    <w:rsid w:val="000256C1"/>
    <w:rsid w:val="00026FB0"/>
    <w:rsid w:val="00027DDA"/>
    <w:rsid w:val="00030632"/>
    <w:rsid w:val="00032130"/>
    <w:rsid w:val="00033B2E"/>
    <w:rsid w:val="00034E9F"/>
    <w:rsid w:val="0003500A"/>
    <w:rsid w:val="00036308"/>
    <w:rsid w:val="00036E93"/>
    <w:rsid w:val="00037537"/>
    <w:rsid w:val="00037A01"/>
    <w:rsid w:val="00041A09"/>
    <w:rsid w:val="000421B3"/>
    <w:rsid w:val="00042268"/>
    <w:rsid w:val="00045DF3"/>
    <w:rsid w:val="000465E5"/>
    <w:rsid w:val="00047F12"/>
    <w:rsid w:val="0005225B"/>
    <w:rsid w:val="000542B9"/>
    <w:rsid w:val="000543CB"/>
    <w:rsid w:val="00054E7B"/>
    <w:rsid w:val="00060207"/>
    <w:rsid w:val="00060FB4"/>
    <w:rsid w:val="000622C3"/>
    <w:rsid w:val="0006381E"/>
    <w:rsid w:val="00064E0D"/>
    <w:rsid w:val="00065939"/>
    <w:rsid w:val="00065A15"/>
    <w:rsid w:val="00066B1D"/>
    <w:rsid w:val="00070217"/>
    <w:rsid w:val="000719FF"/>
    <w:rsid w:val="00075F2A"/>
    <w:rsid w:val="000813B3"/>
    <w:rsid w:val="00081BF9"/>
    <w:rsid w:val="00081D12"/>
    <w:rsid w:val="00083AD0"/>
    <w:rsid w:val="00083F43"/>
    <w:rsid w:val="00085439"/>
    <w:rsid w:val="00085C32"/>
    <w:rsid w:val="00086056"/>
    <w:rsid w:val="00087243"/>
    <w:rsid w:val="0009084D"/>
    <w:rsid w:val="00090E82"/>
    <w:rsid w:val="00090F91"/>
    <w:rsid w:val="00091572"/>
    <w:rsid w:val="00091574"/>
    <w:rsid w:val="000941DA"/>
    <w:rsid w:val="00094707"/>
    <w:rsid w:val="00094987"/>
    <w:rsid w:val="00094EF4"/>
    <w:rsid w:val="00095D4B"/>
    <w:rsid w:val="00096149"/>
    <w:rsid w:val="000A233B"/>
    <w:rsid w:val="000A3533"/>
    <w:rsid w:val="000A3F1D"/>
    <w:rsid w:val="000A4280"/>
    <w:rsid w:val="000A5416"/>
    <w:rsid w:val="000B1611"/>
    <w:rsid w:val="000B2426"/>
    <w:rsid w:val="000B2779"/>
    <w:rsid w:val="000B339E"/>
    <w:rsid w:val="000B3576"/>
    <w:rsid w:val="000B5577"/>
    <w:rsid w:val="000B5581"/>
    <w:rsid w:val="000B6094"/>
    <w:rsid w:val="000B730F"/>
    <w:rsid w:val="000B7D5D"/>
    <w:rsid w:val="000C14A7"/>
    <w:rsid w:val="000C22D4"/>
    <w:rsid w:val="000C468A"/>
    <w:rsid w:val="000C6510"/>
    <w:rsid w:val="000C6866"/>
    <w:rsid w:val="000C70C1"/>
    <w:rsid w:val="000D0A63"/>
    <w:rsid w:val="000D15CA"/>
    <w:rsid w:val="000D1AD7"/>
    <w:rsid w:val="000D2EB3"/>
    <w:rsid w:val="000D4836"/>
    <w:rsid w:val="000D4BEC"/>
    <w:rsid w:val="000D545B"/>
    <w:rsid w:val="000D5BFD"/>
    <w:rsid w:val="000D6486"/>
    <w:rsid w:val="000D740F"/>
    <w:rsid w:val="000D7833"/>
    <w:rsid w:val="000E1EB2"/>
    <w:rsid w:val="000E3420"/>
    <w:rsid w:val="000E3EA7"/>
    <w:rsid w:val="000E4426"/>
    <w:rsid w:val="000E4971"/>
    <w:rsid w:val="000E510C"/>
    <w:rsid w:val="000E6081"/>
    <w:rsid w:val="000E636D"/>
    <w:rsid w:val="000F18A1"/>
    <w:rsid w:val="000F2532"/>
    <w:rsid w:val="000F3566"/>
    <w:rsid w:val="000F3B36"/>
    <w:rsid w:val="000F4977"/>
    <w:rsid w:val="000F5BBF"/>
    <w:rsid w:val="000F7EE6"/>
    <w:rsid w:val="001003C9"/>
    <w:rsid w:val="001003ED"/>
    <w:rsid w:val="001007FB"/>
    <w:rsid w:val="00102B85"/>
    <w:rsid w:val="00102F27"/>
    <w:rsid w:val="001042BE"/>
    <w:rsid w:val="0010549B"/>
    <w:rsid w:val="001061B8"/>
    <w:rsid w:val="0010713C"/>
    <w:rsid w:val="00107D5C"/>
    <w:rsid w:val="00116DE9"/>
    <w:rsid w:val="0012112E"/>
    <w:rsid w:val="00122629"/>
    <w:rsid w:val="00122F15"/>
    <w:rsid w:val="0012425C"/>
    <w:rsid w:val="00124569"/>
    <w:rsid w:val="001252CC"/>
    <w:rsid w:val="001255B5"/>
    <w:rsid w:val="00131E7C"/>
    <w:rsid w:val="00132E01"/>
    <w:rsid w:val="00133A78"/>
    <w:rsid w:val="0013479B"/>
    <w:rsid w:val="0013498D"/>
    <w:rsid w:val="00134E3A"/>
    <w:rsid w:val="001359F8"/>
    <w:rsid w:val="00135A14"/>
    <w:rsid w:val="00137F56"/>
    <w:rsid w:val="00140F0B"/>
    <w:rsid w:val="00143B44"/>
    <w:rsid w:val="001444F1"/>
    <w:rsid w:val="001446B2"/>
    <w:rsid w:val="00145873"/>
    <w:rsid w:val="001471D1"/>
    <w:rsid w:val="001476B8"/>
    <w:rsid w:val="00150827"/>
    <w:rsid w:val="001509BA"/>
    <w:rsid w:val="00152189"/>
    <w:rsid w:val="00152628"/>
    <w:rsid w:val="00152F73"/>
    <w:rsid w:val="001535A1"/>
    <w:rsid w:val="00153D3C"/>
    <w:rsid w:val="00153F2D"/>
    <w:rsid w:val="0015640B"/>
    <w:rsid w:val="0015742D"/>
    <w:rsid w:val="00157723"/>
    <w:rsid w:val="0016111C"/>
    <w:rsid w:val="00161637"/>
    <w:rsid w:val="001638B8"/>
    <w:rsid w:val="00163F44"/>
    <w:rsid w:val="00164341"/>
    <w:rsid w:val="00164E76"/>
    <w:rsid w:val="00164E95"/>
    <w:rsid w:val="00165A4E"/>
    <w:rsid w:val="0016604F"/>
    <w:rsid w:val="001668FA"/>
    <w:rsid w:val="00166A94"/>
    <w:rsid w:val="00166ED4"/>
    <w:rsid w:val="001711AB"/>
    <w:rsid w:val="00171E30"/>
    <w:rsid w:val="0017416B"/>
    <w:rsid w:val="00174304"/>
    <w:rsid w:val="001746FE"/>
    <w:rsid w:val="001748B3"/>
    <w:rsid w:val="00176281"/>
    <w:rsid w:val="00177F6E"/>
    <w:rsid w:val="00182E0D"/>
    <w:rsid w:val="00183C95"/>
    <w:rsid w:val="00183DE7"/>
    <w:rsid w:val="00186EF2"/>
    <w:rsid w:val="00187733"/>
    <w:rsid w:val="00190E23"/>
    <w:rsid w:val="00192744"/>
    <w:rsid w:val="001966C3"/>
    <w:rsid w:val="0019743A"/>
    <w:rsid w:val="00197983"/>
    <w:rsid w:val="001A2D01"/>
    <w:rsid w:val="001A3FF4"/>
    <w:rsid w:val="001A47C3"/>
    <w:rsid w:val="001A5317"/>
    <w:rsid w:val="001B0455"/>
    <w:rsid w:val="001B0A64"/>
    <w:rsid w:val="001B14C6"/>
    <w:rsid w:val="001B14F1"/>
    <w:rsid w:val="001B17FE"/>
    <w:rsid w:val="001B319A"/>
    <w:rsid w:val="001B3A2C"/>
    <w:rsid w:val="001B3CB1"/>
    <w:rsid w:val="001B47F0"/>
    <w:rsid w:val="001B48CF"/>
    <w:rsid w:val="001B5410"/>
    <w:rsid w:val="001B65EF"/>
    <w:rsid w:val="001B7AAB"/>
    <w:rsid w:val="001C28B7"/>
    <w:rsid w:val="001C602F"/>
    <w:rsid w:val="001C6668"/>
    <w:rsid w:val="001C6C47"/>
    <w:rsid w:val="001D07C6"/>
    <w:rsid w:val="001D0DFF"/>
    <w:rsid w:val="001D226B"/>
    <w:rsid w:val="001D2284"/>
    <w:rsid w:val="001D3101"/>
    <w:rsid w:val="001D6609"/>
    <w:rsid w:val="001D76CB"/>
    <w:rsid w:val="001D7B8A"/>
    <w:rsid w:val="001E0F7C"/>
    <w:rsid w:val="001E1021"/>
    <w:rsid w:val="001E19EF"/>
    <w:rsid w:val="001E1C2C"/>
    <w:rsid w:val="001E491A"/>
    <w:rsid w:val="001E4EEF"/>
    <w:rsid w:val="001E5BB5"/>
    <w:rsid w:val="001F0BAC"/>
    <w:rsid w:val="001F1497"/>
    <w:rsid w:val="001F1E4F"/>
    <w:rsid w:val="001F3B83"/>
    <w:rsid w:val="001F525F"/>
    <w:rsid w:val="001F56CE"/>
    <w:rsid w:val="001F68FA"/>
    <w:rsid w:val="001F6E63"/>
    <w:rsid w:val="001F732C"/>
    <w:rsid w:val="001F786D"/>
    <w:rsid w:val="002026C7"/>
    <w:rsid w:val="00202E2D"/>
    <w:rsid w:val="002058F4"/>
    <w:rsid w:val="0020635B"/>
    <w:rsid w:val="00207353"/>
    <w:rsid w:val="00211A01"/>
    <w:rsid w:val="002139F1"/>
    <w:rsid w:val="002140EF"/>
    <w:rsid w:val="00214503"/>
    <w:rsid w:val="00216930"/>
    <w:rsid w:val="00217240"/>
    <w:rsid w:val="00217CD9"/>
    <w:rsid w:val="00217E83"/>
    <w:rsid w:val="0022261C"/>
    <w:rsid w:val="002236B7"/>
    <w:rsid w:val="00223E6E"/>
    <w:rsid w:val="0022614A"/>
    <w:rsid w:val="00226A18"/>
    <w:rsid w:val="002275CE"/>
    <w:rsid w:val="002304B7"/>
    <w:rsid w:val="00232834"/>
    <w:rsid w:val="00233DCF"/>
    <w:rsid w:val="00235E2F"/>
    <w:rsid w:val="00237BB1"/>
    <w:rsid w:val="00237F75"/>
    <w:rsid w:val="00242F9B"/>
    <w:rsid w:val="002435F5"/>
    <w:rsid w:val="002437D2"/>
    <w:rsid w:val="002452F2"/>
    <w:rsid w:val="00247606"/>
    <w:rsid w:val="00247C83"/>
    <w:rsid w:val="00247F8A"/>
    <w:rsid w:val="0025057C"/>
    <w:rsid w:val="00251A66"/>
    <w:rsid w:val="00254D4B"/>
    <w:rsid w:val="00254D4C"/>
    <w:rsid w:val="0026116B"/>
    <w:rsid w:val="00263B5A"/>
    <w:rsid w:val="0026445C"/>
    <w:rsid w:val="00264AED"/>
    <w:rsid w:val="00264B28"/>
    <w:rsid w:val="00266365"/>
    <w:rsid w:val="002672FB"/>
    <w:rsid w:val="00267913"/>
    <w:rsid w:val="002711E9"/>
    <w:rsid w:val="00271F0C"/>
    <w:rsid w:val="00272356"/>
    <w:rsid w:val="00273F0F"/>
    <w:rsid w:val="00277774"/>
    <w:rsid w:val="00277D24"/>
    <w:rsid w:val="00277ED3"/>
    <w:rsid w:val="00280786"/>
    <w:rsid w:val="002822DF"/>
    <w:rsid w:val="00282BCC"/>
    <w:rsid w:val="00283553"/>
    <w:rsid w:val="002840F3"/>
    <w:rsid w:val="00285662"/>
    <w:rsid w:val="00285A37"/>
    <w:rsid w:val="00292328"/>
    <w:rsid w:val="00292775"/>
    <w:rsid w:val="002935B5"/>
    <w:rsid w:val="002944AB"/>
    <w:rsid w:val="00294C64"/>
    <w:rsid w:val="00296282"/>
    <w:rsid w:val="002A022D"/>
    <w:rsid w:val="002A0412"/>
    <w:rsid w:val="002A0B26"/>
    <w:rsid w:val="002A1044"/>
    <w:rsid w:val="002A1732"/>
    <w:rsid w:val="002A4134"/>
    <w:rsid w:val="002A7D27"/>
    <w:rsid w:val="002B0951"/>
    <w:rsid w:val="002B09E1"/>
    <w:rsid w:val="002B1BBB"/>
    <w:rsid w:val="002B2113"/>
    <w:rsid w:val="002B4B49"/>
    <w:rsid w:val="002B5DC9"/>
    <w:rsid w:val="002B67A2"/>
    <w:rsid w:val="002C07FB"/>
    <w:rsid w:val="002C2293"/>
    <w:rsid w:val="002C45AF"/>
    <w:rsid w:val="002C54A1"/>
    <w:rsid w:val="002C5749"/>
    <w:rsid w:val="002D2E74"/>
    <w:rsid w:val="002D3014"/>
    <w:rsid w:val="002D5552"/>
    <w:rsid w:val="002D675A"/>
    <w:rsid w:val="002E15BE"/>
    <w:rsid w:val="002E5040"/>
    <w:rsid w:val="002E52D6"/>
    <w:rsid w:val="002E57CF"/>
    <w:rsid w:val="002E6068"/>
    <w:rsid w:val="002E6DB6"/>
    <w:rsid w:val="002E6E65"/>
    <w:rsid w:val="002E70D0"/>
    <w:rsid w:val="002E7B9B"/>
    <w:rsid w:val="002E7E31"/>
    <w:rsid w:val="002F1D32"/>
    <w:rsid w:val="002F3A6F"/>
    <w:rsid w:val="002F7ABE"/>
    <w:rsid w:val="003000B2"/>
    <w:rsid w:val="0030259B"/>
    <w:rsid w:val="00302BCE"/>
    <w:rsid w:val="003040DC"/>
    <w:rsid w:val="0030445E"/>
    <w:rsid w:val="00304C21"/>
    <w:rsid w:val="003055DC"/>
    <w:rsid w:val="003065C0"/>
    <w:rsid w:val="0030702F"/>
    <w:rsid w:val="0031317E"/>
    <w:rsid w:val="0031348B"/>
    <w:rsid w:val="0031420F"/>
    <w:rsid w:val="00316AFF"/>
    <w:rsid w:val="00321F6B"/>
    <w:rsid w:val="003253C8"/>
    <w:rsid w:val="00325700"/>
    <w:rsid w:val="00326A14"/>
    <w:rsid w:val="00331061"/>
    <w:rsid w:val="00331E96"/>
    <w:rsid w:val="00332E2A"/>
    <w:rsid w:val="00335F78"/>
    <w:rsid w:val="00336CEE"/>
    <w:rsid w:val="00340144"/>
    <w:rsid w:val="00340BCA"/>
    <w:rsid w:val="003420AA"/>
    <w:rsid w:val="003445FF"/>
    <w:rsid w:val="00345033"/>
    <w:rsid w:val="0034540E"/>
    <w:rsid w:val="00347F44"/>
    <w:rsid w:val="00350410"/>
    <w:rsid w:val="00350C1E"/>
    <w:rsid w:val="00351735"/>
    <w:rsid w:val="00352DDD"/>
    <w:rsid w:val="00352E3D"/>
    <w:rsid w:val="0035531F"/>
    <w:rsid w:val="003573C1"/>
    <w:rsid w:val="00360632"/>
    <w:rsid w:val="00360C38"/>
    <w:rsid w:val="003617D3"/>
    <w:rsid w:val="00361F92"/>
    <w:rsid w:val="00363160"/>
    <w:rsid w:val="00366174"/>
    <w:rsid w:val="00372273"/>
    <w:rsid w:val="0037344C"/>
    <w:rsid w:val="00373B22"/>
    <w:rsid w:val="00374F7A"/>
    <w:rsid w:val="00376FC7"/>
    <w:rsid w:val="003817DF"/>
    <w:rsid w:val="0038401B"/>
    <w:rsid w:val="003873AD"/>
    <w:rsid w:val="00390D8B"/>
    <w:rsid w:val="00392F95"/>
    <w:rsid w:val="0039339A"/>
    <w:rsid w:val="00393B19"/>
    <w:rsid w:val="00396483"/>
    <w:rsid w:val="003A09D5"/>
    <w:rsid w:val="003A258D"/>
    <w:rsid w:val="003A268F"/>
    <w:rsid w:val="003A334A"/>
    <w:rsid w:val="003A35AC"/>
    <w:rsid w:val="003A366F"/>
    <w:rsid w:val="003A3C06"/>
    <w:rsid w:val="003A3CC5"/>
    <w:rsid w:val="003A7065"/>
    <w:rsid w:val="003A73D0"/>
    <w:rsid w:val="003A791E"/>
    <w:rsid w:val="003B31FF"/>
    <w:rsid w:val="003B5435"/>
    <w:rsid w:val="003B5810"/>
    <w:rsid w:val="003B5AB9"/>
    <w:rsid w:val="003B5CE0"/>
    <w:rsid w:val="003B6CF9"/>
    <w:rsid w:val="003B750B"/>
    <w:rsid w:val="003B7576"/>
    <w:rsid w:val="003C07FD"/>
    <w:rsid w:val="003C6578"/>
    <w:rsid w:val="003D22AE"/>
    <w:rsid w:val="003D54E2"/>
    <w:rsid w:val="003D6EB6"/>
    <w:rsid w:val="003D76A7"/>
    <w:rsid w:val="003E0D72"/>
    <w:rsid w:val="003E0F1E"/>
    <w:rsid w:val="003E1898"/>
    <w:rsid w:val="003E2056"/>
    <w:rsid w:val="003E22B5"/>
    <w:rsid w:val="003E33C1"/>
    <w:rsid w:val="003E4242"/>
    <w:rsid w:val="003E53D7"/>
    <w:rsid w:val="003E5D0C"/>
    <w:rsid w:val="003E68B4"/>
    <w:rsid w:val="003E7AE0"/>
    <w:rsid w:val="003F4BB0"/>
    <w:rsid w:val="003F5014"/>
    <w:rsid w:val="003F536C"/>
    <w:rsid w:val="003F56C4"/>
    <w:rsid w:val="004025DB"/>
    <w:rsid w:val="00403B3E"/>
    <w:rsid w:val="00405576"/>
    <w:rsid w:val="00407A02"/>
    <w:rsid w:val="004103DC"/>
    <w:rsid w:val="00410513"/>
    <w:rsid w:val="004106FC"/>
    <w:rsid w:val="00412524"/>
    <w:rsid w:val="00412B2E"/>
    <w:rsid w:val="00413A36"/>
    <w:rsid w:val="00413E6B"/>
    <w:rsid w:val="0041563B"/>
    <w:rsid w:val="004221F2"/>
    <w:rsid w:val="004234CB"/>
    <w:rsid w:val="00423537"/>
    <w:rsid w:val="00423917"/>
    <w:rsid w:val="004248D7"/>
    <w:rsid w:val="00425960"/>
    <w:rsid w:val="0042718A"/>
    <w:rsid w:val="00431156"/>
    <w:rsid w:val="00432435"/>
    <w:rsid w:val="004331D8"/>
    <w:rsid w:val="004339EB"/>
    <w:rsid w:val="0043533A"/>
    <w:rsid w:val="004360B7"/>
    <w:rsid w:val="00440530"/>
    <w:rsid w:val="00441208"/>
    <w:rsid w:val="004412D9"/>
    <w:rsid w:val="00441D76"/>
    <w:rsid w:val="00442202"/>
    <w:rsid w:val="00443510"/>
    <w:rsid w:val="004443D3"/>
    <w:rsid w:val="00444668"/>
    <w:rsid w:val="00445F4E"/>
    <w:rsid w:val="00451328"/>
    <w:rsid w:val="004527E5"/>
    <w:rsid w:val="00455D66"/>
    <w:rsid w:val="00456084"/>
    <w:rsid w:val="00456647"/>
    <w:rsid w:val="00456AF3"/>
    <w:rsid w:val="00456EA1"/>
    <w:rsid w:val="00457AA4"/>
    <w:rsid w:val="004601A2"/>
    <w:rsid w:val="00461025"/>
    <w:rsid w:val="004629E0"/>
    <w:rsid w:val="0046386F"/>
    <w:rsid w:val="00464D43"/>
    <w:rsid w:val="00465A6E"/>
    <w:rsid w:val="0046704A"/>
    <w:rsid w:val="00467C3B"/>
    <w:rsid w:val="004700DE"/>
    <w:rsid w:val="004706AD"/>
    <w:rsid w:val="00473F86"/>
    <w:rsid w:val="00474597"/>
    <w:rsid w:val="00475E19"/>
    <w:rsid w:val="00481BED"/>
    <w:rsid w:val="00482071"/>
    <w:rsid w:val="00482BFA"/>
    <w:rsid w:val="0048527A"/>
    <w:rsid w:val="0049067D"/>
    <w:rsid w:val="004906A3"/>
    <w:rsid w:val="00492FB5"/>
    <w:rsid w:val="00494D0D"/>
    <w:rsid w:val="00494F4E"/>
    <w:rsid w:val="004959F1"/>
    <w:rsid w:val="00495B0F"/>
    <w:rsid w:val="00495D97"/>
    <w:rsid w:val="00497C69"/>
    <w:rsid w:val="004A02E4"/>
    <w:rsid w:val="004A0427"/>
    <w:rsid w:val="004A0D5F"/>
    <w:rsid w:val="004A11A9"/>
    <w:rsid w:val="004A1ED9"/>
    <w:rsid w:val="004A28C7"/>
    <w:rsid w:val="004A2B38"/>
    <w:rsid w:val="004A2EDB"/>
    <w:rsid w:val="004A362C"/>
    <w:rsid w:val="004A4F49"/>
    <w:rsid w:val="004A6FA8"/>
    <w:rsid w:val="004A70E0"/>
    <w:rsid w:val="004A77FB"/>
    <w:rsid w:val="004B17BB"/>
    <w:rsid w:val="004B1BF0"/>
    <w:rsid w:val="004B2931"/>
    <w:rsid w:val="004B365B"/>
    <w:rsid w:val="004B59E3"/>
    <w:rsid w:val="004B7488"/>
    <w:rsid w:val="004C4766"/>
    <w:rsid w:val="004C5593"/>
    <w:rsid w:val="004C55D1"/>
    <w:rsid w:val="004C7120"/>
    <w:rsid w:val="004D188D"/>
    <w:rsid w:val="004D239C"/>
    <w:rsid w:val="004D4471"/>
    <w:rsid w:val="004D4767"/>
    <w:rsid w:val="004D71F8"/>
    <w:rsid w:val="004E0293"/>
    <w:rsid w:val="004E4F73"/>
    <w:rsid w:val="004E7EC3"/>
    <w:rsid w:val="004F00CC"/>
    <w:rsid w:val="004F113A"/>
    <w:rsid w:val="004F20BC"/>
    <w:rsid w:val="004F2117"/>
    <w:rsid w:val="004F23A9"/>
    <w:rsid w:val="004F2F22"/>
    <w:rsid w:val="004F5483"/>
    <w:rsid w:val="004F6F11"/>
    <w:rsid w:val="00500378"/>
    <w:rsid w:val="00501C29"/>
    <w:rsid w:val="00505086"/>
    <w:rsid w:val="005056C8"/>
    <w:rsid w:val="005057FA"/>
    <w:rsid w:val="00507EE7"/>
    <w:rsid w:val="00510E4E"/>
    <w:rsid w:val="00511865"/>
    <w:rsid w:val="00511D3D"/>
    <w:rsid w:val="00514BAE"/>
    <w:rsid w:val="00516B0F"/>
    <w:rsid w:val="00517DFB"/>
    <w:rsid w:val="00520BD7"/>
    <w:rsid w:val="0052150B"/>
    <w:rsid w:val="005222CE"/>
    <w:rsid w:val="00524826"/>
    <w:rsid w:val="00524D3F"/>
    <w:rsid w:val="00525784"/>
    <w:rsid w:val="00527837"/>
    <w:rsid w:val="00527E71"/>
    <w:rsid w:val="00530B17"/>
    <w:rsid w:val="00533724"/>
    <w:rsid w:val="00534D94"/>
    <w:rsid w:val="00534E32"/>
    <w:rsid w:val="00536174"/>
    <w:rsid w:val="0053652A"/>
    <w:rsid w:val="00537BF6"/>
    <w:rsid w:val="00541A58"/>
    <w:rsid w:val="00542670"/>
    <w:rsid w:val="005426C7"/>
    <w:rsid w:val="00543616"/>
    <w:rsid w:val="00543630"/>
    <w:rsid w:val="0054567D"/>
    <w:rsid w:val="00551115"/>
    <w:rsid w:val="00551773"/>
    <w:rsid w:val="00551997"/>
    <w:rsid w:val="005540A0"/>
    <w:rsid w:val="00554B79"/>
    <w:rsid w:val="005561C6"/>
    <w:rsid w:val="005563F8"/>
    <w:rsid w:val="00557D35"/>
    <w:rsid w:val="005620F8"/>
    <w:rsid w:val="0056238D"/>
    <w:rsid w:val="00563363"/>
    <w:rsid w:val="00563597"/>
    <w:rsid w:val="00563A60"/>
    <w:rsid w:val="0056488A"/>
    <w:rsid w:val="0056704A"/>
    <w:rsid w:val="00567C3A"/>
    <w:rsid w:val="00571BED"/>
    <w:rsid w:val="00572656"/>
    <w:rsid w:val="00572F19"/>
    <w:rsid w:val="00573AF7"/>
    <w:rsid w:val="00574F30"/>
    <w:rsid w:val="00575741"/>
    <w:rsid w:val="0057592F"/>
    <w:rsid w:val="00577089"/>
    <w:rsid w:val="00577A6B"/>
    <w:rsid w:val="00577CF6"/>
    <w:rsid w:val="0058051E"/>
    <w:rsid w:val="00581AC6"/>
    <w:rsid w:val="00585616"/>
    <w:rsid w:val="005856BC"/>
    <w:rsid w:val="00585959"/>
    <w:rsid w:val="0058679A"/>
    <w:rsid w:val="00586E03"/>
    <w:rsid w:val="005909BE"/>
    <w:rsid w:val="0059138F"/>
    <w:rsid w:val="005917D8"/>
    <w:rsid w:val="00592EB3"/>
    <w:rsid w:val="00595C55"/>
    <w:rsid w:val="00595FAE"/>
    <w:rsid w:val="005965DD"/>
    <w:rsid w:val="00597371"/>
    <w:rsid w:val="005A2353"/>
    <w:rsid w:val="005A2F90"/>
    <w:rsid w:val="005A3B52"/>
    <w:rsid w:val="005A4633"/>
    <w:rsid w:val="005A7461"/>
    <w:rsid w:val="005B3BD6"/>
    <w:rsid w:val="005B55B8"/>
    <w:rsid w:val="005B679E"/>
    <w:rsid w:val="005C1D2C"/>
    <w:rsid w:val="005C201B"/>
    <w:rsid w:val="005C38AD"/>
    <w:rsid w:val="005C4B5B"/>
    <w:rsid w:val="005C69BD"/>
    <w:rsid w:val="005C6CD1"/>
    <w:rsid w:val="005C74E2"/>
    <w:rsid w:val="005C7E7D"/>
    <w:rsid w:val="005D007B"/>
    <w:rsid w:val="005D10F9"/>
    <w:rsid w:val="005D14E5"/>
    <w:rsid w:val="005D23FC"/>
    <w:rsid w:val="005D5538"/>
    <w:rsid w:val="005D5B5D"/>
    <w:rsid w:val="005D6405"/>
    <w:rsid w:val="005D70DF"/>
    <w:rsid w:val="005E0B5E"/>
    <w:rsid w:val="005E100A"/>
    <w:rsid w:val="005E3252"/>
    <w:rsid w:val="005E400D"/>
    <w:rsid w:val="005E6510"/>
    <w:rsid w:val="005E7221"/>
    <w:rsid w:val="005E74FB"/>
    <w:rsid w:val="005E7726"/>
    <w:rsid w:val="005F2FFC"/>
    <w:rsid w:val="005F4134"/>
    <w:rsid w:val="005F4607"/>
    <w:rsid w:val="005F5142"/>
    <w:rsid w:val="005F5947"/>
    <w:rsid w:val="005F6947"/>
    <w:rsid w:val="005F72CF"/>
    <w:rsid w:val="006003BC"/>
    <w:rsid w:val="006005E4"/>
    <w:rsid w:val="006008DB"/>
    <w:rsid w:val="00601B95"/>
    <w:rsid w:val="00602B1C"/>
    <w:rsid w:val="006044C3"/>
    <w:rsid w:val="00605E65"/>
    <w:rsid w:val="00606914"/>
    <w:rsid w:val="00611C4D"/>
    <w:rsid w:val="006145FB"/>
    <w:rsid w:val="0061638C"/>
    <w:rsid w:val="00617D92"/>
    <w:rsid w:val="00617F09"/>
    <w:rsid w:val="00617FC2"/>
    <w:rsid w:val="0062081B"/>
    <w:rsid w:val="00620D09"/>
    <w:rsid w:val="0062206F"/>
    <w:rsid w:val="00622A1E"/>
    <w:rsid w:val="00623543"/>
    <w:rsid w:val="00625C5C"/>
    <w:rsid w:val="00630916"/>
    <w:rsid w:val="00630E84"/>
    <w:rsid w:val="00631364"/>
    <w:rsid w:val="006315E4"/>
    <w:rsid w:val="00632002"/>
    <w:rsid w:val="00632622"/>
    <w:rsid w:val="00633DC9"/>
    <w:rsid w:val="0063412E"/>
    <w:rsid w:val="00634F5C"/>
    <w:rsid w:val="00636A85"/>
    <w:rsid w:val="00637834"/>
    <w:rsid w:val="006424C8"/>
    <w:rsid w:val="00642C9D"/>
    <w:rsid w:val="006475C5"/>
    <w:rsid w:val="006515B0"/>
    <w:rsid w:val="006525EC"/>
    <w:rsid w:val="0065330A"/>
    <w:rsid w:val="006537C3"/>
    <w:rsid w:val="00653F13"/>
    <w:rsid w:val="00654100"/>
    <w:rsid w:val="0065441C"/>
    <w:rsid w:val="00655BC1"/>
    <w:rsid w:val="00655E4E"/>
    <w:rsid w:val="00656A27"/>
    <w:rsid w:val="00660496"/>
    <w:rsid w:val="006615D7"/>
    <w:rsid w:val="00661CD2"/>
    <w:rsid w:val="006648B9"/>
    <w:rsid w:val="0066680F"/>
    <w:rsid w:val="00671352"/>
    <w:rsid w:val="00674A5A"/>
    <w:rsid w:val="00674A79"/>
    <w:rsid w:val="00682DEC"/>
    <w:rsid w:val="00683862"/>
    <w:rsid w:val="00687021"/>
    <w:rsid w:val="00691B28"/>
    <w:rsid w:val="0069581D"/>
    <w:rsid w:val="00695952"/>
    <w:rsid w:val="00696347"/>
    <w:rsid w:val="0069735A"/>
    <w:rsid w:val="00697BC3"/>
    <w:rsid w:val="006A16C1"/>
    <w:rsid w:val="006A29FF"/>
    <w:rsid w:val="006A2C8A"/>
    <w:rsid w:val="006A2F24"/>
    <w:rsid w:val="006A3B4F"/>
    <w:rsid w:val="006A3C70"/>
    <w:rsid w:val="006A58FC"/>
    <w:rsid w:val="006A67B7"/>
    <w:rsid w:val="006A6D2F"/>
    <w:rsid w:val="006B0E13"/>
    <w:rsid w:val="006B2853"/>
    <w:rsid w:val="006B29EE"/>
    <w:rsid w:val="006B2D31"/>
    <w:rsid w:val="006B3C5E"/>
    <w:rsid w:val="006B4202"/>
    <w:rsid w:val="006B50C0"/>
    <w:rsid w:val="006B63C3"/>
    <w:rsid w:val="006B6BFC"/>
    <w:rsid w:val="006B74F5"/>
    <w:rsid w:val="006C034B"/>
    <w:rsid w:val="006C095F"/>
    <w:rsid w:val="006C0CDF"/>
    <w:rsid w:val="006C0D65"/>
    <w:rsid w:val="006C2137"/>
    <w:rsid w:val="006C2F10"/>
    <w:rsid w:val="006C5905"/>
    <w:rsid w:val="006C6744"/>
    <w:rsid w:val="006D10CB"/>
    <w:rsid w:val="006D1764"/>
    <w:rsid w:val="006D2101"/>
    <w:rsid w:val="006D2748"/>
    <w:rsid w:val="006D3441"/>
    <w:rsid w:val="006D3A1C"/>
    <w:rsid w:val="006D4106"/>
    <w:rsid w:val="006D4269"/>
    <w:rsid w:val="006D5CAD"/>
    <w:rsid w:val="006D74CC"/>
    <w:rsid w:val="006E0C7A"/>
    <w:rsid w:val="006E21F9"/>
    <w:rsid w:val="006E2F15"/>
    <w:rsid w:val="006E3AC1"/>
    <w:rsid w:val="006E54DD"/>
    <w:rsid w:val="006E6383"/>
    <w:rsid w:val="006E7B68"/>
    <w:rsid w:val="006F0DAE"/>
    <w:rsid w:val="006F1124"/>
    <w:rsid w:val="006F1F39"/>
    <w:rsid w:val="006F394C"/>
    <w:rsid w:val="006F4835"/>
    <w:rsid w:val="007006F0"/>
    <w:rsid w:val="00700736"/>
    <w:rsid w:val="00704306"/>
    <w:rsid w:val="00706EF3"/>
    <w:rsid w:val="00707115"/>
    <w:rsid w:val="00711734"/>
    <w:rsid w:val="00715806"/>
    <w:rsid w:val="00715BA2"/>
    <w:rsid w:val="00715FA5"/>
    <w:rsid w:val="0071696A"/>
    <w:rsid w:val="0071697D"/>
    <w:rsid w:val="0071774D"/>
    <w:rsid w:val="00723757"/>
    <w:rsid w:val="0072585E"/>
    <w:rsid w:val="00725D96"/>
    <w:rsid w:val="0072729B"/>
    <w:rsid w:val="00730C7F"/>
    <w:rsid w:val="0073171D"/>
    <w:rsid w:val="007328AE"/>
    <w:rsid w:val="00733665"/>
    <w:rsid w:val="00733EA5"/>
    <w:rsid w:val="0073495B"/>
    <w:rsid w:val="0073774C"/>
    <w:rsid w:val="007419BF"/>
    <w:rsid w:val="0074263B"/>
    <w:rsid w:val="0074286D"/>
    <w:rsid w:val="007450FA"/>
    <w:rsid w:val="007463EF"/>
    <w:rsid w:val="00746511"/>
    <w:rsid w:val="00746D13"/>
    <w:rsid w:val="00747654"/>
    <w:rsid w:val="007477C4"/>
    <w:rsid w:val="00747E24"/>
    <w:rsid w:val="007519BD"/>
    <w:rsid w:val="00755678"/>
    <w:rsid w:val="00756B85"/>
    <w:rsid w:val="00757ED8"/>
    <w:rsid w:val="00762D30"/>
    <w:rsid w:val="0076514E"/>
    <w:rsid w:val="00766D05"/>
    <w:rsid w:val="00767825"/>
    <w:rsid w:val="00767C19"/>
    <w:rsid w:val="0077292C"/>
    <w:rsid w:val="007756A2"/>
    <w:rsid w:val="00787CC5"/>
    <w:rsid w:val="007904CC"/>
    <w:rsid w:val="0079221D"/>
    <w:rsid w:val="007931BD"/>
    <w:rsid w:val="007931D8"/>
    <w:rsid w:val="00796538"/>
    <w:rsid w:val="00796C5B"/>
    <w:rsid w:val="00797F1D"/>
    <w:rsid w:val="007A1FEF"/>
    <w:rsid w:val="007A55BE"/>
    <w:rsid w:val="007A6030"/>
    <w:rsid w:val="007A76CF"/>
    <w:rsid w:val="007B00A4"/>
    <w:rsid w:val="007B0C11"/>
    <w:rsid w:val="007B1053"/>
    <w:rsid w:val="007B1B33"/>
    <w:rsid w:val="007B27CB"/>
    <w:rsid w:val="007B323D"/>
    <w:rsid w:val="007B35FB"/>
    <w:rsid w:val="007B36F5"/>
    <w:rsid w:val="007B6D55"/>
    <w:rsid w:val="007C1333"/>
    <w:rsid w:val="007C1A64"/>
    <w:rsid w:val="007C3A46"/>
    <w:rsid w:val="007C440F"/>
    <w:rsid w:val="007C6F8D"/>
    <w:rsid w:val="007D185D"/>
    <w:rsid w:val="007D333A"/>
    <w:rsid w:val="007D3D03"/>
    <w:rsid w:val="007D3FB8"/>
    <w:rsid w:val="007D459B"/>
    <w:rsid w:val="007D53A6"/>
    <w:rsid w:val="007D553A"/>
    <w:rsid w:val="007E17C5"/>
    <w:rsid w:val="007E1A8E"/>
    <w:rsid w:val="007E25DD"/>
    <w:rsid w:val="007E28BD"/>
    <w:rsid w:val="007E58AB"/>
    <w:rsid w:val="007E5AD0"/>
    <w:rsid w:val="007E5C06"/>
    <w:rsid w:val="007E625C"/>
    <w:rsid w:val="007E71A5"/>
    <w:rsid w:val="007E783B"/>
    <w:rsid w:val="007F4AD9"/>
    <w:rsid w:val="007F7D4E"/>
    <w:rsid w:val="00800D2C"/>
    <w:rsid w:val="0080540E"/>
    <w:rsid w:val="0081006A"/>
    <w:rsid w:val="008109C0"/>
    <w:rsid w:val="008123DC"/>
    <w:rsid w:val="0081480E"/>
    <w:rsid w:val="00817AB6"/>
    <w:rsid w:val="00820E80"/>
    <w:rsid w:val="00822379"/>
    <w:rsid w:val="008226BD"/>
    <w:rsid w:val="00823A74"/>
    <w:rsid w:val="00823AC1"/>
    <w:rsid w:val="00823E4F"/>
    <w:rsid w:val="00825518"/>
    <w:rsid w:val="00825DBD"/>
    <w:rsid w:val="00826AD2"/>
    <w:rsid w:val="00827C7F"/>
    <w:rsid w:val="0083080C"/>
    <w:rsid w:val="008338E3"/>
    <w:rsid w:val="00833C9F"/>
    <w:rsid w:val="00833EB1"/>
    <w:rsid w:val="008361A1"/>
    <w:rsid w:val="008364EE"/>
    <w:rsid w:val="00837ABB"/>
    <w:rsid w:val="00840278"/>
    <w:rsid w:val="00842004"/>
    <w:rsid w:val="0084287D"/>
    <w:rsid w:val="00842BEB"/>
    <w:rsid w:val="00842C9A"/>
    <w:rsid w:val="008448B1"/>
    <w:rsid w:val="0084636C"/>
    <w:rsid w:val="00847254"/>
    <w:rsid w:val="0085132F"/>
    <w:rsid w:val="0085540F"/>
    <w:rsid w:val="0085644E"/>
    <w:rsid w:val="00857334"/>
    <w:rsid w:val="00857AED"/>
    <w:rsid w:val="00857DA6"/>
    <w:rsid w:val="008601FB"/>
    <w:rsid w:val="008609FE"/>
    <w:rsid w:val="00862F27"/>
    <w:rsid w:val="00863162"/>
    <w:rsid w:val="00863409"/>
    <w:rsid w:val="00863B4C"/>
    <w:rsid w:val="00866259"/>
    <w:rsid w:val="008702C3"/>
    <w:rsid w:val="00870B7B"/>
    <w:rsid w:val="0087336A"/>
    <w:rsid w:val="008747BD"/>
    <w:rsid w:val="00875869"/>
    <w:rsid w:val="00880B5B"/>
    <w:rsid w:val="00881CE8"/>
    <w:rsid w:val="00882AEF"/>
    <w:rsid w:val="00891475"/>
    <w:rsid w:val="00893788"/>
    <w:rsid w:val="00893A88"/>
    <w:rsid w:val="00893AB1"/>
    <w:rsid w:val="00893F70"/>
    <w:rsid w:val="00894562"/>
    <w:rsid w:val="008974BC"/>
    <w:rsid w:val="008A078F"/>
    <w:rsid w:val="008A333A"/>
    <w:rsid w:val="008A3FB7"/>
    <w:rsid w:val="008A54FC"/>
    <w:rsid w:val="008A5C09"/>
    <w:rsid w:val="008A6A5F"/>
    <w:rsid w:val="008A7A8D"/>
    <w:rsid w:val="008B406F"/>
    <w:rsid w:val="008B46C7"/>
    <w:rsid w:val="008B7149"/>
    <w:rsid w:val="008C434F"/>
    <w:rsid w:val="008C593A"/>
    <w:rsid w:val="008C6F5A"/>
    <w:rsid w:val="008D53D1"/>
    <w:rsid w:val="008D6311"/>
    <w:rsid w:val="008D6BDA"/>
    <w:rsid w:val="008E0681"/>
    <w:rsid w:val="008E1DBF"/>
    <w:rsid w:val="008E217A"/>
    <w:rsid w:val="008E24C8"/>
    <w:rsid w:val="008E28F3"/>
    <w:rsid w:val="008E307D"/>
    <w:rsid w:val="008E3239"/>
    <w:rsid w:val="008E3359"/>
    <w:rsid w:val="008E5C9E"/>
    <w:rsid w:val="008E5D2B"/>
    <w:rsid w:val="008E5D4C"/>
    <w:rsid w:val="008E6D16"/>
    <w:rsid w:val="008F0744"/>
    <w:rsid w:val="008F165C"/>
    <w:rsid w:val="008F368E"/>
    <w:rsid w:val="008F3C31"/>
    <w:rsid w:val="008F622B"/>
    <w:rsid w:val="008F6562"/>
    <w:rsid w:val="008F695E"/>
    <w:rsid w:val="0090125C"/>
    <w:rsid w:val="009018B6"/>
    <w:rsid w:val="00901AA8"/>
    <w:rsid w:val="00901B51"/>
    <w:rsid w:val="009028EF"/>
    <w:rsid w:val="009030D4"/>
    <w:rsid w:val="00903D30"/>
    <w:rsid w:val="009067DF"/>
    <w:rsid w:val="00911CC3"/>
    <w:rsid w:val="00914758"/>
    <w:rsid w:val="00916C74"/>
    <w:rsid w:val="009173F3"/>
    <w:rsid w:val="009179C6"/>
    <w:rsid w:val="00922E2B"/>
    <w:rsid w:val="0092342E"/>
    <w:rsid w:val="009244A6"/>
    <w:rsid w:val="009248CD"/>
    <w:rsid w:val="00926797"/>
    <w:rsid w:val="009273F3"/>
    <w:rsid w:val="00927645"/>
    <w:rsid w:val="00930222"/>
    <w:rsid w:val="00930EE1"/>
    <w:rsid w:val="0093211A"/>
    <w:rsid w:val="009348E3"/>
    <w:rsid w:val="00935C60"/>
    <w:rsid w:val="00936C49"/>
    <w:rsid w:val="00937F26"/>
    <w:rsid w:val="00940295"/>
    <w:rsid w:val="00940E3E"/>
    <w:rsid w:val="009425B8"/>
    <w:rsid w:val="009440EA"/>
    <w:rsid w:val="00944C27"/>
    <w:rsid w:val="00947127"/>
    <w:rsid w:val="00947666"/>
    <w:rsid w:val="009503E1"/>
    <w:rsid w:val="00950549"/>
    <w:rsid w:val="00952DFA"/>
    <w:rsid w:val="009550CA"/>
    <w:rsid w:val="00955FBC"/>
    <w:rsid w:val="0096077E"/>
    <w:rsid w:val="00961378"/>
    <w:rsid w:val="0096140C"/>
    <w:rsid w:val="0096286D"/>
    <w:rsid w:val="009633B7"/>
    <w:rsid w:val="00963D60"/>
    <w:rsid w:val="00966563"/>
    <w:rsid w:val="0096733B"/>
    <w:rsid w:val="00972153"/>
    <w:rsid w:val="0097326E"/>
    <w:rsid w:val="0097397E"/>
    <w:rsid w:val="00974B4A"/>
    <w:rsid w:val="00976015"/>
    <w:rsid w:val="00976C2F"/>
    <w:rsid w:val="00976D0D"/>
    <w:rsid w:val="009778C0"/>
    <w:rsid w:val="00980D9C"/>
    <w:rsid w:val="00981782"/>
    <w:rsid w:val="00982495"/>
    <w:rsid w:val="00982CA0"/>
    <w:rsid w:val="00982CC7"/>
    <w:rsid w:val="00982F04"/>
    <w:rsid w:val="00984012"/>
    <w:rsid w:val="00984225"/>
    <w:rsid w:val="009843F7"/>
    <w:rsid w:val="00985ED4"/>
    <w:rsid w:val="00986056"/>
    <w:rsid w:val="009914E3"/>
    <w:rsid w:val="00991B4B"/>
    <w:rsid w:val="00992177"/>
    <w:rsid w:val="0099262C"/>
    <w:rsid w:val="00995DA3"/>
    <w:rsid w:val="00997B82"/>
    <w:rsid w:val="009A14BB"/>
    <w:rsid w:val="009A1A3B"/>
    <w:rsid w:val="009A2B63"/>
    <w:rsid w:val="009A366F"/>
    <w:rsid w:val="009A460C"/>
    <w:rsid w:val="009A58AD"/>
    <w:rsid w:val="009A6FDE"/>
    <w:rsid w:val="009B01FE"/>
    <w:rsid w:val="009B0C4E"/>
    <w:rsid w:val="009B1649"/>
    <w:rsid w:val="009B2877"/>
    <w:rsid w:val="009B2960"/>
    <w:rsid w:val="009B652E"/>
    <w:rsid w:val="009B66DF"/>
    <w:rsid w:val="009B6F54"/>
    <w:rsid w:val="009B702E"/>
    <w:rsid w:val="009C0393"/>
    <w:rsid w:val="009C42FC"/>
    <w:rsid w:val="009C5EE1"/>
    <w:rsid w:val="009C640D"/>
    <w:rsid w:val="009C6995"/>
    <w:rsid w:val="009C7A56"/>
    <w:rsid w:val="009D16FA"/>
    <w:rsid w:val="009D1F0E"/>
    <w:rsid w:val="009D2EBE"/>
    <w:rsid w:val="009D3028"/>
    <w:rsid w:val="009D3796"/>
    <w:rsid w:val="009D570E"/>
    <w:rsid w:val="009D6063"/>
    <w:rsid w:val="009D7989"/>
    <w:rsid w:val="009E1200"/>
    <w:rsid w:val="009E1645"/>
    <w:rsid w:val="009E1925"/>
    <w:rsid w:val="009E20D4"/>
    <w:rsid w:val="009E424C"/>
    <w:rsid w:val="009E59A7"/>
    <w:rsid w:val="009E72F7"/>
    <w:rsid w:val="009E7446"/>
    <w:rsid w:val="009E7665"/>
    <w:rsid w:val="009F423B"/>
    <w:rsid w:val="009F4CE7"/>
    <w:rsid w:val="009F67A5"/>
    <w:rsid w:val="009F711C"/>
    <w:rsid w:val="009F71EC"/>
    <w:rsid w:val="00A01850"/>
    <w:rsid w:val="00A01D2D"/>
    <w:rsid w:val="00A02706"/>
    <w:rsid w:val="00A0449D"/>
    <w:rsid w:val="00A049CD"/>
    <w:rsid w:val="00A0571F"/>
    <w:rsid w:val="00A066FA"/>
    <w:rsid w:val="00A07C0D"/>
    <w:rsid w:val="00A10744"/>
    <w:rsid w:val="00A1085A"/>
    <w:rsid w:val="00A10A78"/>
    <w:rsid w:val="00A125D2"/>
    <w:rsid w:val="00A1336B"/>
    <w:rsid w:val="00A135B9"/>
    <w:rsid w:val="00A14493"/>
    <w:rsid w:val="00A156CB"/>
    <w:rsid w:val="00A15BF0"/>
    <w:rsid w:val="00A16FE0"/>
    <w:rsid w:val="00A201DE"/>
    <w:rsid w:val="00A2021C"/>
    <w:rsid w:val="00A21AAD"/>
    <w:rsid w:val="00A26702"/>
    <w:rsid w:val="00A2701C"/>
    <w:rsid w:val="00A27B35"/>
    <w:rsid w:val="00A31AD8"/>
    <w:rsid w:val="00A31EF4"/>
    <w:rsid w:val="00A322E1"/>
    <w:rsid w:val="00A32A23"/>
    <w:rsid w:val="00A3457C"/>
    <w:rsid w:val="00A346BE"/>
    <w:rsid w:val="00A356E0"/>
    <w:rsid w:val="00A35AF7"/>
    <w:rsid w:val="00A35CFD"/>
    <w:rsid w:val="00A3621E"/>
    <w:rsid w:val="00A36461"/>
    <w:rsid w:val="00A40287"/>
    <w:rsid w:val="00A42504"/>
    <w:rsid w:val="00A456D2"/>
    <w:rsid w:val="00A462CE"/>
    <w:rsid w:val="00A5001F"/>
    <w:rsid w:val="00A50C54"/>
    <w:rsid w:val="00A522A5"/>
    <w:rsid w:val="00A53A9C"/>
    <w:rsid w:val="00A548A5"/>
    <w:rsid w:val="00A559ED"/>
    <w:rsid w:val="00A55C11"/>
    <w:rsid w:val="00A56DF4"/>
    <w:rsid w:val="00A57540"/>
    <w:rsid w:val="00A60D35"/>
    <w:rsid w:val="00A6127A"/>
    <w:rsid w:val="00A617B9"/>
    <w:rsid w:val="00A64F06"/>
    <w:rsid w:val="00A67AB2"/>
    <w:rsid w:val="00A70346"/>
    <w:rsid w:val="00A70523"/>
    <w:rsid w:val="00A70D99"/>
    <w:rsid w:val="00A70FA6"/>
    <w:rsid w:val="00A72E82"/>
    <w:rsid w:val="00A73BE9"/>
    <w:rsid w:val="00A744C8"/>
    <w:rsid w:val="00A76025"/>
    <w:rsid w:val="00A77B07"/>
    <w:rsid w:val="00A81522"/>
    <w:rsid w:val="00A9079D"/>
    <w:rsid w:val="00A9311A"/>
    <w:rsid w:val="00A936E0"/>
    <w:rsid w:val="00A9376F"/>
    <w:rsid w:val="00A94CE4"/>
    <w:rsid w:val="00AA3C03"/>
    <w:rsid w:val="00AA3EB4"/>
    <w:rsid w:val="00AA49D4"/>
    <w:rsid w:val="00AA5047"/>
    <w:rsid w:val="00AA5DBF"/>
    <w:rsid w:val="00AA5E10"/>
    <w:rsid w:val="00AA66CC"/>
    <w:rsid w:val="00AB06E8"/>
    <w:rsid w:val="00AB0D56"/>
    <w:rsid w:val="00AB0E16"/>
    <w:rsid w:val="00AB147C"/>
    <w:rsid w:val="00AB406C"/>
    <w:rsid w:val="00AC307C"/>
    <w:rsid w:val="00AC34C3"/>
    <w:rsid w:val="00AC541B"/>
    <w:rsid w:val="00AC55D7"/>
    <w:rsid w:val="00AC5721"/>
    <w:rsid w:val="00AC6D11"/>
    <w:rsid w:val="00AD0496"/>
    <w:rsid w:val="00AD081F"/>
    <w:rsid w:val="00AD21E9"/>
    <w:rsid w:val="00AD36A3"/>
    <w:rsid w:val="00AD3A33"/>
    <w:rsid w:val="00AD4F6A"/>
    <w:rsid w:val="00AD7AAC"/>
    <w:rsid w:val="00AE0A00"/>
    <w:rsid w:val="00AE3949"/>
    <w:rsid w:val="00AE3A99"/>
    <w:rsid w:val="00AE5334"/>
    <w:rsid w:val="00AE58A7"/>
    <w:rsid w:val="00AE7F37"/>
    <w:rsid w:val="00AF554E"/>
    <w:rsid w:val="00AF5666"/>
    <w:rsid w:val="00AF6A19"/>
    <w:rsid w:val="00AF7008"/>
    <w:rsid w:val="00AF72C1"/>
    <w:rsid w:val="00B02EF1"/>
    <w:rsid w:val="00B042EA"/>
    <w:rsid w:val="00B06367"/>
    <w:rsid w:val="00B06534"/>
    <w:rsid w:val="00B0693A"/>
    <w:rsid w:val="00B06C46"/>
    <w:rsid w:val="00B070C2"/>
    <w:rsid w:val="00B10859"/>
    <w:rsid w:val="00B1124F"/>
    <w:rsid w:val="00B142E6"/>
    <w:rsid w:val="00B142E9"/>
    <w:rsid w:val="00B173F3"/>
    <w:rsid w:val="00B22283"/>
    <w:rsid w:val="00B222C9"/>
    <w:rsid w:val="00B2302F"/>
    <w:rsid w:val="00B24857"/>
    <w:rsid w:val="00B24AE4"/>
    <w:rsid w:val="00B258FC"/>
    <w:rsid w:val="00B30ACB"/>
    <w:rsid w:val="00B32C73"/>
    <w:rsid w:val="00B36AC0"/>
    <w:rsid w:val="00B37F8B"/>
    <w:rsid w:val="00B43702"/>
    <w:rsid w:val="00B43E40"/>
    <w:rsid w:val="00B46B4A"/>
    <w:rsid w:val="00B46C47"/>
    <w:rsid w:val="00B4740B"/>
    <w:rsid w:val="00B474C7"/>
    <w:rsid w:val="00B546DC"/>
    <w:rsid w:val="00B5596E"/>
    <w:rsid w:val="00B56C67"/>
    <w:rsid w:val="00B57186"/>
    <w:rsid w:val="00B624AB"/>
    <w:rsid w:val="00B64090"/>
    <w:rsid w:val="00B65121"/>
    <w:rsid w:val="00B7004C"/>
    <w:rsid w:val="00B70781"/>
    <w:rsid w:val="00B7115C"/>
    <w:rsid w:val="00B72037"/>
    <w:rsid w:val="00B730A1"/>
    <w:rsid w:val="00B738DA"/>
    <w:rsid w:val="00B7419E"/>
    <w:rsid w:val="00B7515E"/>
    <w:rsid w:val="00B77283"/>
    <w:rsid w:val="00B80DCE"/>
    <w:rsid w:val="00B82431"/>
    <w:rsid w:val="00B8286D"/>
    <w:rsid w:val="00B82ED0"/>
    <w:rsid w:val="00B83C6D"/>
    <w:rsid w:val="00B9021C"/>
    <w:rsid w:val="00B91A87"/>
    <w:rsid w:val="00B92943"/>
    <w:rsid w:val="00B93C9C"/>
    <w:rsid w:val="00B94A64"/>
    <w:rsid w:val="00B94DE0"/>
    <w:rsid w:val="00B950BC"/>
    <w:rsid w:val="00B96EAC"/>
    <w:rsid w:val="00B979D3"/>
    <w:rsid w:val="00BA3C9D"/>
    <w:rsid w:val="00BA4716"/>
    <w:rsid w:val="00BA4952"/>
    <w:rsid w:val="00BA50D1"/>
    <w:rsid w:val="00BA55ED"/>
    <w:rsid w:val="00BA5F09"/>
    <w:rsid w:val="00BA7414"/>
    <w:rsid w:val="00BA7424"/>
    <w:rsid w:val="00BA78AF"/>
    <w:rsid w:val="00BB0D42"/>
    <w:rsid w:val="00BB1A0F"/>
    <w:rsid w:val="00BB21B0"/>
    <w:rsid w:val="00BB23E4"/>
    <w:rsid w:val="00BB3A82"/>
    <w:rsid w:val="00BB5618"/>
    <w:rsid w:val="00BB5F23"/>
    <w:rsid w:val="00BB7A4E"/>
    <w:rsid w:val="00BC0B86"/>
    <w:rsid w:val="00BC3BB9"/>
    <w:rsid w:val="00BC3D2A"/>
    <w:rsid w:val="00BC52D6"/>
    <w:rsid w:val="00BC592B"/>
    <w:rsid w:val="00BC5B55"/>
    <w:rsid w:val="00BC77C1"/>
    <w:rsid w:val="00BC7D49"/>
    <w:rsid w:val="00BC7FD5"/>
    <w:rsid w:val="00BD0394"/>
    <w:rsid w:val="00BD0DFC"/>
    <w:rsid w:val="00BD2327"/>
    <w:rsid w:val="00BD2D7B"/>
    <w:rsid w:val="00BD6D7A"/>
    <w:rsid w:val="00BD79F6"/>
    <w:rsid w:val="00BE27AA"/>
    <w:rsid w:val="00BE77DB"/>
    <w:rsid w:val="00BF1F62"/>
    <w:rsid w:val="00BF3813"/>
    <w:rsid w:val="00BF4E45"/>
    <w:rsid w:val="00BF76B7"/>
    <w:rsid w:val="00C0063E"/>
    <w:rsid w:val="00C02436"/>
    <w:rsid w:val="00C02F18"/>
    <w:rsid w:val="00C05418"/>
    <w:rsid w:val="00C06CF5"/>
    <w:rsid w:val="00C07BAA"/>
    <w:rsid w:val="00C10BCC"/>
    <w:rsid w:val="00C117DD"/>
    <w:rsid w:val="00C13C8A"/>
    <w:rsid w:val="00C15F19"/>
    <w:rsid w:val="00C16CCF"/>
    <w:rsid w:val="00C176ED"/>
    <w:rsid w:val="00C2284F"/>
    <w:rsid w:val="00C23668"/>
    <w:rsid w:val="00C251D2"/>
    <w:rsid w:val="00C3018F"/>
    <w:rsid w:val="00C310BA"/>
    <w:rsid w:val="00C31F23"/>
    <w:rsid w:val="00C34400"/>
    <w:rsid w:val="00C34F97"/>
    <w:rsid w:val="00C35134"/>
    <w:rsid w:val="00C37595"/>
    <w:rsid w:val="00C44F2C"/>
    <w:rsid w:val="00C4604B"/>
    <w:rsid w:val="00C4629C"/>
    <w:rsid w:val="00C476C3"/>
    <w:rsid w:val="00C50850"/>
    <w:rsid w:val="00C53298"/>
    <w:rsid w:val="00C544EB"/>
    <w:rsid w:val="00C61100"/>
    <w:rsid w:val="00C61C28"/>
    <w:rsid w:val="00C64F77"/>
    <w:rsid w:val="00C707B1"/>
    <w:rsid w:val="00C71F2F"/>
    <w:rsid w:val="00C74E2B"/>
    <w:rsid w:val="00C75726"/>
    <w:rsid w:val="00C8028C"/>
    <w:rsid w:val="00C872CA"/>
    <w:rsid w:val="00C87A5D"/>
    <w:rsid w:val="00C9109B"/>
    <w:rsid w:val="00C912BE"/>
    <w:rsid w:val="00C915F0"/>
    <w:rsid w:val="00C91EC7"/>
    <w:rsid w:val="00C92124"/>
    <w:rsid w:val="00C93AA9"/>
    <w:rsid w:val="00C94210"/>
    <w:rsid w:val="00C9535F"/>
    <w:rsid w:val="00C95953"/>
    <w:rsid w:val="00CA246E"/>
    <w:rsid w:val="00CA24F0"/>
    <w:rsid w:val="00CA3B5B"/>
    <w:rsid w:val="00CA4089"/>
    <w:rsid w:val="00CA4817"/>
    <w:rsid w:val="00CA6589"/>
    <w:rsid w:val="00CA6EE5"/>
    <w:rsid w:val="00CA750E"/>
    <w:rsid w:val="00CB052C"/>
    <w:rsid w:val="00CB12D5"/>
    <w:rsid w:val="00CB1E63"/>
    <w:rsid w:val="00CB4038"/>
    <w:rsid w:val="00CB43D2"/>
    <w:rsid w:val="00CB4950"/>
    <w:rsid w:val="00CB4A7C"/>
    <w:rsid w:val="00CB585F"/>
    <w:rsid w:val="00CB5A2F"/>
    <w:rsid w:val="00CB689D"/>
    <w:rsid w:val="00CB7282"/>
    <w:rsid w:val="00CC0368"/>
    <w:rsid w:val="00CC0CD5"/>
    <w:rsid w:val="00CC11FB"/>
    <w:rsid w:val="00CC13DA"/>
    <w:rsid w:val="00CC3432"/>
    <w:rsid w:val="00CC56C6"/>
    <w:rsid w:val="00CD1B50"/>
    <w:rsid w:val="00CD22BB"/>
    <w:rsid w:val="00CD249C"/>
    <w:rsid w:val="00CD4822"/>
    <w:rsid w:val="00CD4DF5"/>
    <w:rsid w:val="00CD5A50"/>
    <w:rsid w:val="00CD7B79"/>
    <w:rsid w:val="00CD7DCE"/>
    <w:rsid w:val="00CE00F2"/>
    <w:rsid w:val="00CE087F"/>
    <w:rsid w:val="00CE15DE"/>
    <w:rsid w:val="00CE31D6"/>
    <w:rsid w:val="00CE61BA"/>
    <w:rsid w:val="00CF2553"/>
    <w:rsid w:val="00CF2608"/>
    <w:rsid w:val="00CF2ABF"/>
    <w:rsid w:val="00CF3660"/>
    <w:rsid w:val="00CF4057"/>
    <w:rsid w:val="00CF448A"/>
    <w:rsid w:val="00CF4BE2"/>
    <w:rsid w:val="00CF50FE"/>
    <w:rsid w:val="00CF7F35"/>
    <w:rsid w:val="00D00709"/>
    <w:rsid w:val="00D012B6"/>
    <w:rsid w:val="00D025FF"/>
    <w:rsid w:val="00D0374F"/>
    <w:rsid w:val="00D064C3"/>
    <w:rsid w:val="00D11816"/>
    <w:rsid w:val="00D12354"/>
    <w:rsid w:val="00D12A24"/>
    <w:rsid w:val="00D14AD9"/>
    <w:rsid w:val="00D153AB"/>
    <w:rsid w:val="00D1558C"/>
    <w:rsid w:val="00D156B8"/>
    <w:rsid w:val="00D15FF2"/>
    <w:rsid w:val="00D17EDE"/>
    <w:rsid w:val="00D229FD"/>
    <w:rsid w:val="00D22D9A"/>
    <w:rsid w:val="00D24BE7"/>
    <w:rsid w:val="00D25FE8"/>
    <w:rsid w:val="00D262F3"/>
    <w:rsid w:val="00D2682C"/>
    <w:rsid w:val="00D304EA"/>
    <w:rsid w:val="00D32D65"/>
    <w:rsid w:val="00D342E6"/>
    <w:rsid w:val="00D374D6"/>
    <w:rsid w:val="00D375F9"/>
    <w:rsid w:val="00D4281A"/>
    <w:rsid w:val="00D4419D"/>
    <w:rsid w:val="00D46277"/>
    <w:rsid w:val="00D46F3D"/>
    <w:rsid w:val="00D47368"/>
    <w:rsid w:val="00D5028E"/>
    <w:rsid w:val="00D51A32"/>
    <w:rsid w:val="00D523B5"/>
    <w:rsid w:val="00D5247C"/>
    <w:rsid w:val="00D52AC4"/>
    <w:rsid w:val="00D52F4B"/>
    <w:rsid w:val="00D530E3"/>
    <w:rsid w:val="00D53909"/>
    <w:rsid w:val="00D53B7E"/>
    <w:rsid w:val="00D54FDD"/>
    <w:rsid w:val="00D55E5C"/>
    <w:rsid w:val="00D56457"/>
    <w:rsid w:val="00D61B20"/>
    <w:rsid w:val="00D64803"/>
    <w:rsid w:val="00D65955"/>
    <w:rsid w:val="00D65E9A"/>
    <w:rsid w:val="00D66E2E"/>
    <w:rsid w:val="00D67742"/>
    <w:rsid w:val="00D701EE"/>
    <w:rsid w:val="00D702DB"/>
    <w:rsid w:val="00D719D9"/>
    <w:rsid w:val="00D71D80"/>
    <w:rsid w:val="00D72820"/>
    <w:rsid w:val="00D7394D"/>
    <w:rsid w:val="00D73D62"/>
    <w:rsid w:val="00D7422F"/>
    <w:rsid w:val="00D74FA7"/>
    <w:rsid w:val="00D75FD8"/>
    <w:rsid w:val="00D7657D"/>
    <w:rsid w:val="00D76A45"/>
    <w:rsid w:val="00D84F88"/>
    <w:rsid w:val="00D8583D"/>
    <w:rsid w:val="00D8779B"/>
    <w:rsid w:val="00D90D20"/>
    <w:rsid w:val="00D90F1F"/>
    <w:rsid w:val="00D91427"/>
    <w:rsid w:val="00D92CF9"/>
    <w:rsid w:val="00D94F62"/>
    <w:rsid w:val="00D97778"/>
    <w:rsid w:val="00DA015A"/>
    <w:rsid w:val="00DA0959"/>
    <w:rsid w:val="00DA11FD"/>
    <w:rsid w:val="00DA1627"/>
    <w:rsid w:val="00DA1DDB"/>
    <w:rsid w:val="00DA2885"/>
    <w:rsid w:val="00DA61F6"/>
    <w:rsid w:val="00DA6354"/>
    <w:rsid w:val="00DA72B8"/>
    <w:rsid w:val="00DB1830"/>
    <w:rsid w:val="00DB5266"/>
    <w:rsid w:val="00DB5B5F"/>
    <w:rsid w:val="00DB5DA3"/>
    <w:rsid w:val="00DB6308"/>
    <w:rsid w:val="00DB775F"/>
    <w:rsid w:val="00DB7CD2"/>
    <w:rsid w:val="00DC2DD9"/>
    <w:rsid w:val="00DC4681"/>
    <w:rsid w:val="00DC4B04"/>
    <w:rsid w:val="00DC4C96"/>
    <w:rsid w:val="00DC5053"/>
    <w:rsid w:val="00DC5682"/>
    <w:rsid w:val="00DC64F4"/>
    <w:rsid w:val="00DC6FD0"/>
    <w:rsid w:val="00DC7D9C"/>
    <w:rsid w:val="00DD17E7"/>
    <w:rsid w:val="00DD3E76"/>
    <w:rsid w:val="00DD5128"/>
    <w:rsid w:val="00DD7104"/>
    <w:rsid w:val="00DD74E6"/>
    <w:rsid w:val="00DD795C"/>
    <w:rsid w:val="00DE0061"/>
    <w:rsid w:val="00DE2C9A"/>
    <w:rsid w:val="00DE3C7A"/>
    <w:rsid w:val="00DE3E1F"/>
    <w:rsid w:val="00DE6298"/>
    <w:rsid w:val="00DE69F0"/>
    <w:rsid w:val="00DE6CAD"/>
    <w:rsid w:val="00DF07A6"/>
    <w:rsid w:val="00DF16A6"/>
    <w:rsid w:val="00DF1954"/>
    <w:rsid w:val="00DF1DDC"/>
    <w:rsid w:val="00DF2ACB"/>
    <w:rsid w:val="00DF71D9"/>
    <w:rsid w:val="00DF788D"/>
    <w:rsid w:val="00E004ED"/>
    <w:rsid w:val="00E0184B"/>
    <w:rsid w:val="00E0369F"/>
    <w:rsid w:val="00E03777"/>
    <w:rsid w:val="00E039A6"/>
    <w:rsid w:val="00E05311"/>
    <w:rsid w:val="00E05736"/>
    <w:rsid w:val="00E07E85"/>
    <w:rsid w:val="00E07F6E"/>
    <w:rsid w:val="00E108A2"/>
    <w:rsid w:val="00E10AA1"/>
    <w:rsid w:val="00E11249"/>
    <w:rsid w:val="00E11CA4"/>
    <w:rsid w:val="00E122A9"/>
    <w:rsid w:val="00E13B26"/>
    <w:rsid w:val="00E13B2A"/>
    <w:rsid w:val="00E15D8A"/>
    <w:rsid w:val="00E16A60"/>
    <w:rsid w:val="00E20275"/>
    <w:rsid w:val="00E21D2A"/>
    <w:rsid w:val="00E26E86"/>
    <w:rsid w:val="00E36143"/>
    <w:rsid w:val="00E3674E"/>
    <w:rsid w:val="00E36C90"/>
    <w:rsid w:val="00E37B64"/>
    <w:rsid w:val="00E4154A"/>
    <w:rsid w:val="00E4183F"/>
    <w:rsid w:val="00E423E9"/>
    <w:rsid w:val="00E43110"/>
    <w:rsid w:val="00E44685"/>
    <w:rsid w:val="00E45226"/>
    <w:rsid w:val="00E463C1"/>
    <w:rsid w:val="00E47BB8"/>
    <w:rsid w:val="00E50360"/>
    <w:rsid w:val="00E53468"/>
    <w:rsid w:val="00E54FDC"/>
    <w:rsid w:val="00E55072"/>
    <w:rsid w:val="00E57722"/>
    <w:rsid w:val="00E57763"/>
    <w:rsid w:val="00E57B82"/>
    <w:rsid w:val="00E57BAA"/>
    <w:rsid w:val="00E57E9E"/>
    <w:rsid w:val="00E6286A"/>
    <w:rsid w:val="00E6440C"/>
    <w:rsid w:val="00E64914"/>
    <w:rsid w:val="00E66AF7"/>
    <w:rsid w:val="00E670B5"/>
    <w:rsid w:val="00E67314"/>
    <w:rsid w:val="00E6757E"/>
    <w:rsid w:val="00E71657"/>
    <w:rsid w:val="00E735F1"/>
    <w:rsid w:val="00E76F99"/>
    <w:rsid w:val="00E771B4"/>
    <w:rsid w:val="00E776D0"/>
    <w:rsid w:val="00E7772F"/>
    <w:rsid w:val="00E802FB"/>
    <w:rsid w:val="00E80C73"/>
    <w:rsid w:val="00E83D62"/>
    <w:rsid w:val="00E87386"/>
    <w:rsid w:val="00E908B8"/>
    <w:rsid w:val="00E91F72"/>
    <w:rsid w:val="00E92329"/>
    <w:rsid w:val="00E925EC"/>
    <w:rsid w:val="00E9327C"/>
    <w:rsid w:val="00E93E8C"/>
    <w:rsid w:val="00E95988"/>
    <w:rsid w:val="00E95C7E"/>
    <w:rsid w:val="00E95F19"/>
    <w:rsid w:val="00E97020"/>
    <w:rsid w:val="00E9787B"/>
    <w:rsid w:val="00EA3595"/>
    <w:rsid w:val="00EA375E"/>
    <w:rsid w:val="00EA6C2C"/>
    <w:rsid w:val="00EA7641"/>
    <w:rsid w:val="00EB03A6"/>
    <w:rsid w:val="00EB14D8"/>
    <w:rsid w:val="00EB205F"/>
    <w:rsid w:val="00EB3175"/>
    <w:rsid w:val="00EB37E3"/>
    <w:rsid w:val="00EB5204"/>
    <w:rsid w:val="00EB5AC1"/>
    <w:rsid w:val="00EB5CD5"/>
    <w:rsid w:val="00EB76C3"/>
    <w:rsid w:val="00EC25B5"/>
    <w:rsid w:val="00EC3A6B"/>
    <w:rsid w:val="00EC6A4D"/>
    <w:rsid w:val="00EC7445"/>
    <w:rsid w:val="00ED0373"/>
    <w:rsid w:val="00ED28B3"/>
    <w:rsid w:val="00ED407A"/>
    <w:rsid w:val="00ED6217"/>
    <w:rsid w:val="00ED6AB5"/>
    <w:rsid w:val="00ED766B"/>
    <w:rsid w:val="00ED79B9"/>
    <w:rsid w:val="00EE2AD2"/>
    <w:rsid w:val="00EE3058"/>
    <w:rsid w:val="00EE39C3"/>
    <w:rsid w:val="00EE3BC2"/>
    <w:rsid w:val="00EE64D6"/>
    <w:rsid w:val="00EE6C32"/>
    <w:rsid w:val="00EF077B"/>
    <w:rsid w:val="00EF25C9"/>
    <w:rsid w:val="00EF2D22"/>
    <w:rsid w:val="00EF33A5"/>
    <w:rsid w:val="00EF33F8"/>
    <w:rsid w:val="00EF3E36"/>
    <w:rsid w:val="00EF4463"/>
    <w:rsid w:val="00EF4CAB"/>
    <w:rsid w:val="00EF4E72"/>
    <w:rsid w:val="00EF54A9"/>
    <w:rsid w:val="00EF5B1A"/>
    <w:rsid w:val="00EF5DC4"/>
    <w:rsid w:val="00EF6FF2"/>
    <w:rsid w:val="00EF73B0"/>
    <w:rsid w:val="00EF7EDD"/>
    <w:rsid w:val="00F00286"/>
    <w:rsid w:val="00F00F30"/>
    <w:rsid w:val="00F02950"/>
    <w:rsid w:val="00F038BC"/>
    <w:rsid w:val="00F04978"/>
    <w:rsid w:val="00F056C0"/>
    <w:rsid w:val="00F11D30"/>
    <w:rsid w:val="00F125BC"/>
    <w:rsid w:val="00F14E34"/>
    <w:rsid w:val="00F154D6"/>
    <w:rsid w:val="00F171DF"/>
    <w:rsid w:val="00F17A8B"/>
    <w:rsid w:val="00F2008D"/>
    <w:rsid w:val="00F21084"/>
    <w:rsid w:val="00F212C9"/>
    <w:rsid w:val="00F219B9"/>
    <w:rsid w:val="00F22962"/>
    <w:rsid w:val="00F22AC7"/>
    <w:rsid w:val="00F22C7A"/>
    <w:rsid w:val="00F23800"/>
    <w:rsid w:val="00F23806"/>
    <w:rsid w:val="00F25071"/>
    <w:rsid w:val="00F262FE"/>
    <w:rsid w:val="00F27C53"/>
    <w:rsid w:val="00F32D5D"/>
    <w:rsid w:val="00F34216"/>
    <w:rsid w:val="00F34383"/>
    <w:rsid w:val="00F34413"/>
    <w:rsid w:val="00F37940"/>
    <w:rsid w:val="00F43B37"/>
    <w:rsid w:val="00F45EA6"/>
    <w:rsid w:val="00F46395"/>
    <w:rsid w:val="00F46707"/>
    <w:rsid w:val="00F4709C"/>
    <w:rsid w:val="00F47341"/>
    <w:rsid w:val="00F50009"/>
    <w:rsid w:val="00F52E50"/>
    <w:rsid w:val="00F54251"/>
    <w:rsid w:val="00F543A6"/>
    <w:rsid w:val="00F54952"/>
    <w:rsid w:val="00F55224"/>
    <w:rsid w:val="00F55478"/>
    <w:rsid w:val="00F55573"/>
    <w:rsid w:val="00F556EA"/>
    <w:rsid w:val="00F60A20"/>
    <w:rsid w:val="00F60C1A"/>
    <w:rsid w:val="00F61B9F"/>
    <w:rsid w:val="00F621C3"/>
    <w:rsid w:val="00F62F4D"/>
    <w:rsid w:val="00F633AF"/>
    <w:rsid w:val="00F633FE"/>
    <w:rsid w:val="00F64BF4"/>
    <w:rsid w:val="00F65463"/>
    <w:rsid w:val="00F668C1"/>
    <w:rsid w:val="00F669EA"/>
    <w:rsid w:val="00F71E24"/>
    <w:rsid w:val="00F73068"/>
    <w:rsid w:val="00F7316F"/>
    <w:rsid w:val="00F73C6E"/>
    <w:rsid w:val="00F73E2A"/>
    <w:rsid w:val="00F761EA"/>
    <w:rsid w:val="00F765C1"/>
    <w:rsid w:val="00F7721D"/>
    <w:rsid w:val="00F7750F"/>
    <w:rsid w:val="00F77852"/>
    <w:rsid w:val="00F81849"/>
    <w:rsid w:val="00F824D7"/>
    <w:rsid w:val="00F8355F"/>
    <w:rsid w:val="00F839E6"/>
    <w:rsid w:val="00F83B83"/>
    <w:rsid w:val="00F84938"/>
    <w:rsid w:val="00F855A2"/>
    <w:rsid w:val="00F85B6E"/>
    <w:rsid w:val="00F864C8"/>
    <w:rsid w:val="00F86543"/>
    <w:rsid w:val="00F86573"/>
    <w:rsid w:val="00F86A9C"/>
    <w:rsid w:val="00F87993"/>
    <w:rsid w:val="00F902D2"/>
    <w:rsid w:val="00F902F7"/>
    <w:rsid w:val="00F90569"/>
    <w:rsid w:val="00F91124"/>
    <w:rsid w:val="00F9154A"/>
    <w:rsid w:val="00F92B4C"/>
    <w:rsid w:val="00F93604"/>
    <w:rsid w:val="00F94160"/>
    <w:rsid w:val="00F94A27"/>
    <w:rsid w:val="00F95449"/>
    <w:rsid w:val="00FA1425"/>
    <w:rsid w:val="00FA14D4"/>
    <w:rsid w:val="00FA5287"/>
    <w:rsid w:val="00FA5B7E"/>
    <w:rsid w:val="00FA6D16"/>
    <w:rsid w:val="00FA6DAE"/>
    <w:rsid w:val="00FA7DDF"/>
    <w:rsid w:val="00FB2263"/>
    <w:rsid w:val="00FB2F51"/>
    <w:rsid w:val="00FB34FF"/>
    <w:rsid w:val="00FB4718"/>
    <w:rsid w:val="00FB5155"/>
    <w:rsid w:val="00FB5FD0"/>
    <w:rsid w:val="00FB609A"/>
    <w:rsid w:val="00FB6A3D"/>
    <w:rsid w:val="00FB7B84"/>
    <w:rsid w:val="00FC2D50"/>
    <w:rsid w:val="00FC3D96"/>
    <w:rsid w:val="00FC4D86"/>
    <w:rsid w:val="00FC4E7B"/>
    <w:rsid w:val="00FD0138"/>
    <w:rsid w:val="00FD01C7"/>
    <w:rsid w:val="00FD12C0"/>
    <w:rsid w:val="00FD4316"/>
    <w:rsid w:val="00FD498D"/>
    <w:rsid w:val="00FD4DD0"/>
    <w:rsid w:val="00FD5E8D"/>
    <w:rsid w:val="00FD6184"/>
    <w:rsid w:val="00FE23BC"/>
    <w:rsid w:val="00FE37E2"/>
    <w:rsid w:val="00FE47FC"/>
    <w:rsid w:val="00FE5845"/>
    <w:rsid w:val="00FE7E01"/>
    <w:rsid w:val="00FF10E5"/>
    <w:rsid w:val="00FF1445"/>
    <w:rsid w:val="00FF28F8"/>
    <w:rsid w:val="00FF38AF"/>
    <w:rsid w:val="00FF3D49"/>
    <w:rsid w:val="00FF5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57DE"/>
  <w15:chartTrackingRefBased/>
  <w15:docId w15:val="{F5E54AE1-F1E6-5146-990F-2D7015DE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C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A7D27"/>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Heading2">
    <w:name w:val="heading 2"/>
    <w:basedOn w:val="Normal"/>
    <w:next w:val="Normal"/>
    <w:link w:val="Heading2Char"/>
    <w:uiPriority w:val="9"/>
    <w:unhideWhenUsed/>
    <w:qFormat/>
    <w:rsid w:val="002A7D27"/>
    <w:pPr>
      <w:keepNext/>
      <w:keepLines/>
      <w:spacing w:before="200"/>
      <w:outlineLvl w:val="1"/>
    </w:pPr>
    <w:rPr>
      <w:rFonts w:asciiTheme="majorHAnsi" w:eastAsiaTheme="majorEastAsia" w:hAnsiTheme="majorHAnsi" w:cstheme="majorBidi"/>
      <w:b/>
      <w:bCs/>
      <w:color w:val="4472C4" w:themeColor="accent1"/>
      <w:sz w:val="26"/>
      <w:szCs w:val="26"/>
      <w:lang w:eastAsia="en-US"/>
    </w:rPr>
  </w:style>
  <w:style w:type="paragraph" w:styleId="Heading3">
    <w:name w:val="heading 3"/>
    <w:basedOn w:val="Normal"/>
    <w:next w:val="Normal"/>
    <w:link w:val="Heading3Char"/>
    <w:uiPriority w:val="9"/>
    <w:unhideWhenUsed/>
    <w:qFormat/>
    <w:rsid w:val="002A7D27"/>
    <w:pPr>
      <w:keepNext/>
      <w:keepLines/>
      <w:spacing w:before="200"/>
      <w:outlineLvl w:val="2"/>
    </w:pPr>
    <w:rPr>
      <w:rFonts w:asciiTheme="majorHAnsi" w:eastAsiaTheme="majorEastAsia" w:hAnsiTheme="majorHAnsi" w:cstheme="majorBidi"/>
      <w:b/>
      <w:bCs/>
      <w:color w:val="4472C4"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D27"/>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2A7D2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A7D27"/>
    <w:rPr>
      <w:rFonts w:asciiTheme="majorHAnsi" w:eastAsiaTheme="majorEastAsia" w:hAnsiTheme="majorHAnsi" w:cstheme="majorBidi"/>
      <w:b/>
      <w:bCs/>
      <w:color w:val="4472C4" w:themeColor="accent1"/>
    </w:rPr>
  </w:style>
  <w:style w:type="character" w:customStyle="1" w:styleId="js-about-item-abstr">
    <w:name w:val="js-about-item-abstr"/>
    <w:basedOn w:val="DefaultParagraphFont"/>
    <w:rsid w:val="002A7D27"/>
  </w:style>
  <w:style w:type="paragraph" w:styleId="Title">
    <w:name w:val="Title"/>
    <w:basedOn w:val="Normal"/>
    <w:next w:val="Normal"/>
    <w:link w:val="TitleChar"/>
    <w:uiPriority w:val="10"/>
    <w:qFormat/>
    <w:rsid w:val="002A7D27"/>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A7D27"/>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2A7D27"/>
    <w:rPr>
      <w:i/>
      <w:iCs/>
    </w:rPr>
  </w:style>
  <w:style w:type="table" w:styleId="TableGrid">
    <w:name w:val="Table Grid"/>
    <w:basedOn w:val="TableNormal"/>
    <w:uiPriority w:val="39"/>
    <w:rsid w:val="002A7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A7D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A7D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2A7D27"/>
    <w:rPr>
      <w:sz w:val="16"/>
      <w:szCs w:val="16"/>
    </w:rPr>
  </w:style>
  <w:style w:type="paragraph" w:styleId="CommentText">
    <w:name w:val="annotation text"/>
    <w:basedOn w:val="Normal"/>
    <w:link w:val="CommentTextChar"/>
    <w:uiPriority w:val="99"/>
    <w:unhideWhenUsed/>
    <w:rsid w:val="002A7D2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2A7D27"/>
    <w:rPr>
      <w:sz w:val="20"/>
      <w:szCs w:val="20"/>
    </w:rPr>
  </w:style>
  <w:style w:type="paragraph" w:styleId="CommentSubject">
    <w:name w:val="annotation subject"/>
    <w:basedOn w:val="CommentText"/>
    <w:next w:val="CommentText"/>
    <w:link w:val="CommentSubjectChar"/>
    <w:uiPriority w:val="99"/>
    <w:semiHidden/>
    <w:unhideWhenUsed/>
    <w:rsid w:val="002A7D27"/>
    <w:rPr>
      <w:b/>
      <w:bCs/>
    </w:rPr>
  </w:style>
  <w:style w:type="character" w:customStyle="1" w:styleId="CommentSubjectChar">
    <w:name w:val="Comment Subject Char"/>
    <w:basedOn w:val="CommentTextChar"/>
    <w:link w:val="CommentSubject"/>
    <w:uiPriority w:val="99"/>
    <w:semiHidden/>
    <w:rsid w:val="002A7D27"/>
    <w:rPr>
      <w:b/>
      <w:bCs/>
      <w:sz w:val="20"/>
      <w:szCs w:val="20"/>
    </w:rPr>
  </w:style>
  <w:style w:type="character" w:styleId="Hyperlink">
    <w:name w:val="Hyperlink"/>
    <w:basedOn w:val="DefaultParagraphFont"/>
    <w:uiPriority w:val="99"/>
    <w:unhideWhenUsed/>
    <w:rsid w:val="002A7D27"/>
    <w:rPr>
      <w:color w:val="0563C1" w:themeColor="hyperlink"/>
      <w:u w:val="single"/>
    </w:rPr>
  </w:style>
  <w:style w:type="character" w:styleId="UnresolvedMention">
    <w:name w:val="Unresolved Mention"/>
    <w:basedOn w:val="DefaultParagraphFont"/>
    <w:uiPriority w:val="99"/>
    <w:semiHidden/>
    <w:unhideWhenUsed/>
    <w:rsid w:val="002A7D27"/>
    <w:rPr>
      <w:color w:val="605E5C"/>
      <w:shd w:val="clear" w:color="auto" w:fill="E1DFDD"/>
    </w:rPr>
  </w:style>
  <w:style w:type="paragraph" w:styleId="NormalWeb">
    <w:name w:val="Normal (Web)"/>
    <w:basedOn w:val="Normal"/>
    <w:uiPriority w:val="99"/>
    <w:semiHidden/>
    <w:unhideWhenUsed/>
    <w:rsid w:val="002A7D27"/>
    <w:pPr>
      <w:spacing w:before="100" w:beforeAutospacing="1" w:after="100" w:afterAutospacing="1"/>
    </w:pPr>
  </w:style>
  <w:style w:type="character" w:customStyle="1" w:styleId="hgkelc">
    <w:name w:val="hgkelc"/>
    <w:basedOn w:val="DefaultParagraphFont"/>
    <w:rsid w:val="002A7D27"/>
  </w:style>
  <w:style w:type="paragraph" w:styleId="NoSpacing">
    <w:name w:val="No Spacing"/>
    <w:uiPriority w:val="1"/>
    <w:qFormat/>
    <w:rsid w:val="002A7D27"/>
  </w:style>
  <w:style w:type="paragraph" w:styleId="Header">
    <w:name w:val="header"/>
    <w:basedOn w:val="Normal"/>
    <w:link w:val="HeaderChar"/>
    <w:uiPriority w:val="99"/>
    <w:unhideWhenUsed/>
    <w:rsid w:val="00467C3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67C3B"/>
  </w:style>
  <w:style w:type="character" w:styleId="PageNumber">
    <w:name w:val="page number"/>
    <w:basedOn w:val="DefaultParagraphFont"/>
    <w:uiPriority w:val="99"/>
    <w:semiHidden/>
    <w:unhideWhenUsed/>
    <w:rsid w:val="00467C3B"/>
  </w:style>
  <w:style w:type="paragraph" w:styleId="Footer">
    <w:name w:val="footer"/>
    <w:basedOn w:val="Normal"/>
    <w:link w:val="FooterChar"/>
    <w:uiPriority w:val="99"/>
    <w:unhideWhenUsed/>
    <w:rsid w:val="00CF2553"/>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F2553"/>
  </w:style>
  <w:style w:type="table" w:styleId="PlainTable3">
    <w:name w:val="Plain Table 3"/>
    <w:basedOn w:val="TableNormal"/>
    <w:uiPriority w:val="43"/>
    <w:rsid w:val="00862F2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9B2960"/>
    <w:rPr>
      <w:color w:val="954F72" w:themeColor="followedHyperlink"/>
      <w:u w:val="single"/>
    </w:rPr>
  </w:style>
  <w:style w:type="paragraph" w:styleId="Revision">
    <w:name w:val="Revision"/>
    <w:hidden/>
    <w:uiPriority w:val="99"/>
    <w:semiHidden/>
    <w:rsid w:val="0096286D"/>
  </w:style>
  <w:style w:type="paragraph" w:styleId="ListParagraph">
    <w:name w:val="List Paragraph"/>
    <w:basedOn w:val="Normal"/>
    <w:uiPriority w:val="34"/>
    <w:qFormat/>
    <w:rsid w:val="00CC56C6"/>
    <w:pPr>
      <w:ind w:left="720"/>
      <w:contextualSpacing/>
    </w:pPr>
  </w:style>
  <w:style w:type="character" w:styleId="LineNumber">
    <w:name w:val="line number"/>
    <w:basedOn w:val="DefaultParagraphFont"/>
    <w:uiPriority w:val="99"/>
    <w:semiHidden/>
    <w:unhideWhenUsed/>
    <w:rsid w:val="00C912BE"/>
  </w:style>
  <w:style w:type="character" w:customStyle="1" w:styleId="normaltextrun">
    <w:name w:val="normaltextrun"/>
    <w:basedOn w:val="DefaultParagraphFont"/>
    <w:rsid w:val="00595C55"/>
  </w:style>
  <w:style w:type="character" w:customStyle="1" w:styleId="scxw181861943">
    <w:name w:val="scxw181861943"/>
    <w:basedOn w:val="DefaultParagraphFont"/>
    <w:rsid w:val="00595C55"/>
  </w:style>
  <w:style w:type="character" w:customStyle="1" w:styleId="scxw123271520">
    <w:name w:val="scxw123271520"/>
    <w:basedOn w:val="DefaultParagraphFont"/>
    <w:rsid w:val="00BB7A4E"/>
  </w:style>
  <w:style w:type="character" w:customStyle="1" w:styleId="eop">
    <w:name w:val="eop"/>
    <w:basedOn w:val="DefaultParagraphFont"/>
    <w:rsid w:val="00BB7A4E"/>
  </w:style>
  <w:style w:type="paragraph" w:customStyle="1" w:styleId="paragraph">
    <w:name w:val="paragraph"/>
    <w:basedOn w:val="Normal"/>
    <w:rsid w:val="000B35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0813">
      <w:bodyDiv w:val="1"/>
      <w:marLeft w:val="0"/>
      <w:marRight w:val="0"/>
      <w:marTop w:val="0"/>
      <w:marBottom w:val="0"/>
      <w:divBdr>
        <w:top w:val="none" w:sz="0" w:space="0" w:color="auto"/>
        <w:left w:val="none" w:sz="0" w:space="0" w:color="auto"/>
        <w:bottom w:val="none" w:sz="0" w:space="0" w:color="auto"/>
        <w:right w:val="none" w:sz="0" w:space="0" w:color="auto"/>
      </w:divBdr>
      <w:divsChild>
        <w:div w:id="209851213">
          <w:marLeft w:val="480"/>
          <w:marRight w:val="0"/>
          <w:marTop w:val="0"/>
          <w:marBottom w:val="0"/>
          <w:divBdr>
            <w:top w:val="none" w:sz="0" w:space="0" w:color="auto"/>
            <w:left w:val="none" w:sz="0" w:space="0" w:color="auto"/>
            <w:bottom w:val="none" w:sz="0" w:space="0" w:color="auto"/>
            <w:right w:val="none" w:sz="0" w:space="0" w:color="auto"/>
          </w:divBdr>
          <w:divsChild>
            <w:div w:id="12809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082">
      <w:bodyDiv w:val="1"/>
      <w:marLeft w:val="0"/>
      <w:marRight w:val="0"/>
      <w:marTop w:val="0"/>
      <w:marBottom w:val="0"/>
      <w:divBdr>
        <w:top w:val="none" w:sz="0" w:space="0" w:color="auto"/>
        <w:left w:val="none" w:sz="0" w:space="0" w:color="auto"/>
        <w:bottom w:val="none" w:sz="0" w:space="0" w:color="auto"/>
        <w:right w:val="none" w:sz="0" w:space="0" w:color="auto"/>
      </w:divBdr>
    </w:div>
    <w:div w:id="204488113">
      <w:bodyDiv w:val="1"/>
      <w:marLeft w:val="0"/>
      <w:marRight w:val="0"/>
      <w:marTop w:val="0"/>
      <w:marBottom w:val="0"/>
      <w:divBdr>
        <w:top w:val="none" w:sz="0" w:space="0" w:color="auto"/>
        <w:left w:val="none" w:sz="0" w:space="0" w:color="auto"/>
        <w:bottom w:val="none" w:sz="0" w:space="0" w:color="auto"/>
        <w:right w:val="none" w:sz="0" w:space="0" w:color="auto"/>
      </w:divBdr>
    </w:div>
    <w:div w:id="352804689">
      <w:bodyDiv w:val="1"/>
      <w:marLeft w:val="0"/>
      <w:marRight w:val="0"/>
      <w:marTop w:val="0"/>
      <w:marBottom w:val="0"/>
      <w:divBdr>
        <w:top w:val="none" w:sz="0" w:space="0" w:color="auto"/>
        <w:left w:val="none" w:sz="0" w:space="0" w:color="auto"/>
        <w:bottom w:val="none" w:sz="0" w:space="0" w:color="auto"/>
        <w:right w:val="none" w:sz="0" w:space="0" w:color="auto"/>
      </w:divBdr>
    </w:div>
    <w:div w:id="397092514">
      <w:bodyDiv w:val="1"/>
      <w:marLeft w:val="0"/>
      <w:marRight w:val="0"/>
      <w:marTop w:val="0"/>
      <w:marBottom w:val="0"/>
      <w:divBdr>
        <w:top w:val="none" w:sz="0" w:space="0" w:color="auto"/>
        <w:left w:val="none" w:sz="0" w:space="0" w:color="auto"/>
        <w:bottom w:val="none" w:sz="0" w:space="0" w:color="auto"/>
        <w:right w:val="none" w:sz="0" w:space="0" w:color="auto"/>
      </w:divBdr>
      <w:divsChild>
        <w:div w:id="986864247">
          <w:marLeft w:val="480"/>
          <w:marRight w:val="0"/>
          <w:marTop w:val="0"/>
          <w:marBottom w:val="0"/>
          <w:divBdr>
            <w:top w:val="none" w:sz="0" w:space="0" w:color="auto"/>
            <w:left w:val="none" w:sz="0" w:space="0" w:color="auto"/>
            <w:bottom w:val="none" w:sz="0" w:space="0" w:color="auto"/>
            <w:right w:val="none" w:sz="0" w:space="0" w:color="auto"/>
          </w:divBdr>
          <w:divsChild>
            <w:div w:id="18009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9729">
      <w:bodyDiv w:val="1"/>
      <w:marLeft w:val="0"/>
      <w:marRight w:val="0"/>
      <w:marTop w:val="0"/>
      <w:marBottom w:val="0"/>
      <w:divBdr>
        <w:top w:val="none" w:sz="0" w:space="0" w:color="auto"/>
        <w:left w:val="none" w:sz="0" w:space="0" w:color="auto"/>
        <w:bottom w:val="none" w:sz="0" w:space="0" w:color="auto"/>
        <w:right w:val="none" w:sz="0" w:space="0" w:color="auto"/>
      </w:divBdr>
      <w:divsChild>
        <w:div w:id="954285741">
          <w:marLeft w:val="480"/>
          <w:marRight w:val="0"/>
          <w:marTop w:val="0"/>
          <w:marBottom w:val="0"/>
          <w:divBdr>
            <w:top w:val="none" w:sz="0" w:space="0" w:color="auto"/>
            <w:left w:val="none" w:sz="0" w:space="0" w:color="auto"/>
            <w:bottom w:val="none" w:sz="0" w:space="0" w:color="auto"/>
            <w:right w:val="none" w:sz="0" w:space="0" w:color="auto"/>
          </w:divBdr>
          <w:divsChild>
            <w:div w:id="2608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78157">
      <w:bodyDiv w:val="1"/>
      <w:marLeft w:val="0"/>
      <w:marRight w:val="0"/>
      <w:marTop w:val="0"/>
      <w:marBottom w:val="0"/>
      <w:divBdr>
        <w:top w:val="none" w:sz="0" w:space="0" w:color="auto"/>
        <w:left w:val="none" w:sz="0" w:space="0" w:color="auto"/>
        <w:bottom w:val="none" w:sz="0" w:space="0" w:color="auto"/>
        <w:right w:val="none" w:sz="0" w:space="0" w:color="auto"/>
      </w:divBdr>
      <w:divsChild>
        <w:div w:id="880022944">
          <w:marLeft w:val="0"/>
          <w:marRight w:val="0"/>
          <w:marTop w:val="0"/>
          <w:marBottom w:val="0"/>
          <w:divBdr>
            <w:top w:val="none" w:sz="0" w:space="0" w:color="auto"/>
            <w:left w:val="none" w:sz="0" w:space="0" w:color="auto"/>
            <w:bottom w:val="none" w:sz="0" w:space="0" w:color="auto"/>
            <w:right w:val="none" w:sz="0" w:space="0" w:color="auto"/>
          </w:divBdr>
        </w:div>
      </w:divsChild>
    </w:div>
    <w:div w:id="438378764">
      <w:bodyDiv w:val="1"/>
      <w:marLeft w:val="0"/>
      <w:marRight w:val="0"/>
      <w:marTop w:val="0"/>
      <w:marBottom w:val="0"/>
      <w:divBdr>
        <w:top w:val="none" w:sz="0" w:space="0" w:color="auto"/>
        <w:left w:val="none" w:sz="0" w:space="0" w:color="auto"/>
        <w:bottom w:val="none" w:sz="0" w:space="0" w:color="auto"/>
        <w:right w:val="none" w:sz="0" w:space="0" w:color="auto"/>
      </w:divBdr>
      <w:divsChild>
        <w:div w:id="2024167941">
          <w:marLeft w:val="480"/>
          <w:marRight w:val="0"/>
          <w:marTop w:val="0"/>
          <w:marBottom w:val="0"/>
          <w:divBdr>
            <w:top w:val="none" w:sz="0" w:space="0" w:color="auto"/>
            <w:left w:val="none" w:sz="0" w:space="0" w:color="auto"/>
            <w:bottom w:val="none" w:sz="0" w:space="0" w:color="auto"/>
            <w:right w:val="none" w:sz="0" w:space="0" w:color="auto"/>
          </w:divBdr>
          <w:divsChild>
            <w:div w:id="19012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2708">
      <w:bodyDiv w:val="1"/>
      <w:marLeft w:val="0"/>
      <w:marRight w:val="0"/>
      <w:marTop w:val="0"/>
      <w:marBottom w:val="0"/>
      <w:divBdr>
        <w:top w:val="none" w:sz="0" w:space="0" w:color="auto"/>
        <w:left w:val="none" w:sz="0" w:space="0" w:color="auto"/>
        <w:bottom w:val="none" w:sz="0" w:space="0" w:color="auto"/>
        <w:right w:val="none" w:sz="0" w:space="0" w:color="auto"/>
      </w:divBdr>
      <w:divsChild>
        <w:div w:id="1476946989">
          <w:marLeft w:val="480"/>
          <w:marRight w:val="0"/>
          <w:marTop w:val="0"/>
          <w:marBottom w:val="0"/>
          <w:divBdr>
            <w:top w:val="none" w:sz="0" w:space="0" w:color="auto"/>
            <w:left w:val="none" w:sz="0" w:space="0" w:color="auto"/>
            <w:bottom w:val="none" w:sz="0" w:space="0" w:color="auto"/>
            <w:right w:val="none" w:sz="0" w:space="0" w:color="auto"/>
          </w:divBdr>
          <w:divsChild>
            <w:div w:id="18894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5636">
      <w:bodyDiv w:val="1"/>
      <w:marLeft w:val="0"/>
      <w:marRight w:val="0"/>
      <w:marTop w:val="0"/>
      <w:marBottom w:val="0"/>
      <w:divBdr>
        <w:top w:val="none" w:sz="0" w:space="0" w:color="auto"/>
        <w:left w:val="none" w:sz="0" w:space="0" w:color="auto"/>
        <w:bottom w:val="none" w:sz="0" w:space="0" w:color="auto"/>
        <w:right w:val="none" w:sz="0" w:space="0" w:color="auto"/>
      </w:divBdr>
      <w:divsChild>
        <w:div w:id="436755666">
          <w:marLeft w:val="480"/>
          <w:marRight w:val="0"/>
          <w:marTop w:val="0"/>
          <w:marBottom w:val="0"/>
          <w:divBdr>
            <w:top w:val="none" w:sz="0" w:space="0" w:color="auto"/>
            <w:left w:val="none" w:sz="0" w:space="0" w:color="auto"/>
            <w:bottom w:val="none" w:sz="0" w:space="0" w:color="auto"/>
            <w:right w:val="none" w:sz="0" w:space="0" w:color="auto"/>
          </w:divBdr>
          <w:divsChild>
            <w:div w:id="6344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4337">
      <w:bodyDiv w:val="1"/>
      <w:marLeft w:val="0"/>
      <w:marRight w:val="0"/>
      <w:marTop w:val="0"/>
      <w:marBottom w:val="0"/>
      <w:divBdr>
        <w:top w:val="none" w:sz="0" w:space="0" w:color="auto"/>
        <w:left w:val="none" w:sz="0" w:space="0" w:color="auto"/>
        <w:bottom w:val="none" w:sz="0" w:space="0" w:color="auto"/>
        <w:right w:val="none" w:sz="0" w:space="0" w:color="auto"/>
      </w:divBdr>
      <w:divsChild>
        <w:div w:id="1338117916">
          <w:marLeft w:val="480"/>
          <w:marRight w:val="0"/>
          <w:marTop w:val="0"/>
          <w:marBottom w:val="0"/>
          <w:divBdr>
            <w:top w:val="none" w:sz="0" w:space="0" w:color="auto"/>
            <w:left w:val="none" w:sz="0" w:space="0" w:color="auto"/>
            <w:bottom w:val="none" w:sz="0" w:space="0" w:color="auto"/>
            <w:right w:val="none" w:sz="0" w:space="0" w:color="auto"/>
          </w:divBdr>
          <w:divsChild>
            <w:div w:id="1301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2846">
      <w:bodyDiv w:val="1"/>
      <w:marLeft w:val="0"/>
      <w:marRight w:val="0"/>
      <w:marTop w:val="0"/>
      <w:marBottom w:val="0"/>
      <w:divBdr>
        <w:top w:val="none" w:sz="0" w:space="0" w:color="auto"/>
        <w:left w:val="none" w:sz="0" w:space="0" w:color="auto"/>
        <w:bottom w:val="none" w:sz="0" w:space="0" w:color="auto"/>
        <w:right w:val="none" w:sz="0" w:space="0" w:color="auto"/>
      </w:divBdr>
      <w:divsChild>
        <w:div w:id="1013991850">
          <w:marLeft w:val="480"/>
          <w:marRight w:val="0"/>
          <w:marTop w:val="0"/>
          <w:marBottom w:val="0"/>
          <w:divBdr>
            <w:top w:val="none" w:sz="0" w:space="0" w:color="auto"/>
            <w:left w:val="none" w:sz="0" w:space="0" w:color="auto"/>
            <w:bottom w:val="none" w:sz="0" w:space="0" w:color="auto"/>
            <w:right w:val="none" w:sz="0" w:space="0" w:color="auto"/>
          </w:divBdr>
          <w:divsChild>
            <w:div w:id="7618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5691">
      <w:bodyDiv w:val="1"/>
      <w:marLeft w:val="0"/>
      <w:marRight w:val="0"/>
      <w:marTop w:val="0"/>
      <w:marBottom w:val="0"/>
      <w:divBdr>
        <w:top w:val="none" w:sz="0" w:space="0" w:color="auto"/>
        <w:left w:val="none" w:sz="0" w:space="0" w:color="auto"/>
        <w:bottom w:val="none" w:sz="0" w:space="0" w:color="auto"/>
        <w:right w:val="none" w:sz="0" w:space="0" w:color="auto"/>
      </w:divBdr>
      <w:divsChild>
        <w:div w:id="1363828126">
          <w:marLeft w:val="0"/>
          <w:marRight w:val="0"/>
          <w:marTop w:val="0"/>
          <w:marBottom w:val="0"/>
          <w:divBdr>
            <w:top w:val="none" w:sz="0" w:space="0" w:color="auto"/>
            <w:left w:val="none" w:sz="0" w:space="0" w:color="auto"/>
            <w:bottom w:val="none" w:sz="0" w:space="0" w:color="auto"/>
            <w:right w:val="none" w:sz="0" w:space="0" w:color="auto"/>
          </w:divBdr>
        </w:div>
      </w:divsChild>
    </w:div>
    <w:div w:id="715348989">
      <w:bodyDiv w:val="1"/>
      <w:marLeft w:val="0"/>
      <w:marRight w:val="0"/>
      <w:marTop w:val="0"/>
      <w:marBottom w:val="0"/>
      <w:divBdr>
        <w:top w:val="none" w:sz="0" w:space="0" w:color="auto"/>
        <w:left w:val="none" w:sz="0" w:space="0" w:color="auto"/>
        <w:bottom w:val="none" w:sz="0" w:space="0" w:color="auto"/>
        <w:right w:val="none" w:sz="0" w:space="0" w:color="auto"/>
      </w:divBdr>
    </w:div>
    <w:div w:id="747380821">
      <w:bodyDiv w:val="1"/>
      <w:marLeft w:val="0"/>
      <w:marRight w:val="0"/>
      <w:marTop w:val="0"/>
      <w:marBottom w:val="0"/>
      <w:divBdr>
        <w:top w:val="none" w:sz="0" w:space="0" w:color="auto"/>
        <w:left w:val="none" w:sz="0" w:space="0" w:color="auto"/>
        <w:bottom w:val="none" w:sz="0" w:space="0" w:color="auto"/>
        <w:right w:val="none" w:sz="0" w:space="0" w:color="auto"/>
      </w:divBdr>
    </w:div>
    <w:div w:id="835803105">
      <w:bodyDiv w:val="1"/>
      <w:marLeft w:val="0"/>
      <w:marRight w:val="0"/>
      <w:marTop w:val="0"/>
      <w:marBottom w:val="0"/>
      <w:divBdr>
        <w:top w:val="none" w:sz="0" w:space="0" w:color="auto"/>
        <w:left w:val="none" w:sz="0" w:space="0" w:color="auto"/>
        <w:bottom w:val="none" w:sz="0" w:space="0" w:color="auto"/>
        <w:right w:val="none" w:sz="0" w:space="0" w:color="auto"/>
      </w:divBdr>
    </w:div>
    <w:div w:id="87334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6179">
          <w:marLeft w:val="0"/>
          <w:marRight w:val="0"/>
          <w:marTop w:val="0"/>
          <w:marBottom w:val="0"/>
          <w:divBdr>
            <w:top w:val="none" w:sz="0" w:space="0" w:color="auto"/>
            <w:left w:val="none" w:sz="0" w:space="0" w:color="auto"/>
            <w:bottom w:val="none" w:sz="0" w:space="0" w:color="auto"/>
            <w:right w:val="none" w:sz="0" w:space="0" w:color="auto"/>
          </w:divBdr>
        </w:div>
      </w:divsChild>
    </w:div>
    <w:div w:id="910234943">
      <w:bodyDiv w:val="1"/>
      <w:marLeft w:val="0"/>
      <w:marRight w:val="0"/>
      <w:marTop w:val="0"/>
      <w:marBottom w:val="0"/>
      <w:divBdr>
        <w:top w:val="none" w:sz="0" w:space="0" w:color="auto"/>
        <w:left w:val="none" w:sz="0" w:space="0" w:color="auto"/>
        <w:bottom w:val="none" w:sz="0" w:space="0" w:color="auto"/>
        <w:right w:val="none" w:sz="0" w:space="0" w:color="auto"/>
      </w:divBdr>
    </w:div>
    <w:div w:id="915868778">
      <w:bodyDiv w:val="1"/>
      <w:marLeft w:val="0"/>
      <w:marRight w:val="0"/>
      <w:marTop w:val="0"/>
      <w:marBottom w:val="0"/>
      <w:divBdr>
        <w:top w:val="none" w:sz="0" w:space="0" w:color="auto"/>
        <w:left w:val="none" w:sz="0" w:space="0" w:color="auto"/>
        <w:bottom w:val="none" w:sz="0" w:space="0" w:color="auto"/>
        <w:right w:val="none" w:sz="0" w:space="0" w:color="auto"/>
      </w:divBdr>
      <w:divsChild>
        <w:div w:id="1387294265">
          <w:marLeft w:val="0"/>
          <w:marRight w:val="0"/>
          <w:marTop w:val="0"/>
          <w:marBottom w:val="0"/>
          <w:divBdr>
            <w:top w:val="none" w:sz="0" w:space="0" w:color="auto"/>
            <w:left w:val="none" w:sz="0" w:space="0" w:color="auto"/>
            <w:bottom w:val="none" w:sz="0" w:space="0" w:color="auto"/>
            <w:right w:val="none" w:sz="0" w:space="0" w:color="auto"/>
          </w:divBdr>
        </w:div>
        <w:div w:id="435633130">
          <w:marLeft w:val="0"/>
          <w:marRight w:val="0"/>
          <w:marTop w:val="0"/>
          <w:marBottom w:val="0"/>
          <w:divBdr>
            <w:top w:val="none" w:sz="0" w:space="0" w:color="auto"/>
            <w:left w:val="none" w:sz="0" w:space="0" w:color="auto"/>
            <w:bottom w:val="none" w:sz="0" w:space="0" w:color="auto"/>
            <w:right w:val="none" w:sz="0" w:space="0" w:color="auto"/>
          </w:divBdr>
        </w:div>
        <w:div w:id="279647998">
          <w:marLeft w:val="0"/>
          <w:marRight w:val="0"/>
          <w:marTop w:val="0"/>
          <w:marBottom w:val="0"/>
          <w:divBdr>
            <w:top w:val="none" w:sz="0" w:space="0" w:color="auto"/>
            <w:left w:val="none" w:sz="0" w:space="0" w:color="auto"/>
            <w:bottom w:val="none" w:sz="0" w:space="0" w:color="auto"/>
            <w:right w:val="none" w:sz="0" w:space="0" w:color="auto"/>
          </w:divBdr>
        </w:div>
        <w:div w:id="438185939">
          <w:marLeft w:val="0"/>
          <w:marRight w:val="0"/>
          <w:marTop w:val="0"/>
          <w:marBottom w:val="0"/>
          <w:divBdr>
            <w:top w:val="none" w:sz="0" w:space="0" w:color="auto"/>
            <w:left w:val="none" w:sz="0" w:space="0" w:color="auto"/>
            <w:bottom w:val="none" w:sz="0" w:space="0" w:color="auto"/>
            <w:right w:val="none" w:sz="0" w:space="0" w:color="auto"/>
          </w:divBdr>
        </w:div>
      </w:divsChild>
    </w:div>
    <w:div w:id="984434672">
      <w:bodyDiv w:val="1"/>
      <w:marLeft w:val="0"/>
      <w:marRight w:val="0"/>
      <w:marTop w:val="0"/>
      <w:marBottom w:val="0"/>
      <w:divBdr>
        <w:top w:val="none" w:sz="0" w:space="0" w:color="auto"/>
        <w:left w:val="none" w:sz="0" w:space="0" w:color="auto"/>
        <w:bottom w:val="none" w:sz="0" w:space="0" w:color="auto"/>
        <w:right w:val="none" w:sz="0" w:space="0" w:color="auto"/>
      </w:divBdr>
      <w:divsChild>
        <w:div w:id="1181430085">
          <w:marLeft w:val="480"/>
          <w:marRight w:val="0"/>
          <w:marTop w:val="0"/>
          <w:marBottom w:val="0"/>
          <w:divBdr>
            <w:top w:val="none" w:sz="0" w:space="0" w:color="auto"/>
            <w:left w:val="none" w:sz="0" w:space="0" w:color="auto"/>
            <w:bottom w:val="none" w:sz="0" w:space="0" w:color="auto"/>
            <w:right w:val="none" w:sz="0" w:space="0" w:color="auto"/>
          </w:divBdr>
          <w:divsChild>
            <w:div w:id="6196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6223">
      <w:bodyDiv w:val="1"/>
      <w:marLeft w:val="0"/>
      <w:marRight w:val="0"/>
      <w:marTop w:val="0"/>
      <w:marBottom w:val="0"/>
      <w:divBdr>
        <w:top w:val="none" w:sz="0" w:space="0" w:color="auto"/>
        <w:left w:val="none" w:sz="0" w:space="0" w:color="auto"/>
        <w:bottom w:val="none" w:sz="0" w:space="0" w:color="auto"/>
        <w:right w:val="none" w:sz="0" w:space="0" w:color="auto"/>
      </w:divBdr>
      <w:divsChild>
        <w:div w:id="1986661785">
          <w:marLeft w:val="480"/>
          <w:marRight w:val="0"/>
          <w:marTop w:val="0"/>
          <w:marBottom w:val="0"/>
          <w:divBdr>
            <w:top w:val="none" w:sz="0" w:space="0" w:color="auto"/>
            <w:left w:val="none" w:sz="0" w:space="0" w:color="auto"/>
            <w:bottom w:val="none" w:sz="0" w:space="0" w:color="auto"/>
            <w:right w:val="none" w:sz="0" w:space="0" w:color="auto"/>
          </w:divBdr>
          <w:divsChild>
            <w:div w:id="4959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9957">
      <w:bodyDiv w:val="1"/>
      <w:marLeft w:val="0"/>
      <w:marRight w:val="0"/>
      <w:marTop w:val="0"/>
      <w:marBottom w:val="0"/>
      <w:divBdr>
        <w:top w:val="none" w:sz="0" w:space="0" w:color="auto"/>
        <w:left w:val="none" w:sz="0" w:space="0" w:color="auto"/>
        <w:bottom w:val="none" w:sz="0" w:space="0" w:color="auto"/>
        <w:right w:val="none" w:sz="0" w:space="0" w:color="auto"/>
      </w:divBdr>
    </w:div>
    <w:div w:id="1359507542">
      <w:bodyDiv w:val="1"/>
      <w:marLeft w:val="0"/>
      <w:marRight w:val="0"/>
      <w:marTop w:val="0"/>
      <w:marBottom w:val="0"/>
      <w:divBdr>
        <w:top w:val="none" w:sz="0" w:space="0" w:color="auto"/>
        <w:left w:val="none" w:sz="0" w:space="0" w:color="auto"/>
        <w:bottom w:val="none" w:sz="0" w:space="0" w:color="auto"/>
        <w:right w:val="none" w:sz="0" w:space="0" w:color="auto"/>
      </w:divBdr>
      <w:divsChild>
        <w:div w:id="1517883632">
          <w:marLeft w:val="480"/>
          <w:marRight w:val="0"/>
          <w:marTop w:val="0"/>
          <w:marBottom w:val="0"/>
          <w:divBdr>
            <w:top w:val="none" w:sz="0" w:space="0" w:color="auto"/>
            <w:left w:val="none" w:sz="0" w:space="0" w:color="auto"/>
            <w:bottom w:val="none" w:sz="0" w:space="0" w:color="auto"/>
            <w:right w:val="none" w:sz="0" w:space="0" w:color="auto"/>
          </w:divBdr>
          <w:divsChild>
            <w:div w:id="15392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2737">
      <w:bodyDiv w:val="1"/>
      <w:marLeft w:val="0"/>
      <w:marRight w:val="0"/>
      <w:marTop w:val="0"/>
      <w:marBottom w:val="0"/>
      <w:divBdr>
        <w:top w:val="none" w:sz="0" w:space="0" w:color="auto"/>
        <w:left w:val="none" w:sz="0" w:space="0" w:color="auto"/>
        <w:bottom w:val="none" w:sz="0" w:space="0" w:color="auto"/>
        <w:right w:val="none" w:sz="0" w:space="0" w:color="auto"/>
      </w:divBdr>
      <w:divsChild>
        <w:div w:id="1288466038">
          <w:marLeft w:val="480"/>
          <w:marRight w:val="0"/>
          <w:marTop w:val="0"/>
          <w:marBottom w:val="0"/>
          <w:divBdr>
            <w:top w:val="none" w:sz="0" w:space="0" w:color="auto"/>
            <w:left w:val="none" w:sz="0" w:space="0" w:color="auto"/>
            <w:bottom w:val="none" w:sz="0" w:space="0" w:color="auto"/>
            <w:right w:val="none" w:sz="0" w:space="0" w:color="auto"/>
          </w:divBdr>
          <w:divsChild>
            <w:div w:id="5146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3493">
      <w:bodyDiv w:val="1"/>
      <w:marLeft w:val="0"/>
      <w:marRight w:val="0"/>
      <w:marTop w:val="0"/>
      <w:marBottom w:val="0"/>
      <w:divBdr>
        <w:top w:val="none" w:sz="0" w:space="0" w:color="auto"/>
        <w:left w:val="none" w:sz="0" w:space="0" w:color="auto"/>
        <w:bottom w:val="none" w:sz="0" w:space="0" w:color="auto"/>
        <w:right w:val="none" w:sz="0" w:space="0" w:color="auto"/>
      </w:divBdr>
      <w:divsChild>
        <w:div w:id="666517434">
          <w:marLeft w:val="0"/>
          <w:marRight w:val="0"/>
          <w:marTop w:val="0"/>
          <w:marBottom w:val="0"/>
          <w:divBdr>
            <w:top w:val="none" w:sz="0" w:space="0" w:color="auto"/>
            <w:left w:val="none" w:sz="0" w:space="0" w:color="auto"/>
            <w:bottom w:val="none" w:sz="0" w:space="0" w:color="auto"/>
            <w:right w:val="none" w:sz="0" w:space="0" w:color="auto"/>
          </w:divBdr>
        </w:div>
      </w:divsChild>
    </w:div>
    <w:div w:id="1447653803">
      <w:bodyDiv w:val="1"/>
      <w:marLeft w:val="0"/>
      <w:marRight w:val="0"/>
      <w:marTop w:val="0"/>
      <w:marBottom w:val="0"/>
      <w:divBdr>
        <w:top w:val="none" w:sz="0" w:space="0" w:color="auto"/>
        <w:left w:val="none" w:sz="0" w:space="0" w:color="auto"/>
        <w:bottom w:val="none" w:sz="0" w:space="0" w:color="auto"/>
        <w:right w:val="none" w:sz="0" w:space="0" w:color="auto"/>
      </w:divBdr>
      <w:divsChild>
        <w:div w:id="1371684697">
          <w:marLeft w:val="480"/>
          <w:marRight w:val="0"/>
          <w:marTop w:val="0"/>
          <w:marBottom w:val="0"/>
          <w:divBdr>
            <w:top w:val="none" w:sz="0" w:space="0" w:color="auto"/>
            <w:left w:val="none" w:sz="0" w:space="0" w:color="auto"/>
            <w:bottom w:val="none" w:sz="0" w:space="0" w:color="auto"/>
            <w:right w:val="none" w:sz="0" w:space="0" w:color="auto"/>
          </w:divBdr>
          <w:divsChild>
            <w:div w:id="17337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8061">
      <w:bodyDiv w:val="1"/>
      <w:marLeft w:val="0"/>
      <w:marRight w:val="0"/>
      <w:marTop w:val="0"/>
      <w:marBottom w:val="0"/>
      <w:divBdr>
        <w:top w:val="none" w:sz="0" w:space="0" w:color="auto"/>
        <w:left w:val="none" w:sz="0" w:space="0" w:color="auto"/>
        <w:bottom w:val="none" w:sz="0" w:space="0" w:color="auto"/>
        <w:right w:val="none" w:sz="0" w:space="0" w:color="auto"/>
      </w:divBdr>
      <w:divsChild>
        <w:div w:id="300308308">
          <w:marLeft w:val="480"/>
          <w:marRight w:val="0"/>
          <w:marTop w:val="0"/>
          <w:marBottom w:val="0"/>
          <w:divBdr>
            <w:top w:val="none" w:sz="0" w:space="0" w:color="auto"/>
            <w:left w:val="none" w:sz="0" w:space="0" w:color="auto"/>
            <w:bottom w:val="none" w:sz="0" w:space="0" w:color="auto"/>
            <w:right w:val="none" w:sz="0" w:space="0" w:color="auto"/>
          </w:divBdr>
          <w:divsChild>
            <w:div w:id="20716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9457">
      <w:bodyDiv w:val="1"/>
      <w:marLeft w:val="0"/>
      <w:marRight w:val="0"/>
      <w:marTop w:val="0"/>
      <w:marBottom w:val="0"/>
      <w:divBdr>
        <w:top w:val="none" w:sz="0" w:space="0" w:color="auto"/>
        <w:left w:val="none" w:sz="0" w:space="0" w:color="auto"/>
        <w:bottom w:val="none" w:sz="0" w:space="0" w:color="auto"/>
        <w:right w:val="none" w:sz="0" w:space="0" w:color="auto"/>
      </w:divBdr>
      <w:divsChild>
        <w:div w:id="1406606490">
          <w:marLeft w:val="0"/>
          <w:marRight w:val="0"/>
          <w:marTop w:val="0"/>
          <w:marBottom w:val="0"/>
          <w:divBdr>
            <w:top w:val="none" w:sz="0" w:space="0" w:color="auto"/>
            <w:left w:val="none" w:sz="0" w:space="0" w:color="auto"/>
            <w:bottom w:val="none" w:sz="0" w:space="0" w:color="auto"/>
            <w:right w:val="none" w:sz="0" w:space="0" w:color="auto"/>
          </w:divBdr>
        </w:div>
      </w:divsChild>
    </w:div>
    <w:div w:id="1607155630">
      <w:bodyDiv w:val="1"/>
      <w:marLeft w:val="0"/>
      <w:marRight w:val="0"/>
      <w:marTop w:val="0"/>
      <w:marBottom w:val="0"/>
      <w:divBdr>
        <w:top w:val="none" w:sz="0" w:space="0" w:color="auto"/>
        <w:left w:val="none" w:sz="0" w:space="0" w:color="auto"/>
        <w:bottom w:val="none" w:sz="0" w:space="0" w:color="auto"/>
        <w:right w:val="none" w:sz="0" w:space="0" w:color="auto"/>
      </w:divBdr>
      <w:divsChild>
        <w:div w:id="1269852200">
          <w:marLeft w:val="480"/>
          <w:marRight w:val="0"/>
          <w:marTop w:val="0"/>
          <w:marBottom w:val="0"/>
          <w:divBdr>
            <w:top w:val="none" w:sz="0" w:space="0" w:color="auto"/>
            <w:left w:val="none" w:sz="0" w:space="0" w:color="auto"/>
            <w:bottom w:val="none" w:sz="0" w:space="0" w:color="auto"/>
            <w:right w:val="none" w:sz="0" w:space="0" w:color="auto"/>
          </w:divBdr>
          <w:divsChild>
            <w:div w:id="9466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2969">
      <w:bodyDiv w:val="1"/>
      <w:marLeft w:val="0"/>
      <w:marRight w:val="0"/>
      <w:marTop w:val="0"/>
      <w:marBottom w:val="0"/>
      <w:divBdr>
        <w:top w:val="none" w:sz="0" w:space="0" w:color="auto"/>
        <w:left w:val="none" w:sz="0" w:space="0" w:color="auto"/>
        <w:bottom w:val="none" w:sz="0" w:space="0" w:color="auto"/>
        <w:right w:val="none" w:sz="0" w:space="0" w:color="auto"/>
      </w:divBdr>
    </w:div>
    <w:div w:id="1610695936">
      <w:bodyDiv w:val="1"/>
      <w:marLeft w:val="0"/>
      <w:marRight w:val="0"/>
      <w:marTop w:val="0"/>
      <w:marBottom w:val="0"/>
      <w:divBdr>
        <w:top w:val="none" w:sz="0" w:space="0" w:color="auto"/>
        <w:left w:val="none" w:sz="0" w:space="0" w:color="auto"/>
        <w:bottom w:val="none" w:sz="0" w:space="0" w:color="auto"/>
        <w:right w:val="none" w:sz="0" w:space="0" w:color="auto"/>
      </w:divBdr>
      <w:divsChild>
        <w:div w:id="194542787">
          <w:marLeft w:val="480"/>
          <w:marRight w:val="0"/>
          <w:marTop w:val="0"/>
          <w:marBottom w:val="0"/>
          <w:divBdr>
            <w:top w:val="none" w:sz="0" w:space="0" w:color="auto"/>
            <w:left w:val="none" w:sz="0" w:space="0" w:color="auto"/>
            <w:bottom w:val="none" w:sz="0" w:space="0" w:color="auto"/>
            <w:right w:val="none" w:sz="0" w:space="0" w:color="auto"/>
          </w:divBdr>
          <w:divsChild>
            <w:div w:id="9952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1718">
      <w:bodyDiv w:val="1"/>
      <w:marLeft w:val="0"/>
      <w:marRight w:val="0"/>
      <w:marTop w:val="0"/>
      <w:marBottom w:val="0"/>
      <w:divBdr>
        <w:top w:val="none" w:sz="0" w:space="0" w:color="auto"/>
        <w:left w:val="none" w:sz="0" w:space="0" w:color="auto"/>
        <w:bottom w:val="none" w:sz="0" w:space="0" w:color="auto"/>
        <w:right w:val="none" w:sz="0" w:space="0" w:color="auto"/>
      </w:divBdr>
    </w:div>
    <w:div w:id="1722174477">
      <w:bodyDiv w:val="1"/>
      <w:marLeft w:val="0"/>
      <w:marRight w:val="0"/>
      <w:marTop w:val="0"/>
      <w:marBottom w:val="0"/>
      <w:divBdr>
        <w:top w:val="none" w:sz="0" w:space="0" w:color="auto"/>
        <w:left w:val="none" w:sz="0" w:space="0" w:color="auto"/>
        <w:bottom w:val="none" w:sz="0" w:space="0" w:color="auto"/>
        <w:right w:val="none" w:sz="0" w:space="0" w:color="auto"/>
      </w:divBdr>
    </w:div>
    <w:div w:id="1737243599">
      <w:bodyDiv w:val="1"/>
      <w:marLeft w:val="0"/>
      <w:marRight w:val="0"/>
      <w:marTop w:val="0"/>
      <w:marBottom w:val="0"/>
      <w:divBdr>
        <w:top w:val="none" w:sz="0" w:space="0" w:color="auto"/>
        <w:left w:val="none" w:sz="0" w:space="0" w:color="auto"/>
        <w:bottom w:val="none" w:sz="0" w:space="0" w:color="auto"/>
        <w:right w:val="none" w:sz="0" w:space="0" w:color="auto"/>
      </w:divBdr>
      <w:divsChild>
        <w:div w:id="2015839056">
          <w:marLeft w:val="480"/>
          <w:marRight w:val="0"/>
          <w:marTop w:val="0"/>
          <w:marBottom w:val="0"/>
          <w:divBdr>
            <w:top w:val="none" w:sz="0" w:space="0" w:color="auto"/>
            <w:left w:val="none" w:sz="0" w:space="0" w:color="auto"/>
            <w:bottom w:val="none" w:sz="0" w:space="0" w:color="auto"/>
            <w:right w:val="none" w:sz="0" w:space="0" w:color="auto"/>
          </w:divBdr>
          <w:divsChild>
            <w:div w:id="19872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1021">
      <w:bodyDiv w:val="1"/>
      <w:marLeft w:val="0"/>
      <w:marRight w:val="0"/>
      <w:marTop w:val="0"/>
      <w:marBottom w:val="0"/>
      <w:divBdr>
        <w:top w:val="none" w:sz="0" w:space="0" w:color="auto"/>
        <w:left w:val="none" w:sz="0" w:space="0" w:color="auto"/>
        <w:bottom w:val="none" w:sz="0" w:space="0" w:color="auto"/>
        <w:right w:val="none" w:sz="0" w:space="0" w:color="auto"/>
      </w:divBdr>
    </w:div>
    <w:div w:id="1845432028">
      <w:bodyDiv w:val="1"/>
      <w:marLeft w:val="0"/>
      <w:marRight w:val="0"/>
      <w:marTop w:val="0"/>
      <w:marBottom w:val="0"/>
      <w:divBdr>
        <w:top w:val="none" w:sz="0" w:space="0" w:color="auto"/>
        <w:left w:val="none" w:sz="0" w:space="0" w:color="auto"/>
        <w:bottom w:val="none" w:sz="0" w:space="0" w:color="auto"/>
        <w:right w:val="none" w:sz="0" w:space="0" w:color="auto"/>
      </w:divBdr>
      <w:divsChild>
        <w:div w:id="147133704">
          <w:marLeft w:val="480"/>
          <w:marRight w:val="0"/>
          <w:marTop w:val="0"/>
          <w:marBottom w:val="0"/>
          <w:divBdr>
            <w:top w:val="none" w:sz="0" w:space="0" w:color="auto"/>
            <w:left w:val="none" w:sz="0" w:space="0" w:color="auto"/>
            <w:bottom w:val="none" w:sz="0" w:space="0" w:color="auto"/>
            <w:right w:val="none" w:sz="0" w:space="0" w:color="auto"/>
          </w:divBdr>
          <w:divsChild>
            <w:div w:id="6150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3432">
      <w:bodyDiv w:val="1"/>
      <w:marLeft w:val="0"/>
      <w:marRight w:val="0"/>
      <w:marTop w:val="0"/>
      <w:marBottom w:val="0"/>
      <w:divBdr>
        <w:top w:val="none" w:sz="0" w:space="0" w:color="auto"/>
        <w:left w:val="none" w:sz="0" w:space="0" w:color="auto"/>
        <w:bottom w:val="none" w:sz="0" w:space="0" w:color="auto"/>
        <w:right w:val="none" w:sz="0" w:space="0" w:color="auto"/>
      </w:divBdr>
    </w:div>
    <w:div w:id="2041272752">
      <w:bodyDiv w:val="1"/>
      <w:marLeft w:val="0"/>
      <w:marRight w:val="0"/>
      <w:marTop w:val="0"/>
      <w:marBottom w:val="0"/>
      <w:divBdr>
        <w:top w:val="none" w:sz="0" w:space="0" w:color="auto"/>
        <w:left w:val="none" w:sz="0" w:space="0" w:color="auto"/>
        <w:bottom w:val="none" w:sz="0" w:space="0" w:color="auto"/>
        <w:right w:val="none" w:sz="0" w:space="0" w:color="auto"/>
      </w:divBdr>
    </w:div>
    <w:div w:id="2064940364">
      <w:bodyDiv w:val="1"/>
      <w:marLeft w:val="0"/>
      <w:marRight w:val="0"/>
      <w:marTop w:val="0"/>
      <w:marBottom w:val="0"/>
      <w:divBdr>
        <w:top w:val="none" w:sz="0" w:space="0" w:color="auto"/>
        <w:left w:val="none" w:sz="0" w:space="0" w:color="auto"/>
        <w:bottom w:val="none" w:sz="0" w:space="0" w:color="auto"/>
        <w:right w:val="none" w:sz="0" w:space="0" w:color="auto"/>
      </w:divBdr>
      <w:divsChild>
        <w:div w:id="924335969">
          <w:marLeft w:val="480"/>
          <w:marRight w:val="0"/>
          <w:marTop w:val="0"/>
          <w:marBottom w:val="0"/>
          <w:divBdr>
            <w:top w:val="none" w:sz="0" w:space="0" w:color="auto"/>
            <w:left w:val="none" w:sz="0" w:space="0" w:color="auto"/>
            <w:bottom w:val="none" w:sz="0" w:space="0" w:color="auto"/>
            <w:right w:val="none" w:sz="0" w:space="0" w:color="auto"/>
          </w:divBdr>
          <w:divsChild>
            <w:div w:id="5003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doi.org/10.1186/1471-2474-12-260" TargetMode="External"/><Relationship Id="rId26" Type="http://schemas.openxmlformats.org/officeDocument/2006/relationships/hyperlink" Target="https://doi.org/10.1177/0018726719827081" TargetMode="External"/><Relationship Id="rId39" Type="http://schemas.openxmlformats.org/officeDocument/2006/relationships/header" Target="header1.xml"/><Relationship Id="rId21" Type="http://schemas.openxmlformats.org/officeDocument/2006/relationships/hyperlink" Target="http://www.hse.gov.uk/risk/classroom-checklist.htm" TargetMode="External"/><Relationship Id="rId34" Type="http://schemas.openxmlformats.org/officeDocument/2006/relationships/hyperlink" Target="https://theros.org.uk/latest-news/new-report-shows-why-2-2m-people-have-undiagnosed-spinal-fractur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yalliance.org.uk/sites/default/files/breaking_point_report_early_years_alliance_2_december_2021.pdf" TargetMode="External"/><Relationship Id="rId20" Type="http://schemas.openxmlformats.org/officeDocument/2006/relationships/hyperlink" Target="https://doi.org/10.1016/S0140-6736(17)32130-X" TargetMode="External"/><Relationship Id="rId29" Type="http://schemas.openxmlformats.org/officeDocument/2006/relationships/hyperlink" Target="https://www.ncbi.nlm.nih.gov/books/NBK5595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889-016-2777-7" TargetMode="External"/><Relationship Id="rId24" Type="http://schemas.openxmlformats.org/officeDocument/2006/relationships/hyperlink" Target="http://www.healthdata.org/united-kingdom-england" TargetMode="External"/><Relationship Id="rId32" Type="http://schemas.openxmlformats.org/officeDocument/2006/relationships/hyperlink" Target="https://doi.org/10.1186/1471-2458-14-1211" TargetMode="External"/><Relationship Id="rId37" Type="http://schemas.openxmlformats.org/officeDocument/2006/relationships/hyperlink" Target="https://www.who.int/news-room/fact-sheets/detail/musculoskeletal-conditions"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the-early-years-workforce-recruitment-retention-and-business-planning" TargetMode="External"/><Relationship Id="rId23" Type="http://schemas.openxmlformats.org/officeDocument/2006/relationships/hyperlink" Target="https://www.hse.gov.uk/statistics/industry/education.pdf" TargetMode="External"/><Relationship Id="rId28" Type="http://schemas.openxmlformats.org/officeDocument/2006/relationships/hyperlink" Target="https://doi.org/10.1016/j.jsp.2021.03.006" TargetMode="External"/><Relationship Id="rId36" Type="http://schemas.openxmlformats.org/officeDocument/2006/relationships/hyperlink" Target="https://doi.org/10.1097/j.pain.0000000000000613" TargetMode="External"/><Relationship Id="rId10" Type="http://schemas.openxmlformats.org/officeDocument/2006/relationships/hyperlink" Target="https://doi.org/10.1016/j.apergo.2012.06.004" TargetMode="External"/><Relationship Id="rId19" Type="http://schemas.openxmlformats.org/officeDocument/2006/relationships/hyperlink" Target="https://doi.org/10.1186/1471-2474-15-359" TargetMode="External"/><Relationship Id="rId31" Type="http://schemas.openxmlformats.org/officeDocument/2006/relationships/hyperlink" Target="https://www.ons.gov.uk/employmentandlabourmarket/peopleinwork/employmentandemployeetypes/methodologies/labourforcesurvEEuserguidance" TargetMode="External"/><Relationship Id="rId4" Type="http://schemas.openxmlformats.org/officeDocument/2006/relationships/settings" Target="settings.xml"/><Relationship Id="rId9" Type="http://schemas.openxmlformats.org/officeDocument/2006/relationships/hyperlink" Target="https://dera.ioe.ac.uk/32759/1/The-early-years-workforce-in-England_EPI.pdf" TargetMode="External"/><Relationship Id="rId14" Type="http://schemas.openxmlformats.org/officeDocument/2006/relationships/hyperlink" Target="https://www.gov.uk/government/statistics/childcare-and-early-years-providers-survey-2021" TargetMode="External"/><Relationship Id="rId22" Type="http://schemas.openxmlformats.org/officeDocument/2006/relationships/hyperlink" Target="https://www.hse.gov.uk/statistics/causdis/msd.pdf" TargetMode="External"/><Relationship Id="rId27" Type="http://schemas.openxmlformats.org/officeDocument/2006/relationships/hyperlink" Target="https://doi.org/10.1177/070674371506000402" TargetMode="External"/><Relationship Id="rId30" Type="http://schemas.openxmlformats.org/officeDocument/2006/relationships/hyperlink" Target="https://www.ncb.org.uk/about-us/media-centre/news-opinion/changing-staff-child-ratios-two-year-olds-families-need-quality" TargetMode="External"/><Relationship Id="rId35" Type="http://schemas.openxmlformats.org/officeDocument/2006/relationships/hyperlink" Target="https://doi.org/10.2486/indhealth.40.266" TargetMode="External"/><Relationship Id="rId8" Type="http://schemas.openxmlformats.org/officeDocument/2006/relationships/hyperlink" Target="http://www.qualtrics.com" TargetMode="External"/><Relationship Id="rId3" Type="http://schemas.openxmlformats.org/officeDocument/2006/relationships/styles" Target="styles.xml"/><Relationship Id="rId12" Type="http://schemas.openxmlformats.org/officeDocument/2006/relationships/hyperlink" Target="https://doi.org/10.1186/s12891-018-2081-z" TargetMode="External"/><Relationship Id="rId17" Type="http://schemas.openxmlformats.org/officeDocument/2006/relationships/hyperlink" Target="https://www.eyalliance.org.uk/news/2022/04/prime-minister-considering-relaxing-ratios-according-reports" TargetMode="External"/><Relationship Id="rId25" Type="http://schemas.openxmlformats.org/officeDocument/2006/relationships/hyperlink" Target="https://doi.org/10.3102/0013189X033007014" TargetMode="External"/><Relationship Id="rId33" Type="http://schemas.openxmlformats.org/officeDocument/2006/relationships/hyperlink" Target="https://www.voicetheunion.org.uk/sites/default/files/Backssurvey.pdf" TargetMode="External"/><Relationship Id="rId38" Type="http://schemas.openxmlformats.org/officeDocument/2006/relationships/hyperlink" Target="https://www.frontiersin.org/articles/10.3389/fpain.2022.937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E36B3-74B4-9244-AF48-467D8884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36</Pages>
  <Words>9562</Words>
  <Characters>54506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Turvill</dc:creator>
  <cp:keywords/>
  <dc:description/>
  <cp:lastModifiedBy>Alistair Turvill</cp:lastModifiedBy>
  <cp:revision>51</cp:revision>
  <dcterms:created xsi:type="dcterms:W3CDTF">2024-02-09T10:12:00Z</dcterms:created>
  <dcterms:modified xsi:type="dcterms:W3CDTF">2024-05-10T13:33:00Z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id="BNoJqWK6"/&gt;&lt;style id="" hasBibliography="0" bibliographyStyleHasBeenSet="0"/&gt;&lt;prefs/&gt;&lt;/data&gt;</vt:lpwstr>
  </property>
</Properties>
</file>