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bottomFromText="454" w:vertAnchor="page" w:horzAnchor="page" w:tblpX="738" w:tblpY="625"/>
        <w:tblOverlap w:val="never"/>
        <w:tblW w:w="10433" w:type="dxa"/>
        <w:tblLook w:val="04A0" w:firstRow="1" w:lastRow="0" w:firstColumn="1" w:lastColumn="0" w:noHBand="0" w:noVBand="1"/>
      </w:tblPr>
      <w:tblGrid>
        <w:gridCol w:w="10433"/>
      </w:tblGrid>
      <w:tr w:rsidR="00313481" w:rsidRPr="001F7565" w14:paraId="29A209E8" w14:textId="77777777" w:rsidTr="00301063">
        <w:trPr>
          <w:trHeight w:hRule="exact" w:val="794"/>
        </w:trPr>
        <w:tc>
          <w:tcPr>
            <w:tcW w:w="10433" w:type="dxa"/>
          </w:tcPr>
          <w:p w14:paraId="57170830" w14:textId="3FF7CB54" w:rsidR="00313481" w:rsidRPr="001F7565" w:rsidRDefault="009C59AD" w:rsidP="00A21D37">
            <w:pPr>
              <w:pStyle w:val="wpDate"/>
            </w:pPr>
            <w:r w:rsidRPr="001F7565">
              <w:rPr>
                <w:noProof/>
              </w:rPr>
              <mc:AlternateContent>
                <mc:Choice Requires="wps">
                  <w:drawing>
                    <wp:anchor distT="0" distB="0" distL="114300" distR="114300" simplePos="0" relativeHeight="251658240" behindDoc="1" locked="0" layoutInCell="1" allowOverlap="1" wp14:anchorId="2C6EC32C" wp14:editId="1EDF08B0">
                      <wp:simplePos x="0" y="0"/>
                      <wp:positionH relativeFrom="page">
                        <wp:posOffset>-466725</wp:posOffset>
                      </wp:positionH>
                      <wp:positionV relativeFrom="page">
                        <wp:posOffset>-396240</wp:posOffset>
                      </wp:positionV>
                      <wp:extent cx="7558560" cy="2520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560" cy="2520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5F38" id="Rectangle 1" o:spid="_x0000_s1026" style="position:absolute;margin-left:-36.75pt;margin-top:-31.2pt;width:595.15pt;height:19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" fillcolor="#da291c" stroked="f" strokeweight="2pt">
                      <w10:wrap anchorx="page" anchory="page"/>
                    </v:rect>
                  </w:pict>
                </mc:Fallback>
              </mc:AlternateContent>
            </w:r>
            <w:sdt>
              <w:sdtPr>
                <w:alias w:val="Date"/>
                <w:tag w:val="date"/>
                <w:id w:val="-2142028542"/>
                <w:placeholder>
                  <w:docPart w:val="A319EDA6E6FE40578E6A131D3DA4F518"/>
                </w:placeholder>
              </w:sdtPr>
              <w:sdtEndPr/>
              <w:sdtContent>
                <w:r w:rsidR="00516E9A" w:rsidRPr="001F7565">
                  <w:t xml:space="preserve"> </w:t>
                </w:r>
                <w:r w:rsidR="0022369B" w:rsidRPr="001F7565">
                  <w:t>December</w:t>
                </w:r>
                <w:r w:rsidR="00516E9A" w:rsidRPr="001F7565">
                  <w:t xml:space="preserve"> 20</w:t>
                </w:r>
                <w:r w:rsidR="0022369B" w:rsidRPr="001F7565">
                  <w:t>21</w:t>
                </w:r>
              </w:sdtContent>
            </w:sdt>
          </w:p>
        </w:tc>
      </w:tr>
      <w:tr w:rsidR="00313481" w:rsidRPr="001F7565" w14:paraId="67F21138" w14:textId="77777777" w:rsidTr="00301063">
        <w:trPr>
          <w:trHeight w:hRule="exact" w:val="2268"/>
        </w:trPr>
        <w:tc>
          <w:tcPr>
            <w:tcW w:w="10433" w:type="dxa"/>
          </w:tcPr>
          <w:bookmarkStart w:id="0" w:name="_Hlk89278241" w:displacedByCustomXml="next"/>
          <w:sdt>
            <w:sdtPr>
              <w:rPr>
                <w:sz w:val="36"/>
                <w:szCs w:val="36"/>
              </w:rPr>
              <w:alias w:val="Title"/>
              <w:tag w:val="title"/>
              <w:id w:val="411592763"/>
              <w:placeholder>
                <w:docPart w:val="52278FB766794CD281091F3F1FC46270"/>
              </w:placeholder>
              <w15:dataBinding w:xpath="/root[1]/title[1]" w:storeItemID="{8BB247F2-FFC0-4D80-B7B8-298498AD0A69}" w16sdtdh:storeItemChecksum="YIQ2dg=="/>
            </w:sdtPr>
            <w:sdtEndPr/>
            <w:sdtContent>
              <w:p w14:paraId="2CD1A822" w14:textId="436BACB8" w:rsidR="00441491" w:rsidRPr="001F7565" w:rsidRDefault="00441491" w:rsidP="00A21D37">
                <w:pPr>
                  <w:pStyle w:val="wpTitle"/>
                  <w:rPr>
                    <w:sz w:val="36"/>
                    <w:szCs w:val="36"/>
                  </w:rPr>
                </w:pPr>
                <w:r w:rsidRPr="001F7565">
                  <w:rPr>
                    <w:sz w:val="40"/>
                    <w:szCs w:val="40"/>
                  </w:rPr>
                  <w:t>Maximising the Impact of Careers Services on Career Management Skills: A Review of the Literature</w:t>
                </w:r>
              </w:p>
              <w:bookmarkEnd w:id="0" w:displacedByCustomXml="next"/>
            </w:sdtContent>
          </w:sdt>
          <w:sdt>
            <w:sdtPr>
              <w:alias w:val="Subtitle"/>
              <w:tag w:val="subtitle"/>
              <w:id w:val="-1797141670"/>
              <w:placeholder>
                <w:docPart w:val="EAC5DDB793054560BDC6B9112CAF2ECE"/>
              </w:placeholder>
            </w:sdtPr>
            <w:sdtEndPr/>
            <w:sdtContent>
              <w:p w14:paraId="12A1E59A" w14:textId="022BED9B" w:rsidR="00313481" w:rsidRPr="001F7565" w:rsidRDefault="00726E70" w:rsidP="00A21D37">
                <w:pPr>
                  <w:pStyle w:val="wpSubtitle"/>
                </w:pPr>
                <w:r w:rsidRPr="001F7565">
                  <w:rPr>
                    <w:sz w:val="32"/>
                    <w:szCs w:val="32"/>
                  </w:rPr>
                  <w:t>Susan Mackay, Marian Morris, Tristram Hooley</w:t>
                </w:r>
                <w:r w:rsidR="0022369B" w:rsidRPr="001F7565">
                  <w:rPr>
                    <w:sz w:val="32"/>
                    <w:szCs w:val="32"/>
                  </w:rPr>
                  <w:t xml:space="preserve">, </w:t>
                </w:r>
                <w:r w:rsidRPr="001F7565">
                  <w:rPr>
                    <w:sz w:val="32"/>
                    <w:szCs w:val="32"/>
                  </w:rPr>
                  <w:t>Siobhan Neary</w:t>
                </w:r>
                <w:r w:rsidR="00E74301" w:rsidRPr="001F7565">
                  <w:rPr>
                    <w:sz w:val="32"/>
                    <w:szCs w:val="32"/>
                  </w:rPr>
                  <w:t xml:space="preserve">, </w:t>
                </w:r>
                <w:r w:rsidR="0022369B" w:rsidRPr="001F7565">
                  <w:rPr>
                    <w:sz w:val="32"/>
                    <w:szCs w:val="32"/>
                  </w:rPr>
                  <w:t>Rhona Murray</w:t>
                </w:r>
                <w:r w:rsidR="00E74301" w:rsidRPr="001F7565">
                  <w:rPr>
                    <w:sz w:val="32"/>
                    <w:szCs w:val="32"/>
                  </w:rPr>
                  <w:t>, Hannah Blake and Maya Agur</w:t>
                </w:r>
              </w:p>
            </w:sdtContent>
          </w:sdt>
        </w:tc>
      </w:tr>
    </w:tbl>
    <w:p w14:paraId="4C8B8E19" w14:textId="3FE9A4CF" w:rsidR="003A4706" w:rsidRPr="001F7565" w:rsidRDefault="003A4706" w:rsidP="003A4706">
      <w:pPr>
        <w:pStyle w:val="wpSource"/>
      </w:pPr>
    </w:p>
    <w:p w14:paraId="20D73F7C" w14:textId="6BA85F25" w:rsidR="003A4706" w:rsidRPr="001F7565" w:rsidRDefault="006B26B5" w:rsidP="004606F6">
      <w:pPr>
        <w:pStyle w:val="wpHeading1"/>
      </w:pPr>
      <w:r w:rsidRPr="001F7565">
        <w:t>Executive Summary</w:t>
      </w:r>
    </w:p>
    <w:p w14:paraId="7B27D6A7" w14:textId="769429A9" w:rsidR="00E00411" w:rsidRPr="001F7565" w:rsidRDefault="00E00411" w:rsidP="009D774D">
      <w:pPr>
        <w:pStyle w:val="wpBodyText"/>
      </w:pPr>
      <w:r w:rsidRPr="001F7565">
        <w:t xml:space="preserve">The development of Career Management Skills (CMS) is one of the main areas against which the National Careers Service is monitored and funded. </w:t>
      </w:r>
      <w:r w:rsidR="004B37A1" w:rsidRPr="001F7565">
        <w:t>Under the initial contract this was one of three outcome measures (customer satisfaction, careers management and progression to learning and work). Th</w:t>
      </w:r>
      <w:r w:rsidR="002F473E" w:rsidRPr="001F7565">
        <w:t>is third</w:t>
      </w:r>
      <w:r w:rsidR="004B37A1" w:rsidRPr="001F7565">
        <w:t xml:space="preserve"> </w:t>
      </w:r>
      <w:r w:rsidR="003617B3" w:rsidRPr="001F7565">
        <w:t xml:space="preserve">measure </w:t>
      </w:r>
      <w:r w:rsidR="004B37A1" w:rsidRPr="001F7565">
        <w:t xml:space="preserve">has been divided to include progression to learning and progression to work/jobs. </w:t>
      </w:r>
      <w:r w:rsidRPr="001F7565">
        <w:t>This paper reports on the summarised findings from a review of the literature relating to CMS.</w:t>
      </w:r>
      <w:r w:rsidR="00FB0BAE" w:rsidRPr="001F7565">
        <w:t xml:space="preserve"> </w:t>
      </w:r>
      <w:r w:rsidRPr="001F7565">
        <w:t xml:space="preserve">The </w:t>
      </w:r>
      <w:r w:rsidR="004B37A1" w:rsidRPr="001F7565">
        <w:t>initial review in 2015</w:t>
      </w:r>
      <w:r w:rsidR="00FB0BAE" w:rsidRPr="001F7565">
        <w:t xml:space="preserve"> </w:t>
      </w:r>
      <w:r w:rsidRPr="001F7565">
        <w:t>identified over 15,000 papers for possible inclusion and a systematic process was applied to sift these down to 21 high quality papers that directly address the core issue of CMS outcomes.</w:t>
      </w:r>
      <w:r w:rsidR="004B37A1" w:rsidRPr="001F7565">
        <w:t xml:space="preserve"> This 2021 update includes a further </w:t>
      </w:r>
      <w:r w:rsidR="00300C8D" w:rsidRPr="001F7565">
        <w:t>16</w:t>
      </w:r>
      <w:r w:rsidR="004B37A1" w:rsidRPr="001F7565">
        <w:t xml:space="preserve"> papers, following the same systematic search and review process. </w:t>
      </w:r>
    </w:p>
    <w:p w14:paraId="4262BC67" w14:textId="40E19FAF" w:rsidR="00E00411" w:rsidRPr="001F7565" w:rsidRDefault="00E00411" w:rsidP="009D774D">
      <w:pPr>
        <w:pStyle w:val="wpBodyText"/>
      </w:pPr>
      <w:r w:rsidRPr="001F7565">
        <w:t xml:space="preserve">The review identified an international body of work on the development and implementation of competency frameworks in reaction to CMS, including the ‘Blueprint’ frameworks, which are a series of inter-related national approaches to career management skills (originating in the USA and taken up subsequently, and with different emphases, by Canada, Australia, </w:t>
      </w:r>
      <w:proofErr w:type="gramStart"/>
      <w:r w:rsidRPr="001F7565">
        <w:t>England</w:t>
      </w:r>
      <w:proofErr w:type="gramEnd"/>
      <w:r w:rsidRPr="001F7565">
        <w:t xml:space="preserve"> and Scotland).  There is, </w:t>
      </w:r>
      <w:proofErr w:type="gramStart"/>
      <w:r w:rsidRPr="001F7565">
        <w:t>as yet,</w:t>
      </w:r>
      <w:proofErr w:type="gramEnd"/>
      <w:r w:rsidRPr="001F7565">
        <w:t xml:space="preserve"> little empirical evidence to support the overall efficacy of CMS frameworks, but they have the advantage of setting out </w:t>
      </w:r>
      <w:r w:rsidRPr="001F7565">
        <w:rPr>
          <w:b/>
        </w:rPr>
        <w:t>what needs to be learned</w:t>
      </w:r>
      <w:r w:rsidRPr="001F7565">
        <w:t xml:space="preserve"> (usually as a clear and identifiable list of skills, attributes and attitudes) and, often, </w:t>
      </w:r>
      <w:r w:rsidRPr="001F7565">
        <w:rPr>
          <w:b/>
        </w:rPr>
        <w:t>how this learning is intended to happen</w:t>
      </w:r>
      <w:r w:rsidRPr="001F7565">
        <w:t xml:space="preserve">.  </w:t>
      </w:r>
    </w:p>
    <w:p w14:paraId="303F710B" w14:textId="669C7366" w:rsidR="000F639D" w:rsidRPr="001F7565" w:rsidRDefault="000F639D" w:rsidP="009D774D">
      <w:pPr>
        <w:pStyle w:val="wpBodyText"/>
        <w:rPr>
          <w:rFonts w:eastAsia="Times New Roman" w:cs="Times New Roman"/>
          <w:sz w:val="21"/>
          <w:lang w:eastAsia="en-GB"/>
        </w:rPr>
      </w:pPr>
      <w:r w:rsidRPr="001F7565">
        <w:rPr>
          <w:rFonts w:eastAsia="Times New Roman" w:cs="Times New Roman"/>
          <w:szCs w:val="24"/>
          <w:lang w:eastAsia="en-GB"/>
        </w:rPr>
        <w:t xml:space="preserve">The international literature emphasised the iterative nature and mixture of formal and informal learning and life experiences that people needed to develop CMS.  It suggested that, though there was no single intervention or group of interventions that appeared most effective in increasing CMS, there were five underpinning components of career guidance interventions that substantially increased effectiveness, particularly when combined. These included the use of narrative/writing </w:t>
      </w:r>
      <w:r w:rsidRPr="001F7565">
        <w:rPr>
          <w:rFonts w:eastAsia="Times New Roman" w:cs="Times New Roman"/>
          <w:lang w:eastAsia="en-GB"/>
        </w:rPr>
        <w:t>approaches; the importance of providing a ‘safe’ environment; the quality of the adviser-client relationship; the need for flexibility in approach; the provision of specialist information and support; and clarity on the purpose and aims of action planning.</w:t>
      </w:r>
      <w:r w:rsidR="00C31662" w:rsidRPr="001F7565">
        <w:rPr>
          <w:rFonts w:eastAsia="Times New Roman" w:cs="Times New Roman"/>
          <w:lang w:eastAsia="en-GB"/>
        </w:rPr>
        <w:t xml:space="preserve"> Further literature from the 2021 update emphasised how the nature of certain interventions were found to be more appropriate and effective with certain customer groups (</w:t>
      </w:r>
      <w:proofErr w:type="gramStart"/>
      <w:r w:rsidR="00C31662" w:rsidRPr="001F7565">
        <w:rPr>
          <w:rFonts w:eastAsia="Times New Roman" w:cs="Times New Roman"/>
          <w:lang w:eastAsia="en-GB"/>
        </w:rPr>
        <w:t>e.g.</w:t>
      </w:r>
      <w:proofErr w:type="gramEnd"/>
      <w:r w:rsidR="00C31662" w:rsidRPr="001F7565">
        <w:rPr>
          <w:rFonts w:eastAsia="Times New Roman" w:cs="Times New Roman"/>
          <w:lang w:eastAsia="en-GB"/>
        </w:rPr>
        <w:t xml:space="preserve"> narrative approaches that fostered storytelling and meaning-making through counselling relationships were found to be best suited to assisting women develop their CMS.)</w:t>
      </w:r>
    </w:p>
    <w:p w14:paraId="0CE08725" w14:textId="6A2BC5B4" w:rsidR="000F639D" w:rsidRPr="001F7565" w:rsidRDefault="000F639D" w:rsidP="009D774D">
      <w:pPr>
        <w:pStyle w:val="wpBodyText"/>
        <w:rPr>
          <w:rFonts w:eastAsia="Times New Roman" w:cs="Times New Roman"/>
          <w:szCs w:val="24"/>
          <w:lang w:eastAsia="en-GB"/>
        </w:rPr>
      </w:pPr>
      <w:r w:rsidRPr="001F7565">
        <w:rPr>
          <w:rFonts w:eastAsia="Times New Roman" w:cs="Times New Roman"/>
          <w:szCs w:val="24"/>
          <w:lang w:eastAsia="en-GB"/>
        </w:rPr>
        <w:lastRenderedPageBreak/>
        <w:t xml:space="preserve">The review also identified a possible emergent hierarchy around the efficacy of different modes of delivery of career guidance interventions on CMS development. Interventions involving practitioner contact and structured groups appeared more effective than self-directed interventions or unstructured groups.  Computer-based interventions were found to work better when practitioner input was provided during the intervention or when they were followed up by a structured workshop session to discuss and review the results.  </w:t>
      </w:r>
    </w:p>
    <w:p w14:paraId="221F2A70" w14:textId="0102EADE" w:rsidR="009E42DB" w:rsidRPr="001F7565" w:rsidRDefault="009E42DB" w:rsidP="009D774D">
      <w:pPr>
        <w:pStyle w:val="wpBodyText"/>
        <w:rPr>
          <w:rFonts w:eastAsia="Times New Roman" w:cs="Times New Roman"/>
          <w:szCs w:val="24"/>
          <w:lang w:eastAsia="en-GB"/>
        </w:rPr>
      </w:pPr>
      <w:r w:rsidRPr="001F7565">
        <w:rPr>
          <w:rFonts w:eastAsia="Times New Roman" w:cs="Times New Roman"/>
          <w:szCs w:val="24"/>
          <w:lang w:eastAsia="en-GB"/>
        </w:rPr>
        <w:t>In the 2021 update, the review picked up greater emphasis on the context in which CMS are developed, the ‘</w:t>
      </w:r>
      <w:r w:rsidRPr="001F7565">
        <w:rPr>
          <w:rFonts w:eastAsia="Times New Roman" w:cs="Times New Roman"/>
          <w:i/>
          <w:iCs/>
          <w:szCs w:val="24"/>
          <w:lang w:eastAsia="en-GB"/>
        </w:rPr>
        <w:t>where’</w:t>
      </w:r>
      <w:r w:rsidRPr="001F7565">
        <w:rPr>
          <w:rFonts w:eastAsia="Times New Roman" w:cs="Times New Roman"/>
          <w:szCs w:val="24"/>
          <w:lang w:eastAsia="en-GB"/>
        </w:rPr>
        <w:t xml:space="preserve"> rather than ‘</w:t>
      </w:r>
      <w:r w:rsidRPr="001F7565">
        <w:rPr>
          <w:rFonts w:eastAsia="Times New Roman" w:cs="Times New Roman"/>
          <w:i/>
          <w:iCs/>
          <w:szCs w:val="24"/>
          <w:lang w:eastAsia="en-GB"/>
        </w:rPr>
        <w:t>when’</w:t>
      </w:r>
      <w:r w:rsidRPr="001F7565">
        <w:rPr>
          <w:rFonts w:eastAsia="Times New Roman" w:cs="Times New Roman"/>
          <w:szCs w:val="24"/>
          <w:lang w:eastAsia="en-GB"/>
        </w:rPr>
        <w:t xml:space="preserve">, with community settings recognised as relevant sites for career guidance activities leading to CMS development (Thomson, 2017; Barnes et al., 2020). Where there are a range of organisations and professional services working in, and with communities, this provides opportunities to create links between an individual’s need to develop CMS and access to existing support. These existing networks could be utilised more by the National Careers Service in their service delivery. </w:t>
      </w:r>
    </w:p>
    <w:p w14:paraId="35F044FE" w14:textId="44922CF6" w:rsidR="00E00411" w:rsidRPr="001F7565" w:rsidRDefault="000F639D" w:rsidP="009D774D">
      <w:pPr>
        <w:pStyle w:val="wpBodyText"/>
        <w:rPr>
          <w:rFonts w:eastAsia="Cambria" w:cs="Times New Roman"/>
        </w:rPr>
      </w:pPr>
      <w:r w:rsidRPr="001F7565">
        <w:rPr>
          <w:rFonts w:eastAsia="Cambria" w:cs="Times New Roman"/>
        </w:rPr>
        <w:t>There was an established evidence base on how to develop CMS skills (such as through engagement with self-awareness or career decision-making activities).  However, as Sultana (2012) argued, more needs to be done to better understand the impact of CMS on economic</w:t>
      </w:r>
      <w:r w:rsidR="00974E2F" w:rsidRPr="001F7565">
        <w:rPr>
          <w:rFonts w:eastAsia="Cambria" w:cs="Times New Roman"/>
        </w:rPr>
        <w:t xml:space="preserve"> and social outcomes, such as individual self-efficacy, approaches to developing occupational pathways, progression to employment and increased satisfaction at work.</w:t>
      </w:r>
      <w:r w:rsidR="0019526C" w:rsidRPr="001F7565">
        <w:rPr>
          <w:rFonts w:eastAsia="Cambria" w:cs="Times New Roman"/>
        </w:rPr>
        <w:t xml:space="preserve"> Linked to this, </w:t>
      </w:r>
      <w:r w:rsidR="0019526C" w:rsidRPr="001F7565">
        <w:rPr>
          <w:lang w:eastAsia="en-GB"/>
        </w:rPr>
        <w:t>there is also a lack of evidence in relation to the experiences of groups with protected characteristics, and research on the support and development of CMS from these perspectives is required to ensure relevant career support and guidance is available.</w:t>
      </w:r>
      <w:r w:rsidR="00974E2F" w:rsidRPr="001F7565">
        <w:rPr>
          <w:rFonts w:eastAsia="Cambria" w:cs="Times New Roman"/>
        </w:rPr>
        <w:t xml:space="preserve"> The Best Practice Programme of research </w:t>
      </w:r>
      <w:r w:rsidR="00451229" w:rsidRPr="001F7565">
        <w:rPr>
          <w:rFonts w:eastAsia="Cambria" w:cs="Times New Roman"/>
        </w:rPr>
        <w:t xml:space="preserve">and subsequent Continuous Improvement Programme </w:t>
      </w:r>
      <w:r w:rsidR="00974E2F" w:rsidRPr="001F7565">
        <w:rPr>
          <w:rFonts w:eastAsia="Cambria" w:cs="Times New Roman"/>
        </w:rPr>
        <w:t>within the National Careers Service</w:t>
      </w:r>
      <w:r w:rsidR="00451229" w:rsidRPr="001F7565">
        <w:rPr>
          <w:rFonts w:eastAsia="Cambria" w:cs="Times New Roman"/>
        </w:rPr>
        <w:t xml:space="preserve"> has</w:t>
      </w:r>
      <w:r w:rsidR="00974E2F" w:rsidRPr="001F7565">
        <w:rPr>
          <w:rFonts w:eastAsia="Cambria" w:cs="Times New Roman"/>
        </w:rPr>
        <w:t xml:space="preserve"> provide</w:t>
      </w:r>
      <w:r w:rsidR="00451229" w:rsidRPr="001F7565">
        <w:rPr>
          <w:rFonts w:eastAsia="Cambria" w:cs="Times New Roman"/>
        </w:rPr>
        <w:t>d</w:t>
      </w:r>
      <w:r w:rsidR="00974E2F" w:rsidRPr="001F7565">
        <w:rPr>
          <w:rFonts w:eastAsia="Cambria" w:cs="Times New Roman"/>
        </w:rPr>
        <w:t xml:space="preserve"> an ideal opportunity to explore any emerging relationship between individuals’ CMS development</w:t>
      </w:r>
      <w:r w:rsidR="0019526C" w:rsidRPr="001F7565">
        <w:rPr>
          <w:rFonts w:eastAsia="Cambria" w:cs="Times New Roman"/>
        </w:rPr>
        <w:t>, especially priority customer groups,</w:t>
      </w:r>
      <w:r w:rsidR="00974E2F" w:rsidRPr="001F7565">
        <w:rPr>
          <w:rFonts w:eastAsia="Cambria" w:cs="Times New Roman"/>
        </w:rPr>
        <w:t xml:space="preserve"> and jobs and learning outcomes.</w:t>
      </w:r>
    </w:p>
    <w:p w14:paraId="1688D58F" w14:textId="5A72BB3D" w:rsidR="00974E2F" w:rsidRPr="001F7565" w:rsidRDefault="00974E2F" w:rsidP="00974E2F">
      <w:pPr>
        <w:pStyle w:val="wpHeading2"/>
      </w:pPr>
      <w:r w:rsidRPr="001F7565">
        <w:t>Introduction</w:t>
      </w:r>
    </w:p>
    <w:p w14:paraId="250F8A9C" w14:textId="77777777" w:rsidR="009D558F" w:rsidRPr="001F7565" w:rsidRDefault="009D558F" w:rsidP="009D774D">
      <w:pPr>
        <w:pStyle w:val="wpBodyText"/>
        <w:rPr>
          <w:lang w:eastAsia="en-GB"/>
        </w:rPr>
      </w:pPr>
      <w:r w:rsidRPr="001F7565">
        <w:rPr>
          <w:lang w:eastAsia="en-GB"/>
        </w:rPr>
        <w:t xml:space="preserve">The development of Career Management Skills (CMS) is one of the main intended outcomes for recipients of career guidance.  The term CMS refers to the </w:t>
      </w:r>
      <w:r w:rsidRPr="001F7565">
        <w:rPr>
          <w:b/>
          <w:lang w:eastAsia="en-GB"/>
        </w:rPr>
        <w:t>skills, attributes and attitudes</w:t>
      </w:r>
      <w:r w:rsidRPr="001F7565">
        <w:rPr>
          <w:lang w:eastAsia="en-GB"/>
        </w:rPr>
        <w:t xml:space="preserve"> that are thought to be required to enable people to effectively plan, manage and develop their careers throughout their lives.  The concept of CMS recognises that career development is based on individuals moving around in increasingly fluid labour markets.  An important justification for incorporating CMS in the design and delivery of career guidance services is an awareness of the range of competencies required to manage these non-linear career pathways, including self-efficacy, resilience, </w:t>
      </w:r>
      <w:proofErr w:type="gramStart"/>
      <w:r w:rsidRPr="001F7565">
        <w:rPr>
          <w:lang w:eastAsia="en-GB"/>
        </w:rPr>
        <w:t>adaptability</w:t>
      </w:r>
      <w:proofErr w:type="gramEnd"/>
      <w:r w:rsidRPr="001F7565">
        <w:rPr>
          <w:lang w:eastAsia="en-GB"/>
        </w:rPr>
        <w:t xml:space="preserve"> and responsiveness to change.  </w:t>
      </w:r>
    </w:p>
    <w:p w14:paraId="37F9D942" w14:textId="567C621E" w:rsidR="000D0B5E" w:rsidRPr="001F7565" w:rsidRDefault="000D0B5E" w:rsidP="000D0B5E">
      <w:pPr>
        <w:pStyle w:val="wpBodyText"/>
        <w:rPr>
          <w:lang w:eastAsia="en-GB"/>
        </w:rPr>
      </w:pPr>
      <w:r w:rsidRPr="001F7565">
        <w:rPr>
          <w:lang w:eastAsia="en-GB"/>
        </w:rPr>
        <w:t xml:space="preserve">This paper updates the findings from a 2015 review of the literature relating to </w:t>
      </w:r>
      <w:r w:rsidR="00451229" w:rsidRPr="001F7565">
        <w:rPr>
          <w:lang w:eastAsia="en-GB"/>
        </w:rPr>
        <w:t>careers management skills</w:t>
      </w:r>
      <w:r w:rsidRPr="001F7565">
        <w:rPr>
          <w:lang w:eastAsia="en-GB"/>
        </w:rPr>
        <w:t xml:space="preserve">. It forms part of a series of papers initially produced to inform development of a Best Practice Programme for the National Careers Service in England and which now underpin the Continuous Improvement programme. At the time of the original research, the service had recently undergone a shift to an outcome-based funding model, with three outcome measures for the service (customer satisfaction, career management and progression to jobs and learning). These measures have subsequently been </w:t>
      </w:r>
      <w:r w:rsidR="003617B3" w:rsidRPr="001F7565">
        <w:rPr>
          <w:lang w:eastAsia="en-GB"/>
        </w:rPr>
        <w:t xml:space="preserve">refined </w:t>
      </w:r>
      <w:r w:rsidRPr="001F7565">
        <w:rPr>
          <w:lang w:eastAsia="en-GB"/>
        </w:rPr>
        <w:t xml:space="preserve">to include measures for progression to learning </w:t>
      </w:r>
      <w:r w:rsidRPr="001F7565">
        <w:rPr>
          <w:lang w:eastAsia="en-GB"/>
        </w:rPr>
        <w:lastRenderedPageBreak/>
        <w:t xml:space="preserve">and progression to jobs, </w:t>
      </w:r>
      <w:r w:rsidR="004B37A1" w:rsidRPr="001F7565">
        <w:rPr>
          <w:lang w:eastAsia="en-GB"/>
        </w:rPr>
        <w:t xml:space="preserve">highlighting </w:t>
      </w:r>
      <w:r w:rsidRPr="001F7565">
        <w:rPr>
          <w:lang w:eastAsia="en-GB"/>
        </w:rPr>
        <w:t>the emphasis of the service on enabling people to enhance their skills and move out of long-term unemployment. The findings are of relevance to policy makers, service managers and practitioners as they work towards the achievement of career management skills amongst customers.</w:t>
      </w:r>
    </w:p>
    <w:p w14:paraId="5F9EE366" w14:textId="77777777" w:rsidR="009D558F" w:rsidRPr="001F7565" w:rsidRDefault="009D558F" w:rsidP="000C4872">
      <w:pPr>
        <w:pStyle w:val="wpHeading2"/>
        <w:rPr>
          <w:rFonts w:eastAsia="Times New Roman"/>
          <w:lang w:eastAsia="en-GB"/>
        </w:rPr>
      </w:pPr>
      <w:r w:rsidRPr="001F7565">
        <w:rPr>
          <w:rFonts w:eastAsia="Times New Roman"/>
          <w:lang w:eastAsia="en-GB"/>
        </w:rPr>
        <w:t>Methodology</w:t>
      </w:r>
    </w:p>
    <w:p w14:paraId="55A18CDC" w14:textId="52A8D589" w:rsidR="000D0B5E" w:rsidRPr="001F7565" w:rsidRDefault="0096118A" w:rsidP="000D0B5E">
      <w:pPr>
        <w:pStyle w:val="wpBodyText"/>
        <w:rPr>
          <w:lang w:eastAsia="en-GB"/>
        </w:rPr>
      </w:pPr>
      <w:r w:rsidRPr="001F7565">
        <w:rPr>
          <w:lang w:eastAsia="en-GB"/>
        </w:rPr>
        <w:t xml:space="preserve">This paper is </w:t>
      </w:r>
      <w:r w:rsidR="004B37A1" w:rsidRPr="001F7565">
        <w:rPr>
          <w:lang w:eastAsia="en-GB"/>
        </w:rPr>
        <w:t xml:space="preserve">one </w:t>
      </w:r>
      <w:r w:rsidRPr="001F7565">
        <w:rPr>
          <w:lang w:eastAsia="en-GB"/>
        </w:rPr>
        <w:t>part of an update to a series reporting the results of a literature review commissioned by the then Skills Funding Agency (now the Education and Skills Funding Agency) to inform development of a Best Practice Programme (now the Continuous Improvement programme) for the National Careers Service.</w:t>
      </w:r>
      <w:r w:rsidR="000D0B5E" w:rsidRPr="001F7565">
        <w:rPr>
          <w:lang w:eastAsia="en-GB"/>
        </w:rPr>
        <w:t xml:space="preserve"> The following five themes / questions were identified for the review to focus on:</w:t>
      </w:r>
    </w:p>
    <w:p w14:paraId="30D4BF8C" w14:textId="4885EB30" w:rsidR="004B37A1" w:rsidRPr="001F7565" w:rsidRDefault="000D0B5E" w:rsidP="004B37A1">
      <w:pPr>
        <w:spacing w:after="180" w:line="288" w:lineRule="auto"/>
        <w:ind w:left="720" w:hanging="720"/>
        <w:jc w:val="both"/>
        <w:rPr>
          <w:rFonts w:eastAsia="Times New Roman" w:cs="Times New Roman"/>
          <w:sz w:val="21"/>
          <w:lang w:eastAsia="en-GB"/>
        </w:rPr>
      </w:pPr>
      <w:r w:rsidRPr="001F7565">
        <w:rPr>
          <w:rFonts w:eastAsia="Times New Roman" w:cs="Times New Roman"/>
          <w:sz w:val="21"/>
          <w:lang w:eastAsia="en-GB"/>
        </w:rPr>
        <w:t>1.</w:t>
      </w:r>
      <w:r w:rsidRPr="001F7565">
        <w:rPr>
          <w:rFonts w:eastAsia="Times New Roman" w:cs="Times New Roman"/>
          <w:sz w:val="21"/>
          <w:lang w:eastAsia="en-GB"/>
        </w:rPr>
        <w:tab/>
      </w:r>
      <w:r w:rsidR="004B37A1" w:rsidRPr="001F7565">
        <w:rPr>
          <w:rFonts w:eastAsia="Times New Roman" w:cs="Times New Roman"/>
          <w:sz w:val="21"/>
          <w:lang w:eastAsia="en-GB"/>
        </w:rPr>
        <w:t xml:space="preserve">What evidence exists which describes the </w:t>
      </w:r>
      <w:r w:rsidR="004B37A1" w:rsidRPr="001F7565">
        <w:rPr>
          <w:rFonts w:eastAsia="Times New Roman" w:cs="Times New Roman"/>
          <w:b/>
          <w:sz w:val="21"/>
          <w:lang w:eastAsia="en-GB"/>
        </w:rPr>
        <w:t>policies, systems and processes</w:t>
      </w:r>
      <w:r w:rsidR="004B37A1" w:rsidRPr="001F7565">
        <w:rPr>
          <w:rFonts w:eastAsia="Times New Roman" w:cs="Times New Roman"/>
          <w:sz w:val="21"/>
          <w:lang w:eastAsia="en-GB"/>
        </w:rPr>
        <w:t xml:space="preserve"> that underpin the organisation of national careers services? [Internal Report to SFA]</w:t>
      </w:r>
    </w:p>
    <w:p w14:paraId="6CC520B1" w14:textId="77777777" w:rsidR="004B37A1" w:rsidRPr="001F7565" w:rsidRDefault="004B37A1" w:rsidP="00300C8D">
      <w:pPr>
        <w:spacing w:after="180" w:line="288" w:lineRule="auto"/>
        <w:ind w:left="720" w:hanging="720"/>
        <w:jc w:val="both"/>
        <w:rPr>
          <w:rFonts w:eastAsia="Times New Roman" w:cs="Times New Roman"/>
          <w:sz w:val="21"/>
          <w:lang w:eastAsia="en-GB"/>
        </w:rPr>
      </w:pPr>
      <w:r w:rsidRPr="001F7565">
        <w:rPr>
          <w:rFonts w:eastAsia="Times New Roman" w:cs="Times New Roman"/>
          <w:sz w:val="21"/>
          <w:lang w:eastAsia="en-GB"/>
        </w:rPr>
        <w:t>2.</w:t>
      </w:r>
      <w:r w:rsidRPr="001F7565">
        <w:rPr>
          <w:rFonts w:eastAsia="Times New Roman" w:cs="Times New Roman"/>
          <w:sz w:val="21"/>
          <w:lang w:eastAsia="en-GB"/>
        </w:rPr>
        <w:tab/>
        <w:t xml:space="preserve">How can careers services maximise </w:t>
      </w:r>
      <w:r w:rsidRPr="001F7565">
        <w:rPr>
          <w:rFonts w:eastAsia="Times New Roman" w:cs="Times New Roman"/>
          <w:b/>
          <w:sz w:val="21"/>
          <w:lang w:eastAsia="en-GB"/>
        </w:rPr>
        <w:t>customer satisfaction</w:t>
      </w:r>
      <w:r w:rsidRPr="001F7565">
        <w:rPr>
          <w:rFonts w:eastAsia="Times New Roman" w:cs="Times New Roman"/>
          <w:sz w:val="21"/>
          <w:lang w:eastAsia="en-GB"/>
        </w:rPr>
        <w:t xml:space="preserve">? [currently located </w:t>
      </w:r>
      <w:hyperlink r:id="rId12" w:history="1">
        <w:r w:rsidRPr="001F7565">
          <w:rPr>
            <w:rStyle w:val="Hyperlink"/>
            <w:rFonts w:eastAsia="Times New Roman" w:cs="Times New Roman"/>
            <w:sz w:val="21"/>
            <w:lang w:eastAsia="en-GB"/>
          </w:rPr>
          <w:t>here</w:t>
        </w:r>
      </w:hyperlink>
      <w:r w:rsidRPr="001F7565">
        <w:rPr>
          <w:rFonts w:eastAsia="Times New Roman" w:cs="Times New Roman"/>
          <w:sz w:val="21"/>
          <w:lang w:eastAsia="en-GB"/>
        </w:rPr>
        <w:t xml:space="preserve"> and also available </w:t>
      </w:r>
      <w:hyperlink r:id="rId13" w:history="1">
        <w:r w:rsidRPr="001F7565">
          <w:rPr>
            <w:rStyle w:val="Hyperlink"/>
            <w:rFonts w:eastAsia="Times New Roman" w:cs="Times New Roman"/>
            <w:sz w:val="21"/>
            <w:lang w:eastAsia="en-GB"/>
          </w:rPr>
          <w:t>here</w:t>
        </w:r>
      </w:hyperlink>
      <w:r w:rsidRPr="001F7565">
        <w:rPr>
          <w:rFonts w:eastAsia="Times New Roman" w:cs="Times New Roman"/>
          <w:sz w:val="21"/>
          <w:lang w:eastAsia="en-GB"/>
        </w:rPr>
        <w:t>]</w:t>
      </w:r>
    </w:p>
    <w:p w14:paraId="61842767" w14:textId="77777777" w:rsidR="004B37A1" w:rsidRPr="001F7565" w:rsidRDefault="004B37A1" w:rsidP="00300C8D">
      <w:pPr>
        <w:spacing w:after="180" w:line="288" w:lineRule="auto"/>
        <w:ind w:left="720" w:hanging="720"/>
        <w:jc w:val="both"/>
        <w:rPr>
          <w:rFonts w:eastAsia="Times New Roman" w:cs="Times New Roman"/>
          <w:sz w:val="21"/>
          <w:lang w:eastAsia="en-GB"/>
        </w:rPr>
      </w:pPr>
      <w:r w:rsidRPr="001F7565">
        <w:rPr>
          <w:rFonts w:eastAsia="Times New Roman" w:cs="Times New Roman"/>
          <w:sz w:val="21"/>
          <w:lang w:eastAsia="en-GB"/>
        </w:rPr>
        <w:t>3.</w:t>
      </w:r>
      <w:r w:rsidRPr="001F7565">
        <w:rPr>
          <w:rFonts w:eastAsia="Times New Roman" w:cs="Times New Roman"/>
          <w:sz w:val="21"/>
          <w:lang w:eastAsia="en-GB"/>
        </w:rPr>
        <w:tab/>
        <w:t xml:space="preserve">How can careers services maximise their impact on </w:t>
      </w:r>
      <w:r w:rsidRPr="001F7565">
        <w:rPr>
          <w:rFonts w:eastAsia="Times New Roman" w:cs="Times New Roman"/>
          <w:b/>
          <w:sz w:val="21"/>
          <w:lang w:eastAsia="en-GB"/>
        </w:rPr>
        <w:t>career management skills</w:t>
      </w:r>
      <w:r w:rsidRPr="001F7565">
        <w:rPr>
          <w:rFonts w:eastAsia="Times New Roman" w:cs="Times New Roman"/>
          <w:sz w:val="21"/>
          <w:lang w:eastAsia="en-GB"/>
        </w:rPr>
        <w:t>? [</w:t>
      </w:r>
      <w:r w:rsidRPr="001F7565">
        <w:rPr>
          <w:rStyle w:val="BlueText"/>
          <w:rFonts w:eastAsia="Times New Roman" w:cs="Times New Roman"/>
          <w:b w:val="0"/>
          <w:bCs/>
          <w:sz w:val="21"/>
          <w:lang w:eastAsia="en-GB"/>
        </w:rPr>
        <w:t xml:space="preserve">currently available </w:t>
      </w:r>
      <w:hyperlink r:id="rId14" w:history="1">
        <w:r w:rsidRPr="001F7565">
          <w:rPr>
            <w:rStyle w:val="Hyperlink"/>
            <w:rFonts w:eastAsia="Times New Roman" w:cs="Times New Roman"/>
            <w:bCs/>
            <w:sz w:val="21"/>
            <w:lang w:eastAsia="en-GB"/>
          </w:rPr>
          <w:t>here</w:t>
        </w:r>
      </w:hyperlink>
      <w:r w:rsidRPr="001F7565">
        <w:rPr>
          <w:rFonts w:eastAsia="Times New Roman" w:cs="Times New Roman"/>
          <w:sz w:val="21"/>
          <w:lang w:eastAsia="en-GB"/>
        </w:rPr>
        <w:t>]</w:t>
      </w:r>
    </w:p>
    <w:p w14:paraId="25E8730F" w14:textId="77777777" w:rsidR="004B37A1" w:rsidRPr="001F7565" w:rsidRDefault="004B37A1" w:rsidP="004B37A1">
      <w:pPr>
        <w:spacing w:after="180" w:line="288" w:lineRule="auto"/>
        <w:ind w:left="720" w:hanging="720"/>
        <w:jc w:val="both"/>
        <w:rPr>
          <w:rFonts w:eastAsia="Times New Roman" w:cs="Times New Roman"/>
          <w:sz w:val="21"/>
          <w:lang w:eastAsia="en-GB"/>
        </w:rPr>
      </w:pPr>
      <w:r w:rsidRPr="001F7565">
        <w:rPr>
          <w:rFonts w:eastAsia="Times New Roman" w:cs="Times New Roman"/>
          <w:sz w:val="21"/>
          <w:lang w:eastAsia="en-GB"/>
        </w:rPr>
        <w:t>4.</w:t>
      </w:r>
      <w:r w:rsidRPr="001F7565">
        <w:rPr>
          <w:rFonts w:eastAsia="Times New Roman" w:cs="Times New Roman"/>
          <w:sz w:val="21"/>
          <w:lang w:eastAsia="en-GB"/>
        </w:rPr>
        <w:tab/>
        <w:t xml:space="preserve">How can careers services maximise their impact on individual’s </w:t>
      </w:r>
      <w:r w:rsidRPr="001F7565">
        <w:rPr>
          <w:rFonts w:eastAsia="Times New Roman" w:cs="Times New Roman"/>
          <w:b/>
          <w:sz w:val="21"/>
          <w:lang w:eastAsia="en-GB"/>
        </w:rPr>
        <w:t>progression to positive learning and work destinations</w:t>
      </w:r>
      <w:r w:rsidRPr="001F7565">
        <w:rPr>
          <w:rFonts w:eastAsia="Times New Roman" w:cs="Times New Roman"/>
          <w:sz w:val="21"/>
          <w:lang w:eastAsia="en-GB"/>
        </w:rPr>
        <w:t>? [</w:t>
      </w:r>
      <w:r w:rsidRPr="001F7565">
        <w:rPr>
          <w:rStyle w:val="BlueText"/>
          <w:rFonts w:eastAsia="Times New Roman" w:cs="Times New Roman"/>
          <w:b w:val="0"/>
          <w:bCs/>
          <w:sz w:val="21"/>
          <w:lang w:eastAsia="en-GB"/>
        </w:rPr>
        <w:t xml:space="preserve">currently available </w:t>
      </w:r>
      <w:hyperlink r:id="rId15" w:history="1">
        <w:r w:rsidRPr="001F7565">
          <w:rPr>
            <w:rStyle w:val="Hyperlink"/>
            <w:rFonts w:eastAsia="Times New Roman" w:cs="Times New Roman"/>
            <w:bCs/>
            <w:sz w:val="21"/>
            <w:lang w:eastAsia="en-GB"/>
          </w:rPr>
          <w:t>here</w:t>
        </w:r>
      </w:hyperlink>
      <w:r w:rsidRPr="001F7565">
        <w:rPr>
          <w:rFonts w:eastAsia="Times New Roman" w:cs="Times New Roman"/>
          <w:b/>
          <w:bCs/>
          <w:sz w:val="21"/>
          <w:lang w:eastAsia="en-GB"/>
        </w:rPr>
        <w:t>]</w:t>
      </w:r>
    </w:p>
    <w:p w14:paraId="54E549B7" w14:textId="77777777" w:rsidR="004B37A1" w:rsidRPr="001F7565" w:rsidRDefault="004B37A1" w:rsidP="000D0B5E">
      <w:pPr>
        <w:spacing w:after="180" w:line="288" w:lineRule="auto"/>
        <w:jc w:val="both"/>
        <w:rPr>
          <w:rStyle w:val="BlueText"/>
          <w:rFonts w:eastAsia="Times New Roman" w:cs="Times New Roman"/>
          <w:sz w:val="21"/>
          <w:lang w:eastAsia="en-GB"/>
        </w:rPr>
      </w:pPr>
      <w:r w:rsidRPr="001F7565">
        <w:rPr>
          <w:rFonts w:eastAsia="Times New Roman" w:cs="Times New Roman"/>
          <w:sz w:val="21"/>
          <w:lang w:eastAsia="en-GB"/>
        </w:rPr>
        <w:t>5.</w:t>
      </w:r>
      <w:r w:rsidRPr="001F7565">
        <w:rPr>
          <w:rFonts w:eastAsia="Times New Roman" w:cs="Times New Roman"/>
          <w:sz w:val="21"/>
          <w:lang w:eastAsia="en-GB"/>
        </w:rPr>
        <w:tab/>
        <w:t xml:space="preserve">How is effective </w:t>
      </w:r>
      <w:r w:rsidRPr="001F7565">
        <w:rPr>
          <w:rFonts w:eastAsia="Times New Roman" w:cs="Times New Roman"/>
          <w:b/>
          <w:sz w:val="21"/>
          <w:lang w:eastAsia="en-GB"/>
        </w:rPr>
        <w:t>brokerage</w:t>
      </w:r>
      <w:r w:rsidRPr="001F7565">
        <w:rPr>
          <w:rFonts w:eastAsia="Times New Roman" w:cs="Times New Roman"/>
          <w:sz w:val="21"/>
          <w:lang w:eastAsia="en-GB"/>
        </w:rPr>
        <w:t xml:space="preserve"> between education and employers organised? [</w:t>
      </w:r>
      <w:r w:rsidRPr="001F7565">
        <w:rPr>
          <w:rStyle w:val="BlueText"/>
          <w:rFonts w:eastAsia="Times New Roman" w:cs="Times New Roman"/>
          <w:b w:val="0"/>
          <w:bCs/>
          <w:sz w:val="21"/>
          <w:lang w:eastAsia="en-GB"/>
        </w:rPr>
        <w:t>available</w:t>
      </w:r>
      <w:r w:rsidRPr="001F7565">
        <w:rPr>
          <w:rStyle w:val="BlueText"/>
          <w:rFonts w:eastAsia="Times New Roman" w:cs="Times New Roman"/>
          <w:sz w:val="21"/>
          <w:lang w:eastAsia="en-GB"/>
        </w:rPr>
        <w:t xml:space="preserve"> </w:t>
      </w:r>
      <w:hyperlink r:id="rId16" w:history="1">
        <w:r w:rsidRPr="001F7565">
          <w:rPr>
            <w:rStyle w:val="Hyperlink"/>
            <w:rFonts w:eastAsia="Times New Roman" w:cs="Times New Roman"/>
            <w:sz w:val="21"/>
            <w:lang w:eastAsia="en-GB"/>
          </w:rPr>
          <w:t>here</w:t>
        </w:r>
      </w:hyperlink>
      <w:r w:rsidRPr="001F7565">
        <w:rPr>
          <w:rStyle w:val="BlueText"/>
          <w:rFonts w:eastAsia="Times New Roman" w:cs="Times New Roman"/>
          <w:sz w:val="21"/>
          <w:lang w:eastAsia="en-GB"/>
        </w:rPr>
        <w:t>]</w:t>
      </w:r>
    </w:p>
    <w:p w14:paraId="2C1C5AF0" w14:textId="52815AD9" w:rsidR="00853F06" w:rsidRPr="001F7565" w:rsidRDefault="00853F06" w:rsidP="000D0B5E">
      <w:pPr>
        <w:spacing w:after="180" w:line="288" w:lineRule="auto"/>
        <w:jc w:val="both"/>
        <w:rPr>
          <w:rFonts w:eastAsia="Times New Roman" w:cs="Times New Roman"/>
          <w:sz w:val="21"/>
          <w:lang w:eastAsia="en-GB"/>
        </w:rPr>
      </w:pPr>
      <w:r w:rsidRPr="001F7565">
        <w:rPr>
          <w:lang w:eastAsia="en-GB"/>
        </w:rPr>
        <w:t xml:space="preserve">The original </w:t>
      </w:r>
      <w:r w:rsidRPr="001F7565">
        <w:rPr>
          <w:b/>
          <w:bCs/>
          <w:lang w:eastAsia="en-GB"/>
        </w:rPr>
        <w:t>policy review</w:t>
      </w:r>
      <w:r w:rsidRPr="001F7565">
        <w:rPr>
          <w:lang w:eastAsia="en-GB"/>
        </w:rPr>
        <w:t xml:space="preserve"> was sent as an internal document to the SFA/ESFA and so was not included in the updating process for the National Careers Service.  The </w:t>
      </w:r>
      <w:r w:rsidRPr="001F7565">
        <w:rPr>
          <w:b/>
          <w:bCs/>
          <w:lang w:eastAsia="en-GB"/>
        </w:rPr>
        <w:t>brokerage review</w:t>
      </w:r>
      <w:r w:rsidRPr="001F7565">
        <w:rPr>
          <w:lang w:eastAsia="en-GB"/>
        </w:rPr>
        <w:t xml:space="preserve"> was initially intended to inform the work of the National Careers Service in relation to </w:t>
      </w:r>
      <w:r w:rsidRPr="001F7565">
        <w:t xml:space="preserve">the 2013 skills strategy </w:t>
      </w:r>
      <w:r w:rsidRPr="001F7565">
        <w:rPr>
          <w:i/>
        </w:rPr>
        <w:t xml:space="preserve">Rigour and Responsiveness in Skills, </w:t>
      </w:r>
      <w:r w:rsidRPr="001F7565">
        <w:rPr>
          <w:iCs/>
        </w:rPr>
        <w:t>which</w:t>
      </w:r>
      <w:r w:rsidRPr="001F7565">
        <w:t xml:space="preserve"> explicitly note the requirement for the National Careers Service at that time to ‘play a proactive role in connecting employers, education institutions and local partners’ to identify and promote opportunities for young people. This was a specific focus of the </w:t>
      </w:r>
      <w:r w:rsidRPr="001F7565">
        <w:rPr>
          <w:lang w:eastAsia="en-GB"/>
        </w:rPr>
        <w:t xml:space="preserve">Inspiration </w:t>
      </w:r>
      <w:r w:rsidR="004B37A1" w:rsidRPr="001F7565">
        <w:rPr>
          <w:lang w:eastAsia="en-GB"/>
        </w:rPr>
        <w:t>Agenda but</w:t>
      </w:r>
      <w:r w:rsidRPr="001F7565">
        <w:rPr>
          <w:lang w:eastAsia="en-GB"/>
        </w:rPr>
        <w:t xml:space="preserve"> is now more fully under the remit of the Careers &amp; Enterprise Company</w:t>
      </w:r>
      <w:r w:rsidR="0096118A" w:rsidRPr="001F7565">
        <w:rPr>
          <w:lang w:eastAsia="en-GB"/>
        </w:rPr>
        <w:t>.</w:t>
      </w:r>
    </w:p>
    <w:p w14:paraId="179F1CCB" w14:textId="05DD3606" w:rsidR="000C4872" w:rsidRPr="001F7565" w:rsidRDefault="009D558F" w:rsidP="00FB0BAE">
      <w:pPr>
        <w:pStyle w:val="wpBodyText"/>
        <w:rPr>
          <w:lang w:eastAsia="en-GB"/>
        </w:rPr>
      </w:pPr>
      <w:r w:rsidRPr="001F7565">
        <w:rPr>
          <w:lang w:eastAsia="en-GB"/>
        </w:rPr>
        <w:t xml:space="preserve">This paper reports on the results relating to </w:t>
      </w:r>
      <w:r w:rsidRPr="001F7565">
        <w:rPr>
          <w:b/>
          <w:bCs/>
          <w:lang w:eastAsia="en-GB"/>
        </w:rPr>
        <w:t>career management skills</w:t>
      </w:r>
      <w:r w:rsidRPr="001F7565">
        <w:rPr>
          <w:lang w:eastAsia="en-GB"/>
        </w:rPr>
        <w:t xml:space="preserve">. A set of core and secondary search terms were identified for this theme (Table 1). These were </w:t>
      </w:r>
      <w:r w:rsidRPr="001F7565">
        <w:rPr>
          <w:b/>
          <w:lang w:eastAsia="en-GB"/>
        </w:rPr>
        <w:t>applied to the indexes, databases</w:t>
      </w:r>
      <w:r w:rsidRPr="001F7565">
        <w:rPr>
          <w:lang w:eastAsia="en-GB"/>
        </w:rPr>
        <w:t xml:space="preserve"> and search engines listed in Annex A.</w:t>
      </w:r>
    </w:p>
    <w:p w14:paraId="6A51B96D" w14:textId="6DF2E0E7" w:rsidR="009D558F" w:rsidRPr="001F7565" w:rsidRDefault="002745A8" w:rsidP="002745A8">
      <w:pPr>
        <w:pStyle w:val="wpCaption"/>
        <w:rPr>
          <w:lang w:eastAsia="en-GB"/>
        </w:rPr>
      </w:pPr>
      <w:r w:rsidRPr="001F7565">
        <w:t xml:space="preserve">Table </w:t>
      </w:r>
      <w:r w:rsidRPr="001F7565">
        <w:fldChar w:fldCharType="begin"/>
      </w:r>
      <w:r w:rsidRPr="001F7565">
        <w:instrText xml:space="preserve"> SEQ Table \* ARABIC </w:instrText>
      </w:r>
      <w:r w:rsidRPr="001F7565">
        <w:fldChar w:fldCharType="separate"/>
      </w:r>
      <w:r w:rsidR="00771953" w:rsidRPr="001F7565">
        <w:rPr>
          <w:noProof/>
        </w:rPr>
        <w:t>1</w:t>
      </w:r>
      <w:r w:rsidRPr="001F7565">
        <w:fldChar w:fldCharType="end"/>
      </w:r>
      <w:r w:rsidRPr="001F7565">
        <w:t xml:space="preserve">: </w:t>
      </w:r>
      <w:r w:rsidR="009D558F" w:rsidRPr="001F7565">
        <w:rPr>
          <w:lang w:eastAsia="en-GB"/>
        </w:rPr>
        <w:t>Search terms relating to career management skills</w:t>
      </w:r>
    </w:p>
    <w:tbl>
      <w:tblPr>
        <w:tblStyle w:val="SQW"/>
        <w:tblW w:w="5000" w:type="pct"/>
        <w:tblLayout w:type="fixed"/>
        <w:tblLook w:val="04A0" w:firstRow="1" w:lastRow="0" w:firstColumn="1" w:lastColumn="0" w:noHBand="0" w:noVBand="1"/>
      </w:tblPr>
      <w:tblGrid>
        <w:gridCol w:w="4073"/>
        <w:gridCol w:w="5107"/>
      </w:tblGrid>
      <w:tr w:rsidR="009D558F" w:rsidRPr="001F7565" w14:paraId="2E55FA6D" w14:textId="77777777" w:rsidTr="002F2A72">
        <w:trPr>
          <w:cnfStyle w:val="100000000000" w:firstRow="1" w:lastRow="0" w:firstColumn="0" w:lastColumn="0" w:oddVBand="0" w:evenVBand="0" w:oddHBand="0" w:evenHBand="0" w:firstRowFirstColumn="0" w:firstRowLastColumn="0" w:lastRowFirstColumn="0" w:lastRowLastColumn="0"/>
          <w:tblHeader/>
        </w:trPr>
        <w:tc>
          <w:tcPr>
            <w:tcW w:w="3676" w:type="dxa"/>
          </w:tcPr>
          <w:p w14:paraId="5C438C72" w14:textId="77777777" w:rsidR="009D558F" w:rsidRPr="001F7565" w:rsidRDefault="009D558F" w:rsidP="002F2A72">
            <w:pPr>
              <w:pStyle w:val="wpColumnHeading"/>
            </w:pPr>
            <w:r w:rsidRPr="001F7565">
              <w:t>Core search terms</w:t>
            </w:r>
          </w:p>
        </w:tc>
        <w:tc>
          <w:tcPr>
            <w:tcW w:w="4610" w:type="dxa"/>
          </w:tcPr>
          <w:p w14:paraId="266FE94D" w14:textId="77777777" w:rsidR="009D558F" w:rsidRPr="001F7565" w:rsidRDefault="009D558F" w:rsidP="002F2A72">
            <w:pPr>
              <w:pStyle w:val="wpColumnHeading"/>
            </w:pPr>
            <w:r w:rsidRPr="001F7565">
              <w:t>Secondary search terms</w:t>
            </w:r>
          </w:p>
        </w:tc>
      </w:tr>
      <w:tr w:rsidR="009D558F" w:rsidRPr="001F7565" w14:paraId="1F0070E8" w14:textId="77777777" w:rsidTr="002F2A72">
        <w:tc>
          <w:tcPr>
            <w:tcW w:w="3676" w:type="dxa"/>
          </w:tcPr>
          <w:p w14:paraId="3374FE11" w14:textId="77777777" w:rsidR="009D558F" w:rsidRPr="001F7565" w:rsidRDefault="009D558F" w:rsidP="002F2A72">
            <w:pPr>
              <w:pStyle w:val="wpTableBullet"/>
            </w:pPr>
            <w:r w:rsidRPr="001F7565">
              <w:t>Career development</w:t>
            </w:r>
          </w:p>
          <w:p w14:paraId="2A439D2E" w14:textId="77777777" w:rsidR="009D558F" w:rsidRPr="001F7565" w:rsidRDefault="009D558F" w:rsidP="002F2A72">
            <w:pPr>
              <w:pStyle w:val="wpTableBullet"/>
            </w:pPr>
            <w:r w:rsidRPr="001F7565">
              <w:t>Career(s) counsel(l)ing</w:t>
            </w:r>
          </w:p>
          <w:p w14:paraId="7EF1C0BA" w14:textId="77777777" w:rsidR="009D558F" w:rsidRPr="001F7565" w:rsidRDefault="009D558F" w:rsidP="002F2A72">
            <w:pPr>
              <w:pStyle w:val="wpTableBullet"/>
            </w:pPr>
            <w:r w:rsidRPr="001F7565">
              <w:t>Career(s) guidance</w:t>
            </w:r>
          </w:p>
          <w:p w14:paraId="1B7BA9AA" w14:textId="77777777" w:rsidR="009D558F" w:rsidRPr="001F7565" w:rsidRDefault="009D558F" w:rsidP="002F2A72">
            <w:pPr>
              <w:pStyle w:val="wpTableBullet"/>
            </w:pPr>
            <w:r w:rsidRPr="001F7565">
              <w:t>Careers(s) advice</w:t>
            </w:r>
          </w:p>
          <w:p w14:paraId="7228AF9A" w14:textId="77777777" w:rsidR="009D558F" w:rsidRPr="001F7565" w:rsidRDefault="009D558F" w:rsidP="002F2A72">
            <w:pPr>
              <w:pStyle w:val="wpTableBullet"/>
            </w:pPr>
            <w:r w:rsidRPr="001F7565">
              <w:t>Guidance</w:t>
            </w:r>
          </w:p>
          <w:p w14:paraId="1DE5A6C7" w14:textId="77777777" w:rsidR="009D558F" w:rsidRPr="001F7565" w:rsidRDefault="009D558F" w:rsidP="002F2A72">
            <w:pPr>
              <w:pStyle w:val="wpTableBullet"/>
            </w:pPr>
            <w:r w:rsidRPr="001F7565">
              <w:t>Guidance counsel(l)ing</w:t>
            </w:r>
          </w:p>
          <w:p w14:paraId="0E3BCF47" w14:textId="77777777" w:rsidR="009D558F" w:rsidRPr="001F7565" w:rsidRDefault="009D558F" w:rsidP="002F2A72">
            <w:pPr>
              <w:pStyle w:val="wpTableBullet"/>
            </w:pPr>
            <w:r w:rsidRPr="001F7565">
              <w:t>Information, Advice and Guidance (IAG)</w:t>
            </w:r>
          </w:p>
          <w:p w14:paraId="278B8600" w14:textId="77777777" w:rsidR="009D558F" w:rsidRPr="001F7565" w:rsidRDefault="009D558F" w:rsidP="002F2A72">
            <w:pPr>
              <w:pStyle w:val="wpTableBullet"/>
            </w:pPr>
            <w:r w:rsidRPr="001F7565">
              <w:lastRenderedPageBreak/>
              <w:t>Lifelong guidance</w:t>
            </w:r>
          </w:p>
        </w:tc>
        <w:tc>
          <w:tcPr>
            <w:tcW w:w="4610" w:type="dxa"/>
          </w:tcPr>
          <w:p w14:paraId="2EA0721C" w14:textId="77777777" w:rsidR="009D558F" w:rsidRPr="001F7565" w:rsidRDefault="009D558F" w:rsidP="002F2A72">
            <w:pPr>
              <w:pStyle w:val="wpTableBullet"/>
            </w:pPr>
            <w:r w:rsidRPr="001F7565">
              <w:lastRenderedPageBreak/>
              <w:t>Career information skills</w:t>
            </w:r>
          </w:p>
          <w:p w14:paraId="5C467A48" w14:textId="77777777" w:rsidR="009D558F" w:rsidRPr="001F7565" w:rsidRDefault="009D558F" w:rsidP="002F2A72">
            <w:pPr>
              <w:pStyle w:val="wpTableBullet"/>
            </w:pPr>
            <w:r w:rsidRPr="001F7565">
              <w:t>Career management</w:t>
            </w:r>
          </w:p>
          <w:p w14:paraId="16CDFB65" w14:textId="77777777" w:rsidR="009D558F" w:rsidRPr="001F7565" w:rsidRDefault="009D558F" w:rsidP="002F2A72">
            <w:pPr>
              <w:pStyle w:val="wpTableBullet"/>
            </w:pPr>
            <w:r w:rsidRPr="001F7565">
              <w:t>Career management skills</w:t>
            </w:r>
          </w:p>
          <w:p w14:paraId="7731FFFE" w14:textId="77777777" w:rsidR="009D558F" w:rsidRPr="001F7565" w:rsidRDefault="009D558F" w:rsidP="002F2A72">
            <w:pPr>
              <w:pStyle w:val="wpTableBullet"/>
            </w:pPr>
            <w:r w:rsidRPr="001F7565">
              <w:t>Career planning</w:t>
            </w:r>
          </w:p>
          <w:p w14:paraId="5436BD37" w14:textId="77777777" w:rsidR="009D558F" w:rsidRPr="001F7565" w:rsidRDefault="009D558F" w:rsidP="002F2A72">
            <w:pPr>
              <w:pStyle w:val="wpTableBullet"/>
            </w:pPr>
            <w:r w:rsidRPr="001F7565">
              <w:t>Career resilience</w:t>
            </w:r>
          </w:p>
          <w:p w14:paraId="5305D041" w14:textId="77777777" w:rsidR="009D558F" w:rsidRPr="001F7565" w:rsidRDefault="009D558F" w:rsidP="002F2A72">
            <w:pPr>
              <w:pStyle w:val="wpTableBullet"/>
            </w:pPr>
            <w:r w:rsidRPr="001F7565">
              <w:t>Career self-efficacy/self-efficacy</w:t>
            </w:r>
          </w:p>
          <w:p w14:paraId="21132F52" w14:textId="77777777" w:rsidR="009D558F" w:rsidRPr="001F7565" w:rsidRDefault="009D558F" w:rsidP="002F2A72">
            <w:pPr>
              <w:pStyle w:val="wpTableBullet"/>
            </w:pPr>
            <w:proofErr w:type="gramStart"/>
            <w:r w:rsidRPr="001F7565">
              <w:t>Decision(</w:t>
            </w:r>
            <w:proofErr w:type="gramEnd"/>
            <w:r w:rsidRPr="001F7565">
              <w:t>-)making</w:t>
            </w:r>
          </w:p>
          <w:p w14:paraId="780B313B" w14:textId="77777777" w:rsidR="009D558F" w:rsidRPr="001F7565" w:rsidRDefault="009D558F" w:rsidP="002F2A72">
            <w:pPr>
              <w:pStyle w:val="wpTableBullet"/>
            </w:pPr>
            <w:r w:rsidRPr="001F7565">
              <w:lastRenderedPageBreak/>
              <w:t>Employability skills</w:t>
            </w:r>
          </w:p>
          <w:p w14:paraId="606C9978" w14:textId="77777777" w:rsidR="009D558F" w:rsidRPr="001F7565" w:rsidRDefault="009D558F" w:rsidP="002F2A72">
            <w:pPr>
              <w:pStyle w:val="wpTableBullet"/>
            </w:pPr>
            <w:r w:rsidRPr="001F7565">
              <w:t>Job search skills</w:t>
            </w:r>
          </w:p>
          <w:p w14:paraId="4148864E" w14:textId="77777777" w:rsidR="009D558F" w:rsidRPr="001F7565" w:rsidRDefault="009D558F" w:rsidP="002F2A72">
            <w:pPr>
              <w:pStyle w:val="wpTableBullet"/>
            </w:pPr>
            <w:r w:rsidRPr="001F7565">
              <w:t>Opportunity awareness</w:t>
            </w:r>
          </w:p>
          <w:p w14:paraId="165545E4" w14:textId="77777777" w:rsidR="009D558F" w:rsidRPr="001F7565" w:rsidRDefault="009D558F" w:rsidP="002F2A72">
            <w:pPr>
              <w:pStyle w:val="wpTableBullet"/>
            </w:pPr>
            <w:r w:rsidRPr="001F7565">
              <w:t>Self-awareness</w:t>
            </w:r>
          </w:p>
          <w:p w14:paraId="6066F05A" w14:textId="77777777" w:rsidR="009D558F" w:rsidRPr="001F7565" w:rsidRDefault="009D558F" w:rsidP="002F2A72">
            <w:pPr>
              <w:pStyle w:val="wpTableBullet"/>
            </w:pPr>
            <w:r w:rsidRPr="001F7565">
              <w:t>Transferable skills</w:t>
            </w:r>
          </w:p>
          <w:p w14:paraId="681F9332" w14:textId="77777777" w:rsidR="009D558F" w:rsidRPr="001F7565" w:rsidRDefault="009D558F" w:rsidP="002F2A72">
            <w:pPr>
              <w:pStyle w:val="wpTableBullet"/>
            </w:pPr>
            <w:r w:rsidRPr="001F7565">
              <w:t>Transition skills</w:t>
            </w:r>
          </w:p>
          <w:p w14:paraId="1E5ED196" w14:textId="77777777" w:rsidR="009D558F" w:rsidRPr="001F7565" w:rsidRDefault="009D558F" w:rsidP="002F2A72">
            <w:pPr>
              <w:pStyle w:val="wpTableBullet"/>
            </w:pPr>
            <w:r w:rsidRPr="001F7565">
              <w:t>Using LMI/Labour Market Information</w:t>
            </w:r>
          </w:p>
          <w:p w14:paraId="369B3AF7" w14:textId="77777777" w:rsidR="009D558F" w:rsidRPr="001F7565" w:rsidRDefault="009D558F" w:rsidP="002F2A72">
            <w:pPr>
              <w:pStyle w:val="wpTableBullet"/>
            </w:pPr>
            <w:r w:rsidRPr="001F7565">
              <w:t>Careers assessment</w:t>
            </w:r>
          </w:p>
          <w:p w14:paraId="7C31D68A" w14:textId="77777777" w:rsidR="009D558F" w:rsidRPr="001F7565" w:rsidRDefault="009D558F" w:rsidP="002F2A72">
            <w:pPr>
              <w:pStyle w:val="wpTableBullet"/>
            </w:pPr>
            <w:r w:rsidRPr="001F7565">
              <w:t xml:space="preserve">Diagnostic assessment </w:t>
            </w:r>
          </w:p>
        </w:tc>
      </w:tr>
    </w:tbl>
    <w:p w14:paraId="6D20F064" w14:textId="218A85DD" w:rsidR="000D0B5E" w:rsidRPr="001F7565" w:rsidRDefault="009D558F" w:rsidP="000D0B5E">
      <w:pPr>
        <w:pStyle w:val="wpBodyText"/>
        <w:rPr>
          <w:lang w:eastAsia="en-GB"/>
        </w:rPr>
      </w:pPr>
      <w:r w:rsidRPr="001F7565">
        <w:rPr>
          <w:lang w:eastAsia="en-GB"/>
        </w:rPr>
        <w:lastRenderedPageBreak/>
        <w:br/>
      </w:r>
      <w:r w:rsidR="000D0B5E" w:rsidRPr="001F7565">
        <w:rPr>
          <w:lang w:eastAsia="en-GB"/>
        </w:rPr>
        <w:t xml:space="preserve">The initial search in 2014 produced a total of 26,600 results across all five research questions. The searching process in 2021 found </w:t>
      </w:r>
      <w:r w:rsidR="00FB0BAE" w:rsidRPr="001F7565">
        <w:rPr>
          <w:lang w:eastAsia="en-GB"/>
        </w:rPr>
        <w:t xml:space="preserve">62 </w:t>
      </w:r>
      <w:r w:rsidR="000D0B5E" w:rsidRPr="001F7565">
        <w:rPr>
          <w:lang w:eastAsia="en-GB"/>
        </w:rPr>
        <w:t>results across the three areas of career satisfaction, career management and career progression, the areas selected for updating.</w:t>
      </w:r>
      <w:r w:rsidR="00D606C7" w:rsidRPr="001F7565">
        <w:rPr>
          <w:lang w:eastAsia="en-GB"/>
        </w:rPr>
        <w:t xml:space="preserve"> </w:t>
      </w:r>
      <w:r w:rsidR="000D0B5E" w:rsidRPr="001F7565">
        <w:rPr>
          <w:lang w:eastAsia="en-GB"/>
        </w:rPr>
        <w:t xml:space="preserve"> </w:t>
      </w:r>
    </w:p>
    <w:p w14:paraId="6EF84906" w14:textId="23B315AE" w:rsidR="009D558F" w:rsidRPr="001F7565" w:rsidRDefault="000D0B5E" w:rsidP="000D0B5E">
      <w:pPr>
        <w:pStyle w:val="wpBodyText"/>
        <w:rPr>
          <w:lang w:eastAsia="en-GB"/>
        </w:rPr>
      </w:pPr>
      <w:r w:rsidRPr="001F7565">
        <w:rPr>
          <w:lang w:eastAsia="en-GB"/>
        </w:rPr>
        <w:t xml:space="preserve">On each occasion, the results of the search process were </w:t>
      </w:r>
      <w:r w:rsidR="009D558F" w:rsidRPr="001F7565">
        <w:rPr>
          <w:lang w:eastAsia="en-GB"/>
        </w:rPr>
        <w:t>uploaded to EPPI-Reviewer 4, a software package designed to facilitate an iterative approach to reviewing the results of literature searches. The abstracts were then subject to a seven-stage review process aimed at filtering out duplicates, any unsuitable or non-relevant material, as well as studies considered not to be of sufficient quality (perhaps lacking an indication of method) for use in the full text review. An overview of this process is provided in Table 2, as well as the results from each of the stages.</w:t>
      </w:r>
    </w:p>
    <w:p w14:paraId="461655BA" w14:textId="19AAEFA9" w:rsidR="009D558F" w:rsidRPr="001F7565" w:rsidRDefault="002745A8" w:rsidP="002745A8">
      <w:pPr>
        <w:pStyle w:val="wpCaption"/>
        <w:rPr>
          <w:lang w:eastAsia="en-GB"/>
        </w:rPr>
      </w:pPr>
      <w:r w:rsidRPr="001F7565">
        <w:t xml:space="preserve">Table </w:t>
      </w:r>
      <w:r w:rsidRPr="001F7565">
        <w:fldChar w:fldCharType="begin"/>
      </w:r>
      <w:r w:rsidRPr="001F7565">
        <w:instrText xml:space="preserve"> SEQ Table \* ARABIC </w:instrText>
      </w:r>
      <w:r w:rsidRPr="001F7565">
        <w:fldChar w:fldCharType="separate"/>
      </w:r>
      <w:r w:rsidR="00771953" w:rsidRPr="001F7565">
        <w:rPr>
          <w:noProof/>
        </w:rPr>
        <w:t>2</w:t>
      </w:r>
      <w:r w:rsidRPr="001F7565">
        <w:fldChar w:fldCharType="end"/>
      </w:r>
      <w:r w:rsidRPr="001F7565">
        <w:t xml:space="preserve">: </w:t>
      </w:r>
      <w:r w:rsidR="009D558F" w:rsidRPr="001F7565">
        <w:rPr>
          <w:lang w:eastAsia="en-GB"/>
        </w:rPr>
        <w:t>Summary of process for review of results</w:t>
      </w:r>
    </w:p>
    <w:tbl>
      <w:tblPr>
        <w:tblStyle w:val="SQW"/>
        <w:tblW w:w="4997" w:type="pct"/>
        <w:tblInd w:w="5" w:type="dxa"/>
        <w:tblLayout w:type="fixed"/>
        <w:tblLook w:val="04A0" w:firstRow="1" w:lastRow="0" w:firstColumn="1" w:lastColumn="0" w:noHBand="0" w:noVBand="1"/>
      </w:tblPr>
      <w:tblGrid>
        <w:gridCol w:w="5556"/>
        <w:gridCol w:w="1809"/>
        <w:gridCol w:w="1809"/>
      </w:tblGrid>
      <w:tr w:rsidR="0096118A" w:rsidRPr="001F7565" w14:paraId="75AE2DB1" w14:textId="16A26A28" w:rsidTr="0096118A">
        <w:trPr>
          <w:cnfStyle w:val="100000000000" w:firstRow="1" w:lastRow="0" w:firstColumn="0" w:lastColumn="0" w:oddVBand="0" w:evenVBand="0" w:oddHBand="0" w:evenHBand="0" w:firstRowFirstColumn="0" w:firstRowLastColumn="0" w:lastRowFirstColumn="0" w:lastRowLastColumn="0"/>
          <w:tblHeader/>
        </w:trPr>
        <w:tc>
          <w:tcPr>
            <w:tcW w:w="3028" w:type="pct"/>
            <w:hideMark/>
          </w:tcPr>
          <w:p w14:paraId="61E3A5CC" w14:textId="77777777" w:rsidR="0096118A" w:rsidRPr="001F7565" w:rsidRDefault="0096118A" w:rsidP="0096118A">
            <w:pPr>
              <w:pStyle w:val="wpColumnHeading"/>
            </w:pPr>
            <w:r w:rsidRPr="001F7565">
              <w:t>Stage:</w:t>
            </w:r>
          </w:p>
        </w:tc>
        <w:tc>
          <w:tcPr>
            <w:tcW w:w="986" w:type="pct"/>
            <w:hideMark/>
          </w:tcPr>
          <w:p w14:paraId="755C6C28" w14:textId="2FC6EE7D" w:rsidR="0096118A" w:rsidRPr="001F7565" w:rsidRDefault="0096118A" w:rsidP="0096118A">
            <w:pPr>
              <w:pStyle w:val="wpColumnHeading"/>
            </w:pPr>
            <w:r w:rsidRPr="001F7565">
              <w:t>First review (2014/15): Total remaining:</w:t>
            </w:r>
          </w:p>
        </w:tc>
        <w:tc>
          <w:tcPr>
            <w:tcW w:w="986" w:type="pct"/>
          </w:tcPr>
          <w:p w14:paraId="6FCF2E71" w14:textId="16E25B74" w:rsidR="0096118A" w:rsidRPr="001F7565" w:rsidRDefault="0096118A" w:rsidP="0096118A">
            <w:pPr>
              <w:pStyle w:val="wpColumnHeading"/>
            </w:pPr>
            <w:r w:rsidRPr="001F7565">
              <w:t>Update review (2021): Total remaining</w:t>
            </w:r>
          </w:p>
        </w:tc>
      </w:tr>
      <w:tr w:rsidR="00256335" w:rsidRPr="001F7565" w14:paraId="29D607C1" w14:textId="469F44A0" w:rsidTr="0096118A">
        <w:tc>
          <w:tcPr>
            <w:tcW w:w="3028" w:type="pct"/>
            <w:hideMark/>
          </w:tcPr>
          <w:p w14:paraId="361BE68C" w14:textId="77777777" w:rsidR="00256335" w:rsidRPr="001F7565" w:rsidRDefault="00256335" w:rsidP="00256335">
            <w:pPr>
              <w:pStyle w:val="wpTableText"/>
            </w:pPr>
            <w:r w:rsidRPr="001F7565">
              <w:t>1. Full search results</w:t>
            </w:r>
          </w:p>
        </w:tc>
        <w:tc>
          <w:tcPr>
            <w:tcW w:w="986" w:type="pct"/>
            <w:hideMark/>
          </w:tcPr>
          <w:p w14:paraId="67685D74" w14:textId="77777777" w:rsidR="00256335" w:rsidRPr="001F7565" w:rsidRDefault="00256335" w:rsidP="00256335">
            <w:pPr>
              <w:pStyle w:val="wpTableText"/>
              <w:rPr>
                <w:b/>
                <w:bCs/>
              </w:rPr>
            </w:pPr>
            <w:r w:rsidRPr="001F7565">
              <w:rPr>
                <w:b/>
                <w:bCs/>
              </w:rPr>
              <w:t>26,600</w:t>
            </w:r>
          </w:p>
        </w:tc>
        <w:tc>
          <w:tcPr>
            <w:tcW w:w="986" w:type="pct"/>
          </w:tcPr>
          <w:p w14:paraId="67189599" w14:textId="1E1F2EA3" w:rsidR="00256335" w:rsidRPr="001F7565" w:rsidRDefault="00256335" w:rsidP="00256335">
            <w:pPr>
              <w:pStyle w:val="wpTableText"/>
              <w:rPr>
                <w:b/>
                <w:bCs/>
              </w:rPr>
            </w:pPr>
            <w:r w:rsidRPr="001F7565">
              <w:rPr>
                <w:b/>
                <w:bCs/>
              </w:rPr>
              <w:t>62</w:t>
            </w:r>
          </w:p>
        </w:tc>
      </w:tr>
      <w:tr w:rsidR="00256335" w:rsidRPr="001F7565" w14:paraId="34280402" w14:textId="00B6E055" w:rsidTr="0096118A">
        <w:trPr>
          <w:cnfStyle w:val="000000010000" w:firstRow="0" w:lastRow="0" w:firstColumn="0" w:lastColumn="0" w:oddVBand="0" w:evenVBand="0" w:oddHBand="0" w:evenHBand="1" w:firstRowFirstColumn="0" w:firstRowLastColumn="0" w:lastRowFirstColumn="0" w:lastRowLastColumn="0"/>
        </w:trPr>
        <w:tc>
          <w:tcPr>
            <w:tcW w:w="3028" w:type="pct"/>
            <w:hideMark/>
          </w:tcPr>
          <w:p w14:paraId="12F43E13" w14:textId="77777777" w:rsidR="00256335" w:rsidRPr="001F7565" w:rsidRDefault="00256335" w:rsidP="00256335">
            <w:pPr>
              <w:pStyle w:val="wpTableText"/>
            </w:pPr>
            <w:r w:rsidRPr="001F7565">
              <w:t>2. Duplicates removed</w:t>
            </w:r>
          </w:p>
        </w:tc>
        <w:tc>
          <w:tcPr>
            <w:tcW w:w="986" w:type="pct"/>
            <w:hideMark/>
          </w:tcPr>
          <w:p w14:paraId="3EFE12E7" w14:textId="77777777" w:rsidR="00256335" w:rsidRPr="001F7565" w:rsidRDefault="00256335" w:rsidP="00256335">
            <w:pPr>
              <w:pStyle w:val="wpTableText"/>
              <w:rPr>
                <w:b/>
                <w:bCs/>
              </w:rPr>
            </w:pPr>
            <w:r w:rsidRPr="001F7565">
              <w:rPr>
                <w:b/>
                <w:bCs/>
              </w:rPr>
              <w:t>15,300</w:t>
            </w:r>
          </w:p>
        </w:tc>
        <w:tc>
          <w:tcPr>
            <w:tcW w:w="986" w:type="pct"/>
          </w:tcPr>
          <w:p w14:paraId="02C8CD83" w14:textId="2D4CF39D" w:rsidR="00256335" w:rsidRPr="001F7565" w:rsidRDefault="00256335" w:rsidP="00256335">
            <w:pPr>
              <w:pStyle w:val="wpTableText"/>
              <w:rPr>
                <w:b/>
                <w:bCs/>
              </w:rPr>
            </w:pPr>
            <w:r w:rsidRPr="001F7565">
              <w:rPr>
                <w:b/>
                <w:bCs/>
              </w:rPr>
              <w:t>0</w:t>
            </w:r>
          </w:p>
        </w:tc>
      </w:tr>
      <w:tr w:rsidR="00256335" w:rsidRPr="001F7565" w14:paraId="0A2C3A8D" w14:textId="4A46A2DB" w:rsidTr="0096118A">
        <w:tc>
          <w:tcPr>
            <w:tcW w:w="3028" w:type="pct"/>
            <w:hideMark/>
          </w:tcPr>
          <w:p w14:paraId="7E2E7D44" w14:textId="77777777" w:rsidR="00256335" w:rsidRPr="001F7565" w:rsidRDefault="00256335" w:rsidP="00256335">
            <w:pPr>
              <w:pStyle w:val="wpTableText"/>
            </w:pPr>
            <w:r w:rsidRPr="001F7565">
              <w:t>3. Core search terms applied to Title and Abstract</w:t>
            </w:r>
          </w:p>
        </w:tc>
        <w:tc>
          <w:tcPr>
            <w:tcW w:w="986" w:type="pct"/>
            <w:hideMark/>
          </w:tcPr>
          <w:p w14:paraId="588890EA" w14:textId="77777777" w:rsidR="00256335" w:rsidRPr="001F7565" w:rsidRDefault="00256335" w:rsidP="00256335">
            <w:pPr>
              <w:pStyle w:val="wpTableText"/>
              <w:rPr>
                <w:b/>
                <w:bCs/>
              </w:rPr>
            </w:pPr>
            <w:r w:rsidRPr="001F7565">
              <w:rPr>
                <w:b/>
                <w:bCs/>
              </w:rPr>
              <w:t>7,100</w:t>
            </w:r>
          </w:p>
        </w:tc>
        <w:tc>
          <w:tcPr>
            <w:tcW w:w="986" w:type="pct"/>
          </w:tcPr>
          <w:p w14:paraId="12E283D4" w14:textId="7C2AA40D" w:rsidR="00256335" w:rsidRPr="001F7565" w:rsidRDefault="00256335" w:rsidP="00256335">
            <w:pPr>
              <w:pStyle w:val="wpTableText"/>
              <w:rPr>
                <w:b/>
                <w:bCs/>
              </w:rPr>
            </w:pPr>
            <w:r w:rsidRPr="001F7565">
              <w:rPr>
                <w:b/>
                <w:bCs/>
              </w:rPr>
              <w:t>62</w:t>
            </w:r>
          </w:p>
        </w:tc>
      </w:tr>
      <w:tr w:rsidR="00256335" w:rsidRPr="001F7565" w14:paraId="544BB6BB" w14:textId="22A0F256" w:rsidTr="0096118A">
        <w:trPr>
          <w:cnfStyle w:val="000000010000" w:firstRow="0" w:lastRow="0" w:firstColumn="0" w:lastColumn="0" w:oddVBand="0" w:evenVBand="0" w:oddHBand="0" w:evenHBand="1" w:firstRowFirstColumn="0" w:firstRowLastColumn="0" w:lastRowFirstColumn="0" w:lastRowLastColumn="0"/>
        </w:trPr>
        <w:tc>
          <w:tcPr>
            <w:tcW w:w="3028" w:type="pct"/>
            <w:hideMark/>
          </w:tcPr>
          <w:p w14:paraId="5DCEE905" w14:textId="77777777" w:rsidR="00256335" w:rsidRPr="001F7565" w:rsidRDefault="00256335" w:rsidP="00256335">
            <w:pPr>
              <w:pStyle w:val="wpTableText"/>
            </w:pPr>
            <w:r w:rsidRPr="001F7565">
              <w:t>4. First sift to remove unsuitable material:</w:t>
            </w:r>
          </w:p>
          <w:p w14:paraId="6DE7AF89" w14:textId="77777777" w:rsidR="00256335" w:rsidRPr="001F7565" w:rsidRDefault="00256335" w:rsidP="00256335">
            <w:pPr>
              <w:pStyle w:val="wpTableBullet"/>
            </w:pPr>
            <w:r w:rsidRPr="001F7565">
              <w:t xml:space="preserve">Media items – </w:t>
            </w:r>
            <w:proofErr w:type="gramStart"/>
            <w:r w:rsidRPr="001F7565">
              <w:t>e.g.</w:t>
            </w:r>
            <w:proofErr w:type="gramEnd"/>
            <w:r w:rsidRPr="001F7565">
              <w:t xml:space="preserve"> TV / radio interviews and newspaper articles</w:t>
            </w:r>
          </w:p>
          <w:p w14:paraId="36ADA907" w14:textId="4B00847E" w:rsidR="00256335" w:rsidRPr="001F7565" w:rsidRDefault="00256335" w:rsidP="00256335">
            <w:pPr>
              <w:pStyle w:val="wpTableBullet"/>
            </w:pPr>
            <w:r w:rsidRPr="001F7565">
              <w:t>Conference notes</w:t>
            </w:r>
          </w:p>
          <w:p w14:paraId="3F3A4B62" w14:textId="77777777" w:rsidR="00256335" w:rsidRPr="001F7565" w:rsidRDefault="00256335" w:rsidP="00256335">
            <w:pPr>
              <w:pStyle w:val="wpTableBullet"/>
            </w:pPr>
            <w:r w:rsidRPr="001F7565">
              <w:t>Individual biographies</w:t>
            </w:r>
          </w:p>
          <w:p w14:paraId="3A6AC046" w14:textId="77777777" w:rsidR="00256335" w:rsidRPr="001F7565" w:rsidRDefault="00256335" w:rsidP="00256335">
            <w:pPr>
              <w:pStyle w:val="wpTableBullet"/>
            </w:pPr>
            <w:r w:rsidRPr="001F7565">
              <w:t>Non-research material</w:t>
            </w:r>
          </w:p>
          <w:p w14:paraId="2C5F16D2" w14:textId="77777777" w:rsidR="00256335" w:rsidRPr="001F7565" w:rsidRDefault="00256335" w:rsidP="00256335">
            <w:pPr>
              <w:pStyle w:val="wpTableBullet"/>
            </w:pPr>
            <w:r w:rsidRPr="001F7565">
              <w:t>Items not relevant to careers</w:t>
            </w:r>
          </w:p>
          <w:p w14:paraId="56FB4483" w14:textId="77777777" w:rsidR="00256335" w:rsidRPr="001F7565" w:rsidRDefault="00256335" w:rsidP="00256335">
            <w:pPr>
              <w:pStyle w:val="wpTableBullet"/>
            </w:pPr>
            <w:r w:rsidRPr="001F7565">
              <w:t>Non-English language material</w:t>
            </w:r>
          </w:p>
        </w:tc>
        <w:tc>
          <w:tcPr>
            <w:tcW w:w="986" w:type="pct"/>
            <w:hideMark/>
          </w:tcPr>
          <w:p w14:paraId="008047B6" w14:textId="77777777" w:rsidR="00256335" w:rsidRPr="001F7565" w:rsidRDefault="00256335" w:rsidP="00256335">
            <w:pPr>
              <w:pStyle w:val="wpTableText"/>
              <w:rPr>
                <w:b/>
                <w:bCs/>
              </w:rPr>
            </w:pPr>
            <w:r w:rsidRPr="001F7565">
              <w:rPr>
                <w:b/>
                <w:bCs/>
              </w:rPr>
              <w:t>3,100</w:t>
            </w:r>
          </w:p>
        </w:tc>
        <w:tc>
          <w:tcPr>
            <w:tcW w:w="986" w:type="pct"/>
          </w:tcPr>
          <w:p w14:paraId="137D963A" w14:textId="0AE474A5" w:rsidR="00256335" w:rsidRPr="001F7565" w:rsidRDefault="00256335" w:rsidP="00256335">
            <w:pPr>
              <w:pStyle w:val="wpTableText"/>
              <w:rPr>
                <w:b/>
                <w:bCs/>
              </w:rPr>
            </w:pPr>
            <w:r w:rsidRPr="001F7565">
              <w:rPr>
                <w:b/>
                <w:bCs/>
              </w:rPr>
              <w:t>62</w:t>
            </w:r>
          </w:p>
        </w:tc>
      </w:tr>
      <w:tr w:rsidR="00256335" w:rsidRPr="001F7565" w14:paraId="573D1327" w14:textId="2E666964" w:rsidTr="0096118A">
        <w:tc>
          <w:tcPr>
            <w:tcW w:w="3028" w:type="pct"/>
            <w:hideMark/>
          </w:tcPr>
          <w:p w14:paraId="77AE04D0" w14:textId="77777777" w:rsidR="00256335" w:rsidRPr="001F7565" w:rsidRDefault="00256335" w:rsidP="00256335">
            <w:pPr>
              <w:pStyle w:val="wpTableText"/>
            </w:pPr>
            <w:r w:rsidRPr="001F7565">
              <w:t>5. First stage exclusion criteria applied to remove abstracts that were:</w:t>
            </w:r>
          </w:p>
          <w:p w14:paraId="69FBA5E8" w14:textId="77777777" w:rsidR="00256335" w:rsidRPr="001F7565" w:rsidRDefault="00256335" w:rsidP="00256335">
            <w:pPr>
              <w:pStyle w:val="wpTableBullet"/>
            </w:pPr>
            <w:r w:rsidRPr="001F7565">
              <w:t xml:space="preserve">Pre-2000 </w:t>
            </w:r>
          </w:p>
          <w:p w14:paraId="7618A958" w14:textId="77777777" w:rsidR="00256335" w:rsidRPr="001F7565" w:rsidRDefault="00256335" w:rsidP="00256335">
            <w:pPr>
              <w:pStyle w:val="wpTableBullet"/>
            </w:pPr>
            <w:r w:rsidRPr="001F7565">
              <w:t xml:space="preserve">Not focussed on the provision of careers guidance, </w:t>
            </w:r>
            <w:proofErr w:type="gramStart"/>
            <w:r w:rsidRPr="001F7565">
              <w:t>information</w:t>
            </w:r>
            <w:proofErr w:type="gramEnd"/>
            <w:r w:rsidRPr="001F7565">
              <w:t xml:space="preserve"> or advice</w:t>
            </w:r>
          </w:p>
          <w:p w14:paraId="2B257CAC" w14:textId="77777777" w:rsidR="00256335" w:rsidRPr="001F7565" w:rsidRDefault="00256335" w:rsidP="00256335">
            <w:pPr>
              <w:pStyle w:val="wpTableBullet"/>
            </w:pPr>
            <w:r w:rsidRPr="001F7565">
              <w:t>Missing a methodology statement</w:t>
            </w:r>
          </w:p>
          <w:p w14:paraId="582C94F2" w14:textId="77777777" w:rsidR="00256335" w:rsidRPr="001F7565" w:rsidRDefault="00256335" w:rsidP="00256335">
            <w:pPr>
              <w:pStyle w:val="wpTableBullet"/>
            </w:pPr>
            <w:r w:rsidRPr="001F7565">
              <w:t>Not of direct relevance to any of the five research questions</w:t>
            </w:r>
          </w:p>
        </w:tc>
        <w:tc>
          <w:tcPr>
            <w:tcW w:w="986" w:type="pct"/>
            <w:hideMark/>
          </w:tcPr>
          <w:p w14:paraId="415AE62D" w14:textId="77777777" w:rsidR="00256335" w:rsidRPr="001F7565" w:rsidRDefault="00256335" w:rsidP="00256335">
            <w:pPr>
              <w:pStyle w:val="wpTableText"/>
              <w:rPr>
                <w:b/>
                <w:bCs/>
              </w:rPr>
            </w:pPr>
            <w:r w:rsidRPr="001F7565">
              <w:rPr>
                <w:b/>
                <w:bCs/>
              </w:rPr>
              <w:t>326</w:t>
            </w:r>
          </w:p>
        </w:tc>
        <w:tc>
          <w:tcPr>
            <w:tcW w:w="986" w:type="pct"/>
          </w:tcPr>
          <w:p w14:paraId="29E5DFD2" w14:textId="795BA366" w:rsidR="00256335" w:rsidRPr="001F7565" w:rsidRDefault="00256335" w:rsidP="00256335">
            <w:pPr>
              <w:pStyle w:val="wpTableText"/>
              <w:rPr>
                <w:b/>
                <w:bCs/>
              </w:rPr>
            </w:pPr>
            <w:r w:rsidRPr="001F7565">
              <w:rPr>
                <w:b/>
                <w:bCs/>
              </w:rPr>
              <w:t>50</w:t>
            </w:r>
          </w:p>
        </w:tc>
      </w:tr>
      <w:tr w:rsidR="00256335" w:rsidRPr="001F7565" w14:paraId="34B8EF7C" w14:textId="2887616F" w:rsidTr="0096118A">
        <w:trPr>
          <w:cnfStyle w:val="000000010000" w:firstRow="0" w:lastRow="0" w:firstColumn="0" w:lastColumn="0" w:oddVBand="0" w:evenVBand="0" w:oddHBand="0" w:evenHBand="1" w:firstRowFirstColumn="0" w:firstRowLastColumn="0" w:lastRowFirstColumn="0" w:lastRowLastColumn="0"/>
        </w:trPr>
        <w:tc>
          <w:tcPr>
            <w:tcW w:w="3028" w:type="pct"/>
          </w:tcPr>
          <w:p w14:paraId="5D14B1F5" w14:textId="77777777" w:rsidR="00256335" w:rsidRPr="001F7565" w:rsidRDefault="00256335" w:rsidP="00256335">
            <w:pPr>
              <w:pStyle w:val="wpTableText"/>
            </w:pPr>
            <w:r w:rsidRPr="001F7565">
              <w:t>6. First stage coding applied to remaining abstracts covering:</w:t>
            </w:r>
          </w:p>
          <w:p w14:paraId="7DFBE854" w14:textId="77777777" w:rsidR="00256335" w:rsidRPr="001F7565" w:rsidRDefault="00256335" w:rsidP="00256335">
            <w:pPr>
              <w:pStyle w:val="wpTableBullet"/>
            </w:pPr>
            <w:r w:rsidRPr="001F7565">
              <w:t>Method – qualitative / quantitative / mixed</w:t>
            </w:r>
          </w:p>
          <w:p w14:paraId="440CE709" w14:textId="77777777" w:rsidR="00256335" w:rsidRPr="001F7565" w:rsidRDefault="00256335" w:rsidP="00256335">
            <w:pPr>
              <w:pStyle w:val="wpTableBullet"/>
            </w:pPr>
            <w:r w:rsidRPr="001F7565">
              <w:t>Country of study</w:t>
            </w:r>
          </w:p>
          <w:p w14:paraId="3E081C50" w14:textId="77777777" w:rsidR="00256335" w:rsidRPr="001F7565" w:rsidRDefault="00256335" w:rsidP="00256335">
            <w:pPr>
              <w:pStyle w:val="wpTableBullet"/>
            </w:pPr>
            <w:r w:rsidRPr="001F7565">
              <w:lastRenderedPageBreak/>
              <w:t>Research question(s) of relevance</w:t>
            </w:r>
          </w:p>
        </w:tc>
        <w:tc>
          <w:tcPr>
            <w:tcW w:w="986" w:type="pct"/>
          </w:tcPr>
          <w:p w14:paraId="5832ECF2" w14:textId="77777777" w:rsidR="00256335" w:rsidRPr="001F7565" w:rsidRDefault="00256335" w:rsidP="00256335">
            <w:pPr>
              <w:pStyle w:val="wpTableText"/>
              <w:rPr>
                <w:b/>
                <w:bCs/>
              </w:rPr>
            </w:pPr>
            <w:r w:rsidRPr="001F7565">
              <w:rPr>
                <w:b/>
                <w:bCs/>
              </w:rPr>
              <w:lastRenderedPageBreak/>
              <w:t>326</w:t>
            </w:r>
          </w:p>
        </w:tc>
        <w:tc>
          <w:tcPr>
            <w:tcW w:w="986" w:type="pct"/>
          </w:tcPr>
          <w:p w14:paraId="6CB1981E" w14:textId="4B986881" w:rsidR="00256335" w:rsidRPr="001F7565" w:rsidRDefault="00256335" w:rsidP="00256335">
            <w:pPr>
              <w:pStyle w:val="wpTableText"/>
              <w:rPr>
                <w:b/>
                <w:bCs/>
              </w:rPr>
            </w:pPr>
            <w:r w:rsidRPr="001F7565">
              <w:rPr>
                <w:b/>
                <w:bCs/>
              </w:rPr>
              <w:t>50</w:t>
            </w:r>
          </w:p>
        </w:tc>
      </w:tr>
      <w:tr w:rsidR="00256335" w:rsidRPr="001F7565" w14:paraId="5FFA4BAC" w14:textId="35795FF2" w:rsidTr="0096118A">
        <w:tc>
          <w:tcPr>
            <w:tcW w:w="3028" w:type="pct"/>
            <w:hideMark/>
          </w:tcPr>
          <w:p w14:paraId="35C82D48" w14:textId="77777777" w:rsidR="00256335" w:rsidRPr="001F7565" w:rsidRDefault="00256335" w:rsidP="00256335">
            <w:pPr>
              <w:pStyle w:val="wpTableText"/>
            </w:pPr>
            <w:r w:rsidRPr="001F7565">
              <w:t>7. Second stage coding applied to abstract (where possible):</w:t>
            </w:r>
          </w:p>
          <w:p w14:paraId="5B7DF6B3" w14:textId="77777777" w:rsidR="00256335" w:rsidRPr="001F7565" w:rsidRDefault="00256335" w:rsidP="00256335">
            <w:pPr>
              <w:pStyle w:val="wpTableBullet"/>
            </w:pPr>
            <w:r w:rsidRPr="001F7565">
              <w:t>Research design</w:t>
            </w:r>
          </w:p>
          <w:p w14:paraId="0A6E1F2D" w14:textId="77777777" w:rsidR="00256335" w:rsidRPr="001F7565" w:rsidRDefault="00256335" w:rsidP="00256335">
            <w:pPr>
              <w:pStyle w:val="wpTableBullet"/>
            </w:pPr>
            <w:r w:rsidRPr="001F7565">
              <w:t>Target population</w:t>
            </w:r>
          </w:p>
          <w:p w14:paraId="3DAEB546" w14:textId="77777777" w:rsidR="00256335" w:rsidRPr="001F7565" w:rsidRDefault="00256335" w:rsidP="00256335">
            <w:pPr>
              <w:pStyle w:val="wpTableBullet"/>
            </w:pPr>
            <w:r w:rsidRPr="001F7565">
              <w:t>Implementation of research design</w:t>
            </w:r>
          </w:p>
          <w:p w14:paraId="49307C54" w14:textId="77777777" w:rsidR="00256335" w:rsidRPr="001F7565" w:rsidRDefault="00256335" w:rsidP="00256335">
            <w:pPr>
              <w:pStyle w:val="wpTableBullet"/>
            </w:pPr>
            <w:r w:rsidRPr="001F7565">
              <w:t xml:space="preserve">Quality of interpretation and conclusions </w:t>
            </w:r>
          </w:p>
          <w:p w14:paraId="5176BC71" w14:textId="77777777" w:rsidR="00256335" w:rsidRPr="001F7565" w:rsidRDefault="00256335" w:rsidP="00256335">
            <w:pPr>
              <w:pStyle w:val="wpTableBullet"/>
              <w:numPr>
                <w:ilvl w:val="0"/>
                <w:numId w:val="0"/>
              </w:numPr>
              <w:ind w:left="360"/>
            </w:pPr>
          </w:p>
          <w:p w14:paraId="098E7D04" w14:textId="5328291F" w:rsidR="00256335" w:rsidRPr="001F7565" w:rsidRDefault="00256335" w:rsidP="00256335">
            <w:pPr>
              <w:pStyle w:val="wpTableBullet"/>
              <w:numPr>
                <w:ilvl w:val="0"/>
                <w:numId w:val="0"/>
              </w:numPr>
              <w:ind w:left="360"/>
            </w:pPr>
            <w:r w:rsidRPr="001F7565">
              <w:t>Abstracts that, on further investigation, were deemed not to meet the quality criteria, were excluded at this stage.</w:t>
            </w:r>
          </w:p>
        </w:tc>
        <w:tc>
          <w:tcPr>
            <w:tcW w:w="986" w:type="pct"/>
            <w:hideMark/>
          </w:tcPr>
          <w:p w14:paraId="3A5EC00B" w14:textId="77777777" w:rsidR="00256335" w:rsidRPr="001F7565" w:rsidRDefault="00256335" w:rsidP="00256335">
            <w:pPr>
              <w:pStyle w:val="wpTableText"/>
              <w:rPr>
                <w:b/>
                <w:bCs/>
              </w:rPr>
            </w:pPr>
            <w:r w:rsidRPr="001F7565">
              <w:rPr>
                <w:b/>
                <w:bCs/>
              </w:rPr>
              <w:t>160</w:t>
            </w:r>
          </w:p>
        </w:tc>
        <w:tc>
          <w:tcPr>
            <w:tcW w:w="986" w:type="pct"/>
          </w:tcPr>
          <w:p w14:paraId="0C62A806" w14:textId="30EDFECC" w:rsidR="00256335" w:rsidRPr="001F7565" w:rsidRDefault="00256335" w:rsidP="00256335">
            <w:pPr>
              <w:pStyle w:val="wpTableText"/>
              <w:rPr>
                <w:b/>
                <w:bCs/>
              </w:rPr>
            </w:pPr>
            <w:r w:rsidRPr="001F7565">
              <w:rPr>
                <w:b/>
                <w:bCs/>
              </w:rPr>
              <w:t>24</w:t>
            </w:r>
          </w:p>
        </w:tc>
      </w:tr>
    </w:tbl>
    <w:p w14:paraId="1F6265D6" w14:textId="77777777" w:rsidR="002F2A72" w:rsidRPr="001F7565" w:rsidRDefault="002F2A72" w:rsidP="009D558F">
      <w:pPr>
        <w:spacing w:after="180" w:line="288" w:lineRule="auto"/>
        <w:jc w:val="both"/>
        <w:rPr>
          <w:rFonts w:eastAsia="Times New Roman" w:cs="Times New Roman"/>
          <w:sz w:val="21"/>
          <w:lang w:eastAsia="en-GB"/>
        </w:rPr>
      </w:pPr>
    </w:p>
    <w:p w14:paraId="2035F1FC" w14:textId="31BA0C69" w:rsidR="009D558F" w:rsidRPr="001F7565" w:rsidRDefault="007E3B4F" w:rsidP="009D774D">
      <w:pPr>
        <w:pStyle w:val="wpBodyText"/>
        <w:rPr>
          <w:lang w:eastAsia="en-GB"/>
        </w:rPr>
      </w:pPr>
      <w:r w:rsidRPr="001F7565">
        <w:rPr>
          <w:lang w:eastAsia="en-GB"/>
        </w:rPr>
        <w:t xml:space="preserve">In </w:t>
      </w:r>
      <w:r w:rsidR="00451229" w:rsidRPr="001F7565">
        <w:rPr>
          <w:lang w:eastAsia="en-GB"/>
        </w:rPr>
        <w:t>2014/</w:t>
      </w:r>
      <w:r w:rsidRPr="001F7565">
        <w:rPr>
          <w:lang w:eastAsia="en-GB"/>
        </w:rPr>
        <w:t xml:space="preserve">2015, of the </w:t>
      </w:r>
      <w:r w:rsidR="009D558F" w:rsidRPr="001F7565">
        <w:rPr>
          <w:lang w:eastAsia="en-GB"/>
        </w:rPr>
        <w:t xml:space="preserve">160 abstracts remaining following completion of this systematic review and coding exercise, </w:t>
      </w:r>
      <w:r w:rsidR="009D558F" w:rsidRPr="001F7565">
        <w:rPr>
          <w:b/>
          <w:lang w:eastAsia="en-GB"/>
        </w:rPr>
        <w:t>80</w:t>
      </w:r>
      <w:r w:rsidR="009D558F" w:rsidRPr="001F7565">
        <w:rPr>
          <w:lang w:eastAsia="en-GB"/>
        </w:rPr>
        <w:t xml:space="preserve"> were identified as appearing relevant to the question on career management skills</w:t>
      </w:r>
      <w:r w:rsidR="0044330B" w:rsidRPr="001F7565">
        <w:rPr>
          <w:lang w:eastAsia="en-GB"/>
        </w:rPr>
        <w:t xml:space="preserve">. </w:t>
      </w:r>
      <w:r w:rsidR="009D558F" w:rsidRPr="001F7565">
        <w:rPr>
          <w:lang w:eastAsia="en-GB"/>
        </w:rPr>
        <w:t>Th</w:t>
      </w:r>
      <w:r w:rsidRPr="001F7565">
        <w:rPr>
          <w:lang w:eastAsia="en-GB"/>
        </w:rPr>
        <w:t xml:space="preserve">ose taken to </w:t>
      </w:r>
      <w:r w:rsidR="0044330B" w:rsidRPr="001F7565">
        <w:rPr>
          <w:lang w:eastAsia="en-GB"/>
        </w:rPr>
        <w:t xml:space="preserve">the </w:t>
      </w:r>
      <w:r w:rsidRPr="001F7565">
        <w:rPr>
          <w:lang w:eastAsia="en-GB"/>
        </w:rPr>
        <w:t>second stage</w:t>
      </w:r>
      <w:r w:rsidR="0044330B" w:rsidRPr="001F7565">
        <w:rPr>
          <w:lang w:eastAsia="en-GB"/>
        </w:rPr>
        <w:t xml:space="preserve"> of review</w:t>
      </w:r>
      <w:r w:rsidRPr="001F7565">
        <w:rPr>
          <w:lang w:eastAsia="en-GB"/>
        </w:rPr>
        <w:t xml:space="preserve"> w</w:t>
      </w:r>
      <w:r w:rsidR="009D558F" w:rsidRPr="001F7565">
        <w:rPr>
          <w:lang w:eastAsia="en-GB"/>
        </w:rPr>
        <w:t xml:space="preserve">ere subject to an additional level of review, which resulted in around half being excluded </w:t>
      </w:r>
      <w:proofErr w:type="gramStart"/>
      <w:r w:rsidR="009D558F" w:rsidRPr="001F7565">
        <w:rPr>
          <w:lang w:eastAsia="en-GB"/>
        </w:rPr>
        <w:t>as a result of</w:t>
      </w:r>
      <w:proofErr w:type="gramEnd"/>
      <w:r w:rsidR="009D558F" w:rsidRPr="001F7565">
        <w:rPr>
          <w:lang w:eastAsia="en-GB"/>
        </w:rPr>
        <w:t xml:space="preserve"> being:</w:t>
      </w:r>
    </w:p>
    <w:p w14:paraId="5091049F" w14:textId="77777777" w:rsidR="009D558F" w:rsidRPr="001F7565" w:rsidRDefault="009D558F" w:rsidP="002745A8">
      <w:pPr>
        <w:pStyle w:val="wpListBullet"/>
        <w:rPr>
          <w:lang w:eastAsia="en-GB"/>
        </w:rPr>
      </w:pPr>
      <w:r w:rsidRPr="001F7565">
        <w:rPr>
          <w:b/>
          <w:lang w:eastAsia="en-GB"/>
        </w:rPr>
        <w:t xml:space="preserve">Unrepresentative </w:t>
      </w:r>
      <w:r w:rsidRPr="001F7565">
        <w:rPr>
          <w:lang w:eastAsia="en-GB"/>
        </w:rPr>
        <w:t>– for example, having drawn on a very small / niche sample</w:t>
      </w:r>
    </w:p>
    <w:p w14:paraId="666B2AD1" w14:textId="77777777" w:rsidR="009D558F" w:rsidRPr="001F7565" w:rsidRDefault="009D558F" w:rsidP="002745A8">
      <w:pPr>
        <w:pStyle w:val="wpListBullet"/>
        <w:rPr>
          <w:b/>
          <w:lang w:eastAsia="en-GB"/>
        </w:rPr>
      </w:pPr>
      <w:r w:rsidRPr="001F7565">
        <w:rPr>
          <w:b/>
          <w:lang w:eastAsia="en-GB"/>
        </w:rPr>
        <w:t>Unclear –</w:t>
      </w:r>
      <w:r w:rsidRPr="001F7565">
        <w:rPr>
          <w:lang w:eastAsia="en-GB"/>
        </w:rPr>
        <w:t xml:space="preserve"> on the nature of the intervention being tested and reported on</w:t>
      </w:r>
    </w:p>
    <w:p w14:paraId="385672B6" w14:textId="77777777" w:rsidR="009D558F" w:rsidRPr="001F7565" w:rsidRDefault="009D558F" w:rsidP="002745A8">
      <w:pPr>
        <w:pStyle w:val="wpListBullet"/>
        <w:rPr>
          <w:lang w:eastAsia="en-GB"/>
        </w:rPr>
      </w:pPr>
      <w:r w:rsidRPr="001F7565">
        <w:rPr>
          <w:b/>
          <w:lang w:eastAsia="en-GB"/>
        </w:rPr>
        <w:t>Theory-based</w:t>
      </w:r>
      <w:r w:rsidRPr="001F7565">
        <w:rPr>
          <w:lang w:eastAsia="en-GB"/>
        </w:rPr>
        <w:t xml:space="preserve"> – focussed on assessing the concept, rather than the effectiveness of practical interventions aimed at increasing CMS</w:t>
      </w:r>
    </w:p>
    <w:p w14:paraId="677B8156" w14:textId="77777777" w:rsidR="009D558F" w:rsidRPr="001F7565" w:rsidRDefault="009D558F" w:rsidP="002745A8">
      <w:pPr>
        <w:pStyle w:val="wpListBullet"/>
        <w:rPr>
          <w:lang w:eastAsia="en-GB"/>
        </w:rPr>
      </w:pPr>
      <w:r w:rsidRPr="001F7565">
        <w:rPr>
          <w:b/>
          <w:lang w:eastAsia="en-GB"/>
        </w:rPr>
        <w:t xml:space="preserve">Not related to a specific intervention / approach </w:t>
      </w:r>
      <w:r w:rsidRPr="001F7565">
        <w:rPr>
          <w:lang w:eastAsia="en-GB"/>
        </w:rPr>
        <w:t>– several studies looked at relationships between different CMS competencies, rather than interventions aimed at developing these.</w:t>
      </w:r>
    </w:p>
    <w:p w14:paraId="742E5D64" w14:textId="77777777" w:rsidR="0044330B" w:rsidRPr="001F7565" w:rsidRDefault="009D558F" w:rsidP="009D774D">
      <w:pPr>
        <w:pStyle w:val="wpBodyText"/>
        <w:rPr>
          <w:lang w:eastAsia="en-GB"/>
        </w:rPr>
      </w:pPr>
      <w:r w:rsidRPr="001F7565">
        <w:rPr>
          <w:lang w:eastAsia="en-GB"/>
        </w:rPr>
        <w:t xml:space="preserve">Full-text copies of the remaining papers were subject to a more in-depth review aimed at identifying the key emerging themes.  At this stage, further studies were excluded as the full text revealed that they either reported on part of a study that was already included in the review or provided only weak, </w:t>
      </w:r>
      <w:proofErr w:type="gramStart"/>
      <w:r w:rsidRPr="001F7565">
        <w:rPr>
          <w:lang w:eastAsia="en-GB"/>
        </w:rPr>
        <w:t>insecure</w:t>
      </w:r>
      <w:proofErr w:type="gramEnd"/>
      <w:r w:rsidRPr="001F7565">
        <w:rPr>
          <w:lang w:eastAsia="en-GB"/>
        </w:rPr>
        <w:t xml:space="preserve"> or unsubstantiated findings.</w:t>
      </w:r>
      <w:r w:rsidR="0044330B" w:rsidRPr="001F7565">
        <w:rPr>
          <w:lang w:eastAsia="en-GB"/>
        </w:rPr>
        <w:t xml:space="preserve"> </w:t>
      </w:r>
      <w:r w:rsidRPr="001F7565">
        <w:rPr>
          <w:lang w:eastAsia="en-GB"/>
        </w:rPr>
        <w:t xml:space="preserve">The bibliographies of the studies identified as being of </w:t>
      </w:r>
      <w:proofErr w:type="gramStart"/>
      <w:r w:rsidRPr="001F7565">
        <w:rPr>
          <w:lang w:eastAsia="en-GB"/>
        </w:rPr>
        <w:t>particular relevance</w:t>
      </w:r>
      <w:proofErr w:type="gramEnd"/>
      <w:r w:rsidRPr="001F7565">
        <w:rPr>
          <w:lang w:eastAsia="en-GB"/>
        </w:rPr>
        <w:t xml:space="preserve"> to the topic were then reviewed to identify any additional material (including articles published before the year 2000) that would be suitable for inclusion in the review.  </w:t>
      </w:r>
    </w:p>
    <w:p w14:paraId="77D72DCF" w14:textId="4BC3E10E" w:rsidR="009D558F" w:rsidRPr="001F7565" w:rsidRDefault="0044330B" w:rsidP="009D774D">
      <w:pPr>
        <w:pStyle w:val="wpBodyText"/>
        <w:rPr>
          <w:lang w:eastAsia="en-GB"/>
        </w:rPr>
      </w:pPr>
      <w:r w:rsidRPr="001F7565">
        <w:rPr>
          <w:lang w:eastAsia="en-GB"/>
        </w:rPr>
        <w:t xml:space="preserve">In 2021, a further 16 studies were identified for inclusion in the updated review following the same systematic process.  </w:t>
      </w:r>
      <w:r w:rsidR="009D558F" w:rsidRPr="001F7565">
        <w:rPr>
          <w:lang w:eastAsia="en-GB"/>
        </w:rPr>
        <w:t>A total of</w:t>
      </w:r>
      <w:r w:rsidR="009D558F" w:rsidRPr="001F7565">
        <w:rPr>
          <w:rStyle w:val="BlueText"/>
          <w:b w:val="0"/>
          <w:lang w:eastAsia="en-GB"/>
        </w:rPr>
        <w:t xml:space="preserve"> </w:t>
      </w:r>
      <w:r w:rsidR="002F1186" w:rsidRPr="001F7565">
        <w:rPr>
          <w:rStyle w:val="BlueText"/>
          <w:bCs/>
          <w:color w:val="auto"/>
          <w:lang w:eastAsia="en-GB"/>
        </w:rPr>
        <w:t>37</w:t>
      </w:r>
      <w:r w:rsidR="009D558F" w:rsidRPr="001F7565">
        <w:rPr>
          <w:rStyle w:val="BlueText"/>
          <w:b w:val="0"/>
          <w:color w:val="auto"/>
          <w:lang w:eastAsia="en-GB"/>
        </w:rPr>
        <w:t xml:space="preserve"> </w:t>
      </w:r>
      <w:r w:rsidR="009D558F" w:rsidRPr="001F7565">
        <w:rPr>
          <w:lang w:eastAsia="en-GB"/>
        </w:rPr>
        <w:t>studies were drawn on in the development of this paper</w:t>
      </w:r>
      <w:r w:rsidR="00847546" w:rsidRPr="001F7565">
        <w:rPr>
          <w:lang w:eastAsia="en-GB"/>
        </w:rPr>
        <w:t xml:space="preserve"> </w:t>
      </w:r>
      <w:r w:rsidRPr="001F7565">
        <w:rPr>
          <w:lang w:eastAsia="en-GB"/>
        </w:rPr>
        <w:t>[21</w:t>
      </w:r>
      <w:r w:rsidR="00847546" w:rsidRPr="001F7565">
        <w:rPr>
          <w:rStyle w:val="BlueText"/>
          <w:b w:val="0"/>
          <w:color w:val="auto"/>
          <w:lang w:eastAsia="en-GB"/>
        </w:rPr>
        <w:t xml:space="preserve"> of which were in the original review</w:t>
      </w:r>
      <w:r w:rsidR="00847546" w:rsidRPr="001F7565">
        <w:rPr>
          <w:lang w:eastAsia="en-GB"/>
        </w:rPr>
        <w:t>]</w:t>
      </w:r>
      <w:r w:rsidRPr="001F7565">
        <w:rPr>
          <w:lang w:eastAsia="en-GB"/>
        </w:rPr>
        <w:t>. R</w:t>
      </w:r>
      <w:r w:rsidR="009D558F" w:rsidRPr="001F7565">
        <w:rPr>
          <w:lang w:eastAsia="en-GB"/>
        </w:rPr>
        <w:t xml:space="preserve">eferences for </w:t>
      </w:r>
      <w:r w:rsidRPr="001F7565">
        <w:rPr>
          <w:lang w:eastAsia="en-GB"/>
        </w:rPr>
        <w:t xml:space="preserve">all of the included </w:t>
      </w:r>
      <w:proofErr w:type="gramStart"/>
      <w:r w:rsidRPr="001F7565">
        <w:rPr>
          <w:lang w:eastAsia="en-GB"/>
        </w:rPr>
        <w:t xml:space="preserve">papers </w:t>
      </w:r>
      <w:r w:rsidR="009D558F" w:rsidRPr="001F7565">
        <w:rPr>
          <w:lang w:eastAsia="en-GB"/>
        </w:rPr>
        <w:t xml:space="preserve"> are</w:t>
      </w:r>
      <w:proofErr w:type="gramEnd"/>
      <w:r w:rsidR="009D558F" w:rsidRPr="001F7565">
        <w:rPr>
          <w:lang w:eastAsia="en-GB"/>
        </w:rPr>
        <w:t xml:space="preserve"> provided in Annex B. </w:t>
      </w:r>
    </w:p>
    <w:p w14:paraId="15054E12" w14:textId="19B3008A" w:rsidR="009D558F" w:rsidRPr="001F7565" w:rsidRDefault="009D558F" w:rsidP="002745A8">
      <w:pPr>
        <w:pStyle w:val="wpHeading2"/>
        <w:rPr>
          <w:rFonts w:eastAsia="Times New Roman"/>
          <w:lang w:eastAsia="en-GB"/>
        </w:rPr>
      </w:pPr>
      <w:r w:rsidRPr="001F7565">
        <w:rPr>
          <w:rFonts w:eastAsia="Times New Roman"/>
          <w:lang w:eastAsia="en-GB"/>
        </w:rPr>
        <w:t>What are Career Management Skills</w:t>
      </w:r>
      <w:r w:rsidR="002745A8" w:rsidRPr="001F7565">
        <w:rPr>
          <w:rFonts w:eastAsia="Times New Roman"/>
          <w:lang w:eastAsia="en-GB"/>
        </w:rPr>
        <w:t>?</w:t>
      </w:r>
    </w:p>
    <w:p w14:paraId="0790C35D" w14:textId="77777777" w:rsidR="009D558F" w:rsidRPr="001F7565" w:rsidRDefault="009D558F" w:rsidP="009D558F">
      <w:pPr>
        <w:spacing w:after="180"/>
        <w:ind w:left="851" w:right="851"/>
        <w:rPr>
          <w:rFonts w:eastAsia="Times New Roman" w:cs="Times New Roman"/>
          <w:i/>
          <w:sz w:val="21"/>
          <w:lang w:eastAsia="en-GB"/>
        </w:rPr>
      </w:pPr>
      <w:r w:rsidRPr="001F7565">
        <w:rPr>
          <w:rFonts w:eastAsia="Times New Roman" w:cs="Times New Roman"/>
          <w:i/>
          <w:sz w:val="21"/>
          <w:lang w:eastAsia="en-GB"/>
        </w:rPr>
        <w:t xml:space="preserve">“Career management skills refer to a whole range of competencies which provide structured ways for individuals and groups to gather, analyse, synthesise and organise self, educational and occupational information as well as the skills to make and implement decisions and transitions.” </w:t>
      </w:r>
    </w:p>
    <w:p w14:paraId="57A36A73" w14:textId="77777777" w:rsidR="009D558F" w:rsidRPr="001F7565" w:rsidRDefault="009D558F" w:rsidP="00EC6CD1">
      <w:pPr>
        <w:spacing w:after="180" w:line="288" w:lineRule="auto"/>
        <w:jc w:val="right"/>
        <w:rPr>
          <w:sz w:val="14"/>
          <w:szCs w:val="14"/>
          <w:lang w:eastAsia="en-GB"/>
        </w:rPr>
      </w:pPr>
      <w:r w:rsidRPr="001F7565">
        <w:rPr>
          <w:rFonts w:eastAsia="Times New Roman" w:cs="Times New Roman"/>
          <w:sz w:val="21"/>
          <w:lang w:eastAsia="en-GB"/>
        </w:rPr>
        <w:t>as defined by European Lifelong Guidance Policy Network (Sultana, 2009)</w:t>
      </w:r>
    </w:p>
    <w:p w14:paraId="3337A94D" w14:textId="0E08DBE4" w:rsidR="009D558F" w:rsidRPr="001F7565" w:rsidRDefault="009D558F" w:rsidP="009D774D">
      <w:pPr>
        <w:pStyle w:val="wpBodyText"/>
        <w:rPr>
          <w:lang w:eastAsia="en-GB"/>
        </w:rPr>
      </w:pPr>
      <w:r w:rsidRPr="001F7565">
        <w:rPr>
          <w:lang w:eastAsia="en-GB"/>
        </w:rPr>
        <w:lastRenderedPageBreak/>
        <w:t xml:space="preserve">There is an international body of work on the development and implementation of competency frameworks.  A particularly important set of CMS frameworks are the ‘Blueprint’ frameworks, which are a series of inter-related national approaches to career management skills.  This family of CMS frameworks originated in the United States more than </w:t>
      </w:r>
      <w:r w:rsidR="00451229" w:rsidRPr="001F7565">
        <w:rPr>
          <w:lang w:eastAsia="en-GB"/>
        </w:rPr>
        <w:t>thirty</w:t>
      </w:r>
      <w:r w:rsidRPr="001F7565">
        <w:rPr>
          <w:lang w:eastAsia="en-GB"/>
        </w:rPr>
        <w:t xml:space="preserve"> years ago and was subsequently taken up by Canada and then Australia (Hooley </w:t>
      </w:r>
      <w:r w:rsidRPr="001F7565">
        <w:rPr>
          <w:i/>
          <w:lang w:eastAsia="en-GB"/>
        </w:rPr>
        <w:t>et al.</w:t>
      </w:r>
      <w:r w:rsidRPr="001F7565">
        <w:rPr>
          <w:lang w:eastAsia="en-GB"/>
        </w:rPr>
        <w:t xml:space="preserve">, 2013).  </w:t>
      </w:r>
      <w:r w:rsidR="00451229" w:rsidRPr="001F7565">
        <w:rPr>
          <w:lang w:eastAsia="en-GB"/>
        </w:rPr>
        <w:t>Within the last decade</w:t>
      </w:r>
      <w:r w:rsidRPr="001F7565">
        <w:rPr>
          <w:lang w:eastAsia="en-GB"/>
        </w:rPr>
        <w:t xml:space="preserve">, the notion of developing country-specific iterations of the Blueprint framework also extended to England (LSIS, 2012) and Scotland (SDS, 2012).  A brief overview of the chronology of these developments is provided in Figure 1.  </w:t>
      </w:r>
    </w:p>
    <w:p w14:paraId="7966BB8C" w14:textId="3BBB1E4D" w:rsidR="009D558F" w:rsidRPr="001F7565" w:rsidRDefault="009D558F" w:rsidP="009D774D">
      <w:pPr>
        <w:pStyle w:val="wpBodyText"/>
        <w:rPr>
          <w:lang w:eastAsia="en-GB"/>
        </w:rPr>
      </w:pPr>
      <w:r w:rsidRPr="001F7565">
        <w:rPr>
          <w:lang w:eastAsia="en-GB"/>
        </w:rPr>
        <w:t xml:space="preserve">The European Lifelong Guidance Policy Network (ELGPN) has also explored the possibility of developing a European Blueprint.  However, the decision has been taken not to develop a common CMS framework across European countries at present, given the divergent epistemology, curricular </w:t>
      </w:r>
      <w:proofErr w:type="gramStart"/>
      <w:r w:rsidRPr="001F7565">
        <w:rPr>
          <w:lang w:eastAsia="en-GB"/>
        </w:rPr>
        <w:t>traditions</w:t>
      </w:r>
      <w:proofErr w:type="gramEnd"/>
      <w:r w:rsidRPr="001F7565">
        <w:rPr>
          <w:lang w:eastAsia="en-GB"/>
        </w:rPr>
        <w:t xml:space="preserve"> and guidance approaches amongst member states (</w:t>
      </w:r>
      <w:r w:rsidR="001642EE" w:rsidRPr="001F7565">
        <w:rPr>
          <w:lang w:eastAsia="en-GB"/>
        </w:rPr>
        <w:t xml:space="preserve">Neary </w:t>
      </w:r>
      <w:r w:rsidRPr="001F7565">
        <w:rPr>
          <w:i/>
          <w:lang w:eastAsia="en-GB"/>
        </w:rPr>
        <w:t>et al.,</w:t>
      </w:r>
      <w:r w:rsidRPr="001F7565">
        <w:rPr>
          <w:lang w:eastAsia="en-GB"/>
        </w:rPr>
        <w:t xml:space="preserve"> </w:t>
      </w:r>
      <w:r w:rsidR="001642EE" w:rsidRPr="001F7565">
        <w:rPr>
          <w:lang w:eastAsia="en-GB"/>
        </w:rPr>
        <w:t>2016a and 2016b</w:t>
      </w:r>
      <w:r w:rsidRPr="001F7565">
        <w:rPr>
          <w:lang w:eastAsia="en-GB"/>
        </w:rPr>
        <w:t>).  Instead, the ELGPN encourages member states to develop their own CMS frameworks along the lines of those found in the Blueprints (Thomsen, 2014).</w:t>
      </w:r>
    </w:p>
    <w:p w14:paraId="7535DC1F" w14:textId="2C2EB1B6" w:rsidR="009D558F" w:rsidRPr="001F7565" w:rsidRDefault="00771953" w:rsidP="00771953">
      <w:pPr>
        <w:pStyle w:val="wpCaption"/>
        <w:rPr>
          <w:lang w:eastAsia="en-GB"/>
        </w:rPr>
      </w:pPr>
      <w:r w:rsidRPr="001F7565">
        <w:t xml:space="preserve">Figure </w:t>
      </w:r>
      <w:r w:rsidRPr="001F7565">
        <w:fldChar w:fldCharType="begin"/>
      </w:r>
      <w:r w:rsidRPr="001F7565">
        <w:instrText xml:space="preserve"> SEQ Figure \* ARABIC </w:instrText>
      </w:r>
      <w:r w:rsidRPr="001F7565">
        <w:fldChar w:fldCharType="separate"/>
      </w:r>
      <w:r w:rsidRPr="001F7565">
        <w:rPr>
          <w:noProof/>
        </w:rPr>
        <w:t>1</w:t>
      </w:r>
      <w:r w:rsidRPr="001F7565">
        <w:fldChar w:fldCharType="end"/>
      </w:r>
      <w:r w:rsidRPr="001F7565">
        <w:t xml:space="preserve">: </w:t>
      </w:r>
      <w:r w:rsidR="009D558F" w:rsidRPr="001F7565">
        <w:rPr>
          <w:lang w:eastAsia="en-GB"/>
        </w:rPr>
        <w:t>Chronology of international development of competency frameworks or ‘Blueprints’ for career management</w:t>
      </w:r>
    </w:p>
    <w:tbl>
      <w:tblPr>
        <w:tblStyle w:val="TableGrid1"/>
        <w:tblW w:w="5000" w:type="pct"/>
        <w:tblBorders>
          <w:top w:val="single" w:sz="4" w:space="0" w:color="9DA4A9" w:themeColor="accent5"/>
          <w:left w:val="single" w:sz="4" w:space="0" w:color="9DA4A9" w:themeColor="accent5"/>
          <w:bottom w:val="single" w:sz="4" w:space="0" w:color="9DA4A9" w:themeColor="accent5"/>
          <w:right w:val="single" w:sz="4" w:space="0" w:color="9DA4A9" w:themeColor="accent5"/>
          <w:insideH w:val="single" w:sz="4" w:space="0" w:color="9DA4A9" w:themeColor="accent5"/>
          <w:insideV w:val="single" w:sz="4" w:space="0" w:color="9DA4A9" w:themeColor="accent5"/>
        </w:tblBorders>
        <w:tblLayout w:type="fixed"/>
        <w:tblCellMar>
          <w:top w:w="113" w:type="dxa"/>
        </w:tblCellMar>
        <w:tblLook w:val="04A0" w:firstRow="1" w:lastRow="0" w:firstColumn="1" w:lastColumn="0" w:noHBand="0" w:noVBand="1"/>
      </w:tblPr>
      <w:tblGrid>
        <w:gridCol w:w="9175"/>
      </w:tblGrid>
      <w:tr w:rsidR="009D558F" w:rsidRPr="001F7565" w14:paraId="7DC113B7" w14:textId="77777777" w:rsidTr="000C4872">
        <w:trPr>
          <w:trHeight w:val="3339"/>
        </w:trPr>
        <w:tc>
          <w:tcPr>
            <w:tcW w:w="8296" w:type="dxa"/>
            <w:shd w:val="clear" w:color="auto" w:fill="auto"/>
          </w:tcPr>
          <w:p w14:paraId="2E4A919E" w14:textId="77777777" w:rsidR="009D558F" w:rsidRPr="001F7565" w:rsidRDefault="009D558F" w:rsidP="009D558F">
            <w:pPr>
              <w:jc w:val="center"/>
              <w:rPr>
                <w:rFonts w:eastAsia="Cambria"/>
              </w:rPr>
            </w:pPr>
            <w:r w:rsidRPr="001F7565">
              <w:rPr>
                <w:rFonts w:eastAsia="Cambria"/>
                <w:noProof/>
              </w:rPr>
              <w:drawing>
                <wp:anchor distT="0" distB="0" distL="114300" distR="114300" simplePos="0" relativeHeight="251658242" behindDoc="0" locked="0" layoutInCell="1" allowOverlap="1" wp14:anchorId="29CAD885" wp14:editId="4591DE2A">
                  <wp:simplePos x="0" y="0"/>
                  <wp:positionH relativeFrom="column">
                    <wp:posOffset>61595</wp:posOffset>
                  </wp:positionH>
                  <wp:positionV relativeFrom="paragraph">
                    <wp:posOffset>120015</wp:posOffset>
                  </wp:positionV>
                  <wp:extent cx="4962525" cy="2028825"/>
                  <wp:effectExtent l="19050" t="19050" r="66675" b="28575"/>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bl>
    <w:p w14:paraId="731E51F5" w14:textId="77777777" w:rsidR="009D558F" w:rsidRPr="001F7565" w:rsidRDefault="009D558F" w:rsidP="009D558F">
      <w:pPr>
        <w:spacing w:after="180"/>
        <w:jc w:val="right"/>
        <w:rPr>
          <w:rFonts w:eastAsia="Times New Roman" w:cs="Times New Roman"/>
          <w:i/>
          <w:sz w:val="16"/>
          <w:szCs w:val="16"/>
          <w:lang w:eastAsia="en-GB"/>
        </w:rPr>
      </w:pPr>
      <w:r w:rsidRPr="001F7565">
        <w:rPr>
          <w:rFonts w:eastAsia="Times New Roman" w:cs="Times New Roman"/>
          <w:i/>
          <w:sz w:val="16"/>
          <w:szCs w:val="16"/>
          <w:lang w:eastAsia="en-GB"/>
        </w:rPr>
        <w:t>Source: Adapted from Hooley et al. (2013)</w:t>
      </w:r>
    </w:p>
    <w:p w14:paraId="0153EA59" w14:textId="0B5217A6" w:rsidR="00451529" w:rsidRPr="001F7565" w:rsidRDefault="009D558F" w:rsidP="000C31E2">
      <w:pPr>
        <w:pStyle w:val="wpCaption"/>
        <w:rPr>
          <w:b w:val="0"/>
          <w:bCs/>
          <w:lang w:eastAsia="en-GB"/>
        </w:rPr>
      </w:pPr>
      <w:r w:rsidRPr="001F7565">
        <w:rPr>
          <w:b w:val="0"/>
          <w:bCs/>
          <w:lang w:eastAsia="en-GB"/>
        </w:rPr>
        <w:t xml:space="preserve">A common feature of each of the Blueprints / frameworks is that they seek to breakdown ‘career management skills’ into clear and identifiable lists of skills, attributes and attitudes, which careers services can seek to act </w:t>
      </w:r>
      <w:proofErr w:type="gramStart"/>
      <w:r w:rsidRPr="001F7565">
        <w:rPr>
          <w:b w:val="0"/>
          <w:bCs/>
          <w:lang w:eastAsia="en-GB"/>
        </w:rPr>
        <w:t>upon</w:t>
      </w:r>
      <w:proofErr w:type="gramEnd"/>
      <w:r w:rsidRPr="001F7565">
        <w:rPr>
          <w:b w:val="0"/>
          <w:bCs/>
          <w:lang w:eastAsia="en-GB"/>
        </w:rPr>
        <w:t xml:space="preserve"> and which can potentially be assessed.  This has the advantage of providing a common language and structure for planning, </w:t>
      </w:r>
      <w:proofErr w:type="gramStart"/>
      <w:r w:rsidRPr="001F7565">
        <w:rPr>
          <w:b w:val="0"/>
          <w:bCs/>
          <w:lang w:eastAsia="en-GB"/>
        </w:rPr>
        <w:t>developing</w:t>
      </w:r>
      <w:proofErr w:type="gramEnd"/>
      <w:r w:rsidRPr="001F7565">
        <w:rPr>
          <w:b w:val="0"/>
          <w:bCs/>
          <w:lang w:eastAsia="en-GB"/>
        </w:rPr>
        <w:t xml:space="preserve"> and reviewing career guidance services, programmes and activities. </w:t>
      </w:r>
      <w:r w:rsidR="000C31E2" w:rsidRPr="001F7565">
        <w:rPr>
          <w:b w:val="0"/>
          <w:bCs/>
          <w:lang w:eastAsia="en-GB"/>
        </w:rPr>
        <w:fldChar w:fldCharType="begin"/>
      </w:r>
      <w:r w:rsidR="000C31E2" w:rsidRPr="001F7565">
        <w:rPr>
          <w:b w:val="0"/>
          <w:bCs/>
          <w:lang w:eastAsia="en-GB"/>
        </w:rPr>
        <w:instrText xml:space="preserve"> REF _Ref89850918 </w:instrText>
      </w:r>
      <w:r w:rsidR="00451529" w:rsidRPr="001F7565">
        <w:rPr>
          <w:b w:val="0"/>
          <w:bCs/>
          <w:lang w:eastAsia="en-GB"/>
        </w:rPr>
        <w:instrText xml:space="preserve"> \* MERGEFORMAT </w:instrText>
      </w:r>
      <w:r w:rsidR="000C31E2" w:rsidRPr="001F7565">
        <w:rPr>
          <w:b w:val="0"/>
          <w:bCs/>
          <w:lang w:eastAsia="en-GB"/>
        </w:rPr>
        <w:fldChar w:fldCharType="separate"/>
      </w:r>
      <w:r w:rsidR="000C31E2" w:rsidRPr="001F7565">
        <w:rPr>
          <w:b w:val="0"/>
          <w:bCs/>
        </w:rPr>
        <w:t xml:space="preserve">Table </w:t>
      </w:r>
      <w:r w:rsidR="000C31E2" w:rsidRPr="001F7565">
        <w:rPr>
          <w:b w:val="0"/>
          <w:bCs/>
          <w:noProof/>
        </w:rPr>
        <w:t>3</w:t>
      </w:r>
      <w:r w:rsidR="000C31E2" w:rsidRPr="001F7565">
        <w:rPr>
          <w:b w:val="0"/>
          <w:bCs/>
          <w:lang w:eastAsia="en-GB"/>
        </w:rPr>
        <w:fldChar w:fldCharType="end"/>
      </w:r>
      <w:r w:rsidR="000C31E2" w:rsidRPr="001F7565">
        <w:rPr>
          <w:b w:val="0"/>
          <w:bCs/>
          <w:lang w:eastAsia="en-GB"/>
        </w:rPr>
        <w:t xml:space="preserve"> displays</w:t>
      </w:r>
      <w:r w:rsidR="00BD0C7A" w:rsidRPr="001F7565">
        <w:rPr>
          <w:b w:val="0"/>
          <w:bCs/>
          <w:lang w:eastAsia="en-GB"/>
        </w:rPr>
        <w:t xml:space="preserve"> examples of</w:t>
      </w:r>
      <w:r w:rsidR="000C31E2" w:rsidRPr="001F7565">
        <w:rPr>
          <w:b w:val="0"/>
          <w:bCs/>
          <w:lang w:eastAsia="en-GB"/>
        </w:rPr>
        <w:t xml:space="preserve"> the</w:t>
      </w:r>
      <w:r w:rsidR="00BD0C7A" w:rsidRPr="001F7565">
        <w:rPr>
          <w:b w:val="0"/>
          <w:bCs/>
          <w:lang w:eastAsia="en-GB"/>
        </w:rPr>
        <w:t xml:space="preserve"> skills, attributes and attitudes referenced within the literature as ‘career management </w:t>
      </w:r>
      <w:proofErr w:type="gramStart"/>
      <w:r w:rsidR="00BD0C7A" w:rsidRPr="001F7565">
        <w:rPr>
          <w:b w:val="0"/>
          <w:bCs/>
          <w:lang w:eastAsia="en-GB"/>
        </w:rPr>
        <w:t>skills’</w:t>
      </w:r>
      <w:proofErr w:type="gramEnd"/>
      <w:r w:rsidR="00BD0C7A" w:rsidRPr="001F7565">
        <w:rPr>
          <w:b w:val="0"/>
          <w:bCs/>
          <w:lang w:eastAsia="en-GB"/>
        </w:rPr>
        <w:t>.</w:t>
      </w:r>
      <w:r w:rsidRPr="001F7565">
        <w:rPr>
          <w:b w:val="0"/>
          <w:bCs/>
          <w:lang w:eastAsia="en-GB"/>
        </w:rPr>
        <w:t xml:space="preserve"> </w:t>
      </w:r>
      <w:bookmarkStart w:id="1" w:name="_Ref89850918"/>
    </w:p>
    <w:p w14:paraId="1D79FF54" w14:textId="3C6171B4" w:rsidR="000C31E2" w:rsidRPr="001F7565" w:rsidRDefault="000C31E2" w:rsidP="000C31E2">
      <w:pPr>
        <w:pStyle w:val="wpCaption"/>
      </w:pPr>
      <w:r w:rsidRPr="001F7565">
        <w:t xml:space="preserve">Table </w:t>
      </w:r>
      <w:r w:rsidRPr="001F7565">
        <w:fldChar w:fldCharType="begin"/>
      </w:r>
      <w:r w:rsidRPr="001F7565">
        <w:instrText xml:space="preserve"> SEQ Table \* ARABIC </w:instrText>
      </w:r>
      <w:r w:rsidRPr="001F7565">
        <w:fldChar w:fldCharType="separate"/>
      </w:r>
      <w:r w:rsidRPr="001F7565">
        <w:rPr>
          <w:noProof/>
        </w:rPr>
        <w:t>3</w:t>
      </w:r>
      <w:r w:rsidRPr="001F7565">
        <w:fldChar w:fldCharType="end"/>
      </w:r>
      <w:bookmarkEnd w:id="1"/>
      <w:r w:rsidRPr="001F7565">
        <w:t xml:space="preserve">: Examples of skills, </w:t>
      </w:r>
      <w:proofErr w:type="gramStart"/>
      <w:r w:rsidRPr="001F7565">
        <w:t>attributes</w:t>
      </w:r>
      <w:proofErr w:type="gramEnd"/>
      <w:r w:rsidRPr="001F7565">
        <w:t xml:space="preserve"> and attitudes</w:t>
      </w:r>
    </w:p>
    <w:tbl>
      <w:tblPr>
        <w:tblStyle w:val="SQW"/>
        <w:tblW w:w="4997" w:type="pct"/>
        <w:tblInd w:w="5" w:type="dxa"/>
        <w:tblLayout w:type="fixed"/>
        <w:tblLook w:val="04A0" w:firstRow="1" w:lastRow="0" w:firstColumn="1" w:lastColumn="0" w:noHBand="0" w:noVBand="1"/>
      </w:tblPr>
      <w:tblGrid>
        <w:gridCol w:w="3058"/>
        <w:gridCol w:w="3058"/>
        <w:gridCol w:w="3058"/>
      </w:tblGrid>
      <w:tr w:rsidR="00F55DC0" w:rsidRPr="001F7565" w14:paraId="559038AF" w14:textId="77777777" w:rsidTr="00F55DC0">
        <w:trPr>
          <w:cnfStyle w:val="100000000000" w:firstRow="1" w:lastRow="0" w:firstColumn="0" w:lastColumn="0" w:oddVBand="0" w:evenVBand="0" w:oddHBand="0" w:evenHBand="0" w:firstRowFirstColumn="0" w:firstRowLastColumn="0" w:lastRowFirstColumn="0" w:lastRowLastColumn="0"/>
          <w:tblHeader/>
        </w:trPr>
        <w:tc>
          <w:tcPr>
            <w:tcW w:w="9180" w:type="dxa"/>
            <w:gridSpan w:val="3"/>
          </w:tcPr>
          <w:p w14:paraId="0169DEAD" w14:textId="77777777" w:rsidR="00F55DC0" w:rsidRPr="001F7565" w:rsidRDefault="00F55DC0" w:rsidP="000C31E2">
            <w:pPr>
              <w:pStyle w:val="wpColumnHeading"/>
            </w:pPr>
          </w:p>
        </w:tc>
      </w:tr>
      <w:tr w:rsidR="00F55DC0" w:rsidRPr="001F7565" w14:paraId="75054992" w14:textId="77777777" w:rsidTr="00F55DC0">
        <w:tc>
          <w:tcPr>
            <w:tcW w:w="3060" w:type="dxa"/>
          </w:tcPr>
          <w:p w14:paraId="18DB875E" w14:textId="446B23FF" w:rsidR="000C31E2" w:rsidRPr="001F7565" w:rsidRDefault="000C31E2" w:rsidP="000C31E2">
            <w:pPr>
              <w:pStyle w:val="wpTableText"/>
            </w:pPr>
            <w:r w:rsidRPr="001F7565">
              <w:t>Tenacity</w:t>
            </w:r>
          </w:p>
        </w:tc>
        <w:tc>
          <w:tcPr>
            <w:tcW w:w="3060" w:type="dxa"/>
          </w:tcPr>
          <w:p w14:paraId="38E4CE68" w14:textId="4C95682C" w:rsidR="000C31E2" w:rsidRPr="001F7565" w:rsidRDefault="000C31E2" w:rsidP="000C31E2">
            <w:pPr>
              <w:pStyle w:val="wpTableText"/>
            </w:pPr>
            <w:r w:rsidRPr="001F7565">
              <w:t>Understanding change</w:t>
            </w:r>
          </w:p>
        </w:tc>
        <w:tc>
          <w:tcPr>
            <w:tcW w:w="3060" w:type="dxa"/>
          </w:tcPr>
          <w:p w14:paraId="3CCF3A88" w14:textId="273F65B9" w:rsidR="000C31E2" w:rsidRPr="001F7565" w:rsidRDefault="000C31E2" w:rsidP="000C31E2">
            <w:pPr>
              <w:pStyle w:val="wpTableText"/>
            </w:pPr>
            <w:r w:rsidRPr="001F7565">
              <w:t>Interview skills</w:t>
            </w:r>
          </w:p>
        </w:tc>
      </w:tr>
      <w:tr w:rsidR="00F55DC0" w:rsidRPr="001F7565" w14:paraId="2499E8F1" w14:textId="77777777" w:rsidTr="00F55DC0">
        <w:trPr>
          <w:cnfStyle w:val="000000010000" w:firstRow="0" w:lastRow="0" w:firstColumn="0" w:lastColumn="0" w:oddVBand="0" w:evenVBand="0" w:oddHBand="0" w:evenHBand="1" w:firstRowFirstColumn="0" w:firstRowLastColumn="0" w:lastRowFirstColumn="0" w:lastRowLastColumn="0"/>
        </w:trPr>
        <w:tc>
          <w:tcPr>
            <w:tcW w:w="3060" w:type="dxa"/>
          </w:tcPr>
          <w:p w14:paraId="66E461E5" w14:textId="7D6C1739" w:rsidR="000C31E2" w:rsidRPr="001F7565" w:rsidRDefault="000C31E2" w:rsidP="00F55DC0">
            <w:pPr>
              <w:pStyle w:val="wpTableText"/>
            </w:pPr>
            <w:r w:rsidRPr="001F7565">
              <w:t>Resilience</w:t>
            </w:r>
          </w:p>
        </w:tc>
        <w:tc>
          <w:tcPr>
            <w:tcW w:w="3060" w:type="dxa"/>
          </w:tcPr>
          <w:p w14:paraId="628C71C5" w14:textId="29842F0D" w:rsidR="000C31E2" w:rsidRPr="001F7565" w:rsidRDefault="000C31E2" w:rsidP="00F55DC0">
            <w:pPr>
              <w:pStyle w:val="wpTableText"/>
            </w:pPr>
            <w:r w:rsidRPr="001F7565">
              <w:t>Work exploration</w:t>
            </w:r>
          </w:p>
        </w:tc>
        <w:tc>
          <w:tcPr>
            <w:tcW w:w="3060" w:type="dxa"/>
          </w:tcPr>
          <w:p w14:paraId="40F57BC4" w14:textId="5D005A00" w:rsidR="000C31E2" w:rsidRPr="001F7565" w:rsidRDefault="000C31E2" w:rsidP="00F55DC0">
            <w:pPr>
              <w:pStyle w:val="wpTableText"/>
            </w:pPr>
            <w:r w:rsidRPr="001F7565">
              <w:t>CV writing</w:t>
            </w:r>
          </w:p>
        </w:tc>
      </w:tr>
      <w:tr w:rsidR="00F55DC0" w:rsidRPr="001F7565" w14:paraId="4CC1451B" w14:textId="77777777" w:rsidTr="00F55DC0">
        <w:tc>
          <w:tcPr>
            <w:tcW w:w="3060" w:type="dxa"/>
          </w:tcPr>
          <w:p w14:paraId="3F8A3E1E" w14:textId="151E4465" w:rsidR="000C31E2" w:rsidRPr="001F7565" w:rsidRDefault="000C31E2" w:rsidP="00F55DC0">
            <w:pPr>
              <w:pStyle w:val="wpTableText"/>
            </w:pPr>
            <w:r w:rsidRPr="001F7565">
              <w:t>Adaptability</w:t>
            </w:r>
          </w:p>
        </w:tc>
        <w:tc>
          <w:tcPr>
            <w:tcW w:w="3060" w:type="dxa"/>
          </w:tcPr>
          <w:p w14:paraId="357DD333" w14:textId="242684D6" w:rsidR="000C31E2" w:rsidRPr="001F7565" w:rsidRDefault="000C31E2" w:rsidP="00F55DC0">
            <w:pPr>
              <w:pStyle w:val="wpTableText"/>
            </w:pPr>
            <w:r w:rsidRPr="001F7565">
              <w:t>Work reflection</w:t>
            </w:r>
          </w:p>
        </w:tc>
        <w:tc>
          <w:tcPr>
            <w:tcW w:w="3060" w:type="dxa"/>
          </w:tcPr>
          <w:p w14:paraId="371C1E40" w14:textId="4253949E" w:rsidR="000C31E2" w:rsidRPr="001F7565" w:rsidRDefault="000C31E2" w:rsidP="00F55DC0">
            <w:pPr>
              <w:pStyle w:val="wpTableText"/>
            </w:pPr>
            <w:r w:rsidRPr="001F7565">
              <w:t>Cover letter writing</w:t>
            </w:r>
          </w:p>
        </w:tc>
      </w:tr>
      <w:tr w:rsidR="000C31E2" w:rsidRPr="001F7565" w14:paraId="73CCC0EA" w14:textId="77777777" w:rsidTr="00F55DC0">
        <w:trPr>
          <w:cnfStyle w:val="000000010000" w:firstRow="0" w:lastRow="0" w:firstColumn="0" w:lastColumn="0" w:oddVBand="0" w:evenVBand="0" w:oddHBand="0" w:evenHBand="1" w:firstRowFirstColumn="0" w:firstRowLastColumn="0" w:lastRowFirstColumn="0" w:lastRowLastColumn="0"/>
        </w:trPr>
        <w:tc>
          <w:tcPr>
            <w:tcW w:w="3060" w:type="dxa"/>
          </w:tcPr>
          <w:p w14:paraId="2D84FE11" w14:textId="64ABBE5B" w:rsidR="000C31E2" w:rsidRPr="001F7565" w:rsidRDefault="000C31E2" w:rsidP="00F55DC0">
            <w:pPr>
              <w:pStyle w:val="wpTableText"/>
            </w:pPr>
            <w:r w:rsidRPr="001F7565">
              <w:lastRenderedPageBreak/>
              <w:t xml:space="preserve">Self direction </w:t>
            </w:r>
          </w:p>
        </w:tc>
        <w:tc>
          <w:tcPr>
            <w:tcW w:w="3060" w:type="dxa"/>
          </w:tcPr>
          <w:p w14:paraId="6213A32C" w14:textId="0018FEEE" w:rsidR="000C31E2" w:rsidRPr="001F7565" w:rsidRDefault="000C31E2" w:rsidP="00F55DC0">
            <w:pPr>
              <w:pStyle w:val="wpTableText"/>
            </w:pPr>
            <w:r w:rsidRPr="001F7565">
              <w:t>Understanding LMI</w:t>
            </w:r>
          </w:p>
        </w:tc>
        <w:tc>
          <w:tcPr>
            <w:tcW w:w="3060" w:type="dxa"/>
          </w:tcPr>
          <w:p w14:paraId="2667B663" w14:textId="621ED2D1" w:rsidR="000C31E2" w:rsidRPr="001F7565" w:rsidRDefault="000C31E2" w:rsidP="00F55DC0">
            <w:pPr>
              <w:pStyle w:val="wpTableText"/>
            </w:pPr>
            <w:r w:rsidRPr="001F7565">
              <w:t>Digital and media literacies</w:t>
            </w:r>
          </w:p>
        </w:tc>
      </w:tr>
      <w:tr w:rsidR="00F55DC0" w:rsidRPr="001F7565" w14:paraId="6A925657" w14:textId="77777777" w:rsidTr="00F55DC0">
        <w:tc>
          <w:tcPr>
            <w:tcW w:w="3060" w:type="dxa"/>
          </w:tcPr>
          <w:p w14:paraId="1111BFC1" w14:textId="75F3A46D" w:rsidR="000C31E2" w:rsidRPr="001F7565" w:rsidRDefault="000C31E2" w:rsidP="00F55DC0">
            <w:pPr>
              <w:pStyle w:val="wpTableText"/>
            </w:pPr>
            <w:r w:rsidRPr="001F7565">
              <w:t>Self exploration and awareness</w:t>
            </w:r>
          </w:p>
        </w:tc>
        <w:tc>
          <w:tcPr>
            <w:tcW w:w="3060" w:type="dxa"/>
          </w:tcPr>
          <w:p w14:paraId="70F61492" w14:textId="2CBBB12D" w:rsidR="000C31E2" w:rsidRPr="001F7565" w:rsidRDefault="000C31E2" w:rsidP="00F55DC0">
            <w:pPr>
              <w:pStyle w:val="wpTableText"/>
            </w:pPr>
            <w:r w:rsidRPr="001F7565">
              <w:t>Setting career goals</w:t>
            </w:r>
          </w:p>
        </w:tc>
        <w:tc>
          <w:tcPr>
            <w:tcW w:w="3060" w:type="dxa"/>
          </w:tcPr>
          <w:p w14:paraId="2B800D7E" w14:textId="6A16108D" w:rsidR="000C31E2" w:rsidRPr="001F7565" w:rsidRDefault="000C31E2" w:rsidP="00F55DC0">
            <w:pPr>
              <w:pStyle w:val="wpTableText"/>
            </w:pPr>
            <w:r w:rsidRPr="001F7565">
              <w:t>Social networking</w:t>
            </w:r>
          </w:p>
        </w:tc>
      </w:tr>
      <w:tr w:rsidR="000C31E2" w:rsidRPr="001F7565" w14:paraId="331CCCCD" w14:textId="77777777" w:rsidTr="00F55DC0">
        <w:trPr>
          <w:cnfStyle w:val="000000010000" w:firstRow="0" w:lastRow="0" w:firstColumn="0" w:lastColumn="0" w:oddVBand="0" w:evenVBand="0" w:oddHBand="0" w:evenHBand="1" w:firstRowFirstColumn="0" w:firstRowLastColumn="0" w:lastRowFirstColumn="0" w:lastRowLastColumn="0"/>
        </w:trPr>
        <w:tc>
          <w:tcPr>
            <w:tcW w:w="3060" w:type="dxa"/>
          </w:tcPr>
          <w:p w14:paraId="0B0730F5" w14:textId="1EF7D738" w:rsidR="000C31E2" w:rsidRPr="001F7565" w:rsidRDefault="000C31E2" w:rsidP="00F55DC0">
            <w:pPr>
              <w:pStyle w:val="wpTableText"/>
            </w:pPr>
            <w:r w:rsidRPr="001F7565">
              <w:t>Positive attitude</w:t>
            </w:r>
          </w:p>
        </w:tc>
        <w:tc>
          <w:tcPr>
            <w:tcW w:w="3060" w:type="dxa"/>
          </w:tcPr>
          <w:p w14:paraId="2DEDE951" w14:textId="1A87056F" w:rsidR="000C31E2" w:rsidRPr="001F7565" w:rsidRDefault="000C31E2" w:rsidP="00F55DC0">
            <w:pPr>
              <w:pStyle w:val="wpTableText"/>
            </w:pPr>
            <w:r w:rsidRPr="001F7565">
              <w:t>Self presentation</w:t>
            </w:r>
          </w:p>
        </w:tc>
        <w:tc>
          <w:tcPr>
            <w:tcW w:w="3060" w:type="dxa"/>
          </w:tcPr>
          <w:p w14:paraId="1B1C98C0" w14:textId="1C04129B" w:rsidR="000C31E2" w:rsidRPr="001F7565" w:rsidRDefault="00F55DC0" w:rsidP="00F55DC0">
            <w:pPr>
              <w:pStyle w:val="wpTableText"/>
            </w:pPr>
            <w:r w:rsidRPr="001F7565">
              <w:t>Research skills</w:t>
            </w:r>
          </w:p>
        </w:tc>
      </w:tr>
    </w:tbl>
    <w:p w14:paraId="2111A712" w14:textId="2B1028E9" w:rsidR="000C31E2" w:rsidRPr="001F7565" w:rsidRDefault="000C31E2" w:rsidP="00F55DC0">
      <w:pPr>
        <w:pStyle w:val="wpSource"/>
      </w:pPr>
      <w:r w:rsidRPr="001F7565">
        <w:t xml:space="preserve">Source: Literature reviewed (2021, 16 sources) </w:t>
      </w:r>
    </w:p>
    <w:p w14:paraId="0EA9F0DF" w14:textId="77777777" w:rsidR="009D558F" w:rsidRPr="001F7565" w:rsidRDefault="009D558F" w:rsidP="009D774D">
      <w:pPr>
        <w:pStyle w:val="wpBodyText"/>
        <w:rPr>
          <w:b/>
          <w:lang w:eastAsia="en-GB"/>
        </w:rPr>
      </w:pPr>
      <w:r w:rsidRPr="001F7565">
        <w:rPr>
          <w:lang w:eastAsia="en-GB"/>
        </w:rPr>
        <w:t xml:space="preserve">The Learning and Skills Improvement Service (LSIS) developed a pilot Blueprint for all-age career guidance services in England in 2009 (LSIS, 2009).  This was based on the Canadian and Australian versions.  After a period of trials (LSIS, 2011) the English Blueprint was reworked and published in 2012 (LSIS, 2012), although it still drew heavily on the Canadian and Australian versions.  The English Blueprint remains current, although LSIS </w:t>
      </w:r>
      <w:proofErr w:type="gramStart"/>
      <w:r w:rsidRPr="001F7565">
        <w:rPr>
          <w:lang w:eastAsia="en-GB"/>
        </w:rPr>
        <w:t>closed down</w:t>
      </w:r>
      <w:proofErr w:type="gramEnd"/>
      <w:r w:rsidRPr="001F7565">
        <w:rPr>
          <w:lang w:eastAsia="en-GB"/>
        </w:rPr>
        <w:t xml:space="preserve"> in August 2013 before it could be fully implemented.  It sets out a framework of 11 career competencies for individuals arranged in three ‘learning areas’ (Figure 2).  This provides useful context for interpreting the findings from the available literature on best practice approaches to developing CMS.</w:t>
      </w:r>
    </w:p>
    <w:p w14:paraId="288A414D" w14:textId="739EFC37" w:rsidR="009D558F" w:rsidRPr="001F7565" w:rsidRDefault="00771953" w:rsidP="00771953">
      <w:pPr>
        <w:pStyle w:val="wpCaption"/>
        <w:rPr>
          <w:lang w:eastAsia="en-GB"/>
        </w:rPr>
      </w:pPr>
      <w:r w:rsidRPr="001F7565">
        <w:t xml:space="preserve">Figure </w:t>
      </w:r>
      <w:r w:rsidRPr="001F7565">
        <w:fldChar w:fldCharType="begin"/>
      </w:r>
      <w:r w:rsidRPr="001F7565">
        <w:instrText xml:space="preserve"> SEQ Figure \* ARABIC </w:instrText>
      </w:r>
      <w:r w:rsidRPr="001F7565">
        <w:fldChar w:fldCharType="separate"/>
      </w:r>
      <w:r w:rsidRPr="001F7565">
        <w:rPr>
          <w:noProof/>
        </w:rPr>
        <w:t>2</w:t>
      </w:r>
      <w:r w:rsidRPr="001F7565">
        <w:fldChar w:fldCharType="end"/>
      </w:r>
      <w:r w:rsidRPr="001F7565">
        <w:t xml:space="preserve">: </w:t>
      </w:r>
      <w:r w:rsidR="009D558F" w:rsidRPr="001F7565">
        <w:rPr>
          <w:lang w:eastAsia="en-GB"/>
        </w:rPr>
        <w:t>Career development learning areas and associated competencies</w:t>
      </w:r>
    </w:p>
    <w:tbl>
      <w:tblPr>
        <w:tblStyle w:val="TableGrid1"/>
        <w:tblW w:w="5000" w:type="pct"/>
        <w:tblBorders>
          <w:top w:val="single" w:sz="4" w:space="0" w:color="9DA4A9" w:themeColor="accent5"/>
          <w:left w:val="single" w:sz="4" w:space="0" w:color="9DA4A9" w:themeColor="accent5"/>
          <w:bottom w:val="single" w:sz="4" w:space="0" w:color="9DA4A9" w:themeColor="accent5"/>
          <w:right w:val="single" w:sz="4" w:space="0" w:color="9DA4A9" w:themeColor="accent5"/>
          <w:insideH w:val="single" w:sz="4" w:space="0" w:color="9DA4A9" w:themeColor="accent5"/>
          <w:insideV w:val="single" w:sz="4" w:space="0" w:color="9DA4A9" w:themeColor="accent5"/>
        </w:tblBorders>
        <w:tblLayout w:type="fixed"/>
        <w:tblCellMar>
          <w:top w:w="113" w:type="dxa"/>
        </w:tblCellMar>
        <w:tblLook w:val="04A0" w:firstRow="1" w:lastRow="0" w:firstColumn="1" w:lastColumn="0" w:noHBand="0" w:noVBand="1"/>
      </w:tblPr>
      <w:tblGrid>
        <w:gridCol w:w="9175"/>
      </w:tblGrid>
      <w:tr w:rsidR="009D558F" w:rsidRPr="001F7565" w14:paraId="7638A942" w14:textId="77777777" w:rsidTr="000C4872">
        <w:trPr>
          <w:trHeight w:val="4884"/>
        </w:trPr>
        <w:tc>
          <w:tcPr>
            <w:tcW w:w="8296" w:type="dxa"/>
            <w:shd w:val="clear" w:color="auto" w:fill="auto"/>
            <w:vAlign w:val="center"/>
          </w:tcPr>
          <w:p w14:paraId="5AF7F9D8" w14:textId="72401BA5" w:rsidR="00DC434E" w:rsidRPr="001F7565" w:rsidRDefault="008F00FA" w:rsidP="00454D45">
            <w:pPr>
              <w:spacing w:after="200" w:line="276" w:lineRule="auto"/>
              <w:jc w:val="center"/>
              <w:rPr>
                <w:rFonts w:ascii="Arial" w:eastAsia="Cambria" w:hAnsi="Arial" w:cs="Arial"/>
                <w:sz w:val="18"/>
                <w:szCs w:val="18"/>
              </w:rPr>
            </w:pPr>
            <w:r w:rsidRPr="001F7565">
              <w:rPr>
                <w:noProof/>
              </w:rPr>
              <w:drawing>
                <wp:inline distT="0" distB="0" distL="0" distR="0" wp14:anchorId="30A1E8A3" wp14:editId="22CA2795">
                  <wp:extent cx="5082540" cy="297900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0271" t="25481" r="13741" b="16174"/>
                          <a:stretch/>
                        </pic:blipFill>
                        <pic:spPr bwMode="auto">
                          <a:xfrm>
                            <a:off x="0" y="0"/>
                            <a:ext cx="5093008" cy="29851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6C2485A" w14:textId="77777777" w:rsidR="009D558F" w:rsidRPr="001F7565" w:rsidRDefault="009D558F" w:rsidP="009D558F">
      <w:pPr>
        <w:spacing w:after="180"/>
        <w:ind w:left="1440" w:firstLine="720"/>
        <w:jc w:val="right"/>
        <w:rPr>
          <w:rFonts w:eastAsia="Times New Roman" w:cs="Times New Roman"/>
          <w:i/>
          <w:sz w:val="16"/>
          <w:szCs w:val="16"/>
          <w:lang w:eastAsia="en-GB"/>
        </w:rPr>
      </w:pPr>
      <w:r w:rsidRPr="001F7565">
        <w:rPr>
          <w:rFonts w:eastAsia="Times New Roman" w:cs="Times New Roman"/>
          <w:i/>
          <w:sz w:val="16"/>
          <w:szCs w:val="16"/>
          <w:lang w:eastAsia="en-GB"/>
        </w:rPr>
        <w:t>Source: Adapted from LSIS (2012)</w:t>
      </w:r>
    </w:p>
    <w:p w14:paraId="165E9CCF" w14:textId="77777777" w:rsidR="009D558F" w:rsidRPr="001F7565" w:rsidRDefault="009D558F" w:rsidP="009D774D">
      <w:pPr>
        <w:pStyle w:val="wpBodyText"/>
        <w:rPr>
          <w:lang w:eastAsia="en-GB"/>
        </w:rPr>
      </w:pPr>
      <w:r w:rsidRPr="001F7565">
        <w:rPr>
          <w:lang w:eastAsia="en-GB"/>
        </w:rPr>
        <w:t xml:space="preserve">There are some tensions inherent in the discourse surrounding CMS.  For example, Sultana (2012) highlights a tension between the </w:t>
      </w:r>
      <w:proofErr w:type="gramStart"/>
      <w:r w:rsidRPr="001F7565">
        <w:rPr>
          <w:lang w:eastAsia="en-GB"/>
        </w:rPr>
        <w:t>ever increasing</w:t>
      </w:r>
      <w:proofErr w:type="gramEnd"/>
      <w:r w:rsidRPr="001F7565">
        <w:rPr>
          <w:lang w:eastAsia="en-GB"/>
        </w:rPr>
        <w:t xml:space="preserve"> focus on CMS across Europe and other developed nations on the one hand, and the decline in secure employment opportunities on the other.  Whilst the intention behind the development of CMS may be to increase employability, equity and social inclusion, the unintended sub-text could be that individuals who find themselves out of work “</w:t>
      </w:r>
      <w:r w:rsidRPr="001F7565">
        <w:rPr>
          <w:i/>
          <w:lang w:eastAsia="en-GB"/>
        </w:rPr>
        <w:t>have only (or mainly) themselves to blame</w:t>
      </w:r>
      <w:r w:rsidRPr="001F7565">
        <w:rPr>
          <w:lang w:eastAsia="en-GB"/>
        </w:rPr>
        <w:t xml:space="preserve">”.  That is, they are somehow deficient in the life skills required to maintain employment, when in fact the issue could be due to structural problems on the demand-side of the labour market, which cannot be addressed through individual agency alone. </w:t>
      </w:r>
    </w:p>
    <w:p w14:paraId="46B26B45" w14:textId="77777777" w:rsidR="009D558F" w:rsidRPr="001F7565" w:rsidRDefault="009D558F" w:rsidP="009D774D">
      <w:pPr>
        <w:pStyle w:val="wpBodyText"/>
        <w:rPr>
          <w:lang w:eastAsia="en-GB"/>
        </w:rPr>
      </w:pPr>
      <w:r w:rsidRPr="001F7565">
        <w:rPr>
          <w:lang w:eastAsia="en-GB"/>
        </w:rPr>
        <w:t xml:space="preserve">However, a focus on CMS does not necessarily have to be interpreted to mean that </w:t>
      </w:r>
      <w:r w:rsidRPr="001F7565">
        <w:rPr>
          <w:i/>
          <w:lang w:eastAsia="en-GB"/>
        </w:rPr>
        <w:t xml:space="preserve">only </w:t>
      </w:r>
      <w:r w:rsidRPr="001F7565">
        <w:rPr>
          <w:lang w:eastAsia="en-GB"/>
        </w:rPr>
        <w:t xml:space="preserve">CMS are important.  CMS are designed to support individuals to be both resilient in the face of structural </w:t>
      </w:r>
      <w:r w:rsidRPr="001F7565">
        <w:rPr>
          <w:lang w:eastAsia="en-GB"/>
        </w:rPr>
        <w:lastRenderedPageBreak/>
        <w:t xml:space="preserve">changes and flexible in dealing with these changes.  Some versions of the Blueprint also seek to build in a critical perspective through which careers workers and their clients can reflect on structural issues and consider a range of responses to them.  The English Blueprint offers this kind of critical space largely through learning areas 6 and 7, which both encourage reflection on the context of career building. </w:t>
      </w:r>
    </w:p>
    <w:p w14:paraId="45CA0724" w14:textId="77777777" w:rsidR="009D558F" w:rsidRPr="001F7565" w:rsidRDefault="009D558F" w:rsidP="00771953">
      <w:pPr>
        <w:pStyle w:val="wpHeading2"/>
        <w:rPr>
          <w:rFonts w:eastAsia="Times New Roman"/>
          <w:lang w:eastAsia="en-GB"/>
        </w:rPr>
      </w:pPr>
      <w:r w:rsidRPr="001F7565">
        <w:rPr>
          <w:rFonts w:eastAsia="Times New Roman"/>
          <w:lang w:eastAsia="en-GB"/>
        </w:rPr>
        <w:t>How do people develop Career Management Skills?</w:t>
      </w:r>
    </w:p>
    <w:p w14:paraId="7280B815" w14:textId="77777777" w:rsidR="009D558F" w:rsidRPr="001F7565" w:rsidRDefault="009D558F" w:rsidP="009D774D">
      <w:pPr>
        <w:pStyle w:val="wpBodyText"/>
        <w:rPr>
          <w:lang w:eastAsia="en-GB"/>
        </w:rPr>
      </w:pPr>
      <w:r w:rsidRPr="001F7565">
        <w:rPr>
          <w:lang w:eastAsia="en-GB"/>
        </w:rPr>
        <w:t xml:space="preserve">In addition to setting out what needs to be learned, the Blueprint frameworks conceptualise </w:t>
      </w:r>
      <w:r w:rsidRPr="001F7565">
        <w:rPr>
          <w:b/>
          <w:lang w:eastAsia="en-GB"/>
        </w:rPr>
        <w:t>how this learning is intended to happen</w:t>
      </w:r>
      <w:r w:rsidRPr="001F7565">
        <w:rPr>
          <w:lang w:eastAsia="en-GB"/>
        </w:rPr>
        <w:t xml:space="preserve">.  Underpinning the Blueprint model is the assumption that learning about careers is something that people do throughout their lives and with the help of a wide range of people.  Many people develop career management skills through a </w:t>
      </w:r>
      <w:r w:rsidRPr="001F7565">
        <w:rPr>
          <w:b/>
          <w:lang w:eastAsia="en-GB"/>
        </w:rPr>
        <w:t>mix of formal and informal learning and life experiences</w:t>
      </w:r>
      <w:r w:rsidRPr="001F7565">
        <w:rPr>
          <w:lang w:eastAsia="en-GB"/>
        </w:rPr>
        <w:t xml:space="preserve">, whilst others need professional support with the learning and work decisions they will face.  </w:t>
      </w:r>
    </w:p>
    <w:p w14:paraId="09E42369" w14:textId="10983E78" w:rsidR="009D558F" w:rsidRPr="001F7565" w:rsidRDefault="009D558F" w:rsidP="009D774D">
      <w:pPr>
        <w:pStyle w:val="wpBodyText"/>
        <w:rPr>
          <w:lang w:eastAsia="en-GB"/>
        </w:rPr>
      </w:pPr>
      <w:r w:rsidRPr="001F7565">
        <w:rPr>
          <w:lang w:eastAsia="en-GB"/>
        </w:rPr>
        <w:t xml:space="preserve">The LSIS Blueprint presents a cyclical vision of how the process of career learning is considered to take place (LSIS, 2012) and this is shown in Figure 3.  It is based on Kolb’s learning cycle, which depicts learning as being built up through an individual’s experiences, their reflections on those experiences, their ability to develop conceptual understanding from their reflections, and their ability to use their understanding to experiment with new approaches to their world (Hooley </w:t>
      </w:r>
      <w:r w:rsidRPr="001F7565">
        <w:rPr>
          <w:i/>
          <w:lang w:eastAsia="en-GB"/>
        </w:rPr>
        <w:t xml:space="preserve">et al., </w:t>
      </w:r>
      <w:r w:rsidRPr="001F7565">
        <w:rPr>
          <w:lang w:eastAsia="en-GB"/>
        </w:rPr>
        <w:t xml:space="preserve">2013).  </w:t>
      </w:r>
    </w:p>
    <w:p w14:paraId="102F34EF" w14:textId="7562FCE9" w:rsidR="009D558F" w:rsidRPr="001F7565" w:rsidRDefault="00771953" w:rsidP="00771953">
      <w:pPr>
        <w:pStyle w:val="wpCaption"/>
        <w:rPr>
          <w:lang w:eastAsia="en-GB"/>
        </w:rPr>
      </w:pPr>
      <w:r w:rsidRPr="001F7565">
        <w:t xml:space="preserve">Figure </w:t>
      </w:r>
      <w:r w:rsidRPr="001F7565">
        <w:fldChar w:fldCharType="begin"/>
      </w:r>
      <w:r w:rsidRPr="001F7565">
        <w:instrText xml:space="preserve"> SEQ Figure \* ARABIC </w:instrText>
      </w:r>
      <w:r w:rsidRPr="001F7565">
        <w:fldChar w:fldCharType="separate"/>
      </w:r>
      <w:r w:rsidRPr="001F7565">
        <w:rPr>
          <w:noProof/>
        </w:rPr>
        <w:t>3</w:t>
      </w:r>
      <w:r w:rsidRPr="001F7565">
        <w:fldChar w:fldCharType="end"/>
      </w:r>
      <w:r w:rsidRPr="001F7565">
        <w:t xml:space="preserve">: </w:t>
      </w:r>
      <w:r w:rsidR="009D558F" w:rsidRPr="001F7565">
        <w:rPr>
          <w:lang w:eastAsia="en-GB"/>
        </w:rPr>
        <w:t>Career management skills learning cycle</w:t>
      </w:r>
    </w:p>
    <w:tbl>
      <w:tblPr>
        <w:tblStyle w:val="TableGrid1"/>
        <w:tblW w:w="5000" w:type="pct"/>
        <w:tblBorders>
          <w:top w:val="single" w:sz="4" w:space="0" w:color="9DA4A9" w:themeColor="accent5"/>
          <w:left w:val="single" w:sz="4" w:space="0" w:color="9DA4A9" w:themeColor="accent5"/>
          <w:bottom w:val="single" w:sz="4" w:space="0" w:color="9DA4A9" w:themeColor="accent5"/>
          <w:right w:val="single" w:sz="4" w:space="0" w:color="9DA4A9" w:themeColor="accent5"/>
          <w:insideH w:val="single" w:sz="4" w:space="0" w:color="9DA4A9" w:themeColor="accent5"/>
          <w:insideV w:val="single" w:sz="4" w:space="0" w:color="9DA4A9" w:themeColor="accent5"/>
        </w:tblBorders>
        <w:tblLayout w:type="fixed"/>
        <w:tblCellMar>
          <w:top w:w="113" w:type="dxa"/>
        </w:tblCellMar>
        <w:tblLook w:val="04A0" w:firstRow="1" w:lastRow="0" w:firstColumn="1" w:lastColumn="0" w:noHBand="0" w:noVBand="1"/>
      </w:tblPr>
      <w:tblGrid>
        <w:gridCol w:w="9175"/>
      </w:tblGrid>
      <w:tr w:rsidR="009D558F" w:rsidRPr="001F7565" w14:paraId="0C8743D5" w14:textId="77777777" w:rsidTr="000C4872">
        <w:trPr>
          <w:trHeight w:val="4189"/>
        </w:trPr>
        <w:tc>
          <w:tcPr>
            <w:tcW w:w="8296" w:type="dxa"/>
            <w:shd w:val="clear" w:color="auto" w:fill="auto"/>
            <w:vAlign w:val="center"/>
          </w:tcPr>
          <w:p w14:paraId="7E0E7ABB" w14:textId="77777777" w:rsidR="009D558F" w:rsidRPr="001F7565" w:rsidRDefault="009D558F" w:rsidP="009D558F">
            <w:pPr>
              <w:spacing w:after="200" w:line="276" w:lineRule="auto"/>
              <w:jc w:val="center"/>
              <w:rPr>
                <w:rFonts w:eastAsia="Cambria"/>
              </w:rPr>
            </w:pPr>
            <w:r w:rsidRPr="001F7565">
              <w:rPr>
                <w:rFonts w:eastAsia="Cambria"/>
                <w:noProof/>
              </w:rPr>
              <w:drawing>
                <wp:anchor distT="0" distB="0" distL="114300" distR="114300" simplePos="0" relativeHeight="251658241" behindDoc="0" locked="0" layoutInCell="1" allowOverlap="1" wp14:anchorId="5197A9AC" wp14:editId="4EC49103">
                  <wp:simplePos x="0" y="0"/>
                  <wp:positionH relativeFrom="column">
                    <wp:posOffset>610235</wp:posOffset>
                  </wp:positionH>
                  <wp:positionV relativeFrom="paragraph">
                    <wp:posOffset>-2360295</wp:posOffset>
                  </wp:positionV>
                  <wp:extent cx="4029075" cy="2390775"/>
                  <wp:effectExtent l="0" t="0" r="0" b="9525"/>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bl>
    <w:p w14:paraId="3C420B6F" w14:textId="77777777" w:rsidR="009D558F" w:rsidRPr="001F7565" w:rsidRDefault="009D558F" w:rsidP="009D558F">
      <w:pPr>
        <w:spacing w:after="180"/>
        <w:jc w:val="right"/>
        <w:rPr>
          <w:rFonts w:eastAsia="Times New Roman" w:cs="Times New Roman"/>
          <w:i/>
          <w:sz w:val="16"/>
          <w:szCs w:val="16"/>
          <w:lang w:eastAsia="en-GB"/>
        </w:rPr>
      </w:pPr>
      <w:r w:rsidRPr="001F7565">
        <w:rPr>
          <w:rFonts w:eastAsia="Times New Roman" w:cs="Times New Roman"/>
          <w:i/>
          <w:sz w:val="16"/>
          <w:szCs w:val="16"/>
          <w:lang w:eastAsia="en-GB"/>
        </w:rPr>
        <w:t xml:space="preserve">Source: LSIS (2012), based on Based on Kolb’s learning cycle (1984) </w:t>
      </w:r>
    </w:p>
    <w:p w14:paraId="1D7DA77A" w14:textId="18B10704" w:rsidR="00142CCD" w:rsidRPr="001F7565" w:rsidRDefault="00142CCD" w:rsidP="00F55DC0">
      <w:pPr>
        <w:pStyle w:val="wpHeading3"/>
        <w:rPr>
          <w:lang w:eastAsia="en-GB"/>
        </w:rPr>
      </w:pPr>
      <w:r w:rsidRPr="001F7565">
        <w:rPr>
          <w:lang w:eastAsia="en-GB"/>
        </w:rPr>
        <w:t xml:space="preserve">Where do people seek advice from? </w:t>
      </w:r>
    </w:p>
    <w:p w14:paraId="0DA80733" w14:textId="77777777" w:rsidR="00F55DC0" w:rsidRPr="001F7565" w:rsidRDefault="009D558F" w:rsidP="009D774D">
      <w:pPr>
        <w:pStyle w:val="wpBodyText"/>
        <w:rPr>
          <w:lang w:eastAsia="en-GB"/>
        </w:rPr>
      </w:pPr>
      <w:r w:rsidRPr="001F7565">
        <w:rPr>
          <w:lang w:eastAsia="en-GB"/>
        </w:rPr>
        <w:t xml:space="preserve">The implications of this model are that career guidance services are only one of many potential routes for individuals to develop the CMS required to manage their careers.  This is supported by findings from a longitudinal study looking at the effectiveness of career guidance interventions, which found that individuals seek advice and guidance from a broad range of sources, including </w:t>
      </w:r>
      <w:r w:rsidRPr="001F7565">
        <w:rPr>
          <w:lang w:eastAsia="en-GB"/>
        </w:rPr>
        <w:lastRenderedPageBreak/>
        <w:t xml:space="preserve">professional guidance practitioners, family and friends, colleagues, </w:t>
      </w:r>
      <w:proofErr w:type="gramStart"/>
      <w:r w:rsidRPr="001F7565">
        <w:rPr>
          <w:lang w:eastAsia="en-GB"/>
        </w:rPr>
        <w:t>mentors</w:t>
      </w:r>
      <w:proofErr w:type="gramEnd"/>
      <w:r w:rsidRPr="001F7565">
        <w:rPr>
          <w:lang w:eastAsia="en-GB"/>
        </w:rPr>
        <w:t xml:space="preserve"> and tutors (Bimrose </w:t>
      </w:r>
      <w:r w:rsidRPr="001F7565">
        <w:rPr>
          <w:i/>
          <w:lang w:eastAsia="en-GB"/>
        </w:rPr>
        <w:t>et al</w:t>
      </w:r>
      <w:r w:rsidRPr="001F7565">
        <w:rPr>
          <w:lang w:eastAsia="en-GB"/>
        </w:rPr>
        <w:t xml:space="preserve">., 2008). </w:t>
      </w:r>
    </w:p>
    <w:p w14:paraId="082CDA35" w14:textId="0BBF14D4" w:rsidR="008A60F0" w:rsidRPr="001F7565" w:rsidRDefault="00F55DC0" w:rsidP="009D774D">
      <w:pPr>
        <w:pStyle w:val="wpBodyText"/>
        <w:rPr>
          <w:lang w:eastAsia="en-GB"/>
        </w:rPr>
      </w:pPr>
      <w:r w:rsidRPr="001F7565">
        <w:rPr>
          <w:lang w:eastAsia="en-GB"/>
        </w:rPr>
        <w:t>More recently</w:t>
      </w:r>
      <w:r w:rsidR="0068468E" w:rsidRPr="001F7565">
        <w:rPr>
          <w:lang w:eastAsia="en-GB"/>
        </w:rPr>
        <w:t xml:space="preserve"> within the literature, research has been concerned with whether</w:t>
      </w:r>
      <w:r w:rsidR="00847546" w:rsidRPr="001F7565">
        <w:rPr>
          <w:lang w:eastAsia="en-GB"/>
        </w:rPr>
        <w:t xml:space="preserve"> (</w:t>
      </w:r>
      <w:r w:rsidR="0068468E" w:rsidRPr="001F7565">
        <w:rPr>
          <w:lang w:eastAsia="en-GB"/>
        </w:rPr>
        <w:t>and if so how</w:t>
      </w:r>
      <w:r w:rsidR="00847546" w:rsidRPr="001F7565">
        <w:rPr>
          <w:lang w:eastAsia="en-GB"/>
        </w:rPr>
        <w:t>)</w:t>
      </w:r>
      <w:r w:rsidR="0068468E" w:rsidRPr="001F7565">
        <w:rPr>
          <w:lang w:eastAsia="en-GB"/>
        </w:rPr>
        <w:t xml:space="preserve"> the development of CMS and use of different sources for advice and guidance differs between certain groups of individuals depending on their characteristics. </w:t>
      </w:r>
      <w:r w:rsidR="004E64B8" w:rsidRPr="001F7565">
        <w:rPr>
          <w:lang w:eastAsia="en-GB"/>
        </w:rPr>
        <w:t xml:space="preserve">In a </w:t>
      </w:r>
      <w:r w:rsidR="00847546" w:rsidRPr="001F7565">
        <w:rPr>
          <w:lang w:eastAsia="en-GB"/>
        </w:rPr>
        <w:t>2014</w:t>
      </w:r>
      <w:r w:rsidR="004E64B8" w:rsidRPr="001F7565">
        <w:rPr>
          <w:lang w:eastAsia="en-GB"/>
        </w:rPr>
        <w:t xml:space="preserve"> </w:t>
      </w:r>
      <w:r w:rsidRPr="001F7565">
        <w:rPr>
          <w:lang w:eastAsia="en-GB"/>
        </w:rPr>
        <w:t xml:space="preserve">qualitative international comparative study into the career trajectories of older women (aged 45–65) across six countries (Australia, Argentina, Germany, Italy, </w:t>
      </w:r>
      <w:proofErr w:type="gramStart"/>
      <w:r w:rsidRPr="001F7565">
        <w:rPr>
          <w:lang w:eastAsia="en-GB"/>
        </w:rPr>
        <w:t>England</w:t>
      </w:r>
      <w:proofErr w:type="gramEnd"/>
      <w:r w:rsidRPr="001F7565">
        <w:rPr>
          <w:lang w:eastAsia="en-GB"/>
        </w:rPr>
        <w:t xml:space="preserve"> and South Africa) </w:t>
      </w:r>
      <w:r w:rsidR="004E64B8" w:rsidRPr="001F7565">
        <w:rPr>
          <w:lang w:eastAsia="en-GB"/>
        </w:rPr>
        <w:t xml:space="preserve">Bimrose </w:t>
      </w:r>
      <w:r w:rsidRPr="001F7565">
        <w:rPr>
          <w:i/>
          <w:iCs/>
          <w:lang w:eastAsia="en-GB"/>
        </w:rPr>
        <w:t>et al.,</w:t>
      </w:r>
      <w:r w:rsidRPr="001F7565">
        <w:rPr>
          <w:lang w:eastAsia="en-GB"/>
        </w:rPr>
        <w:t xml:space="preserve"> </w:t>
      </w:r>
      <w:r w:rsidR="004E64B8" w:rsidRPr="001F7565">
        <w:rPr>
          <w:lang w:eastAsia="en-GB"/>
        </w:rPr>
        <w:t>observed that</w:t>
      </w:r>
      <w:r w:rsidR="0068468E" w:rsidRPr="001F7565">
        <w:rPr>
          <w:lang w:eastAsia="en-GB"/>
        </w:rPr>
        <w:t xml:space="preserve"> career support for the women was almost exclusively from informal sources such as family, friends and colleagues. Parental expectations and traditional role models were also found to have an influence on the women’s career decisions, leading to lower qualification routes and less ambitious careers than those </w:t>
      </w:r>
      <w:r w:rsidR="00847546" w:rsidRPr="001F7565">
        <w:rPr>
          <w:lang w:eastAsia="en-GB"/>
        </w:rPr>
        <w:t>that</w:t>
      </w:r>
      <w:r w:rsidR="0068468E" w:rsidRPr="001F7565">
        <w:rPr>
          <w:lang w:eastAsia="en-GB"/>
        </w:rPr>
        <w:t xml:space="preserve"> the women had initially contemplated. </w:t>
      </w:r>
    </w:p>
    <w:p w14:paraId="42BDC4B1" w14:textId="2B5B4174" w:rsidR="00537A71" w:rsidRPr="001F7565" w:rsidRDefault="00B575DF" w:rsidP="009D774D">
      <w:pPr>
        <w:pStyle w:val="wpBodyText"/>
        <w:rPr>
          <w:lang w:eastAsia="en-GB"/>
        </w:rPr>
      </w:pPr>
      <w:r w:rsidRPr="001F7565">
        <w:rPr>
          <w:lang w:eastAsia="en-GB"/>
        </w:rPr>
        <w:t>Despite the different country contexts, common across the women’s narratives was a lack of formal support, especially at key career moments. This study emphasise</w:t>
      </w:r>
      <w:r w:rsidR="00847546" w:rsidRPr="001F7565">
        <w:rPr>
          <w:lang w:eastAsia="en-GB"/>
        </w:rPr>
        <w:t>d</w:t>
      </w:r>
      <w:r w:rsidRPr="001F7565">
        <w:rPr>
          <w:lang w:eastAsia="en-GB"/>
        </w:rPr>
        <w:t xml:space="preserve"> the need for career support for women that is widely available and relevant to their individual needs. </w:t>
      </w:r>
      <w:r w:rsidR="008A60F0" w:rsidRPr="001F7565">
        <w:rPr>
          <w:lang w:eastAsia="en-GB"/>
        </w:rPr>
        <w:t xml:space="preserve">Bimrose </w:t>
      </w:r>
      <w:r w:rsidR="008A60F0" w:rsidRPr="001F7565">
        <w:rPr>
          <w:i/>
          <w:iCs/>
          <w:lang w:eastAsia="en-GB"/>
        </w:rPr>
        <w:t>at al.,</w:t>
      </w:r>
      <w:r w:rsidR="008A60F0" w:rsidRPr="001F7565">
        <w:rPr>
          <w:lang w:eastAsia="en-GB"/>
        </w:rPr>
        <w:t xml:space="preserve"> 2014 further argue</w:t>
      </w:r>
      <w:r w:rsidR="00847546" w:rsidRPr="001F7565">
        <w:rPr>
          <w:lang w:eastAsia="en-GB"/>
        </w:rPr>
        <w:t>d</w:t>
      </w:r>
      <w:r w:rsidR="008A60F0" w:rsidRPr="001F7565">
        <w:rPr>
          <w:lang w:eastAsia="en-GB"/>
        </w:rPr>
        <w:t xml:space="preserve"> that labour market intelligence suggests that young women face similar issues </w:t>
      </w:r>
      <w:r w:rsidR="00847546" w:rsidRPr="001F7565">
        <w:rPr>
          <w:lang w:eastAsia="en-GB"/>
        </w:rPr>
        <w:t>to</w:t>
      </w:r>
      <w:r w:rsidR="008A60F0" w:rsidRPr="001F7565">
        <w:rPr>
          <w:lang w:eastAsia="en-GB"/>
        </w:rPr>
        <w:t xml:space="preserve"> older women and should be included in decisions made on designing future career service provision. </w:t>
      </w:r>
    </w:p>
    <w:p w14:paraId="1849DCA3" w14:textId="03D5FA1C" w:rsidR="00EC0876" w:rsidRPr="001F7565" w:rsidRDefault="0068468E" w:rsidP="009D774D">
      <w:pPr>
        <w:pStyle w:val="wpBodyText"/>
        <w:rPr>
          <w:lang w:eastAsia="en-GB"/>
        </w:rPr>
      </w:pPr>
      <w:r w:rsidRPr="001F7565">
        <w:rPr>
          <w:lang w:eastAsia="en-GB"/>
        </w:rPr>
        <w:t>When exploring the experiences of students</w:t>
      </w:r>
      <w:r w:rsidR="00537A71" w:rsidRPr="001F7565">
        <w:rPr>
          <w:lang w:eastAsia="en-GB"/>
        </w:rPr>
        <w:t xml:space="preserve">, Williams (2018) found that students valued information which came from careers guidance professionals, teachers and alumni, and these groups were more influential than family and friends. He found that students were ‘risk-averse’ and sought the relevance and reliability of the information provided through formal education pathways to help them evaluate their career options. </w:t>
      </w:r>
      <w:r w:rsidR="00EC0876" w:rsidRPr="001F7565">
        <w:rPr>
          <w:lang w:eastAsia="en-GB"/>
        </w:rPr>
        <w:t>Further research on students by Starcic (2017) found, that university students</w:t>
      </w:r>
      <w:r w:rsidR="00847546" w:rsidRPr="001F7565">
        <w:rPr>
          <w:lang w:eastAsia="en-GB"/>
        </w:rPr>
        <w:t xml:space="preserve"> (contrary to expectations)</w:t>
      </w:r>
      <w:r w:rsidR="00EC0876" w:rsidRPr="001F7565">
        <w:rPr>
          <w:lang w:eastAsia="en-GB"/>
        </w:rPr>
        <w:t xml:space="preserve"> tended not to use social networking sites to develop their CMS and were not aware of the potential of such sites for career management. </w:t>
      </w:r>
    </w:p>
    <w:p w14:paraId="4CBD7EFC" w14:textId="37C5F0A2" w:rsidR="009D558F" w:rsidRPr="001F7565" w:rsidRDefault="009D558F" w:rsidP="009D774D">
      <w:pPr>
        <w:pStyle w:val="wpBodyText"/>
        <w:rPr>
          <w:lang w:eastAsia="en-GB"/>
        </w:rPr>
      </w:pPr>
      <w:r w:rsidRPr="001F7565">
        <w:rPr>
          <w:lang w:eastAsia="en-GB"/>
        </w:rPr>
        <w:t xml:space="preserve">Recognising the powerful role of other formal and informal routes, and making links with these, is therefore an effective way of supporting individuals to maximise the learning opportunities available to them.  This issue was also raised in a paper produced as part of the current review series, which looked at how careers services can maximise their impact on individual’s progression to positive learning and work destinations (Neary </w:t>
      </w:r>
      <w:r w:rsidRPr="001F7565">
        <w:rPr>
          <w:i/>
          <w:lang w:eastAsia="en-GB"/>
        </w:rPr>
        <w:t xml:space="preserve">et al., </w:t>
      </w:r>
      <w:r w:rsidR="00451229" w:rsidRPr="001F7565">
        <w:rPr>
          <w:lang w:eastAsia="en-GB"/>
        </w:rPr>
        <w:t>2015</w:t>
      </w:r>
      <w:r w:rsidRPr="001F7565">
        <w:rPr>
          <w:lang w:eastAsia="en-GB"/>
        </w:rPr>
        <w:t>).  It highlights a role for career practitioners in helping customers to understand their support network and to develop strategies to maximise the range of help available for their progression.</w:t>
      </w:r>
    </w:p>
    <w:p w14:paraId="3715ED92" w14:textId="4EC35A5F" w:rsidR="001E2DFA" w:rsidRPr="001F7565" w:rsidRDefault="009D558F" w:rsidP="009D774D">
      <w:pPr>
        <w:pStyle w:val="wpBodyText"/>
        <w:rPr>
          <w:lang w:eastAsia="en-GB"/>
        </w:rPr>
      </w:pPr>
      <w:r w:rsidRPr="001F7565">
        <w:rPr>
          <w:lang w:eastAsia="en-GB"/>
        </w:rPr>
        <w:t xml:space="preserve">A further feature of the LSIS model, in contrast to some other versions of the Blueprint, is that it is non-hierarchical and suggests that career learning is something that happens </w:t>
      </w:r>
      <w:r w:rsidRPr="001F7565">
        <w:rPr>
          <w:b/>
          <w:lang w:eastAsia="en-GB"/>
        </w:rPr>
        <w:t>throughout life</w:t>
      </w:r>
      <w:r w:rsidRPr="001F7565">
        <w:rPr>
          <w:lang w:eastAsia="en-GB"/>
        </w:rPr>
        <w:t xml:space="preserve"> rather than a one-time “process of achieving mastery”. </w:t>
      </w:r>
      <w:r w:rsidR="00C22442" w:rsidRPr="001F7565">
        <w:rPr>
          <w:lang w:eastAsia="en-GB"/>
        </w:rPr>
        <w:t xml:space="preserve">This feature </w:t>
      </w:r>
      <w:r w:rsidR="00864303" w:rsidRPr="001F7565">
        <w:rPr>
          <w:lang w:eastAsia="en-GB"/>
        </w:rPr>
        <w:t xml:space="preserve">also serves to </w:t>
      </w:r>
      <w:r w:rsidR="0022369B" w:rsidRPr="001F7565">
        <w:rPr>
          <w:lang w:eastAsia="en-GB"/>
        </w:rPr>
        <w:t>challenge</w:t>
      </w:r>
      <w:r w:rsidR="00864303" w:rsidRPr="001F7565">
        <w:rPr>
          <w:lang w:eastAsia="en-GB"/>
        </w:rPr>
        <w:t xml:space="preserve"> the assumption that </w:t>
      </w:r>
      <w:r w:rsidR="00C22442" w:rsidRPr="001F7565">
        <w:rPr>
          <w:lang w:eastAsia="en-GB"/>
        </w:rPr>
        <w:t xml:space="preserve">the development of CMS occurs alongside other age and stage related </w:t>
      </w:r>
      <w:r w:rsidR="00864303" w:rsidRPr="001F7565">
        <w:rPr>
          <w:lang w:eastAsia="en-GB"/>
        </w:rPr>
        <w:t xml:space="preserve">learning in wider </w:t>
      </w:r>
      <w:r w:rsidR="00C22442" w:rsidRPr="001F7565">
        <w:rPr>
          <w:lang w:eastAsia="en-GB"/>
        </w:rPr>
        <w:t>education</w:t>
      </w:r>
      <w:r w:rsidR="00864303" w:rsidRPr="001F7565">
        <w:rPr>
          <w:lang w:eastAsia="en-GB"/>
        </w:rPr>
        <w:t xml:space="preserve"> (Neary </w:t>
      </w:r>
      <w:r w:rsidR="00864303" w:rsidRPr="001F7565">
        <w:rPr>
          <w:i/>
          <w:iCs/>
          <w:lang w:eastAsia="en-GB"/>
        </w:rPr>
        <w:t>et al.,</w:t>
      </w:r>
      <w:r w:rsidR="00864303" w:rsidRPr="001F7565">
        <w:rPr>
          <w:lang w:eastAsia="en-GB"/>
        </w:rPr>
        <w:t xml:space="preserve"> 2016).</w:t>
      </w:r>
      <w:r w:rsidR="00555531" w:rsidRPr="001F7565">
        <w:rPr>
          <w:lang w:eastAsia="en-GB"/>
        </w:rPr>
        <w:t xml:space="preserve"> If CMS do not develop in a hierarchical way, then it becomes more likely that CMS are context dependent and the focus </w:t>
      </w:r>
      <w:r w:rsidR="00EC566E" w:rsidRPr="001F7565">
        <w:rPr>
          <w:lang w:eastAsia="en-GB"/>
        </w:rPr>
        <w:t>becomes</w:t>
      </w:r>
      <w:r w:rsidR="00555531" w:rsidRPr="001F7565">
        <w:rPr>
          <w:lang w:eastAsia="en-GB"/>
        </w:rPr>
        <w:t xml:space="preserve"> less about </w:t>
      </w:r>
      <w:r w:rsidR="00555531" w:rsidRPr="001F7565">
        <w:rPr>
          <w:i/>
          <w:iCs/>
          <w:lang w:eastAsia="en-GB"/>
        </w:rPr>
        <w:t>when</w:t>
      </w:r>
      <w:r w:rsidR="00555531" w:rsidRPr="001F7565">
        <w:rPr>
          <w:lang w:eastAsia="en-GB"/>
        </w:rPr>
        <w:t xml:space="preserve"> these skills are developed, and rather </w:t>
      </w:r>
      <w:r w:rsidR="00555531" w:rsidRPr="001F7565">
        <w:rPr>
          <w:i/>
          <w:iCs/>
          <w:lang w:eastAsia="en-GB"/>
        </w:rPr>
        <w:t>where</w:t>
      </w:r>
      <w:r w:rsidR="00555531" w:rsidRPr="001F7565">
        <w:rPr>
          <w:lang w:eastAsia="en-GB"/>
        </w:rPr>
        <w:t xml:space="preserve"> they are developed. </w:t>
      </w:r>
      <w:r w:rsidR="00EC566E" w:rsidRPr="001F7565">
        <w:rPr>
          <w:lang w:eastAsia="en-GB"/>
        </w:rPr>
        <w:t xml:space="preserve">Further, this thinking helps to differentiate between careers learning within the education system and employability programmes, and the development of competencies in career management. </w:t>
      </w:r>
      <w:r w:rsidRPr="001F7565">
        <w:rPr>
          <w:lang w:eastAsia="en-GB"/>
        </w:rPr>
        <w:t xml:space="preserve">As such, the development of CMS can be seen </w:t>
      </w:r>
      <w:r w:rsidRPr="001F7565">
        <w:rPr>
          <w:lang w:eastAsia="en-GB"/>
        </w:rPr>
        <w:lastRenderedPageBreak/>
        <w:t xml:space="preserve">as linked to a commitment to lifelong learning and personal and professional development.  </w:t>
      </w:r>
      <w:r w:rsidR="003754B4" w:rsidRPr="001F7565">
        <w:rPr>
          <w:lang w:eastAsia="en-GB"/>
        </w:rPr>
        <w:t>Barnes</w:t>
      </w:r>
      <w:r w:rsidR="00820A9C" w:rsidRPr="001F7565">
        <w:rPr>
          <w:lang w:eastAsia="en-GB"/>
        </w:rPr>
        <w:t xml:space="preserve"> </w:t>
      </w:r>
      <w:r w:rsidR="00820A9C" w:rsidRPr="001F7565">
        <w:rPr>
          <w:i/>
          <w:iCs/>
          <w:lang w:eastAsia="en-GB"/>
        </w:rPr>
        <w:t>et al.,</w:t>
      </w:r>
      <w:r w:rsidR="003754B4" w:rsidRPr="001F7565">
        <w:rPr>
          <w:lang w:eastAsia="en-GB"/>
        </w:rPr>
        <w:t xml:space="preserve"> (2020) argues that a better understanding of context is required when considering how and where people develop CMS. </w:t>
      </w:r>
      <w:r w:rsidR="001E2DFA" w:rsidRPr="001F7565">
        <w:rPr>
          <w:lang w:eastAsia="en-GB"/>
        </w:rPr>
        <w:t xml:space="preserve">As context has often been overlooked in career development interventions, community settings have not been </w:t>
      </w:r>
      <w:r w:rsidR="00847546" w:rsidRPr="001F7565">
        <w:rPr>
          <w:lang w:eastAsia="en-GB"/>
        </w:rPr>
        <w:t xml:space="preserve">often </w:t>
      </w:r>
      <w:r w:rsidR="001E2DFA" w:rsidRPr="001F7565">
        <w:rPr>
          <w:lang w:eastAsia="en-GB"/>
        </w:rPr>
        <w:t xml:space="preserve">recognised as relevant </w:t>
      </w:r>
      <w:r w:rsidR="003754B4" w:rsidRPr="001F7565">
        <w:rPr>
          <w:lang w:eastAsia="en-GB"/>
        </w:rPr>
        <w:t>sites for career guidance activities</w:t>
      </w:r>
      <w:r w:rsidR="001E2DFA" w:rsidRPr="001F7565">
        <w:rPr>
          <w:lang w:eastAsia="en-GB"/>
        </w:rPr>
        <w:t xml:space="preserve"> (Thomson, 2017; Barnes </w:t>
      </w:r>
      <w:r w:rsidR="00820A9C" w:rsidRPr="001F7565">
        <w:rPr>
          <w:i/>
          <w:iCs/>
          <w:lang w:eastAsia="en-GB"/>
        </w:rPr>
        <w:t>et al.,</w:t>
      </w:r>
      <w:r w:rsidR="00820A9C" w:rsidRPr="001F7565">
        <w:rPr>
          <w:lang w:eastAsia="en-GB"/>
        </w:rPr>
        <w:t xml:space="preserve"> </w:t>
      </w:r>
      <w:r w:rsidR="001E2DFA" w:rsidRPr="001F7565">
        <w:rPr>
          <w:lang w:eastAsia="en-GB"/>
        </w:rPr>
        <w:t xml:space="preserve">2020). </w:t>
      </w:r>
      <w:r w:rsidR="00847546" w:rsidRPr="001F7565">
        <w:rPr>
          <w:lang w:eastAsia="en-GB"/>
        </w:rPr>
        <w:t>S</w:t>
      </w:r>
      <w:r w:rsidR="00D1749E" w:rsidRPr="001F7565">
        <w:rPr>
          <w:lang w:eastAsia="en-GB"/>
        </w:rPr>
        <w:t>ports clubs, youth clubs and young parent clubs</w:t>
      </w:r>
      <w:r w:rsidR="00847546" w:rsidRPr="001F7565">
        <w:rPr>
          <w:lang w:eastAsia="en-GB"/>
        </w:rPr>
        <w:t>, for example,</w:t>
      </w:r>
      <w:r w:rsidR="00D1749E" w:rsidRPr="001F7565">
        <w:rPr>
          <w:lang w:eastAsia="en-GB"/>
        </w:rPr>
        <w:t xml:space="preserve"> can be potential sites for community</w:t>
      </w:r>
      <w:r w:rsidR="00441491" w:rsidRPr="001F7565">
        <w:rPr>
          <w:lang w:eastAsia="en-GB"/>
        </w:rPr>
        <w:t>-</w:t>
      </w:r>
      <w:r w:rsidR="00D1749E" w:rsidRPr="001F7565">
        <w:rPr>
          <w:lang w:eastAsia="en-GB"/>
        </w:rPr>
        <w:t xml:space="preserve">based career guidance leading to the development of CMS. </w:t>
      </w:r>
      <w:r w:rsidR="003754B4" w:rsidRPr="001F7565">
        <w:rPr>
          <w:lang w:eastAsia="en-GB"/>
        </w:rPr>
        <w:t xml:space="preserve">Where there are a range of organisations and professional services working in, and with communities, there are opportunities to create links between an individual’s need to develop CMS and access to existing support. </w:t>
      </w:r>
      <w:r w:rsidR="00D1749E" w:rsidRPr="001F7565">
        <w:rPr>
          <w:lang w:eastAsia="en-GB"/>
        </w:rPr>
        <w:t>By a</w:t>
      </w:r>
      <w:r w:rsidR="003754B4" w:rsidRPr="001F7565">
        <w:rPr>
          <w:lang w:eastAsia="en-GB"/>
        </w:rPr>
        <w:t>cknowledging context</w:t>
      </w:r>
      <w:r w:rsidR="00D1749E" w:rsidRPr="001F7565">
        <w:rPr>
          <w:lang w:eastAsia="en-GB"/>
        </w:rPr>
        <w:t xml:space="preserve">, this </w:t>
      </w:r>
      <w:r w:rsidR="003754B4" w:rsidRPr="001F7565">
        <w:rPr>
          <w:lang w:eastAsia="en-GB"/>
        </w:rPr>
        <w:t xml:space="preserve">also </w:t>
      </w:r>
      <w:r w:rsidR="00D1749E" w:rsidRPr="001F7565">
        <w:rPr>
          <w:lang w:eastAsia="en-GB"/>
        </w:rPr>
        <w:t xml:space="preserve">recognises that there are structural issues which affect a person’s ability to career manage and develop their CMS </w:t>
      </w:r>
      <w:r w:rsidR="00820A9C" w:rsidRPr="001F7565">
        <w:rPr>
          <w:lang w:eastAsia="en-GB"/>
        </w:rPr>
        <w:t xml:space="preserve">and which may mean individuals in some areas may require more personalised support </w:t>
      </w:r>
      <w:r w:rsidR="00D1749E" w:rsidRPr="001F7565">
        <w:rPr>
          <w:lang w:eastAsia="en-GB"/>
        </w:rPr>
        <w:t>(Hooley</w:t>
      </w:r>
      <w:r w:rsidR="003617B3" w:rsidRPr="001F7565">
        <w:rPr>
          <w:lang w:eastAsia="en-GB"/>
        </w:rPr>
        <w:t>, T. in</w:t>
      </w:r>
      <w:r w:rsidR="00D1749E" w:rsidRPr="001F7565">
        <w:rPr>
          <w:lang w:eastAsia="en-GB"/>
        </w:rPr>
        <w:t xml:space="preserve"> Thomson, 2017). </w:t>
      </w:r>
    </w:p>
    <w:p w14:paraId="28E55B47" w14:textId="77777777" w:rsidR="009D558F" w:rsidRPr="001F7565" w:rsidRDefault="009D558F" w:rsidP="00771953">
      <w:pPr>
        <w:pStyle w:val="wpHeading2"/>
        <w:rPr>
          <w:rFonts w:eastAsia="Times New Roman"/>
          <w:lang w:eastAsia="en-GB"/>
        </w:rPr>
      </w:pPr>
      <w:r w:rsidRPr="001F7565">
        <w:rPr>
          <w:rFonts w:eastAsia="Times New Roman"/>
          <w:lang w:eastAsia="en-GB"/>
        </w:rPr>
        <w:t>How does the National Careers Service define and measure career management skills?</w:t>
      </w:r>
    </w:p>
    <w:p w14:paraId="01EB6DC4" w14:textId="6EFDE2F3" w:rsidR="009D558F" w:rsidRPr="001F7565" w:rsidRDefault="009D558F" w:rsidP="009D774D">
      <w:pPr>
        <w:pStyle w:val="wpBodyText"/>
        <w:rPr>
          <w:lang w:eastAsia="en-GB"/>
        </w:rPr>
      </w:pPr>
      <w:r w:rsidRPr="001F7565">
        <w:rPr>
          <w:b/>
          <w:lang w:eastAsia="en-GB"/>
        </w:rPr>
        <w:t>‘Career management’</w:t>
      </w:r>
      <w:r w:rsidRPr="001F7565">
        <w:rPr>
          <w:lang w:eastAsia="en-GB"/>
        </w:rPr>
        <w:t xml:space="preserve"> is one of three customer outcomes that National Careers Service providers </w:t>
      </w:r>
      <w:r w:rsidR="00847546" w:rsidRPr="001F7565">
        <w:rPr>
          <w:lang w:eastAsia="en-GB"/>
        </w:rPr>
        <w:t>were</w:t>
      </w:r>
      <w:r w:rsidRPr="001F7565">
        <w:rPr>
          <w:lang w:eastAsia="en-GB"/>
        </w:rPr>
        <w:t xml:space="preserve"> paid to deliver under the </w:t>
      </w:r>
      <w:r w:rsidR="00847546" w:rsidRPr="001F7565">
        <w:rPr>
          <w:lang w:eastAsia="en-GB"/>
        </w:rPr>
        <w:t xml:space="preserve">original </w:t>
      </w:r>
      <w:r w:rsidRPr="001F7565">
        <w:rPr>
          <w:lang w:eastAsia="en-GB"/>
        </w:rPr>
        <w:t xml:space="preserve">outcome-based funding model, with the other two being satisfaction and progression to jobs and learning.  The funding model for the service </w:t>
      </w:r>
      <w:r w:rsidR="00BF4698" w:rsidRPr="001F7565">
        <w:rPr>
          <w:lang w:eastAsia="en-GB"/>
        </w:rPr>
        <w:t xml:space="preserve">at that time </w:t>
      </w:r>
      <w:r w:rsidRPr="001F7565">
        <w:rPr>
          <w:lang w:eastAsia="en-GB"/>
        </w:rPr>
        <w:t>depict</w:t>
      </w:r>
      <w:r w:rsidR="00847546" w:rsidRPr="001F7565">
        <w:rPr>
          <w:lang w:eastAsia="en-GB"/>
        </w:rPr>
        <w:t>ed</w:t>
      </w:r>
      <w:r w:rsidRPr="001F7565">
        <w:rPr>
          <w:lang w:eastAsia="en-GB"/>
        </w:rPr>
        <w:t xml:space="preserve"> an </w:t>
      </w:r>
      <w:r w:rsidRPr="001F7565">
        <w:rPr>
          <w:b/>
          <w:lang w:eastAsia="en-GB"/>
        </w:rPr>
        <w:t>apparently</w:t>
      </w:r>
      <w:r w:rsidRPr="001F7565">
        <w:rPr>
          <w:lang w:eastAsia="en-GB"/>
        </w:rPr>
        <w:t xml:space="preserve"> </w:t>
      </w:r>
      <w:r w:rsidRPr="001F7565">
        <w:rPr>
          <w:b/>
          <w:lang w:eastAsia="en-GB"/>
        </w:rPr>
        <w:t xml:space="preserve">linear customer journey </w:t>
      </w:r>
      <w:r w:rsidRPr="001F7565">
        <w:rPr>
          <w:lang w:eastAsia="en-GB"/>
        </w:rPr>
        <w:t xml:space="preserve">in relation to these three outcomes, with the customer satisfaction outcome expected to be claimed first, followed by career management and then progression to jobs and learning.  In terms of the latter, this </w:t>
      </w:r>
      <w:r w:rsidR="00847546" w:rsidRPr="001F7565">
        <w:rPr>
          <w:lang w:eastAsia="en-GB"/>
        </w:rPr>
        <w:t xml:space="preserve">could </w:t>
      </w:r>
      <w:r w:rsidRPr="001F7565">
        <w:rPr>
          <w:lang w:eastAsia="en-GB"/>
        </w:rPr>
        <w:t xml:space="preserve">only be claimed if a customer has already achieved both a customer satisfaction outcome </w:t>
      </w:r>
      <w:r w:rsidRPr="001F7565">
        <w:rPr>
          <w:b/>
          <w:lang w:eastAsia="en-GB"/>
        </w:rPr>
        <w:t>and</w:t>
      </w:r>
      <w:r w:rsidRPr="001F7565">
        <w:rPr>
          <w:lang w:eastAsia="en-GB"/>
        </w:rPr>
        <w:t xml:space="preserve"> a career management outcome.</w:t>
      </w:r>
      <w:r w:rsidR="00847546" w:rsidRPr="001F7565">
        <w:rPr>
          <w:lang w:eastAsia="en-GB"/>
        </w:rPr>
        <w:t xml:space="preserve"> More recently, the funding model </w:t>
      </w:r>
      <w:r w:rsidR="003617B3" w:rsidRPr="001F7565">
        <w:rPr>
          <w:lang w:eastAsia="en-GB"/>
        </w:rPr>
        <w:t>has</w:t>
      </w:r>
      <w:r w:rsidR="00A441C5" w:rsidRPr="001F7565">
        <w:rPr>
          <w:lang w:eastAsia="en-GB"/>
        </w:rPr>
        <w:t xml:space="preserve"> differentiated between progression to jobs and progression to learning, recognising that customers could progress from one to the other (from learning to work or from work into associated learning), depending on circumstances. </w:t>
      </w:r>
    </w:p>
    <w:p w14:paraId="3FDEA9CE" w14:textId="3F551030" w:rsidR="009D558F" w:rsidRPr="001F7565" w:rsidRDefault="009D558F" w:rsidP="009D774D">
      <w:pPr>
        <w:pStyle w:val="wpBodyText"/>
        <w:rPr>
          <w:lang w:eastAsia="en-GB"/>
        </w:rPr>
      </w:pPr>
      <w:r w:rsidRPr="001F7565">
        <w:rPr>
          <w:lang w:eastAsia="en-GB"/>
        </w:rPr>
        <w:t xml:space="preserve">The National Careers Service Funding Rules </w:t>
      </w:r>
      <w:r w:rsidR="00BF4698" w:rsidRPr="001F7565">
        <w:rPr>
          <w:lang w:eastAsia="en-GB"/>
        </w:rPr>
        <w:t xml:space="preserve">in 2014 </w:t>
      </w:r>
      <w:r w:rsidRPr="001F7565">
        <w:rPr>
          <w:lang w:eastAsia="en-GB"/>
        </w:rPr>
        <w:t>define</w:t>
      </w:r>
      <w:r w:rsidR="00BF4698" w:rsidRPr="001F7565">
        <w:rPr>
          <w:lang w:eastAsia="en-GB"/>
        </w:rPr>
        <w:t>d</w:t>
      </w:r>
      <w:r w:rsidRPr="001F7565">
        <w:rPr>
          <w:lang w:eastAsia="en-GB"/>
        </w:rPr>
        <w:t xml:space="preserve"> career management outcomes for the service in the following way:</w:t>
      </w:r>
    </w:p>
    <w:p w14:paraId="5C25271E" w14:textId="77777777" w:rsidR="009D558F" w:rsidRPr="001F7565" w:rsidRDefault="009D558F" w:rsidP="009D558F">
      <w:pPr>
        <w:spacing w:after="180"/>
        <w:ind w:left="851" w:right="851"/>
        <w:rPr>
          <w:rFonts w:eastAsia="Times New Roman" w:cs="Times New Roman"/>
          <w:i/>
          <w:sz w:val="21"/>
          <w:lang w:eastAsia="en-GB"/>
        </w:rPr>
      </w:pPr>
      <w:r w:rsidRPr="001F7565">
        <w:rPr>
          <w:rFonts w:eastAsia="Times New Roman" w:cs="Times New Roman"/>
          <w:i/>
          <w:sz w:val="21"/>
          <w:lang w:eastAsia="en-GB"/>
        </w:rPr>
        <w:t xml:space="preserve">Career management outcomes are defined as customers demonstrably continuing to manage their career independently, continuing to assess their skills, consider employer demand, pursue further learning, access their Personal Learner Record, update their Lifelong Learning Account, improve their </w:t>
      </w:r>
      <w:proofErr w:type="gramStart"/>
      <w:r w:rsidRPr="001F7565">
        <w:rPr>
          <w:rFonts w:eastAsia="Times New Roman" w:cs="Times New Roman"/>
          <w:i/>
          <w:sz w:val="21"/>
          <w:lang w:eastAsia="en-GB"/>
        </w:rPr>
        <w:t>CVs</w:t>
      </w:r>
      <w:proofErr w:type="gramEnd"/>
      <w:r w:rsidRPr="001F7565">
        <w:rPr>
          <w:rFonts w:eastAsia="Times New Roman" w:cs="Times New Roman"/>
          <w:i/>
          <w:sz w:val="21"/>
          <w:lang w:eastAsia="en-GB"/>
        </w:rPr>
        <w:t xml:space="preserve"> and seek to fulfil their potential. Establishing customers with this behaviour will lead to more people continuing to extend their skills and pursue their employment goals.</w:t>
      </w:r>
    </w:p>
    <w:p w14:paraId="185A8E3B" w14:textId="651A4A55" w:rsidR="009D558F" w:rsidRPr="001F7565" w:rsidRDefault="009D558F" w:rsidP="009D558F">
      <w:pPr>
        <w:spacing w:after="180" w:line="288" w:lineRule="auto"/>
        <w:jc w:val="right"/>
        <w:rPr>
          <w:rFonts w:eastAsia="Times New Roman" w:cs="Times New Roman"/>
          <w:sz w:val="21"/>
          <w:lang w:eastAsia="en-GB"/>
        </w:rPr>
      </w:pPr>
      <w:r w:rsidRPr="001F7565">
        <w:rPr>
          <w:rFonts w:eastAsia="Times New Roman" w:cs="Times New Roman"/>
          <w:sz w:val="21"/>
          <w:lang w:eastAsia="en-GB"/>
        </w:rPr>
        <w:t>National Careers Service Funding Rules 2014-15 (Skills Funding Agency, 2014)</w:t>
      </w:r>
    </w:p>
    <w:p w14:paraId="4CEE87CD" w14:textId="37625CCB" w:rsidR="00BF4698" w:rsidRPr="001F7565" w:rsidRDefault="00BF4698" w:rsidP="00BF4698">
      <w:pPr>
        <w:pStyle w:val="wpBodyText"/>
      </w:pPr>
      <w:r w:rsidRPr="001F7565">
        <w:t xml:space="preserve">In the </w:t>
      </w:r>
      <w:hyperlink r:id="rId28" w:history="1">
        <w:r w:rsidRPr="001F7565">
          <w:rPr>
            <w:rStyle w:val="Hyperlink"/>
          </w:rPr>
          <w:t>updated funding rules</w:t>
        </w:r>
      </w:hyperlink>
      <w:r w:rsidRPr="001F7565">
        <w:t xml:space="preserve"> (for November 2019 and March 2021) there was a shift in this definition in terms of placing the emphasis on the support provided by the service rather than on </w:t>
      </w:r>
      <w:r w:rsidR="00244754" w:rsidRPr="001F7565">
        <w:t xml:space="preserve">the </w:t>
      </w:r>
      <w:r w:rsidRPr="001F7565">
        <w:t xml:space="preserve">customers actively demonstrating </w:t>
      </w:r>
      <w:r w:rsidR="00244754" w:rsidRPr="001F7565">
        <w:t>the range of skill</w:t>
      </w:r>
      <w:r w:rsidRPr="001F7565">
        <w:t>s (evidence for which can be hard to obtain)</w:t>
      </w:r>
      <w:r w:rsidR="00244754" w:rsidRPr="001F7565">
        <w:t>. Under the Area Based contracts from 2018,</w:t>
      </w:r>
      <w:r w:rsidRPr="001F7565">
        <w:t xml:space="preserve"> Career Management Outcomes were defined as: </w:t>
      </w:r>
    </w:p>
    <w:p w14:paraId="20CC801B" w14:textId="5496E205" w:rsidR="00244754" w:rsidRPr="001F7565" w:rsidRDefault="00BF4698" w:rsidP="00244754">
      <w:pPr>
        <w:pStyle w:val="wpQuoteText"/>
        <w:spacing w:after="260"/>
        <w:ind w:left="720"/>
        <w:rPr>
          <w:color w:val="auto"/>
        </w:rPr>
      </w:pPr>
      <w:r w:rsidRPr="001F7565">
        <w:rPr>
          <w:color w:val="auto"/>
        </w:rPr>
        <w:t>“</w:t>
      </w:r>
      <w:r w:rsidR="00244754" w:rsidRPr="001F7565">
        <w:rPr>
          <w:color w:val="auto"/>
        </w:rPr>
        <w:t>…</w:t>
      </w:r>
      <w:r w:rsidRPr="001F7565">
        <w:rPr>
          <w:color w:val="auto"/>
        </w:rPr>
        <w:t xml:space="preserve">careers information, advice and guidance that support Customers to understand the value and importance of career management as a lifelong activity and encourages the Customer to </w:t>
      </w:r>
      <w:r w:rsidRPr="001F7565">
        <w:rPr>
          <w:color w:val="auto"/>
        </w:rPr>
        <w:lastRenderedPageBreak/>
        <w:t xml:space="preserve">develop the skills, confidence, resilience and resourcefulness to manage their careers independently throughout their lives.”  </w:t>
      </w:r>
    </w:p>
    <w:p w14:paraId="0679719B" w14:textId="57E65794" w:rsidR="00244754" w:rsidRPr="001F7565" w:rsidRDefault="00244754" w:rsidP="00244754">
      <w:pPr>
        <w:spacing w:after="180" w:line="288" w:lineRule="auto"/>
        <w:jc w:val="right"/>
        <w:rPr>
          <w:rFonts w:eastAsia="Times New Roman" w:cs="Times New Roman"/>
          <w:sz w:val="21"/>
          <w:lang w:eastAsia="en-GB"/>
        </w:rPr>
      </w:pPr>
      <w:r w:rsidRPr="001F7565">
        <w:rPr>
          <w:rFonts w:eastAsia="Times New Roman" w:cs="Times New Roman"/>
          <w:sz w:val="21"/>
          <w:lang w:eastAsia="en-GB"/>
        </w:rPr>
        <w:t>Funding Rules for National Careers Service 2018-2021: Version 6.0 (Education and Skills Funding Agency, 2021)</w:t>
      </w:r>
    </w:p>
    <w:p w14:paraId="1D3E32AB" w14:textId="77777777" w:rsidR="00B53739" w:rsidRPr="001F7565" w:rsidRDefault="00D4191B" w:rsidP="00771953">
      <w:pPr>
        <w:pStyle w:val="wpCaption"/>
        <w:rPr>
          <w:b w:val="0"/>
          <w:bCs/>
          <w:lang w:eastAsia="en-GB"/>
        </w:rPr>
      </w:pPr>
      <w:r w:rsidRPr="001F7565">
        <w:rPr>
          <w:b w:val="0"/>
          <w:bCs/>
          <w:lang w:eastAsia="en-GB"/>
        </w:rPr>
        <w:t>In 2014,</w:t>
      </w:r>
      <w:r w:rsidR="009D558F" w:rsidRPr="001F7565">
        <w:rPr>
          <w:b w:val="0"/>
          <w:bCs/>
          <w:lang w:eastAsia="en-GB"/>
        </w:rPr>
        <w:t xml:space="preserve"> seven career management ‘outcome measures’ </w:t>
      </w:r>
      <w:r w:rsidRPr="001F7565">
        <w:rPr>
          <w:b w:val="0"/>
          <w:bCs/>
          <w:lang w:eastAsia="en-GB"/>
        </w:rPr>
        <w:t xml:space="preserve">were identified </w:t>
      </w:r>
      <w:r w:rsidR="009D558F" w:rsidRPr="001F7565">
        <w:rPr>
          <w:b w:val="0"/>
          <w:bCs/>
          <w:lang w:eastAsia="en-GB"/>
        </w:rPr>
        <w:t xml:space="preserve">against which National Careers Service contractors </w:t>
      </w:r>
      <w:r w:rsidRPr="001F7565">
        <w:rPr>
          <w:b w:val="0"/>
          <w:bCs/>
          <w:lang w:eastAsia="en-GB"/>
        </w:rPr>
        <w:t xml:space="preserve">could </w:t>
      </w:r>
      <w:proofErr w:type="gramStart"/>
      <w:r w:rsidR="009D558F" w:rsidRPr="001F7565">
        <w:rPr>
          <w:b w:val="0"/>
          <w:bCs/>
          <w:lang w:eastAsia="en-GB"/>
        </w:rPr>
        <w:t xml:space="preserve">claim </w:t>
      </w:r>
      <w:r w:rsidRPr="001F7565">
        <w:rPr>
          <w:b w:val="0"/>
          <w:bCs/>
          <w:lang w:eastAsia="en-GB"/>
        </w:rPr>
        <w:t xml:space="preserve"> (</w:t>
      </w:r>
      <w:proofErr w:type="gramEnd"/>
      <w:r w:rsidRPr="001F7565">
        <w:rPr>
          <w:b w:val="0"/>
          <w:bCs/>
          <w:lang w:eastAsia="en-GB"/>
        </w:rPr>
        <w:t>see</w:t>
      </w:r>
      <w:r w:rsidR="009D558F" w:rsidRPr="001F7565">
        <w:rPr>
          <w:b w:val="0"/>
          <w:bCs/>
          <w:lang w:eastAsia="en-GB"/>
        </w:rPr>
        <w:t xml:space="preserve"> Table 3</w:t>
      </w:r>
      <w:r w:rsidRPr="001F7565">
        <w:rPr>
          <w:b w:val="0"/>
          <w:bCs/>
          <w:lang w:eastAsia="en-GB"/>
        </w:rPr>
        <w:t>)</w:t>
      </w:r>
      <w:r w:rsidR="009D558F" w:rsidRPr="001F7565">
        <w:rPr>
          <w:b w:val="0"/>
          <w:bCs/>
          <w:lang w:eastAsia="en-GB"/>
        </w:rPr>
        <w:t xml:space="preserve">.  These ‘outcome measures’ </w:t>
      </w:r>
      <w:r w:rsidRPr="001F7565">
        <w:rPr>
          <w:b w:val="0"/>
          <w:bCs/>
          <w:lang w:eastAsia="en-GB"/>
        </w:rPr>
        <w:t>we</w:t>
      </w:r>
      <w:r w:rsidR="009D558F" w:rsidRPr="001F7565">
        <w:rPr>
          <w:b w:val="0"/>
          <w:bCs/>
          <w:lang w:eastAsia="en-GB"/>
        </w:rPr>
        <w:t xml:space="preserve">re in fact largely a list of actions that customers </w:t>
      </w:r>
      <w:r w:rsidRPr="001F7565">
        <w:rPr>
          <w:b w:val="0"/>
          <w:bCs/>
          <w:lang w:eastAsia="en-GB"/>
        </w:rPr>
        <w:t xml:space="preserve">might </w:t>
      </w:r>
      <w:r w:rsidR="009D558F" w:rsidRPr="001F7565">
        <w:rPr>
          <w:b w:val="0"/>
          <w:bCs/>
          <w:lang w:eastAsia="en-GB"/>
        </w:rPr>
        <w:t xml:space="preserve">undertake </w:t>
      </w:r>
      <w:proofErr w:type="gramStart"/>
      <w:r w:rsidR="009D558F" w:rsidRPr="001F7565">
        <w:rPr>
          <w:b w:val="0"/>
          <w:bCs/>
          <w:lang w:eastAsia="en-GB"/>
        </w:rPr>
        <w:t>as a result of</w:t>
      </w:r>
      <w:proofErr w:type="gramEnd"/>
      <w:r w:rsidR="009D558F" w:rsidRPr="001F7565">
        <w:rPr>
          <w:b w:val="0"/>
          <w:bCs/>
          <w:lang w:eastAsia="en-GB"/>
        </w:rPr>
        <w:t xml:space="preserve"> engagement with the service, and which in turn </w:t>
      </w:r>
      <w:r w:rsidRPr="001F7565">
        <w:rPr>
          <w:b w:val="0"/>
          <w:bCs/>
          <w:lang w:eastAsia="en-GB"/>
        </w:rPr>
        <w:t>we</w:t>
      </w:r>
      <w:r w:rsidR="009D558F" w:rsidRPr="001F7565">
        <w:rPr>
          <w:b w:val="0"/>
          <w:bCs/>
          <w:lang w:eastAsia="en-GB"/>
        </w:rPr>
        <w:t>re expected to result in CMS development.  They could therefore be considered CMS-related activities / outputs, rather than CMS outcomes for customers.</w:t>
      </w:r>
      <w:r w:rsidRPr="001F7565">
        <w:rPr>
          <w:b w:val="0"/>
          <w:bCs/>
          <w:lang w:eastAsia="en-GB"/>
        </w:rPr>
        <w:t xml:space="preserve"> The evidence requirements in 2021 (see Table 3) also emphasise evidence of CMS-related activities, though there is, arguably, more of a stress on the successful completion of activities.</w:t>
      </w:r>
    </w:p>
    <w:p w14:paraId="01494DE2" w14:textId="3F28D9F4" w:rsidR="009D558F" w:rsidRPr="001F7565" w:rsidRDefault="00F276A9" w:rsidP="00771953">
      <w:pPr>
        <w:pStyle w:val="wpCaption"/>
        <w:rPr>
          <w:lang w:eastAsia="en-GB"/>
        </w:rPr>
      </w:pPr>
      <w:r w:rsidRPr="001F7565">
        <w:t>Table 3</w:t>
      </w:r>
      <w:r w:rsidR="00771953" w:rsidRPr="001F7565">
        <w:t xml:space="preserve">: </w:t>
      </w:r>
      <w:r w:rsidR="009D558F" w:rsidRPr="001F7565">
        <w:rPr>
          <w:lang w:eastAsia="en-GB"/>
        </w:rPr>
        <w:t>National Careers Service Career Management Outcome Measures</w:t>
      </w:r>
    </w:p>
    <w:tbl>
      <w:tblPr>
        <w:tblStyle w:val="SQW"/>
        <w:tblW w:w="4932" w:type="pct"/>
        <w:tblLayout w:type="fixed"/>
        <w:tblLook w:val="04A0" w:firstRow="1" w:lastRow="0" w:firstColumn="1" w:lastColumn="0" w:noHBand="0" w:noVBand="1"/>
      </w:tblPr>
      <w:tblGrid>
        <w:gridCol w:w="4527"/>
        <w:gridCol w:w="4528"/>
      </w:tblGrid>
      <w:tr w:rsidR="00244754" w:rsidRPr="001F7565" w14:paraId="38F377D3" w14:textId="77777777" w:rsidTr="00B53739">
        <w:trPr>
          <w:cnfStyle w:val="100000000000" w:firstRow="1" w:lastRow="0" w:firstColumn="0" w:lastColumn="0" w:oddVBand="0" w:evenVBand="0" w:oddHBand="0" w:evenHBand="0" w:firstRowFirstColumn="0" w:firstRowLastColumn="0" w:lastRowFirstColumn="0" w:lastRowLastColumn="0"/>
        </w:trPr>
        <w:tc>
          <w:tcPr>
            <w:tcW w:w="4527" w:type="dxa"/>
          </w:tcPr>
          <w:p w14:paraId="69F1BB09" w14:textId="527F575B" w:rsidR="00244754" w:rsidRPr="001F7565" w:rsidRDefault="00244754" w:rsidP="00E369AB">
            <w:pPr>
              <w:pStyle w:val="wpTableText"/>
              <w:rPr>
                <w:b/>
                <w:bCs/>
                <w:color w:val="FFFFFF" w:themeColor="text2"/>
              </w:rPr>
            </w:pPr>
            <w:r w:rsidRPr="001F7565">
              <w:rPr>
                <w:b/>
                <w:bCs/>
                <w:color w:val="FFFFFF" w:themeColor="text2"/>
              </w:rPr>
              <w:t>CMO 2014-15</w:t>
            </w:r>
          </w:p>
        </w:tc>
        <w:tc>
          <w:tcPr>
            <w:tcW w:w="4528" w:type="dxa"/>
          </w:tcPr>
          <w:p w14:paraId="01C1A4E8" w14:textId="58BBCB47" w:rsidR="00244754" w:rsidRPr="001F7565" w:rsidRDefault="00244754" w:rsidP="00E369AB">
            <w:pPr>
              <w:pStyle w:val="wpTableText"/>
              <w:rPr>
                <w:b/>
                <w:bCs/>
                <w:color w:val="FFFFFF" w:themeColor="text2"/>
              </w:rPr>
            </w:pPr>
            <w:r w:rsidRPr="001F7565">
              <w:rPr>
                <w:b/>
                <w:bCs/>
                <w:color w:val="FFFFFF" w:themeColor="text2"/>
              </w:rPr>
              <w:t xml:space="preserve">CMO evidence </w:t>
            </w:r>
            <w:r w:rsidR="00D4191B" w:rsidRPr="001F7565">
              <w:rPr>
                <w:b/>
                <w:bCs/>
                <w:color w:val="FFFFFF" w:themeColor="text2"/>
              </w:rPr>
              <w:t xml:space="preserve">required </w:t>
            </w:r>
            <w:r w:rsidRPr="001F7565">
              <w:rPr>
                <w:b/>
                <w:bCs/>
                <w:color w:val="FFFFFF" w:themeColor="text2"/>
              </w:rPr>
              <w:t>2021</w:t>
            </w:r>
          </w:p>
          <w:p w14:paraId="79A13822" w14:textId="74DAE5F3" w:rsidR="00244754" w:rsidRPr="001F7565" w:rsidRDefault="00244754" w:rsidP="00E369AB">
            <w:pPr>
              <w:pStyle w:val="wpTableText"/>
              <w:rPr>
                <w:color w:val="FFFFFF" w:themeColor="text2"/>
              </w:rPr>
            </w:pPr>
            <w:r w:rsidRPr="001F7565">
              <w:rPr>
                <w:color w:val="FFFFFF" w:themeColor="text2"/>
              </w:rPr>
              <w:t>Evidence required of at least two career management activities undertaken by the Customer, at least one of which must be a digital activity</w:t>
            </w:r>
          </w:p>
        </w:tc>
      </w:tr>
      <w:tr w:rsidR="00D4191B" w:rsidRPr="001F7565" w14:paraId="7A565EAD" w14:textId="02B82049" w:rsidTr="00B53739">
        <w:tc>
          <w:tcPr>
            <w:tcW w:w="4527" w:type="dxa"/>
          </w:tcPr>
          <w:p w14:paraId="20A1CD86" w14:textId="14E4174B" w:rsidR="00D4191B" w:rsidRPr="001F7565" w:rsidRDefault="00D4191B" w:rsidP="00E369AB">
            <w:pPr>
              <w:pStyle w:val="wpTableText"/>
            </w:pPr>
            <w:r w:rsidRPr="001F7565">
              <w:t>1.   Creating/updating/tailoring a CV</w:t>
            </w:r>
          </w:p>
        </w:tc>
        <w:tc>
          <w:tcPr>
            <w:tcW w:w="4528" w:type="dxa"/>
            <w:vMerge w:val="restart"/>
          </w:tcPr>
          <w:p w14:paraId="2B977291" w14:textId="77777777" w:rsidR="00D4191B" w:rsidRPr="001F7565" w:rsidRDefault="00D4191B" w:rsidP="00E369AB">
            <w:pPr>
              <w:pStyle w:val="wpTableText"/>
            </w:pPr>
            <w:r w:rsidRPr="001F7565">
              <w:t xml:space="preserve">Output of digital activities undertaken such as: </w:t>
            </w:r>
          </w:p>
          <w:p w14:paraId="2BE73EDD" w14:textId="13547EF7" w:rsidR="00D4191B" w:rsidRPr="001F7565" w:rsidRDefault="00D4191B" w:rsidP="00AB4877">
            <w:pPr>
              <w:pStyle w:val="wpTableBullet"/>
              <w:numPr>
                <w:ilvl w:val="0"/>
                <w:numId w:val="22"/>
              </w:numPr>
            </w:pPr>
            <w:r w:rsidRPr="001F7565">
              <w:t xml:space="preserve">Copy of CV </w:t>
            </w:r>
          </w:p>
          <w:p w14:paraId="50AB42A0" w14:textId="744040F3" w:rsidR="00D4191B" w:rsidRPr="001F7565" w:rsidRDefault="00D4191B" w:rsidP="00AB4877">
            <w:pPr>
              <w:pStyle w:val="wpTableBullet"/>
              <w:numPr>
                <w:ilvl w:val="0"/>
                <w:numId w:val="22"/>
              </w:numPr>
            </w:pPr>
            <w:r w:rsidRPr="001F7565">
              <w:t>Confirmation of online application, or enrolment</w:t>
            </w:r>
          </w:p>
          <w:p w14:paraId="6CBB38D4" w14:textId="169E4434" w:rsidR="00D4191B" w:rsidRPr="001F7565" w:rsidRDefault="00D4191B" w:rsidP="00AB4877">
            <w:pPr>
              <w:pStyle w:val="wpTableBullet"/>
              <w:numPr>
                <w:ilvl w:val="0"/>
                <w:numId w:val="22"/>
              </w:numPr>
            </w:pPr>
            <w:r w:rsidRPr="001F7565">
              <w:t>Activity or tool results</w:t>
            </w:r>
          </w:p>
        </w:tc>
      </w:tr>
      <w:tr w:rsidR="00D4191B" w:rsidRPr="001F7565" w14:paraId="034528BC" w14:textId="5A2991AA" w:rsidTr="00B53739">
        <w:trPr>
          <w:cnfStyle w:val="000000010000" w:firstRow="0" w:lastRow="0" w:firstColumn="0" w:lastColumn="0" w:oddVBand="0" w:evenVBand="0" w:oddHBand="0" w:evenHBand="1" w:firstRowFirstColumn="0" w:firstRowLastColumn="0" w:lastRowFirstColumn="0" w:lastRowLastColumn="0"/>
        </w:trPr>
        <w:tc>
          <w:tcPr>
            <w:tcW w:w="4527" w:type="dxa"/>
          </w:tcPr>
          <w:p w14:paraId="7BD7076F" w14:textId="30DC947B" w:rsidR="00D4191B" w:rsidRPr="001F7565" w:rsidRDefault="00D4191B" w:rsidP="00E369AB">
            <w:pPr>
              <w:pStyle w:val="wpTableText"/>
            </w:pPr>
            <w:r w:rsidRPr="001F7565">
              <w:t>2.   Uploading a CV to Universal Jobsmatch or any other relevant jobsites (including the Lifelong Learning Account)</w:t>
            </w:r>
          </w:p>
        </w:tc>
        <w:tc>
          <w:tcPr>
            <w:tcW w:w="4528" w:type="dxa"/>
            <w:vMerge/>
          </w:tcPr>
          <w:p w14:paraId="07C60D7D" w14:textId="77777777" w:rsidR="00D4191B" w:rsidRPr="001F7565" w:rsidRDefault="00D4191B" w:rsidP="00E369AB">
            <w:pPr>
              <w:pStyle w:val="wpTableText"/>
            </w:pPr>
          </w:p>
        </w:tc>
      </w:tr>
      <w:tr w:rsidR="00D4191B" w:rsidRPr="001F7565" w14:paraId="2EDF3634" w14:textId="0EE3A978" w:rsidTr="00B53739">
        <w:tc>
          <w:tcPr>
            <w:tcW w:w="4527" w:type="dxa"/>
          </w:tcPr>
          <w:p w14:paraId="5E7AFA3F" w14:textId="77777777" w:rsidR="00D4191B" w:rsidRPr="001F7565" w:rsidRDefault="00D4191B" w:rsidP="00E369AB">
            <w:pPr>
              <w:pStyle w:val="wpTableText"/>
            </w:pPr>
            <w:r w:rsidRPr="001F7565">
              <w:t>3.   Use of tools such as Mid-life Career Review, Skills Health Check and other similar career management programmes or tools</w:t>
            </w:r>
          </w:p>
        </w:tc>
        <w:tc>
          <w:tcPr>
            <w:tcW w:w="4528" w:type="dxa"/>
            <w:vMerge/>
          </w:tcPr>
          <w:p w14:paraId="4EE90E13" w14:textId="77777777" w:rsidR="00D4191B" w:rsidRPr="001F7565" w:rsidRDefault="00D4191B" w:rsidP="00E369AB">
            <w:pPr>
              <w:pStyle w:val="wpTableText"/>
            </w:pPr>
          </w:p>
        </w:tc>
      </w:tr>
      <w:tr w:rsidR="00D4191B" w:rsidRPr="001F7565" w14:paraId="61820FBD" w14:textId="53659FBB" w:rsidTr="00B53739">
        <w:trPr>
          <w:cnfStyle w:val="000000010000" w:firstRow="0" w:lastRow="0" w:firstColumn="0" w:lastColumn="0" w:oddVBand="0" w:evenVBand="0" w:oddHBand="0" w:evenHBand="1" w:firstRowFirstColumn="0" w:firstRowLastColumn="0" w:lastRowFirstColumn="0" w:lastRowLastColumn="0"/>
        </w:trPr>
        <w:tc>
          <w:tcPr>
            <w:tcW w:w="4527" w:type="dxa"/>
          </w:tcPr>
          <w:p w14:paraId="442F3145" w14:textId="77777777" w:rsidR="00D4191B" w:rsidRPr="001F7565" w:rsidRDefault="00D4191B" w:rsidP="00E369AB">
            <w:pPr>
              <w:pStyle w:val="wpTableText"/>
            </w:pPr>
            <w:r w:rsidRPr="001F7565">
              <w:t>4.   Attending a careers workshop or similar event</w:t>
            </w:r>
          </w:p>
        </w:tc>
        <w:tc>
          <w:tcPr>
            <w:tcW w:w="4528" w:type="dxa"/>
            <w:vMerge w:val="restart"/>
          </w:tcPr>
          <w:p w14:paraId="58A48B89" w14:textId="77777777" w:rsidR="00D4191B" w:rsidRPr="001F7565" w:rsidRDefault="00D4191B" w:rsidP="00E369AB">
            <w:pPr>
              <w:pStyle w:val="wpTableText"/>
            </w:pPr>
            <w:r w:rsidRPr="001F7565">
              <w:t>Evidence of non-digital activity must include:</w:t>
            </w:r>
          </w:p>
          <w:p w14:paraId="3B89F72A" w14:textId="77777777" w:rsidR="00D4191B" w:rsidRPr="001F7565" w:rsidRDefault="00D4191B" w:rsidP="00AB4877">
            <w:pPr>
              <w:pStyle w:val="wpTableBullet"/>
            </w:pPr>
            <w:r w:rsidRPr="001F7565">
              <w:t>Written or electronic evidence from the place where a Customer undertakes voluntary work</w:t>
            </w:r>
          </w:p>
          <w:p w14:paraId="36DBCB6B" w14:textId="77777777" w:rsidR="00D4191B" w:rsidRPr="001F7565" w:rsidRDefault="00D4191B" w:rsidP="00AB4877">
            <w:pPr>
              <w:pStyle w:val="wpTableBullet"/>
            </w:pPr>
            <w:r w:rsidRPr="001F7565">
              <w:t>Written or electronic confirmation from the learning establishment or a signed learning agreement where a Customer has applied for or enrolled on a course</w:t>
            </w:r>
          </w:p>
          <w:p w14:paraId="29179473" w14:textId="77777777" w:rsidR="00D4191B" w:rsidRPr="001F7565" w:rsidRDefault="00D4191B" w:rsidP="00AB4877">
            <w:pPr>
              <w:pStyle w:val="wpTableBullet"/>
            </w:pPr>
            <w:r w:rsidRPr="001F7565">
              <w:t xml:space="preserve">A copy of a CV; or </w:t>
            </w:r>
          </w:p>
          <w:p w14:paraId="7CADA1DF" w14:textId="08A6CBAF" w:rsidR="00D4191B" w:rsidRPr="001F7565" w:rsidRDefault="00D4191B" w:rsidP="00D4191B">
            <w:pPr>
              <w:pStyle w:val="wpTableBullet"/>
            </w:pPr>
            <w:r w:rsidRPr="001F7565">
              <w:t xml:space="preserve">A list of attendees on a headed document complete with date and title of the workshop/session where a Customer has attended a group session or workshop. </w:t>
            </w:r>
          </w:p>
        </w:tc>
      </w:tr>
      <w:tr w:rsidR="00D4191B" w:rsidRPr="001F7565" w14:paraId="5AE7A202" w14:textId="366016C7" w:rsidTr="00B53739">
        <w:tc>
          <w:tcPr>
            <w:tcW w:w="4527" w:type="dxa"/>
          </w:tcPr>
          <w:p w14:paraId="55A2A02C" w14:textId="77777777" w:rsidR="00D4191B" w:rsidRPr="001F7565" w:rsidRDefault="00D4191B" w:rsidP="00E369AB">
            <w:pPr>
              <w:pStyle w:val="wpTableText"/>
            </w:pPr>
            <w:r w:rsidRPr="001F7565">
              <w:t>5.   Undertaking voluntary work on a regular basis or equivalent relevant work experience</w:t>
            </w:r>
          </w:p>
        </w:tc>
        <w:tc>
          <w:tcPr>
            <w:tcW w:w="4528" w:type="dxa"/>
            <w:vMerge/>
          </w:tcPr>
          <w:p w14:paraId="1F5697B4" w14:textId="0E49CED9" w:rsidR="00D4191B" w:rsidRPr="001F7565" w:rsidRDefault="00D4191B" w:rsidP="00300C8D">
            <w:pPr>
              <w:pStyle w:val="wpTableBullet"/>
            </w:pPr>
          </w:p>
        </w:tc>
      </w:tr>
      <w:tr w:rsidR="00D4191B" w:rsidRPr="001F7565" w14:paraId="23252AED" w14:textId="4E7A0C62" w:rsidTr="00B53739">
        <w:trPr>
          <w:cnfStyle w:val="000000010000" w:firstRow="0" w:lastRow="0" w:firstColumn="0" w:lastColumn="0" w:oddVBand="0" w:evenVBand="0" w:oddHBand="0" w:evenHBand="1" w:firstRowFirstColumn="0" w:firstRowLastColumn="0" w:lastRowFirstColumn="0" w:lastRowLastColumn="0"/>
        </w:trPr>
        <w:tc>
          <w:tcPr>
            <w:tcW w:w="4527" w:type="dxa"/>
          </w:tcPr>
          <w:p w14:paraId="033F0165" w14:textId="77777777" w:rsidR="00D4191B" w:rsidRPr="001F7565" w:rsidRDefault="00D4191B" w:rsidP="00E369AB">
            <w:pPr>
              <w:pStyle w:val="wpTableText"/>
            </w:pPr>
            <w:r w:rsidRPr="001F7565">
              <w:t xml:space="preserve">6.   Regular use of National Careers Service or other relevant websites and resources </w:t>
            </w:r>
          </w:p>
        </w:tc>
        <w:tc>
          <w:tcPr>
            <w:tcW w:w="4528" w:type="dxa"/>
            <w:vMerge/>
          </w:tcPr>
          <w:p w14:paraId="3B39EDAF" w14:textId="77777777" w:rsidR="00D4191B" w:rsidRPr="001F7565" w:rsidRDefault="00D4191B" w:rsidP="00E369AB">
            <w:pPr>
              <w:pStyle w:val="wpTableText"/>
            </w:pPr>
          </w:p>
        </w:tc>
      </w:tr>
      <w:tr w:rsidR="00D4191B" w:rsidRPr="001F7565" w14:paraId="06A40FAB" w14:textId="0C7C751D" w:rsidTr="00B53739">
        <w:tc>
          <w:tcPr>
            <w:tcW w:w="4527" w:type="dxa"/>
          </w:tcPr>
          <w:p w14:paraId="63EC9885" w14:textId="77777777" w:rsidR="00D4191B" w:rsidRPr="001F7565" w:rsidRDefault="00D4191B" w:rsidP="00E369AB">
            <w:pPr>
              <w:pStyle w:val="wpTableText"/>
            </w:pPr>
            <w:r w:rsidRPr="001F7565">
              <w:t xml:space="preserve">7.   Use of social media to evidence career management or to build their own social and professional network </w:t>
            </w:r>
          </w:p>
        </w:tc>
        <w:tc>
          <w:tcPr>
            <w:tcW w:w="4528" w:type="dxa"/>
            <w:vMerge/>
          </w:tcPr>
          <w:p w14:paraId="1DA5A18B" w14:textId="77777777" w:rsidR="00D4191B" w:rsidRPr="001F7565" w:rsidRDefault="00D4191B" w:rsidP="00E369AB">
            <w:pPr>
              <w:pStyle w:val="wpTableText"/>
            </w:pPr>
          </w:p>
        </w:tc>
      </w:tr>
    </w:tbl>
    <w:p w14:paraId="5EF9D56E" w14:textId="7C1936AD" w:rsidR="009D558F" w:rsidRPr="001F7565" w:rsidRDefault="009D558F" w:rsidP="009D558F">
      <w:pPr>
        <w:spacing w:after="180"/>
        <w:jc w:val="right"/>
        <w:rPr>
          <w:rFonts w:eastAsia="Times New Roman" w:cs="Times New Roman"/>
          <w:i/>
          <w:sz w:val="16"/>
          <w:szCs w:val="16"/>
          <w:lang w:eastAsia="en-GB"/>
        </w:rPr>
      </w:pPr>
      <w:r w:rsidRPr="001F7565">
        <w:rPr>
          <w:rFonts w:eastAsia="Times New Roman" w:cs="Times New Roman"/>
          <w:i/>
          <w:sz w:val="16"/>
          <w:szCs w:val="16"/>
          <w:lang w:eastAsia="en-GB"/>
        </w:rPr>
        <w:t xml:space="preserve">Source: Skills Funding Agency </w:t>
      </w:r>
      <w:r w:rsidR="00D4191B" w:rsidRPr="001F7565">
        <w:rPr>
          <w:rFonts w:eastAsia="Times New Roman" w:cs="Times New Roman"/>
          <w:i/>
          <w:sz w:val="16"/>
          <w:szCs w:val="16"/>
          <w:lang w:eastAsia="en-GB"/>
        </w:rPr>
        <w:t>(2014) and Education and Skills Funding Agency (2021)</w:t>
      </w:r>
    </w:p>
    <w:p w14:paraId="14133A08" w14:textId="53FA517F" w:rsidR="00D4191B" w:rsidRPr="001F7565" w:rsidRDefault="00D4191B" w:rsidP="00D4191B">
      <w:pPr>
        <w:pStyle w:val="wpBodyText"/>
        <w:rPr>
          <w:lang w:eastAsia="en-GB"/>
        </w:rPr>
      </w:pPr>
      <w:r w:rsidRPr="001F7565">
        <w:rPr>
          <w:lang w:eastAsia="en-GB"/>
        </w:rPr>
        <w:t>The output-based CMS framework</w:t>
      </w:r>
      <w:r w:rsidR="00F44297" w:rsidRPr="001F7565">
        <w:rPr>
          <w:lang w:eastAsia="en-GB"/>
        </w:rPr>
        <w:t xml:space="preserve">s in use, in both 2014 and 2021, </w:t>
      </w:r>
      <w:r w:rsidRPr="001F7565">
        <w:rPr>
          <w:lang w:eastAsia="en-GB"/>
        </w:rPr>
        <w:t xml:space="preserve">by the National Careers Service therefore </w:t>
      </w:r>
      <w:r w:rsidRPr="001F7565">
        <w:rPr>
          <w:b/>
          <w:lang w:eastAsia="en-GB"/>
        </w:rPr>
        <w:t>appear at odds with the</w:t>
      </w:r>
      <w:r w:rsidRPr="001F7565">
        <w:rPr>
          <w:lang w:eastAsia="en-GB"/>
        </w:rPr>
        <w:t xml:space="preserve"> </w:t>
      </w:r>
      <w:r w:rsidRPr="001F7565">
        <w:rPr>
          <w:b/>
          <w:lang w:eastAsia="en-GB"/>
        </w:rPr>
        <w:t>CMS Blueprint frameworks</w:t>
      </w:r>
      <w:r w:rsidRPr="001F7565">
        <w:rPr>
          <w:lang w:eastAsia="en-GB"/>
        </w:rPr>
        <w:t xml:space="preserve">, which focus on career learning outcomes.  The Blueprint frameworks are underpinned by learning models or theories of change, and are evidence-based, having been subject to extensive research, development, testing and review.  The apparently more instrumental output-based approach could narrow the scope for career learning to a smaller number of outcomes.  </w:t>
      </w:r>
    </w:p>
    <w:p w14:paraId="40A5F04A" w14:textId="549024A6" w:rsidR="00D4191B" w:rsidRPr="001F7565" w:rsidRDefault="00D4191B" w:rsidP="00D4191B">
      <w:pPr>
        <w:pStyle w:val="wpBodyText"/>
        <w:rPr>
          <w:lang w:eastAsia="en-GB"/>
        </w:rPr>
      </w:pPr>
      <w:r w:rsidRPr="001F7565">
        <w:rPr>
          <w:lang w:eastAsia="en-GB"/>
        </w:rPr>
        <w:lastRenderedPageBreak/>
        <w:t xml:space="preserve">The aim of the </w:t>
      </w:r>
      <w:r w:rsidR="00F44297" w:rsidRPr="001F7565">
        <w:rPr>
          <w:lang w:eastAsia="en-GB"/>
        </w:rPr>
        <w:t xml:space="preserve">initial </w:t>
      </w:r>
      <w:r w:rsidRPr="001F7565">
        <w:rPr>
          <w:lang w:eastAsia="en-GB"/>
        </w:rPr>
        <w:t xml:space="preserve">review </w:t>
      </w:r>
      <w:r w:rsidR="00F44297" w:rsidRPr="001F7565">
        <w:rPr>
          <w:lang w:eastAsia="en-GB"/>
        </w:rPr>
        <w:t>was</w:t>
      </w:r>
      <w:r w:rsidRPr="001F7565">
        <w:rPr>
          <w:lang w:eastAsia="en-GB"/>
        </w:rPr>
        <w:t xml:space="preserve"> to identify, from the available evidence, the key components of career guidance interventions </w:t>
      </w:r>
      <w:r w:rsidR="00F44297" w:rsidRPr="001F7565">
        <w:rPr>
          <w:lang w:eastAsia="en-GB"/>
        </w:rPr>
        <w:t xml:space="preserve">that had </w:t>
      </w:r>
      <w:r w:rsidRPr="001F7565">
        <w:rPr>
          <w:lang w:eastAsia="en-GB"/>
        </w:rPr>
        <w:t xml:space="preserve">been found to be successful in developing CMS.  </w:t>
      </w:r>
      <w:r w:rsidR="00F276A9" w:rsidRPr="001F7565">
        <w:rPr>
          <w:lang w:eastAsia="en-GB"/>
        </w:rPr>
        <w:t xml:space="preserve">The review identified </w:t>
      </w:r>
      <w:r w:rsidR="00F276A9" w:rsidRPr="001F7565">
        <w:rPr>
          <w:b/>
          <w:lang w:eastAsia="en-GB"/>
        </w:rPr>
        <w:t>five underpinning components</w:t>
      </w:r>
      <w:r w:rsidR="00F276A9" w:rsidRPr="001F7565">
        <w:rPr>
          <w:lang w:eastAsia="en-GB"/>
        </w:rPr>
        <w:t xml:space="preserve"> of career guidance interventions that had been found to substantially increase effectiveness, particularly when combined.  However, it also concluded that the CMOs being used as the basis for funding the National Careers Service should be reviewed with the aim of developing a more outcome-based approach.  This review updates the previous findings with new </w:t>
      </w:r>
      <w:r w:rsidR="00AB4877" w:rsidRPr="001F7565">
        <w:rPr>
          <w:lang w:eastAsia="en-GB"/>
        </w:rPr>
        <w:t xml:space="preserve">national and </w:t>
      </w:r>
      <w:r w:rsidR="00F276A9" w:rsidRPr="001F7565">
        <w:rPr>
          <w:lang w:eastAsia="en-GB"/>
        </w:rPr>
        <w:t xml:space="preserve">international research.  </w:t>
      </w:r>
    </w:p>
    <w:p w14:paraId="6E537DEF" w14:textId="77777777" w:rsidR="00D4191B" w:rsidRPr="001F7565" w:rsidRDefault="00D4191B" w:rsidP="009D558F">
      <w:pPr>
        <w:spacing w:after="180"/>
        <w:jc w:val="right"/>
        <w:rPr>
          <w:rFonts w:eastAsia="Times New Roman" w:cs="Times New Roman"/>
          <w:i/>
          <w:sz w:val="16"/>
          <w:szCs w:val="16"/>
          <w:lang w:eastAsia="en-GB"/>
        </w:rPr>
      </w:pPr>
    </w:p>
    <w:p w14:paraId="317DD3A6" w14:textId="77777777" w:rsidR="009D558F" w:rsidRPr="001F7565" w:rsidRDefault="009D558F" w:rsidP="00771953">
      <w:pPr>
        <w:pStyle w:val="wpHeading2"/>
        <w:rPr>
          <w:rFonts w:eastAsia="Times New Roman"/>
          <w:lang w:eastAsia="en-GB"/>
        </w:rPr>
      </w:pPr>
      <w:r w:rsidRPr="001F7565">
        <w:rPr>
          <w:rFonts w:eastAsia="Times New Roman"/>
          <w:lang w:eastAsia="en-GB"/>
        </w:rPr>
        <w:t xml:space="preserve">Limitations of research on Career Management Skills </w:t>
      </w:r>
    </w:p>
    <w:p w14:paraId="432D565B" w14:textId="77777777" w:rsidR="009D558F" w:rsidRPr="001F7565" w:rsidRDefault="009D558F" w:rsidP="009D774D">
      <w:pPr>
        <w:pStyle w:val="wpBodyText"/>
        <w:rPr>
          <w:lang w:eastAsia="en-GB"/>
        </w:rPr>
      </w:pPr>
      <w:r w:rsidRPr="001F7565">
        <w:rPr>
          <w:lang w:eastAsia="en-GB"/>
        </w:rPr>
        <w:t xml:space="preserve">Despite policy-level consensus across Europe and beyond that there is much to be gained from integrating CMS within career guidance services, there is </w:t>
      </w:r>
      <w:proofErr w:type="gramStart"/>
      <w:r w:rsidRPr="001F7565">
        <w:rPr>
          <w:lang w:eastAsia="en-GB"/>
        </w:rPr>
        <w:t>as yet</w:t>
      </w:r>
      <w:proofErr w:type="gramEnd"/>
      <w:r w:rsidRPr="001F7565">
        <w:rPr>
          <w:lang w:eastAsia="en-GB"/>
        </w:rPr>
        <w:t xml:space="preserve"> </w:t>
      </w:r>
      <w:r w:rsidRPr="001F7565">
        <w:rPr>
          <w:b/>
          <w:lang w:eastAsia="en-GB"/>
        </w:rPr>
        <w:t>little empirical evidence to support the efficacy of CMS frameworks</w:t>
      </w:r>
      <w:r w:rsidRPr="001F7565">
        <w:rPr>
          <w:lang w:eastAsia="en-GB"/>
        </w:rPr>
        <w:t xml:space="preserve">.  This does not mean that they are not effective, but that, until recently, little research has focused on this area.  </w:t>
      </w:r>
    </w:p>
    <w:p w14:paraId="3D56ACBD" w14:textId="77777777" w:rsidR="009D558F" w:rsidRPr="001F7565" w:rsidRDefault="009D558F" w:rsidP="009D774D">
      <w:pPr>
        <w:pStyle w:val="wpBodyText"/>
        <w:rPr>
          <w:lang w:eastAsia="en-GB"/>
        </w:rPr>
      </w:pPr>
      <w:r w:rsidRPr="001F7565">
        <w:rPr>
          <w:lang w:eastAsia="en-GB"/>
        </w:rPr>
        <w:t>Equally, whilst there is an evidence base on how to develop skills such as self-awareness or career decision-making, there is less evidence relating to the relationship between CMS and outcomes such as progression to positive learning and work destinations.  Sultana (2012) argues that more needs to be done to better understand the impact of CMS on economic and social outcomes, such as individual self-efficacy, approaches to developing occupational pathways, progression to employment and increased satisfaction at work.  In relation to this, the Best Practice Programme of research within the National Careers Service provides an ideal opportunity to explore any emerging relationship between individuals’ CMS development and jobs and learning outcomes.</w:t>
      </w:r>
    </w:p>
    <w:p w14:paraId="412D93AB" w14:textId="73BEFEBB" w:rsidR="009D558F" w:rsidRPr="001F7565" w:rsidRDefault="009D558F" w:rsidP="009D774D">
      <w:pPr>
        <w:pStyle w:val="wpBodyText"/>
        <w:rPr>
          <w:lang w:eastAsia="en-GB"/>
        </w:rPr>
      </w:pPr>
      <w:r w:rsidRPr="001F7565">
        <w:rPr>
          <w:lang w:eastAsia="en-GB"/>
        </w:rPr>
        <w:t xml:space="preserve">There is an extensive body of literature relating to career management theories, perspectives, </w:t>
      </w:r>
      <w:proofErr w:type="gramStart"/>
      <w:r w:rsidRPr="001F7565">
        <w:rPr>
          <w:lang w:eastAsia="en-GB"/>
        </w:rPr>
        <w:t>models</w:t>
      </w:r>
      <w:proofErr w:type="gramEnd"/>
      <w:r w:rsidRPr="001F7565">
        <w:rPr>
          <w:lang w:eastAsia="en-GB"/>
        </w:rPr>
        <w:t xml:space="preserve"> and interventions.  However, detailed descriptions of the </w:t>
      </w:r>
      <w:r w:rsidRPr="001F7565">
        <w:rPr>
          <w:i/>
          <w:lang w:eastAsia="en-GB"/>
        </w:rPr>
        <w:t>practical</w:t>
      </w:r>
      <w:r w:rsidRPr="001F7565">
        <w:rPr>
          <w:lang w:eastAsia="en-GB"/>
        </w:rPr>
        <w:t xml:space="preserve"> use and implementation of </w:t>
      </w:r>
      <w:proofErr w:type="gramStart"/>
      <w:r w:rsidRPr="001F7565">
        <w:rPr>
          <w:lang w:eastAsia="en-GB"/>
        </w:rPr>
        <w:t>the majority of</w:t>
      </w:r>
      <w:proofErr w:type="gramEnd"/>
      <w:r w:rsidRPr="001F7565">
        <w:rPr>
          <w:lang w:eastAsia="en-GB"/>
        </w:rPr>
        <w:t xml:space="preserve"> these interventions are quite limited.  There is also limited recent evidence on the </w:t>
      </w:r>
      <w:r w:rsidRPr="001F7565">
        <w:rPr>
          <w:i/>
          <w:lang w:eastAsia="en-GB"/>
        </w:rPr>
        <w:t>effectiveness</w:t>
      </w:r>
      <w:r w:rsidRPr="001F7565">
        <w:rPr>
          <w:lang w:eastAsia="en-GB"/>
        </w:rPr>
        <w:t xml:space="preserve"> of interventions in developing career management skills amongst different client groups</w:t>
      </w:r>
      <w:r w:rsidR="00A441C5" w:rsidRPr="001F7565">
        <w:rPr>
          <w:lang w:eastAsia="en-GB"/>
        </w:rPr>
        <w:t xml:space="preserve"> </w:t>
      </w:r>
      <w:r w:rsidR="00476A4F" w:rsidRPr="001F7565">
        <w:rPr>
          <w:lang w:eastAsia="en-GB"/>
        </w:rPr>
        <w:t xml:space="preserve">(Callanan </w:t>
      </w:r>
      <w:r w:rsidR="00476A4F" w:rsidRPr="001F7565">
        <w:rPr>
          <w:i/>
          <w:iCs/>
          <w:lang w:eastAsia="en-GB"/>
        </w:rPr>
        <w:t>et al.,</w:t>
      </w:r>
      <w:r w:rsidR="00476A4F" w:rsidRPr="001F7565">
        <w:rPr>
          <w:lang w:eastAsia="en-GB"/>
        </w:rPr>
        <w:t xml:space="preserve"> 2017; Bimrose </w:t>
      </w:r>
      <w:r w:rsidR="00476A4F" w:rsidRPr="001F7565">
        <w:rPr>
          <w:i/>
          <w:iCs/>
          <w:lang w:eastAsia="en-GB"/>
        </w:rPr>
        <w:t>et al.,</w:t>
      </w:r>
      <w:r w:rsidR="00476A4F" w:rsidRPr="001F7565">
        <w:rPr>
          <w:lang w:eastAsia="en-GB"/>
        </w:rPr>
        <w:t xml:space="preserve"> 2014). </w:t>
      </w:r>
      <w:r w:rsidR="00AB4877" w:rsidRPr="001F7565">
        <w:rPr>
          <w:lang w:eastAsia="en-GB"/>
        </w:rPr>
        <w:t xml:space="preserve">There </w:t>
      </w:r>
      <w:r w:rsidRPr="001F7565">
        <w:rPr>
          <w:lang w:eastAsia="en-GB"/>
        </w:rPr>
        <w:t xml:space="preserve">is also a lack of consistency in how ‘effectiveness’ is measured, and from whose perspective this is recorded.  </w:t>
      </w:r>
      <w:r w:rsidR="00AB4877" w:rsidRPr="001F7565">
        <w:rPr>
          <w:lang w:eastAsia="en-GB"/>
        </w:rPr>
        <w:t xml:space="preserve">Specifically, the experiences of women are thinly represented in the existing literature and needs further research, while the development of CMS by age and gender needs to be explored further to inform more targeted interventions. There is a lack of evidence in relation to the experiences of other groups with protected characteristics, and research on the support and development of CMS from these perspectives is required to ensure relevant career support and guidance is available.  Given the National Careers Service focus on priority groups, this lack of international evidence on the success of different CMS interventions with different customers suggests that there is an opportunity and significant scope for the improvement of the collection, </w:t>
      </w:r>
      <w:proofErr w:type="gramStart"/>
      <w:r w:rsidR="00AB4877" w:rsidRPr="001F7565">
        <w:rPr>
          <w:lang w:eastAsia="en-GB"/>
        </w:rPr>
        <w:t>collation</w:t>
      </w:r>
      <w:proofErr w:type="gramEnd"/>
      <w:r w:rsidR="00AB4877" w:rsidRPr="001F7565">
        <w:rPr>
          <w:lang w:eastAsia="en-GB"/>
        </w:rPr>
        <w:t xml:space="preserve"> and analysis of more granulated (anonymised) customer data within the service. </w:t>
      </w:r>
    </w:p>
    <w:p w14:paraId="223DC7B1" w14:textId="77777777" w:rsidR="00B53739" w:rsidRPr="001F7565" w:rsidRDefault="009D558F" w:rsidP="00B53739">
      <w:pPr>
        <w:pStyle w:val="wpBodyText"/>
        <w:rPr>
          <w:lang w:eastAsia="en-GB"/>
        </w:rPr>
      </w:pPr>
      <w:r w:rsidRPr="001F7565">
        <w:rPr>
          <w:lang w:eastAsia="en-GB"/>
        </w:rPr>
        <w:t xml:space="preserve">The review identified two comprehensive meta-analyses of evidence on the relative efficacy of different types of career guidance interventions.  These highlight the underpinning components of effective career guidance, which provide useful context for assessing the efficacy of individual </w:t>
      </w:r>
      <w:r w:rsidRPr="001F7565">
        <w:rPr>
          <w:lang w:eastAsia="en-GB"/>
        </w:rPr>
        <w:lastRenderedPageBreak/>
        <w:t xml:space="preserve">interventions.  However, whilst useful, they are more than a decade old and there are no other studies available of this scale and comparative nature.  The rest of the literature that is available is generally drawn from small-scale, qualitative studies (there are some exceptions, such as Vuori </w:t>
      </w:r>
      <w:r w:rsidRPr="001F7565">
        <w:rPr>
          <w:i/>
          <w:lang w:eastAsia="en-GB"/>
        </w:rPr>
        <w:t>et al., 2</w:t>
      </w:r>
      <w:r w:rsidRPr="001F7565">
        <w:rPr>
          <w:lang w:eastAsia="en-GB"/>
        </w:rPr>
        <w:t>012), and tends to be focussed on a specific client group (</w:t>
      </w:r>
      <w:proofErr w:type="gramStart"/>
      <w:r w:rsidRPr="001F7565">
        <w:rPr>
          <w:lang w:eastAsia="en-GB"/>
        </w:rPr>
        <w:t>e.g.</w:t>
      </w:r>
      <w:proofErr w:type="gramEnd"/>
      <w:r w:rsidRPr="001F7565">
        <w:rPr>
          <w:lang w:eastAsia="en-GB"/>
        </w:rPr>
        <w:t xml:space="preserve"> Sturges </w:t>
      </w:r>
      <w:r w:rsidRPr="001F7565">
        <w:rPr>
          <w:i/>
          <w:lang w:eastAsia="en-GB"/>
        </w:rPr>
        <w:t xml:space="preserve">et al., </w:t>
      </w:r>
      <w:r w:rsidRPr="001F7565">
        <w:rPr>
          <w:lang w:eastAsia="en-GB"/>
        </w:rPr>
        <w:t xml:space="preserve">2003) and / or a narrow set of outcomes associated with one type of intervention.  As a result, most of the research is inconclusive on the impact of interventions on the range of career management skills.  </w:t>
      </w:r>
    </w:p>
    <w:p w14:paraId="2F1D5BC5" w14:textId="3C4AF24A" w:rsidR="009D558F" w:rsidRPr="001F7565" w:rsidRDefault="009D558F" w:rsidP="00771953">
      <w:pPr>
        <w:pStyle w:val="wpHeading2"/>
        <w:rPr>
          <w:rFonts w:eastAsia="Times New Roman"/>
          <w:lang w:eastAsia="en-GB"/>
        </w:rPr>
      </w:pPr>
      <w:r w:rsidRPr="001F7565">
        <w:rPr>
          <w:rFonts w:eastAsia="Times New Roman"/>
          <w:lang w:eastAsia="en-GB"/>
        </w:rPr>
        <w:t>How can career guidance services impact on Career Management Skills?</w:t>
      </w:r>
    </w:p>
    <w:p w14:paraId="14566DBC" w14:textId="77777777" w:rsidR="009D558F" w:rsidRPr="001F7565" w:rsidRDefault="009D558F" w:rsidP="009D774D">
      <w:pPr>
        <w:pStyle w:val="wpBodyText"/>
        <w:rPr>
          <w:lang w:eastAsia="en-GB"/>
        </w:rPr>
      </w:pPr>
      <w:r w:rsidRPr="001F7565">
        <w:rPr>
          <w:lang w:eastAsia="en-GB"/>
        </w:rPr>
        <w:t xml:space="preserve">The most comprehensive review of evidence looking at the efficacy of career interventions on career-choice and other outcomes, such as congruence, vocational identity, career maturity and career decision-making self-efficacy was carried out by Ryan (1999).  It involved meta-analyses of the results of 62 studies involving 7,725 participants.  The average length of interventions was 7.5 sessions over five weeks, which were relatively equally dispersed across self-directed, group, class, and combined interventions (only eight per cent of studies used one-to-one counselling support alone).  The following five individual intervention components were found to contribute significantly to a positive effect size in at least one of the analyses: </w:t>
      </w:r>
    </w:p>
    <w:p w14:paraId="52BC7E9E" w14:textId="77777777" w:rsidR="009D558F" w:rsidRPr="001F7565" w:rsidRDefault="009D558F" w:rsidP="00771953">
      <w:pPr>
        <w:pStyle w:val="wpListBullet"/>
        <w:rPr>
          <w:lang w:eastAsia="en-GB"/>
        </w:rPr>
      </w:pPr>
      <w:r w:rsidRPr="001F7565">
        <w:rPr>
          <w:lang w:eastAsia="en-GB"/>
        </w:rPr>
        <w:t>Written exercises</w:t>
      </w:r>
    </w:p>
    <w:p w14:paraId="24524B84" w14:textId="77777777" w:rsidR="009D558F" w:rsidRPr="001F7565" w:rsidRDefault="009D558F" w:rsidP="00771953">
      <w:pPr>
        <w:pStyle w:val="wpListBullet"/>
        <w:rPr>
          <w:lang w:eastAsia="en-GB"/>
        </w:rPr>
      </w:pPr>
      <w:r w:rsidRPr="001F7565">
        <w:rPr>
          <w:lang w:eastAsia="en-GB"/>
        </w:rPr>
        <w:t>Individualised interpretation and feedback</w:t>
      </w:r>
    </w:p>
    <w:p w14:paraId="0427D1CF" w14:textId="77777777" w:rsidR="009D558F" w:rsidRPr="001F7565" w:rsidRDefault="009D558F" w:rsidP="00771953">
      <w:pPr>
        <w:pStyle w:val="wpListBullet"/>
        <w:rPr>
          <w:lang w:eastAsia="en-GB"/>
        </w:rPr>
      </w:pPr>
      <w:r w:rsidRPr="001F7565">
        <w:rPr>
          <w:lang w:eastAsia="en-GB"/>
        </w:rPr>
        <w:t xml:space="preserve">Information concerning the world of work </w:t>
      </w:r>
    </w:p>
    <w:p w14:paraId="06A8B749" w14:textId="77777777" w:rsidR="009D558F" w:rsidRPr="001F7565" w:rsidRDefault="009D558F" w:rsidP="00771953">
      <w:pPr>
        <w:pStyle w:val="wpListBullet"/>
        <w:rPr>
          <w:lang w:eastAsia="en-GB"/>
        </w:rPr>
      </w:pPr>
      <w:r w:rsidRPr="001F7565">
        <w:rPr>
          <w:lang w:eastAsia="en-GB"/>
        </w:rPr>
        <w:t>Modelling opportunities</w:t>
      </w:r>
    </w:p>
    <w:p w14:paraId="118C3122" w14:textId="77777777" w:rsidR="009D558F" w:rsidRPr="001F7565" w:rsidRDefault="009D558F" w:rsidP="00771953">
      <w:pPr>
        <w:pStyle w:val="wpListBullet"/>
        <w:rPr>
          <w:lang w:eastAsia="en-GB"/>
        </w:rPr>
      </w:pPr>
      <w:r w:rsidRPr="001F7565">
        <w:rPr>
          <w:lang w:eastAsia="en-GB"/>
        </w:rPr>
        <w:t>Attention to building support for choices.</w:t>
      </w:r>
    </w:p>
    <w:p w14:paraId="4A458F03" w14:textId="77777777" w:rsidR="009D558F" w:rsidRPr="001F7565" w:rsidRDefault="009D558F" w:rsidP="009D774D">
      <w:pPr>
        <w:pStyle w:val="wpBodyText"/>
        <w:rPr>
          <w:b/>
          <w:lang w:eastAsia="en-GB"/>
        </w:rPr>
      </w:pPr>
      <w:r w:rsidRPr="001F7565">
        <w:rPr>
          <w:lang w:eastAsia="en-GB"/>
        </w:rPr>
        <w:t xml:space="preserve">Subsequently, in a further review and meta-analysis, </w:t>
      </w:r>
      <w:proofErr w:type="gramStart"/>
      <w:r w:rsidRPr="001F7565">
        <w:rPr>
          <w:lang w:eastAsia="en-GB"/>
        </w:rPr>
        <w:t>Brown</w:t>
      </w:r>
      <w:proofErr w:type="gramEnd"/>
      <w:r w:rsidRPr="001F7565">
        <w:rPr>
          <w:lang w:eastAsia="en-GB"/>
        </w:rPr>
        <w:t xml:space="preserve"> and Ryan Krane (2000) found that when more than one of these five individual components were combined it resulted in almost linear increases in effect sizes.  Brown and Ryan Krane (2000) therefore concluded that, regardless of format, </w:t>
      </w:r>
      <w:r w:rsidRPr="001F7565">
        <w:rPr>
          <w:b/>
          <w:lang w:eastAsia="en-GB"/>
        </w:rPr>
        <w:t>the efficacy of career choice interventions can be increased</w:t>
      </w:r>
      <w:r w:rsidRPr="001F7565">
        <w:rPr>
          <w:lang w:eastAsia="en-GB"/>
        </w:rPr>
        <w:t xml:space="preserve"> </w:t>
      </w:r>
      <w:r w:rsidRPr="001F7565">
        <w:rPr>
          <w:b/>
          <w:lang w:eastAsia="en-GB"/>
        </w:rPr>
        <w:t>if</w:t>
      </w:r>
      <w:r w:rsidRPr="001F7565">
        <w:rPr>
          <w:lang w:eastAsia="en-GB"/>
        </w:rPr>
        <w:t xml:space="preserve"> </w:t>
      </w:r>
      <w:r w:rsidRPr="001F7565">
        <w:rPr>
          <w:b/>
          <w:lang w:eastAsia="en-GB"/>
        </w:rPr>
        <w:t>at least three of these five critical ingredients are integrated within them.</w:t>
      </w:r>
    </w:p>
    <w:p w14:paraId="698C3FA0" w14:textId="77777777" w:rsidR="009D558F" w:rsidRPr="001F7565" w:rsidRDefault="009D558F" w:rsidP="009D774D">
      <w:pPr>
        <w:pStyle w:val="wpBodyText"/>
        <w:rPr>
          <w:lang w:eastAsia="en-GB"/>
        </w:rPr>
      </w:pPr>
      <w:r w:rsidRPr="001F7565">
        <w:rPr>
          <w:lang w:eastAsia="en-GB"/>
        </w:rPr>
        <w:t xml:space="preserve">The following sections provide more detail on each of the five critical ingredients of effective career interventions and considers some of the available evidence of ‘what works’ in terms of specific interventions and approaches associated with each.  This offers a useful starting point for thinking about the types of interventions that might be most effective in developing CMS amongst National Careers Service customers.  </w:t>
      </w:r>
      <w:proofErr w:type="gramStart"/>
      <w:r w:rsidRPr="001F7565">
        <w:rPr>
          <w:lang w:eastAsia="en-GB"/>
        </w:rPr>
        <w:t>At the moment</w:t>
      </w:r>
      <w:proofErr w:type="gramEnd"/>
      <w:r w:rsidRPr="001F7565">
        <w:rPr>
          <w:lang w:eastAsia="en-GB"/>
        </w:rPr>
        <w:t>, however, the career management measures that contractors are being paid against are effectively outputs or activities, rather than CMS outcomes.  Further clarity on the specific outcomes that the service is looking to achieve in relation to CMS will be required before a definitive set of interventions can be recommended.</w:t>
      </w:r>
    </w:p>
    <w:p w14:paraId="4471DFA6" w14:textId="77777777" w:rsidR="009D558F" w:rsidRPr="001F7565" w:rsidRDefault="009D558F" w:rsidP="00771953">
      <w:pPr>
        <w:pStyle w:val="wpHeading3"/>
        <w:rPr>
          <w:rFonts w:eastAsia="Times New Roman"/>
          <w:lang w:eastAsia="en-GB"/>
        </w:rPr>
      </w:pPr>
      <w:r w:rsidRPr="001F7565">
        <w:rPr>
          <w:rFonts w:eastAsia="Times New Roman"/>
          <w:lang w:eastAsia="en-GB"/>
        </w:rPr>
        <w:lastRenderedPageBreak/>
        <w:t>Written exercises</w:t>
      </w:r>
    </w:p>
    <w:p w14:paraId="5F9DCD2D" w14:textId="77777777" w:rsidR="009D558F" w:rsidRPr="001F7565" w:rsidRDefault="009D558F" w:rsidP="009D774D">
      <w:pPr>
        <w:pStyle w:val="wpBodyText"/>
        <w:rPr>
          <w:lang w:eastAsia="en-GB"/>
        </w:rPr>
      </w:pPr>
      <w:r w:rsidRPr="001F7565">
        <w:rPr>
          <w:lang w:eastAsia="en-GB"/>
        </w:rPr>
        <w:t xml:space="preserve">The first of the ‘critical ingredients’ for effective career interventions identified by Ryan (1999) is </w:t>
      </w:r>
      <w:r w:rsidRPr="001F7565">
        <w:rPr>
          <w:b/>
          <w:lang w:eastAsia="en-GB"/>
        </w:rPr>
        <w:t>written exercises</w:t>
      </w:r>
      <w:r w:rsidRPr="001F7565">
        <w:rPr>
          <w:lang w:eastAsia="en-GB"/>
        </w:rPr>
        <w:t xml:space="preserve">.  These include interventions that involve clients writing reflections, thoughts and feelings on their vocational development, which could be in vocational journals / </w:t>
      </w:r>
      <w:proofErr w:type="gramStart"/>
      <w:r w:rsidRPr="001F7565">
        <w:rPr>
          <w:lang w:eastAsia="en-GB"/>
        </w:rPr>
        <w:t>diaries</w:t>
      </w:r>
      <w:proofErr w:type="gramEnd"/>
      <w:r w:rsidRPr="001F7565">
        <w:rPr>
          <w:lang w:eastAsia="en-GB"/>
        </w:rPr>
        <w:t xml:space="preserve"> and which could include future career goals and plans.  </w:t>
      </w:r>
    </w:p>
    <w:p w14:paraId="43D52A70" w14:textId="77777777" w:rsidR="009D558F" w:rsidRPr="001F7565" w:rsidRDefault="009D558F" w:rsidP="009D774D">
      <w:pPr>
        <w:pStyle w:val="wpBodyText"/>
        <w:rPr>
          <w:lang w:eastAsia="en-GB"/>
        </w:rPr>
      </w:pPr>
      <w:r w:rsidRPr="001F7565">
        <w:rPr>
          <w:lang w:eastAsia="en-GB"/>
        </w:rPr>
        <w:t xml:space="preserve">A study by Lengelle (2014) looked at the impact of </w:t>
      </w:r>
      <w:r w:rsidRPr="001F7565">
        <w:rPr>
          <w:b/>
          <w:lang w:eastAsia="en-GB"/>
        </w:rPr>
        <w:t xml:space="preserve">creative, </w:t>
      </w:r>
      <w:proofErr w:type="gramStart"/>
      <w:r w:rsidRPr="001F7565">
        <w:rPr>
          <w:b/>
          <w:lang w:eastAsia="en-GB"/>
        </w:rPr>
        <w:t>expressive</w:t>
      </w:r>
      <w:proofErr w:type="gramEnd"/>
      <w:r w:rsidRPr="001F7565">
        <w:rPr>
          <w:b/>
          <w:lang w:eastAsia="en-GB"/>
        </w:rPr>
        <w:t xml:space="preserve"> and reflective writing</w:t>
      </w:r>
      <w:r w:rsidRPr="001F7565">
        <w:rPr>
          <w:lang w:eastAsia="en-GB"/>
        </w:rPr>
        <w:t xml:space="preserve"> on the development of career identity.  The contents of writing by higher education students who participated in two-day writing courses before and after work placements were compared with those of a control group.  The hypothesis that career writing might result in beneficial change was based on previous research showing that experiences alone do not lead to a person’s learning and development, but that </w:t>
      </w:r>
      <w:r w:rsidRPr="001F7565">
        <w:rPr>
          <w:b/>
          <w:lang w:eastAsia="en-GB"/>
        </w:rPr>
        <w:t>experiences and a dialogue about those experiences</w:t>
      </w:r>
      <w:r w:rsidRPr="001F7565">
        <w:rPr>
          <w:lang w:eastAsia="en-GB"/>
        </w:rPr>
        <w:t xml:space="preserve"> contribute to real career learning (Kuijpers et at., 2011).  This also aligns with Kolb’s model of career development and reflection depicted in Figure 3 (Kolb, 1984).</w:t>
      </w:r>
    </w:p>
    <w:p w14:paraId="63C9E486" w14:textId="77777777" w:rsidR="009D558F" w:rsidRPr="001F7565" w:rsidRDefault="009D558F" w:rsidP="009D774D">
      <w:pPr>
        <w:pStyle w:val="wpBodyText"/>
        <w:rPr>
          <w:lang w:eastAsia="en-GB"/>
        </w:rPr>
      </w:pPr>
      <w:r w:rsidRPr="001F7565">
        <w:rPr>
          <w:lang w:eastAsia="en-GB"/>
        </w:rPr>
        <w:t xml:space="preserve">The Lengelle (2014) results suggest that career writing </w:t>
      </w:r>
      <w:r w:rsidRPr="001F7565">
        <w:rPr>
          <w:b/>
          <w:lang w:eastAsia="en-GB"/>
        </w:rPr>
        <w:t>‘holds promise’</w:t>
      </w:r>
      <w:r w:rsidRPr="001F7565">
        <w:rPr>
          <w:lang w:eastAsia="en-GB"/>
        </w:rPr>
        <w:t xml:space="preserve"> as a viable narrative approach, although the sample size was too small to draw firm conclusions on this. It is worthy of further </w:t>
      </w:r>
      <w:proofErr w:type="gramStart"/>
      <w:r w:rsidRPr="001F7565">
        <w:rPr>
          <w:lang w:eastAsia="en-GB"/>
        </w:rPr>
        <w:t>exploration,</w:t>
      </w:r>
      <w:proofErr w:type="gramEnd"/>
      <w:r w:rsidRPr="001F7565">
        <w:rPr>
          <w:lang w:eastAsia="en-GB"/>
        </w:rPr>
        <w:t xml:space="preserve"> with a range of potential benefits should it prove to be effective:</w:t>
      </w:r>
    </w:p>
    <w:p w14:paraId="5350E0B7" w14:textId="77777777" w:rsidR="009D558F" w:rsidRPr="001F7565" w:rsidRDefault="009D558F" w:rsidP="00771953">
      <w:pPr>
        <w:pStyle w:val="wpListBullet"/>
        <w:rPr>
          <w:lang w:eastAsia="en-GB"/>
        </w:rPr>
      </w:pPr>
      <w:r w:rsidRPr="001F7565">
        <w:rPr>
          <w:lang w:eastAsia="en-GB"/>
        </w:rPr>
        <w:t xml:space="preserve">It can be delivered in a group setting, offering an alternative to one-to-one counselling </w:t>
      </w:r>
    </w:p>
    <w:p w14:paraId="60C9A5DE" w14:textId="77777777" w:rsidR="009D558F" w:rsidRPr="001F7565" w:rsidRDefault="009D558F" w:rsidP="00771953">
      <w:pPr>
        <w:pStyle w:val="wpListBullet"/>
        <w:rPr>
          <w:lang w:eastAsia="en-GB"/>
        </w:rPr>
      </w:pPr>
      <w:r w:rsidRPr="001F7565">
        <w:rPr>
          <w:lang w:eastAsia="en-GB"/>
        </w:rPr>
        <w:t>It can stimulate internal and external dialogues that could potential foster the development of ‘soft skills’ such as self-awareness and communication</w:t>
      </w:r>
    </w:p>
    <w:p w14:paraId="32ED2A3D" w14:textId="77777777" w:rsidR="009D558F" w:rsidRPr="001F7565" w:rsidRDefault="009D558F" w:rsidP="00771953">
      <w:pPr>
        <w:pStyle w:val="wpListBullet"/>
        <w:rPr>
          <w:lang w:eastAsia="en-GB"/>
        </w:rPr>
      </w:pPr>
      <w:r w:rsidRPr="001F7565">
        <w:rPr>
          <w:lang w:eastAsia="en-GB"/>
        </w:rPr>
        <w:t>It is both a time- and cost-effective approach, without being automated or mechanical</w:t>
      </w:r>
    </w:p>
    <w:p w14:paraId="4F7A31E9" w14:textId="77777777" w:rsidR="009D558F" w:rsidRPr="001F7565" w:rsidRDefault="009D558F" w:rsidP="00771953">
      <w:pPr>
        <w:pStyle w:val="wpListBullet"/>
        <w:rPr>
          <w:lang w:eastAsia="en-GB"/>
        </w:rPr>
      </w:pPr>
      <w:r w:rsidRPr="001F7565">
        <w:rPr>
          <w:lang w:eastAsia="en-GB"/>
        </w:rPr>
        <w:t xml:space="preserve">Career professionals with an interest in narrative approaches can learn a lot about career-writing in a relatively short time, although would need at least two days of instruction and personal practice </w:t>
      </w:r>
      <w:proofErr w:type="gramStart"/>
      <w:r w:rsidRPr="001F7565">
        <w:rPr>
          <w:lang w:eastAsia="en-GB"/>
        </w:rPr>
        <w:t>in order to</w:t>
      </w:r>
      <w:proofErr w:type="gramEnd"/>
      <w:r w:rsidRPr="001F7565">
        <w:rPr>
          <w:lang w:eastAsia="en-GB"/>
        </w:rPr>
        <w:t xml:space="preserve"> implement this method. </w:t>
      </w:r>
    </w:p>
    <w:p w14:paraId="1DD9A9FD" w14:textId="469CB556" w:rsidR="009D558F" w:rsidRPr="001F7565" w:rsidRDefault="009D558F" w:rsidP="00771953">
      <w:pPr>
        <w:pStyle w:val="wpHeading3"/>
        <w:rPr>
          <w:rFonts w:eastAsia="Times New Roman"/>
          <w:lang w:eastAsia="en-GB"/>
        </w:rPr>
      </w:pPr>
      <w:r w:rsidRPr="001F7565">
        <w:rPr>
          <w:rFonts w:eastAsia="Times New Roman"/>
          <w:lang w:eastAsia="en-GB"/>
        </w:rPr>
        <w:t>Individualised interpretation and feedback: Lessons from therapeutic counselling</w:t>
      </w:r>
    </w:p>
    <w:p w14:paraId="3985957B" w14:textId="04F86B17" w:rsidR="009D558F" w:rsidRPr="001F7565" w:rsidRDefault="009D558F" w:rsidP="009D774D">
      <w:pPr>
        <w:pStyle w:val="wpBodyText"/>
        <w:rPr>
          <w:lang w:eastAsia="en-GB"/>
        </w:rPr>
      </w:pPr>
      <w:r w:rsidRPr="001F7565">
        <w:rPr>
          <w:lang w:eastAsia="en-GB"/>
        </w:rPr>
        <w:t xml:space="preserve">Ryan (1999) identified </w:t>
      </w:r>
      <w:r w:rsidRPr="001F7565">
        <w:rPr>
          <w:b/>
          <w:lang w:eastAsia="en-GB"/>
        </w:rPr>
        <w:t>individualised interpretation and feedback</w:t>
      </w:r>
      <w:r w:rsidRPr="001F7565">
        <w:rPr>
          <w:lang w:eastAsia="en-GB"/>
        </w:rPr>
        <w:t xml:space="preserve"> as one of the five ‘critical ingredients’ for effective careers interventions.  This usually involves the provision of one-to-one feedback from career practitioners on vocational issues and activities, including assessment results, </w:t>
      </w:r>
      <w:proofErr w:type="gramStart"/>
      <w:r w:rsidRPr="001F7565">
        <w:rPr>
          <w:lang w:eastAsia="en-GB"/>
        </w:rPr>
        <w:t>goals</w:t>
      </w:r>
      <w:proofErr w:type="gramEnd"/>
      <w:r w:rsidRPr="001F7565">
        <w:rPr>
          <w:lang w:eastAsia="en-GB"/>
        </w:rPr>
        <w:t xml:space="preserve"> and future plans. Westergaard (2012), for example, carried out qualitative research with five therapeutic counsellors working with young people aged between 13 and 25 at a counselling agency in London. The aim was to identify the conditions for success in supporting young people to work towards and achieve positive change in their lives.  The study identified four main themes, three of which were considered of relevance to informing career guidance practice and these are detailed in </w:t>
      </w:r>
      <w:r w:rsidRPr="001F7565">
        <w:rPr>
          <w:lang w:eastAsia="en-GB"/>
        </w:rPr>
        <w:fldChar w:fldCharType="begin"/>
      </w:r>
      <w:r w:rsidRPr="001F7565">
        <w:rPr>
          <w:lang w:eastAsia="en-GB"/>
        </w:rPr>
        <w:instrText xml:space="preserve"> REF _Ref419244783 </w:instrText>
      </w:r>
      <w:r w:rsidR="001F7565">
        <w:rPr>
          <w:lang w:eastAsia="en-GB"/>
        </w:rPr>
        <w:instrText xml:space="preserve"> \* MERGEFORMAT </w:instrText>
      </w:r>
      <w:r w:rsidRPr="001F7565">
        <w:rPr>
          <w:lang w:eastAsia="en-GB"/>
        </w:rPr>
        <w:fldChar w:fldCharType="separate"/>
      </w:r>
      <w:r w:rsidRPr="001F7565">
        <w:rPr>
          <w:lang w:eastAsia="en-GB"/>
        </w:rPr>
        <w:t xml:space="preserve">Table </w:t>
      </w:r>
      <w:r w:rsidRPr="001F7565">
        <w:rPr>
          <w:noProof/>
          <w:lang w:eastAsia="en-GB"/>
        </w:rPr>
        <w:t>4</w:t>
      </w:r>
      <w:r w:rsidRPr="001F7565">
        <w:rPr>
          <w:noProof/>
          <w:lang w:eastAsia="en-GB"/>
        </w:rPr>
        <w:fldChar w:fldCharType="end"/>
      </w:r>
      <w:r w:rsidRPr="001F7565">
        <w:rPr>
          <w:lang w:eastAsia="en-GB"/>
        </w:rPr>
        <w:t>.</w:t>
      </w:r>
    </w:p>
    <w:p w14:paraId="54C46553" w14:textId="5FD69E43" w:rsidR="009D558F" w:rsidRPr="001F7565" w:rsidRDefault="00771953" w:rsidP="00771953">
      <w:pPr>
        <w:pStyle w:val="wpCaption"/>
        <w:rPr>
          <w:lang w:eastAsia="en-GB"/>
        </w:rPr>
      </w:pPr>
      <w:bookmarkStart w:id="2" w:name="_Ref89853738"/>
      <w:bookmarkStart w:id="3" w:name="_Ref419244783"/>
      <w:r w:rsidRPr="001F7565">
        <w:lastRenderedPageBreak/>
        <w:t xml:space="preserve">Table </w:t>
      </w:r>
      <w:r w:rsidRPr="001F7565">
        <w:fldChar w:fldCharType="begin"/>
      </w:r>
      <w:r w:rsidRPr="001F7565">
        <w:instrText xml:space="preserve"> SEQ Table \* ARABIC </w:instrText>
      </w:r>
      <w:r w:rsidRPr="001F7565">
        <w:fldChar w:fldCharType="separate"/>
      </w:r>
      <w:r w:rsidRPr="001F7565">
        <w:rPr>
          <w:noProof/>
        </w:rPr>
        <w:t>4</w:t>
      </w:r>
      <w:r w:rsidRPr="001F7565">
        <w:fldChar w:fldCharType="end"/>
      </w:r>
      <w:bookmarkEnd w:id="2"/>
      <w:r w:rsidRPr="001F7565">
        <w:t>:</w:t>
      </w:r>
      <w:bookmarkEnd w:id="3"/>
      <w:r w:rsidRPr="001F7565">
        <w:t xml:space="preserve"> </w:t>
      </w:r>
      <w:r w:rsidR="009D558F" w:rsidRPr="001F7565">
        <w:rPr>
          <w:lang w:eastAsia="en-GB"/>
        </w:rPr>
        <w:t>Emerging themes and implications for career guidance practice</w:t>
      </w:r>
    </w:p>
    <w:tbl>
      <w:tblPr>
        <w:tblStyle w:val="SQW"/>
        <w:tblW w:w="5000" w:type="pct"/>
        <w:tblLayout w:type="fixed"/>
        <w:tblLook w:val="04A0" w:firstRow="1" w:lastRow="0" w:firstColumn="1" w:lastColumn="0" w:noHBand="0" w:noVBand="1"/>
      </w:tblPr>
      <w:tblGrid>
        <w:gridCol w:w="3061"/>
        <w:gridCol w:w="3059"/>
        <w:gridCol w:w="3060"/>
      </w:tblGrid>
      <w:tr w:rsidR="00E369AB" w:rsidRPr="001F7565" w14:paraId="6BB4426E" w14:textId="77777777" w:rsidTr="00E369AB">
        <w:trPr>
          <w:cnfStyle w:val="100000000000" w:firstRow="1" w:lastRow="0" w:firstColumn="0" w:lastColumn="0" w:oddVBand="0" w:evenVBand="0" w:oddHBand="0" w:evenHBand="0" w:firstRowFirstColumn="0" w:firstRowLastColumn="0" w:lastRowFirstColumn="0" w:lastRowLastColumn="0"/>
          <w:tblHeader/>
        </w:trPr>
        <w:tc>
          <w:tcPr>
            <w:tcW w:w="3062" w:type="dxa"/>
          </w:tcPr>
          <w:p w14:paraId="0D701299" w14:textId="77777777" w:rsidR="009D558F" w:rsidRPr="001F7565" w:rsidRDefault="009D558F" w:rsidP="00E369AB">
            <w:pPr>
              <w:pStyle w:val="wpColumnHeading"/>
            </w:pPr>
            <w:r w:rsidRPr="001F7565">
              <w:t>Theme:</w:t>
            </w:r>
          </w:p>
        </w:tc>
        <w:tc>
          <w:tcPr>
            <w:tcW w:w="3061" w:type="dxa"/>
          </w:tcPr>
          <w:p w14:paraId="1F862B36" w14:textId="77777777" w:rsidR="009D558F" w:rsidRPr="001F7565" w:rsidRDefault="009D558F" w:rsidP="00E369AB">
            <w:pPr>
              <w:pStyle w:val="wpColumnHeading"/>
            </w:pPr>
            <w:r w:rsidRPr="001F7565">
              <w:t>Description:</w:t>
            </w:r>
          </w:p>
        </w:tc>
        <w:tc>
          <w:tcPr>
            <w:tcW w:w="3062" w:type="dxa"/>
          </w:tcPr>
          <w:p w14:paraId="79346FDC" w14:textId="77777777" w:rsidR="009D558F" w:rsidRPr="001F7565" w:rsidRDefault="009D558F" w:rsidP="00E369AB">
            <w:pPr>
              <w:pStyle w:val="wpColumnHeading"/>
            </w:pPr>
            <w:r w:rsidRPr="001F7565">
              <w:t>Implications for career guidance practice:</w:t>
            </w:r>
          </w:p>
        </w:tc>
      </w:tr>
      <w:tr w:rsidR="009D558F" w:rsidRPr="001F7565" w14:paraId="7D7386FB" w14:textId="77777777" w:rsidTr="00E369AB">
        <w:tc>
          <w:tcPr>
            <w:tcW w:w="3062" w:type="dxa"/>
          </w:tcPr>
          <w:p w14:paraId="7D656B5F" w14:textId="77777777" w:rsidR="009D558F" w:rsidRPr="001F7565" w:rsidRDefault="009D558F" w:rsidP="00E369AB">
            <w:pPr>
              <w:pStyle w:val="wpTableText"/>
              <w:rPr>
                <w:b/>
                <w:bCs/>
              </w:rPr>
            </w:pPr>
            <w:r w:rsidRPr="001F7565">
              <w:rPr>
                <w:b/>
                <w:bCs/>
              </w:rPr>
              <w:t>The importance of providing a ‘safe place’ for individuals to share their thoughts and feelings</w:t>
            </w:r>
          </w:p>
        </w:tc>
        <w:tc>
          <w:tcPr>
            <w:tcW w:w="3061" w:type="dxa"/>
          </w:tcPr>
          <w:p w14:paraId="36D50DA1" w14:textId="77777777" w:rsidR="009D558F" w:rsidRPr="001F7565" w:rsidRDefault="009D558F" w:rsidP="00E369AB">
            <w:pPr>
              <w:pStyle w:val="wpTableText"/>
            </w:pPr>
            <w:r w:rsidRPr="001F7565">
              <w:t xml:space="preserve">This refers to both the physical environment and the boundaries of the relationship between the practitioner and client.  </w:t>
            </w:r>
          </w:p>
        </w:tc>
        <w:tc>
          <w:tcPr>
            <w:tcW w:w="3062" w:type="dxa"/>
          </w:tcPr>
          <w:p w14:paraId="2678A58B" w14:textId="77777777" w:rsidR="009D558F" w:rsidRPr="001F7565" w:rsidRDefault="009D558F" w:rsidP="00E369AB">
            <w:pPr>
              <w:pStyle w:val="wpTableText"/>
            </w:pPr>
            <w:r w:rsidRPr="001F7565">
              <w:t>Having an appropriate physical space in which to engage with clients and being open and clear on the limits of confidentiality and boundaries of the relationship.</w:t>
            </w:r>
          </w:p>
        </w:tc>
      </w:tr>
      <w:tr w:rsidR="009D558F" w:rsidRPr="001F7565" w14:paraId="3AA9FCE0" w14:textId="77777777" w:rsidTr="00E369AB">
        <w:trPr>
          <w:cnfStyle w:val="000000010000" w:firstRow="0" w:lastRow="0" w:firstColumn="0" w:lastColumn="0" w:oddVBand="0" w:evenVBand="0" w:oddHBand="0" w:evenHBand="1" w:firstRowFirstColumn="0" w:firstRowLastColumn="0" w:lastRowFirstColumn="0" w:lastRowLastColumn="0"/>
        </w:trPr>
        <w:tc>
          <w:tcPr>
            <w:tcW w:w="3062" w:type="dxa"/>
          </w:tcPr>
          <w:p w14:paraId="540E41F2" w14:textId="77777777" w:rsidR="009D558F" w:rsidRPr="001F7565" w:rsidRDefault="009D558F" w:rsidP="00E369AB">
            <w:pPr>
              <w:pStyle w:val="wpTableText"/>
              <w:rPr>
                <w:b/>
                <w:bCs/>
              </w:rPr>
            </w:pPr>
            <w:r w:rsidRPr="001F7565">
              <w:rPr>
                <w:b/>
                <w:bCs/>
              </w:rPr>
              <w:t>The quality of the counsellor-client relationship</w:t>
            </w:r>
          </w:p>
        </w:tc>
        <w:tc>
          <w:tcPr>
            <w:tcW w:w="3061" w:type="dxa"/>
          </w:tcPr>
          <w:p w14:paraId="4204B702" w14:textId="77777777" w:rsidR="009D558F" w:rsidRPr="001F7565" w:rsidRDefault="009D558F" w:rsidP="00E369AB">
            <w:pPr>
              <w:pStyle w:val="wpTableText"/>
            </w:pPr>
            <w:r w:rsidRPr="001F7565">
              <w:t xml:space="preserve">The importance of understanding clients’ lives, </w:t>
            </w:r>
            <w:proofErr w:type="gramStart"/>
            <w:r w:rsidRPr="001F7565">
              <w:t>thoughts</w:t>
            </w:r>
            <w:proofErr w:type="gramEnd"/>
            <w:r w:rsidRPr="001F7565">
              <w:t xml:space="preserve"> and feelings (empathy), the need to be genuine, real and human (congruence) and non-judgmental (unconditional positive regard) were all highlighted as important.</w:t>
            </w:r>
          </w:p>
        </w:tc>
        <w:tc>
          <w:tcPr>
            <w:tcW w:w="3062" w:type="dxa"/>
          </w:tcPr>
          <w:p w14:paraId="49ED9640" w14:textId="77777777" w:rsidR="009D558F" w:rsidRPr="001F7565" w:rsidRDefault="009D558F" w:rsidP="00E369AB">
            <w:pPr>
              <w:pStyle w:val="wpTableText"/>
            </w:pPr>
            <w:r w:rsidRPr="001F7565">
              <w:t xml:space="preserve">Resource constraints are a key challenge for career advisers in relation to this theme as they have a direct impact on the time available to develop a relationship of respect, </w:t>
            </w:r>
            <w:proofErr w:type="gramStart"/>
            <w:r w:rsidRPr="001F7565">
              <w:t>honesty</w:t>
            </w:r>
            <w:proofErr w:type="gramEnd"/>
            <w:r w:rsidRPr="001F7565">
              <w:t xml:space="preserve"> and trust with clients. </w:t>
            </w:r>
          </w:p>
        </w:tc>
      </w:tr>
      <w:tr w:rsidR="009D558F" w:rsidRPr="001F7565" w14:paraId="3E3D8D5F" w14:textId="77777777" w:rsidTr="00E369AB">
        <w:tc>
          <w:tcPr>
            <w:tcW w:w="3062" w:type="dxa"/>
          </w:tcPr>
          <w:p w14:paraId="2656FF3C" w14:textId="77777777" w:rsidR="009D558F" w:rsidRPr="001F7565" w:rsidRDefault="009D558F" w:rsidP="00E369AB">
            <w:pPr>
              <w:pStyle w:val="wpTableText"/>
              <w:rPr>
                <w:b/>
                <w:bCs/>
              </w:rPr>
            </w:pPr>
            <w:r w:rsidRPr="001F7565">
              <w:rPr>
                <w:b/>
                <w:bCs/>
              </w:rPr>
              <w:t xml:space="preserve">The need for flexibility: an integrative approach </w:t>
            </w:r>
          </w:p>
        </w:tc>
        <w:tc>
          <w:tcPr>
            <w:tcW w:w="3061" w:type="dxa"/>
          </w:tcPr>
          <w:p w14:paraId="728A5CD0" w14:textId="77777777" w:rsidR="009D558F" w:rsidRPr="001F7565" w:rsidRDefault="009D558F" w:rsidP="00E369AB">
            <w:pPr>
              <w:pStyle w:val="wpTableText"/>
            </w:pPr>
            <w:r w:rsidRPr="001F7565">
              <w:t xml:space="preserve">Research participants were not concerned with adhering rigidly to the counselling approach in which they were </w:t>
            </w:r>
            <w:proofErr w:type="gramStart"/>
            <w:r w:rsidRPr="001F7565">
              <w:t>trained, but</w:t>
            </w:r>
            <w:proofErr w:type="gramEnd"/>
            <w:r w:rsidRPr="001F7565">
              <w:t xml:space="preserve"> were more focussed on responding flexibly to the needs of individual clients. </w:t>
            </w:r>
          </w:p>
        </w:tc>
        <w:tc>
          <w:tcPr>
            <w:tcW w:w="3062" w:type="dxa"/>
          </w:tcPr>
          <w:p w14:paraId="4117845C" w14:textId="77777777" w:rsidR="009D558F" w:rsidRPr="001F7565" w:rsidRDefault="009D558F" w:rsidP="00E369AB">
            <w:pPr>
              <w:pStyle w:val="wpTableText"/>
            </w:pPr>
            <w:r w:rsidRPr="001F7565">
              <w:t xml:space="preserve">The integration of new or unfamiliar career counselling approaches may appear challenging to experienced practitioners who have developed ways of working, and equally daunting to new practitioners who are putting their learning into practice.  </w:t>
            </w:r>
          </w:p>
        </w:tc>
      </w:tr>
    </w:tbl>
    <w:p w14:paraId="5A654815" w14:textId="393055B9" w:rsidR="009D558F" w:rsidRPr="001F7565" w:rsidRDefault="009D558F" w:rsidP="009D558F">
      <w:pPr>
        <w:spacing w:after="180"/>
        <w:jc w:val="right"/>
        <w:rPr>
          <w:rFonts w:eastAsia="Times New Roman" w:cs="Times New Roman"/>
          <w:i/>
          <w:sz w:val="16"/>
          <w:szCs w:val="16"/>
          <w:lang w:eastAsia="en-GB"/>
        </w:rPr>
      </w:pPr>
      <w:r w:rsidRPr="001F7565">
        <w:rPr>
          <w:rFonts w:eastAsia="Times New Roman" w:cs="Times New Roman"/>
          <w:i/>
          <w:sz w:val="16"/>
          <w:szCs w:val="16"/>
          <w:lang w:eastAsia="en-GB"/>
        </w:rPr>
        <w:t xml:space="preserve">Source: Adapted from Westergaard (2012) </w:t>
      </w:r>
    </w:p>
    <w:p w14:paraId="4B39F35F" w14:textId="26F5E734" w:rsidR="009A691F" w:rsidRPr="001F7565" w:rsidRDefault="009A691F" w:rsidP="00C05A1C">
      <w:pPr>
        <w:pStyle w:val="wpBodyText"/>
        <w:rPr>
          <w:lang w:eastAsia="en-GB"/>
        </w:rPr>
      </w:pPr>
      <w:r w:rsidRPr="001F7565">
        <w:rPr>
          <w:lang w:eastAsia="en-GB"/>
        </w:rPr>
        <w:t>Rothwell</w:t>
      </w:r>
      <w:r w:rsidR="00AB4877" w:rsidRPr="001F7565">
        <w:rPr>
          <w:lang w:eastAsia="en-GB"/>
        </w:rPr>
        <w:t>,</w:t>
      </w:r>
      <w:r w:rsidRPr="001F7565">
        <w:rPr>
          <w:lang w:eastAsia="en-GB"/>
        </w:rPr>
        <w:t xml:space="preserve"> in Callanan </w:t>
      </w:r>
      <w:r w:rsidRPr="001F7565">
        <w:rPr>
          <w:i/>
          <w:iCs/>
          <w:lang w:eastAsia="en-GB"/>
        </w:rPr>
        <w:t>et al.,</w:t>
      </w:r>
      <w:r w:rsidRPr="001F7565">
        <w:rPr>
          <w:lang w:eastAsia="en-GB"/>
        </w:rPr>
        <w:t xml:space="preserve"> (2017)</w:t>
      </w:r>
      <w:r w:rsidR="00AB4877" w:rsidRPr="001F7565">
        <w:rPr>
          <w:lang w:eastAsia="en-GB"/>
        </w:rPr>
        <w:t>,</w:t>
      </w:r>
      <w:r w:rsidRPr="001F7565">
        <w:rPr>
          <w:lang w:eastAsia="en-GB"/>
        </w:rPr>
        <w:t xml:space="preserve"> </w:t>
      </w:r>
      <w:r w:rsidR="00AB4877" w:rsidRPr="001F7565">
        <w:rPr>
          <w:lang w:eastAsia="en-GB"/>
        </w:rPr>
        <w:t>also</w:t>
      </w:r>
      <w:r w:rsidRPr="001F7565">
        <w:rPr>
          <w:lang w:eastAsia="en-GB"/>
        </w:rPr>
        <w:t xml:space="preserve"> emphasised the range of options available to counsellors to provide a personalised service dependent on the profile of the client, in terms of their age, personality and level of digital literacy</w:t>
      </w:r>
      <w:r w:rsidR="00A441C5" w:rsidRPr="001F7565">
        <w:rPr>
          <w:lang w:eastAsia="en-GB"/>
        </w:rPr>
        <w:t>,</w:t>
      </w:r>
      <w:r w:rsidRPr="001F7565">
        <w:rPr>
          <w:lang w:eastAsia="en-GB"/>
        </w:rPr>
        <w:t xml:space="preserve"> through a variety of employability resources in different interventions, that would support their career management.</w:t>
      </w:r>
      <w:r w:rsidR="00A51248" w:rsidRPr="001F7565">
        <w:t xml:space="preserve"> </w:t>
      </w:r>
      <w:r w:rsidR="00A51248" w:rsidRPr="001F7565">
        <w:rPr>
          <w:lang w:eastAsia="en-GB"/>
        </w:rPr>
        <w:t xml:space="preserve">Similarly, Bimrose </w:t>
      </w:r>
      <w:r w:rsidR="00A51248" w:rsidRPr="001F7565">
        <w:rPr>
          <w:i/>
          <w:iCs/>
          <w:lang w:eastAsia="en-GB"/>
        </w:rPr>
        <w:t>et al.,</w:t>
      </w:r>
      <w:r w:rsidR="00A51248" w:rsidRPr="001F7565">
        <w:rPr>
          <w:lang w:eastAsia="en-GB"/>
        </w:rPr>
        <w:t xml:space="preserve"> 2014 found that narrative approaches that foster</w:t>
      </w:r>
      <w:r w:rsidR="00AB4877" w:rsidRPr="001F7565">
        <w:rPr>
          <w:lang w:eastAsia="en-GB"/>
        </w:rPr>
        <w:t>ed</w:t>
      </w:r>
      <w:r w:rsidR="00A51248" w:rsidRPr="001F7565">
        <w:rPr>
          <w:lang w:eastAsia="en-GB"/>
        </w:rPr>
        <w:t xml:space="preserve"> storytelling and </w:t>
      </w:r>
      <w:proofErr w:type="gramStart"/>
      <w:r w:rsidR="00A51248" w:rsidRPr="001F7565">
        <w:rPr>
          <w:lang w:eastAsia="en-GB"/>
        </w:rPr>
        <w:t>meaning</w:t>
      </w:r>
      <w:r w:rsidR="002533D1" w:rsidRPr="001F7565">
        <w:rPr>
          <w:lang w:eastAsia="en-GB"/>
        </w:rPr>
        <w:t>-</w:t>
      </w:r>
      <w:r w:rsidR="00A51248" w:rsidRPr="001F7565">
        <w:rPr>
          <w:lang w:eastAsia="en-GB"/>
        </w:rPr>
        <w:t>making</w:t>
      </w:r>
      <w:proofErr w:type="gramEnd"/>
      <w:r w:rsidR="00A51248" w:rsidRPr="001F7565">
        <w:rPr>
          <w:lang w:eastAsia="en-GB"/>
        </w:rPr>
        <w:t xml:space="preserve"> through counselling relationships were found to be best suited to assisting women develop their CMS.</w:t>
      </w:r>
    </w:p>
    <w:p w14:paraId="36D1C357" w14:textId="4930F35F" w:rsidR="00AF5EAB" w:rsidRPr="001F7565" w:rsidRDefault="006E5194" w:rsidP="00C05A1C">
      <w:pPr>
        <w:pStyle w:val="wpBodyText"/>
        <w:rPr>
          <w:lang w:eastAsia="en-GB"/>
        </w:rPr>
      </w:pPr>
      <w:r w:rsidRPr="001F7565">
        <w:rPr>
          <w:lang w:eastAsia="en-GB"/>
        </w:rPr>
        <w:t>In developing the evidence base on the impact of lifelong guidance for the ELPGN, Hooley (2014) also found positive impacts from individual and group counselling</w:t>
      </w:r>
      <w:r w:rsidR="009A691F" w:rsidRPr="001F7565">
        <w:rPr>
          <w:lang w:eastAsia="en-GB"/>
        </w:rPr>
        <w:t xml:space="preserve"> on developing CMS</w:t>
      </w:r>
      <w:r w:rsidRPr="001F7565">
        <w:rPr>
          <w:lang w:eastAsia="en-GB"/>
        </w:rPr>
        <w:t xml:space="preserve"> </w:t>
      </w:r>
      <w:r w:rsidR="009A691F" w:rsidRPr="001F7565">
        <w:rPr>
          <w:lang w:eastAsia="en-GB"/>
        </w:rPr>
        <w:t xml:space="preserve">within Europe </w:t>
      </w:r>
      <w:r w:rsidR="00C05A1C" w:rsidRPr="001F7565">
        <w:rPr>
          <w:lang w:eastAsia="en-GB"/>
        </w:rPr>
        <w:t>(</w:t>
      </w:r>
      <w:r w:rsidR="00C05A1C" w:rsidRPr="001F7565">
        <w:rPr>
          <w:lang w:eastAsia="en-GB"/>
        </w:rPr>
        <w:fldChar w:fldCharType="begin"/>
      </w:r>
      <w:r w:rsidR="00C05A1C" w:rsidRPr="001F7565">
        <w:rPr>
          <w:lang w:eastAsia="en-GB"/>
        </w:rPr>
        <w:instrText xml:space="preserve"> REF _Ref89857679 </w:instrText>
      </w:r>
      <w:r w:rsidR="001F7565">
        <w:rPr>
          <w:lang w:eastAsia="en-GB"/>
        </w:rPr>
        <w:instrText xml:space="preserve"> \* MERGEFORMAT </w:instrText>
      </w:r>
      <w:r w:rsidR="00C05A1C" w:rsidRPr="001F7565">
        <w:rPr>
          <w:lang w:eastAsia="en-GB"/>
        </w:rPr>
        <w:fldChar w:fldCharType="separate"/>
      </w:r>
      <w:r w:rsidR="00C05A1C" w:rsidRPr="001F7565">
        <w:t xml:space="preserve">Table </w:t>
      </w:r>
      <w:r w:rsidR="00C05A1C" w:rsidRPr="001F7565">
        <w:rPr>
          <w:noProof/>
        </w:rPr>
        <w:t>5</w:t>
      </w:r>
      <w:r w:rsidR="00C05A1C" w:rsidRPr="001F7565">
        <w:rPr>
          <w:lang w:eastAsia="en-GB"/>
        </w:rPr>
        <w:fldChar w:fldCharType="end"/>
      </w:r>
      <w:r w:rsidR="00C05A1C" w:rsidRPr="001F7565">
        <w:rPr>
          <w:lang w:eastAsia="en-GB"/>
        </w:rPr>
        <w:t>).</w:t>
      </w:r>
    </w:p>
    <w:p w14:paraId="1875E144" w14:textId="1479708E" w:rsidR="00BD7523" w:rsidRPr="001F7565" w:rsidRDefault="00BD7523" w:rsidP="00BD7523">
      <w:pPr>
        <w:pStyle w:val="wpCaption"/>
      </w:pPr>
      <w:bookmarkStart w:id="4" w:name="_Ref89857679"/>
      <w:r w:rsidRPr="001F7565">
        <w:t xml:space="preserve">Table </w:t>
      </w:r>
      <w:r w:rsidRPr="001F7565">
        <w:fldChar w:fldCharType="begin"/>
      </w:r>
      <w:r w:rsidRPr="001F7565">
        <w:instrText xml:space="preserve"> SEQ Table \* ARABIC </w:instrText>
      </w:r>
      <w:r w:rsidRPr="001F7565">
        <w:fldChar w:fldCharType="separate"/>
      </w:r>
      <w:r w:rsidRPr="001F7565">
        <w:rPr>
          <w:noProof/>
        </w:rPr>
        <w:t>5</w:t>
      </w:r>
      <w:r w:rsidRPr="001F7565">
        <w:fldChar w:fldCharType="end"/>
      </w:r>
      <w:bookmarkEnd w:id="4"/>
      <w:r w:rsidRPr="001F7565">
        <w:t xml:space="preserve">: </w:t>
      </w:r>
      <w:r w:rsidR="00C05A1C" w:rsidRPr="001F7565">
        <w:t>Examples of interventions to develop CMS and impact findings</w:t>
      </w:r>
    </w:p>
    <w:tbl>
      <w:tblPr>
        <w:tblStyle w:val="SQW"/>
        <w:tblW w:w="4997" w:type="pct"/>
        <w:tblInd w:w="5" w:type="dxa"/>
        <w:tblLayout w:type="fixed"/>
        <w:tblLook w:val="04A0" w:firstRow="1" w:lastRow="0" w:firstColumn="1" w:lastColumn="0" w:noHBand="0" w:noVBand="1"/>
      </w:tblPr>
      <w:tblGrid>
        <w:gridCol w:w="1550"/>
        <w:gridCol w:w="3037"/>
        <w:gridCol w:w="2293"/>
        <w:gridCol w:w="2294"/>
      </w:tblGrid>
      <w:tr w:rsidR="00BD7523" w:rsidRPr="001F7565" w14:paraId="61DD15D1" w14:textId="77777777" w:rsidTr="00752479">
        <w:trPr>
          <w:cnfStyle w:val="100000000000" w:firstRow="1" w:lastRow="0" w:firstColumn="0" w:lastColumn="0" w:oddVBand="0" w:evenVBand="0" w:oddHBand="0" w:evenHBand="0" w:firstRowFirstColumn="0" w:firstRowLastColumn="0" w:lastRowFirstColumn="0" w:lastRowLastColumn="0"/>
          <w:tblHeader/>
        </w:trPr>
        <w:tc>
          <w:tcPr>
            <w:tcW w:w="1550" w:type="dxa"/>
          </w:tcPr>
          <w:p w14:paraId="0039D03B" w14:textId="1073004B" w:rsidR="00BD7523" w:rsidRPr="001F7565" w:rsidRDefault="00BD7523" w:rsidP="00752479">
            <w:pPr>
              <w:pStyle w:val="wpColumnHeading"/>
            </w:pPr>
            <w:r w:rsidRPr="001F7565">
              <w:t>Country</w:t>
            </w:r>
          </w:p>
        </w:tc>
        <w:tc>
          <w:tcPr>
            <w:tcW w:w="3037" w:type="dxa"/>
          </w:tcPr>
          <w:p w14:paraId="44F62865" w14:textId="537A7628" w:rsidR="00BD7523" w:rsidRPr="001F7565" w:rsidRDefault="00BD7523" w:rsidP="00752479">
            <w:pPr>
              <w:pStyle w:val="wpColumnHeading"/>
            </w:pPr>
            <w:r w:rsidRPr="001F7565">
              <w:t>Intervention</w:t>
            </w:r>
          </w:p>
        </w:tc>
        <w:tc>
          <w:tcPr>
            <w:tcW w:w="2293" w:type="dxa"/>
          </w:tcPr>
          <w:p w14:paraId="3278970A" w14:textId="2A22DB01" w:rsidR="00BD7523" w:rsidRPr="001F7565" w:rsidRDefault="00BD7523" w:rsidP="00752479">
            <w:pPr>
              <w:pStyle w:val="wpColumnHeading"/>
            </w:pPr>
            <w:r w:rsidRPr="001F7565">
              <w:t>Research</w:t>
            </w:r>
          </w:p>
        </w:tc>
        <w:tc>
          <w:tcPr>
            <w:tcW w:w="2294" w:type="dxa"/>
          </w:tcPr>
          <w:p w14:paraId="57473585" w14:textId="163878F4" w:rsidR="00BD7523" w:rsidRPr="001F7565" w:rsidRDefault="00BD7523" w:rsidP="00752479">
            <w:pPr>
              <w:pStyle w:val="wpColumnHeading"/>
            </w:pPr>
            <w:r w:rsidRPr="001F7565">
              <w:t>Findings</w:t>
            </w:r>
          </w:p>
        </w:tc>
      </w:tr>
      <w:tr w:rsidR="00BD7523" w:rsidRPr="001F7565" w14:paraId="52F5CE01" w14:textId="77777777" w:rsidTr="00752479">
        <w:tc>
          <w:tcPr>
            <w:tcW w:w="1550" w:type="dxa"/>
          </w:tcPr>
          <w:p w14:paraId="799ADF58" w14:textId="55B34C16" w:rsidR="00BD7523" w:rsidRPr="001F7565" w:rsidRDefault="00BD7523" w:rsidP="00752479">
            <w:pPr>
              <w:pStyle w:val="wpTableText"/>
            </w:pPr>
            <w:r w:rsidRPr="001F7565">
              <w:t>Estonia (2011-12)</w:t>
            </w:r>
          </w:p>
        </w:tc>
        <w:tc>
          <w:tcPr>
            <w:tcW w:w="3037" w:type="dxa"/>
          </w:tcPr>
          <w:p w14:paraId="45772CCD" w14:textId="0D3AED35" w:rsidR="00BD7523" w:rsidRPr="001F7565" w:rsidRDefault="00AF5EAB" w:rsidP="00752479">
            <w:pPr>
              <w:pStyle w:val="wpTableText"/>
            </w:pPr>
            <w:r w:rsidRPr="001F7565">
              <w:t>Individual and group counselling offered to young people in Career Centres</w:t>
            </w:r>
          </w:p>
        </w:tc>
        <w:tc>
          <w:tcPr>
            <w:tcW w:w="2293" w:type="dxa"/>
          </w:tcPr>
          <w:p w14:paraId="07FE9BCD" w14:textId="0FFBCC50" w:rsidR="00BD7523" w:rsidRPr="001F7565" w:rsidRDefault="00AF5EAB" w:rsidP="00752479">
            <w:pPr>
              <w:pStyle w:val="wpTableText"/>
            </w:pPr>
            <w:r w:rsidRPr="001F7565">
              <w:t>Online surveys of service users one month after they had interacted with the service</w:t>
            </w:r>
          </w:p>
        </w:tc>
        <w:tc>
          <w:tcPr>
            <w:tcW w:w="2294" w:type="dxa"/>
          </w:tcPr>
          <w:p w14:paraId="4DABCD75" w14:textId="05F77C39" w:rsidR="00BD7523" w:rsidRPr="001F7565" w:rsidRDefault="00AF5EAB" w:rsidP="00752479">
            <w:pPr>
              <w:pStyle w:val="wpTableText"/>
            </w:pPr>
            <w:r w:rsidRPr="001F7565">
              <w:t>Most respondents agreed the service had: increased their confidence, helped them gain new perspectives and helped them to put together a career plan</w:t>
            </w:r>
          </w:p>
        </w:tc>
      </w:tr>
      <w:tr w:rsidR="00BD7523" w:rsidRPr="001F7565" w14:paraId="4EC22020" w14:textId="77777777" w:rsidTr="00752479">
        <w:trPr>
          <w:cnfStyle w:val="000000010000" w:firstRow="0" w:lastRow="0" w:firstColumn="0" w:lastColumn="0" w:oddVBand="0" w:evenVBand="0" w:oddHBand="0" w:evenHBand="1" w:firstRowFirstColumn="0" w:firstRowLastColumn="0" w:lastRowFirstColumn="0" w:lastRowLastColumn="0"/>
        </w:trPr>
        <w:tc>
          <w:tcPr>
            <w:tcW w:w="1550" w:type="dxa"/>
          </w:tcPr>
          <w:p w14:paraId="3AECE7A9" w14:textId="016A0210" w:rsidR="00BD7523" w:rsidRPr="001F7565" w:rsidRDefault="00BD7523" w:rsidP="00752479">
            <w:pPr>
              <w:pStyle w:val="wpTableText"/>
            </w:pPr>
            <w:r w:rsidRPr="001F7565">
              <w:lastRenderedPageBreak/>
              <w:t>Finland (2012)</w:t>
            </w:r>
          </w:p>
        </w:tc>
        <w:tc>
          <w:tcPr>
            <w:tcW w:w="3037" w:type="dxa"/>
          </w:tcPr>
          <w:p w14:paraId="0A6DD111" w14:textId="0E9B806D" w:rsidR="00BD7523" w:rsidRPr="001F7565" w:rsidRDefault="00BD7523" w:rsidP="00BD7523">
            <w:pPr>
              <w:pStyle w:val="wpTableText"/>
            </w:pPr>
            <w:r w:rsidRPr="001F7565">
              <w:t xml:space="preserve">Aimed to better prepare employees </w:t>
            </w:r>
            <w:proofErr w:type="gramStart"/>
            <w:r w:rsidRPr="001F7565">
              <w:t>to  manage</w:t>
            </w:r>
            <w:proofErr w:type="gramEnd"/>
            <w:r w:rsidRPr="001F7565">
              <w:t xml:space="preserve"> their careers.  </w:t>
            </w:r>
          </w:p>
          <w:p w14:paraId="67F138EC" w14:textId="77777777" w:rsidR="00BD7523" w:rsidRPr="001F7565" w:rsidRDefault="00BD7523" w:rsidP="00BD7523">
            <w:pPr>
              <w:pStyle w:val="wpTableText"/>
            </w:pPr>
          </w:p>
          <w:p w14:paraId="2D801C6E" w14:textId="15B8D21B" w:rsidR="00BD7523" w:rsidRPr="001F7565" w:rsidRDefault="00BD7523" w:rsidP="00752479">
            <w:pPr>
              <w:pStyle w:val="wpTableText"/>
            </w:pPr>
            <w:r w:rsidRPr="001F7565">
              <w:t>The intervention group were invited to group workshops, whereas the comparison group received printed information about career and health-related issues.</w:t>
            </w:r>
          </w:p>
        </w:tc>
        <w:tc>
          <w:tcPr>
            <w:tcW w:w="2293" w:type="dxa"/>
          </w:tcPr>
          <w:p w14:paraId="26CF803A" w14:textId="693B9F01" w:rsidR="00BD7523" w:rsidRPr="001F7565" w:rsidRDefault="00BD7523" w:rsidP="00752479">
            <w:pPr>
              <w:pStyle w:val="wpTableText"/>
            </w:pPr>
            <w:r w:rsidRPr="001F7565">
              <w:t>RCT to examine the impacts of a group intervention on career management, mental health, and job retention (N=718)</w:t>
            </w:r>
          </w:p>
        </w:tc>
        <w:tc>
          <w:tcPr>
            <w:tcW w:w="2294" w:type="dxa"/>
          </w:tcPr>
          <w:p w14:paraId="017709DD" w14:textId="2A0194DA" w:rsidR="00BD7523" w:rsidRPr="001F7565" w:rsidRDefault="00BD7523" w:rsidP="00752479">
            <w:pPr>
              <w:pStyle w:val="wpTableText"/>
            </w:pPr>
            <w:r w:rsidRPr="001F7565">
              <w:t>Follow-up results (post-7 months) showed enhanced CMS which led to “significantly decreased depressive symptoms and intentions to retire early.”</w:t>
            </w:r>
          </w:p>
        </w:tc>
      </w:tr>
      <w:tr w:rsidR="00BD7523" w:rsidRPr="001F7565" w14:paraId="1DD6D5DD" w14:textId="77777777" w:rsidTr="00752479">
        <w:tc>
          <w:tcPr>
            <w:tcW w:w="1550" w:type="dxa"/>
          </w:tcPr>
          <w:p w14:paraId="0857585A" w14:textId="21BDA767" w:rsidR="00BD7523" w:rsidRPr="001F7565" w:rsidRDefault="00AF5EAB" w:rsidP="00752479">
            <w:pPr>
              <w:pStyle w:val="wpTableText"/>
            </w:pPr>
            <w:r w:rsidRPr="001F7565">
              <w:t>Netherlands (2013)</w:t>
            </w:r>
          </w:p>
        </w:tc>
        <w:tc>
          <w:tcPr>
            <w:tcW w:w="3037" w:type="dxa"/>
          </w:tcPr>
          <w:p w14:paraId="2CD5AFE9" w14:textId="79A2EAE6" w:rsidR="00AF5EAB" w:rsidRPr="001F7565" w:rsidRDefault="00AF5EAB" w:rsidP="00AF5EAB">
            <w:pPr>
              <w:pStyle w:val="wpTableText"/>
            </w:pPr>
            <w:r w:rsidRPr="001F7565">
              <w:t>Career education and guidance</w:t>
            </w:r>
          </w:p>
          <w:p w14:paraId="1CCA4966" w14:textId="77777777" w:rsidR="00AF5EAB" w:rsidRPr="001F7565" w:rsidRDefault="00AF5EAB" w:rsidP="00AF5EAB">
            <w:pPr>
              <w:pStyle w:val="wpTableText"/>
            </w:pPr>
            <w:r w:rsidRPr="001F7565">
              <w:t>among students (ages 12–19) enrolled in prevocational and secondary vocational</w:t>
            </w:r>
          </w:p>
          <w:p w14:paraId="19E522C7" w14:textId="7A1A758F" w:rsidR="00BD7523" w:rsidRPr="001F7565" w:rsidRDefault="00AF5EAB" w:rsidP="00752479">
            <w:pPr>
              <w:pStyle w:val="wpTableText"/>
            </w:pPr>
            <w:r w:rsidRPr="001F7565">
              <w:t xml:space="preserve">education </w:t>
            </w:r>
          </w:p>
        </w:tc>
        <w:tc>
          <w:tcPr>
            <w:tcW w:w="2293" w:type="dxa"/>
          </w:tcPr>
          <w:p w14:paraId="0673FAF9" w14:textId="46873A77" w:rsidR="00BD7523" w:rsidRPr="001F7565" w:rsidRDefault="00AF5EAB" w:rsidP="00752479">
            <w:pPr>
              <w:pStyle w:val="wpTableText"/>
            </w:pPr>
            <w:r w:rsidRPr="001F7565">
              <w:t xml:space="preserve">Quantitative study of </w:t>
            </w:r>
            <w:r w:rsidRPr="001F7565">
              <w:rPr>
                <w:lang w:eastAsia="en-GB"/>
              </w:rPr>
              <w:t>3,499</w:t>
            </w:r>
            <w:r w:rsidRPr="001F7565">
              <w:t xml:space="preserve"> </w:t>
            </w:r>
            <w:r w:rsidRPr="001F7565">
              <w:rPr>
                <w:lang w:eastAsia="en-GB"/>
              </w:rPr>
              <w:t>students and 166 teachers to investigate the impact of guidance and career learning within vocational education on the development of CMS and career outcomes</w:t>
            </w:r>
          </w:p>
        </w:tc>
        <w:tc>
          <w:tcPr>
            <w:tcW w:w="2294" w:type="dxa"/>
          </w:tcPr>
          <w:p w14:paraId="08841019" w14:textId="77777777" w:rsidR="00AF5EAB" w:rsidRPr="001F7565" w:rsidRDefault="00AF5EAB" w:rsidP="00BD7523">
            <w:pPr>
              <w:pStyle w:val="wpTableText"/>
            </w:pPr>
            <w:r w:rsidRPr="001F7565">
              <w:t xml:space="preserve">Guidance, when based on dialogue, contributes to motivation, decision-making and career outcomes. </w:t>
            </w:r>
          </w:p>
          <w:p w14:paraId="2A6FCB4B" w14:textId="775FF50B" w:rsidR="00BD7523" w:rsidRPr="001F7565" w:rsidRDefault="00AF5EAB" w:rsidP="00752479">
            <w:pPr>
              <w:pStyle w:val="wpTableText"/>
            </w:pPr>
            <w:r w:rsidRPr="001F7565">
              <w:t>Found a positive relationship between CMS and career outcomes.</w:t>
            </w:r>
          </w:p>
        </w:tc>
      </w:tr>
    </w:tbl>
    <w:p w14:paraId="7350C1DB" w14:textId="4F3855CE" w:rsidR="00BD7523" w:rsidRPr="001F7565" w:rsidRDefault="00BD7523" w:rsidP="00752479">
      <w:pPr>
        <w:pStyle w:val="wpSource"/>
      </w:pPr>
      <w:r w:rsidRPr="001F7565">
        <w:t xml:space="preserve">Source: </w:t>
      </w:r>
      <w:r w:rsidR="00AF5EAB" w:rsidRPr="001F7565">
        <w:t>Hooley (2014)</w:t>
      </w:r>
    </w:p>
    <w:p w14:paraId="7A8B2DE9" w14:textId="77777777" w:rsidR="009D558F" w:rsidRPr="001F7565" w:rsidRDefault="009D558F" w:rsidP="00771953">
      <w:pPr>
        <w:pStyle w:val="wpHeading4"/>
        <w:rPr>
          <w:rFonts w:eastAsia="Times New Roman"/>
          <w:lang w:eastAsia="en-GB"/>
        </w:rPr>
      </w:pPr>
      <w:r w:rsidRPr="001F7565">
        <w:rPr>
          <w:rFonts w:eastAsia="Times New Roman"/>
          <w:lang w:eastAsia="en-GB"/>
        </w:rPr>
        <w:t>Individualised interpretation and feedback: Assessment of Personal Goals</w:t>
      </w:r>
    </w:p>
    <w:p w14:paraId="486D2D25" w14:textId="77777777" w:rsidR="009D558F" w:rsidRPr="001F7565" w:rsidRDefault="009D558F" w:rsidP="009D774D">
      <w:pPr>
        <w:pStyle w:val="wpBodyText"/>
        <w:rPr>
          <w:lang w:eastAsia="en-GB"/>
        </w:rPr>
      </w:pPr>
      <w:r w:rsidRPr="001F7565">
        <w:rPr>
          <w:lang w:eastAsia="en-GB"/>
        </w:rPr>
        <w:t xml:space="preserve">In addition to one-to-one support from a career practitioner, individualised interpretation and feedback can also be provided via online assessment tools.  Henderson (2009) published a study reported on the effectiveness of the </w:t>
      </w:r>
      <w:r w:rsidRPr="001F7565">
        <w:rPr>
          <w:b/>
          <w:lang w:eastAsia="en-GB"/>
        </w:rPr>
        <w:t>Assessment of Personal Goals (APG)</w:t>
      </w:r>
      <w:r w:rsidRPr="001F7565">
        <w:rPr>
          <w:lang w:eastAsia="en-GB"/>
        </w:rPr>
        <w:t xml:space="preserve"> measurement instrument.  The APG was designed to enable ‘helping’ professionals to identify the main sources of motivation in a person’s life.  It has been used on four continents and in at least ten countries, including non-English speaking countries in Asia, </w:t>
      </w:r>
      <w:proofErr w:type="gramStart"/>
      <w:r w:rsidRPr="001F7565">
        <w:rPr>
          <w:lang w:eastAsia="en-GB"/>
        </w:rPr>
        <w:t>Europe</w:t>
      </w:r>
      <w:proofErr w:type="gramEnd"/>
      <w:r w:rsidRPr="001F7565">
        <w:rPr>
          <w:lang w:eastAsia="en-GB"/>
        </w:rPr>
        <w:t xml:space="preserve"> and South America.  Its primary use has been in counselling and coaching settings.</w:t>
      </w:r>
    </w:p>
    <w:p w14:paraId="1F69B4B1" w14:textId="77777777" w:rsidR="009D558F" w:rsidRPr="001F7565" w:rsidRDefault="009D558F" w:rsidP="009D774D">
      <w:pPr>
        <w:pStyle w:val="wpBodyText"/>
        <w:rPr>
          <w:lang w:eastAsia="en-GB"/>
        </w:rPr>
      </w:pPr>
      <w:r w:rsidRPr="001F7565">
        <w:rPr>
          <w:lang w:eastAsia="en-GB"/>
        </w:rPr>
        <w:t>The APG is grounded in Motivational Systems Theory (MST), which provides concepts and principles for understanding how personal goals, in conjunction with other motivational processes, can help determine:</w:t>
      </w:r>
    </w:p>
    <w:p w14:paraId="3545B262" w14:textId="77777777" w:rsidR="009D558F" w:rsidRPr="001F7565" w:rsidRDefault="009D558F" w:rsidP="009D774D">
      <w:pPr>
        <w:pStyle w:val="wpListBullet"/>
        <w:rPr>
          <w:lang w:eastAsia="en-GB"/>
        </w:rPr>
      </w:pPr>
      <w:r w:rsidRPr="001F7565">
        <w:rPr>
          <w:lang w:eastAsia="en-GB"/>
        </w:rPr>
        <w:t xml:space="preserve">How people are likely to react, emotionally and behaviourally, to career, </w:t>
      </w:r>
      <w:proofErr w:type="gramStart"/>
      <w:r w:rsidRPr="001F7565">
        <w:rPr>
          <w:lang w:eastAsia="en-GB"/>
        </w:rPr>
        <w:t>relationship</w:t>
      </w:r>
      <w:proofErr w:type="gramEnd"/>
      <w:r w:rsidRPr="001F7565">
        <w:rPr>
          <w:lang w:eastAsia="en-GB"/>
        </w:rPr>
        <w:t xml:space="preserve"> and life opportunities</w:t>
      </w:r>
    </w:p>
    <w:p w14:paraId="4DD92966" w14:textId="77777777" w:rsidR="009D558F" w:rsidRPr="001F7565" w:rsidRDefault="009D558F" w:rsidP="009D774D">
      <w:pPr>
        <w:pStyle w:val="wpListBullet"/>
        <w:rPr>
          <w:lang w:eastAsia="en-GB"/>
        </w:rPr>
      </w:pPr>
      <w:r w:rsidRPr="001F7565">
        <w:rPr>
          <w:lang w:eastAsia="en-GB"/>
        </w:rPr>
        <w:t>The intensity of interest and commitment people are likely to experience as they engage in different settings</w:t>
      </w:r>
    </w:p>
    <w:p w14:paraId="1F16190E" w14:textId="77777777" w:rsidR="009D558F" w:rsidRPr="001F7565" w:rsidRDefault="009D558F" w:rsidP="009D774D">
      <w:pPr>
        <w:pStyle w:val="wpListBullet"/>
        <w:rPr>
          <w:lang w:eastAsia="en-GB"/>
        </w:rPr>
      </w:pPr>
      <w:r w:rsidRPr="001F7565">
        <w:rPr>
          <w:lang w:eastAsia="en-GB"/>
        </w:rPr>
        <w:t xml:space="preserve">The likelihood that engaging in a particular setting will result in satisfaction or disappointment. </w:t>
      </w:r>
    </w:p>
    <w:p w14:paraId="2DCBF040" w14:textId="77777777" w:rsidR="009D558F" w:rsidRPr="001F7565" w:rsidRDefault="009D558F" w:rsidP="009D774D">
      <w:pPr>
        <w:pStyle w:val="wpBodyText"/>
        <w:rPr>
          <w:lang w:eastAsia="en-GB"/>
        </w:rPr>
      </w:pPr>
      <w:r w:rsidRPr="001F7565">
        <w:rPr>
          <w:lang w:eastAsia="en-GB"/>
        </w:rPr>
        <w:t xml:space="preserve">The APG is an online tool that can facilitate efforts to help people to better understand themselves and their motivations.  Further research is required </w:t>
      </w:r>
      <w:proofErr w:type="gramStart"/>
      <w:r w:rsidRPr="001F7565">
        <w:rPr>
          <w:lang w:eastAsia="en-GB"/>
        </w:rPr>
        <w:t>in order to</w:t>
      </w:r>
      <w:proofErr w:type="gramEnd"/>
      <w:r w:rsidRPr="001F7565">
        <w:rPr>
          <w:lang w:eastAsia="en-GB"/>
        </w:rPr>
        <w:t xml:space="preserve"> evaluate its full potential. However, its strengths-based orientation, applicability to multicultural and international populations, and grounding in a psychological systems framework appears to make it a </w:t>
      </w:r>
      <w:r w:rsidRPr="001F7565">
        <w:rPr>
          <w:b/>
          <w:lang w:eastAsia="en-GB"/>
        </w:rPr>
        <w:t>potentially promising tool for career practitioners</w:t>
      </w:r>
      <w:r w:rsidRPr="001F7565">
        <w:rPr>
          <w:lang w:eastAsia="en-GB"/>
        </w:rPr>
        <w:t>.</w:t>
      </w:r>
    </w:p>
    <w:p w14:paraId="03CC89A4" w14:textId="77777777" w:rsidR="009D558F" w:rsidRPr="001F7565" w:rsidRDefault="009D558F" w:rsidP="00771953">
      <w:pPr>
        <w:pStyle w:val="wpHeading4"/>
        <w:rPr>
          <w:rFonts w:eastAsia="Times New Roman"/>
          <w:lang w:eastAsia="en-GB"/>
        </w:rPr>
      </w:pPr>
      <w:r w:rsidRPr="001F7565">
        <w:rPr>
          <w:rFonts w:eastAsia="Times New Roman"/>
          <w:lang w:eastAsia="en-GB"/>
        </w:rPr>
        <w:lastRenderedPageBreak/>
        <w:t>World of work information</w:t>
      </w:r>
    </w:p>
    <w:p w14:paraId="58C90981" w14:textId="77777777" w:rsidR="009D558F" w:rsidRPr="001F7565" w:rsidRDefault="009D558F" w:rsidP="009D774D">
      <w:pPr>
        <w:pStyle w:val="wpBodyText"/>
        <w:rPr>
          <w:lang w:eastAsia="en-GB"/>
        </w:rPr>
      </w:pPr>
      <w:r w:rsidRPr="001F7565">
        <w:rPr>
          <w:lang w:eastAsia="en-GB"/>
        </w:rPr>
        <w:t xml:space="preserve">The provision of </w:t>
      </w:r>
      <w:r w:rsidRPr="001F7565">
        <w:rPr>
          <w:b/>
          <w:lang w:eastAsia="en-GB"/>
        </w:rPr>
        <w:t xml:space="preserve">world of work information </w:t>
      </w:r>
      <w:r w:rsidRPr="001F7565">
        <w:rPr>
          <w:lang w:eastAsia="en-GB"/>
        </w:rPr>
        <w:t>is identified as a further critical component of effective career interventions (Ryan, 1999).  This includes information about economic and labour market trends and opportunities, as well as about specific career options and pathways.</w:t>
      </w:r>
    </w:p>
    <w:p w14:paraId="337E8B28" w14:textId="431CE889" w:rsidR="009D558F" w:rsidRPr="001F7565" w:rsidRDefault="009D558F" w:rsidP="009D774D">
      <w:pPr>
        <w:pStyle w:val="wpBodyText"/>
        <w:rPr>
          <w:lang w:eastAsia="en-GB"/>
        </w:rPr>
      </w:pPr>
      <w:r w:rsidRPr="001F7565">
        <w:rPr>
          <w:lang w:eastAsia="en-GB"/>
        </w:rPr>
        <w:t xml:space="preserve">The importance of world of work information was confirmed in a longitudinal qualitative study looking at the career trajectories of fifty adult consumers of diverse guidance services in England (Bimrose </w:t>
      </w:r>
      <w:r w:rsidRPr="001F7565">
        <w:rPr>
          <w:i/>
          <w:lang w:eastAsia="en-GB"/>
        </w:rPr>
        <w:t>et al.,</w:t>
      </w:r>
      <w:r w:rsidRPr="001F7565">
        <w:rPr>
          <w:lang w:eastAsia="en-GB"/>
        </w:rPr>
        <w:t xml:space="preserve"> 2008). This five-year effectiveness study was focused on investigating the perceived usefulness of career guidance from multiple perspectives (</w:t>
      </w:r>
      <w:proofErr w:type="gramStart"/>
      <w:r w:rsidRPr="001F7565">
        <w:rPr>
          <w:lang w:eastAsia="en-GB"/>
        </w:rPr>
        <w:t>i.e.</w:t>
      </w:r>
      <w:proofErr w:type="gramEnd"/>
      <w:r w:rsidRPr="001F7565">
        <w:rPr>
          <w:lang w:eastAsia="en-GB"/>
        </w:rPr>
        <w:t xml:space="preserve"> clients, practitioners, and witnesses).  Clients found guidance as most useful when it provided access to </w:t>
      </w:r>
      <w:r w:rsidRPr="001F7565">
        <w:rPr>
          <w:b/>
          <w:i/>
          <w:lang w:eastAsia="en-GB"/>
        </w:rPr>
        <w:t>‘specialist information’</w:t>
      </w:r>
      <w:r w:rsidRPr="001F7565">
        <w:rPr>
          <w:lang w:eastAsia="en-GB"/>
        </w:rPr>
        <w:t xml:space="preserve">, including local labour market information, details of courses, </w:t>
      </w:r>
      <w:proofErr w:type="gramStart"/>
      <w:r w:rsidRPr="001F7565">
        <w:rPr>
          <w:lang w:eastAsia="en-GB"/>
        </w:rPr>
        <w:t>training</w:t>
      </w:r>
      <w:proofErr w:type="gramEnd"/>
      <w:r w:rsidRPr="001F7565">
        <w:rPr>
          <w:lang w:eastAsia="en-GB"/>
        </w:rPr>
        <w:t xml:space="preserve"> and employee opportunities; provided insights, focus, and clarification; motivated them; increased their self-confidence and their self-awareness; and/or structured opportunities for reflection and discussion (Bimrose </w:t>
      </w:r>
      <w:r w:rsidRPr="001F7565">
        <w:rPr>
          <w:i/>
          <w:lang w:eastAsia="en-GB"/>
        </w:rPr>
        <w:t>et al</w:t>
      </w:r>
      <w:r w:rsidRPr="001F7565">
        <w:rPr>
          <w:lang w:eastAsia="en-GB"/>
        </w:rPr>
        <w:t xml:space="preserve">., 2008). </w:t>
      </w:r>
    </w:p>
    <w:p w14:paraId="18AD4996" w14:textId="77777777" w:rsidR="009D558F" w:rsidRPr="001F7565" w:rsidRDefault="009D558F" w:rsidP="00771953">
      <w:pPr>
        <w:pStyle w:val="wpHeading4"/>
        <w:rPr>
          <w:rFonts w:eastAsia="Times New Roman"/>
          <w:lang w:eastAsia="en-GB"/>
        </w:rPr>
      </w:pPr>
      <w:r w:rsidRPr="001F7565">
        <w:rPr>
          <w:rFonts w:eastAsia="Times New Roman"/>
          <w:lang w:eastAsia="en-GB"/>
        </w:rPr>
        <w:t xml:space="preserve">Modelling opportunities: Computer-Assisted Career Guidance Systems </w:t>
      </w:r>
    </w:p>
    <w:p w14:paraId="4AECC0FB" w14:textId="77777777" w:rsidR="009D558F" w:rsidRPr="001F7565" w:rsidRDefault="009D558F" w:rsidP="009D774D">
      <w:pPr>
        <w:pStyle w:val="wpBodyText"/>
        <w:rPr>
          <w:lang w:eastAsia="en-GB"/>
        </w:rPr>
      </w:pPr>
      <w:r w:rsidRPr="001F7565">
        <w:rPr>
          <w:lang w:eastAsia="en-GB"/>
        </w:rPr>
        <w:t xml:space="preserve">Access to </w:t>
      </w:r>
      <w:r w:rsidRPr="001F7565">
        <w:rPr>
          <w:b/>
          <w:lang w:eastAsia="en-GB"/>
        </w:rPr>
        <w:t>modelling opportunities</w:t>
      </w:r>
      <w:r w:rsidRPr="001F7565">
        <w:rPr>
          <w:lang w:eastAsia="en-GB"/>
        </w:rPr>
        <w:t xml:space="preserve"> was identified by Ryan (1999) as particularly helpful in applying self-awareness to the exploration of career opportunities.  </w:t>
      </w:r>
    </w:p>
    <w:p w14:paraId="77B42D94" w14:textId="77777777" w:rsidR="009D558F" w:rsidRPr="001F7565" w:rsidRDefault="009D558F" w:rsidP="009D774D">
      <w:pPr>
        <w:pStyle w:val="wpBodyText"/>
        <w:rPr>
          <w:lang w:eastAsia="en-GB"/>
        </w:rPr>
      </w:pPr>
      <w:r w:rsidRPr="001F7565">
        <w:rPr>
          <w:lang w:eastAsia="en-GB"/>
        </w:rPr>
        <w:t xml:space="preserve">Modelling opportunities are commonly delivered through </w:t>
      </w:r>
      <w:r w:rsidRPr="001F7565">
        <w:rPr>
          <w:b/>
          <w:lang w:eastAsia="en-GB"/>
        </w:rPr>
        <w:t>Computer-Assisted Career Guidance Systems (CACGS)</w:t>
      </w:r>
      <w:r w:rsidRPr="001F7565">
        <w:rPr>
          <w:lang w:eastAsia="en-GB"/>
        </w:rPr>
        <w:t xml:space="preserve">, which are interactive computer programmes that can be accessed and operated independently for use in self-assessment and career exploration.  CACGS typically provide descriptions of occupations and associated education and training requirements, as well as self-assessment tools to help identify and model potential career matches.  They are a key feature of modern career guidance services (including the National Careers Service in England), although there is </w:t>
      </w:r>
      <w:r w:rsidRPr="001F7565">
        <w:rPr>
          <w:b/>
          <w:lang w:eastAsia="en-GB"/>
        </w:rPr>
        <w:t xml:space="preserve">limited robust evidence of their overall effectiveness </w:t>
      </w:r>
      <w:r w:rsidRPr="001F7565">
        <w:rPr>
          <w:lang w:eastAsia="en-GB"/>
        </w:rPr>
        <w:t>as compared to more traditional modes of delivery.</w:t>
      </w:r>
    </w:p>
    <w:p w14:paraId="46C443C1" w14:textId="5AC5A9E5" w:rsidR="00A51248" w:rsidRPr="001F7565" w:rsidRDefault="009D558F" w:rsidP="009D774D">
      <w:pPr>
        <w:pStyle w:val="wpBodyText"/>
        <w:rPr>
          <w:lang w:eastAsia="en-GB"/>
        </w:rPr>
      </w:pPr>
      <w:r w:rsidRPr="001F7565">
        <w:rPr>
          <w:lang w:eastAsia="en-GB"/>
        </w:rPr>
        <w:t xml:space="preserve">McLaren (2014) examined the efficacy of a newly developed CACGS used alone and the same CACGS used in conjunction with a 90-minute structured workshop intervention, as compared to a ‘business as usual’ control group.  The findings, based on a sample of 609 further and higher education students, indicated that the CACGS plus workshop condition was effective in improving career decision-making self-efficacy, and outcome expectations strivings, as well as reducing career decision-making difficulties (McLaren, 2014).  </w:t>
      </w:r>
      <w:r w:rsidR="00050338" w:rsidRPr="001F7565">
        <w:rPr>
          <w:lang w:eastAsia="en-GB"/>
        </w:rPr>
        <w:t>Likewise</w:t>
      </w:r>
      <w:r w:rsidR="00A441C5" w:rsidRPr="001F7565">
        <w:rPr>
          <w:lang w:eastAsia="en-GB"/>
        </w:rPr>
        <w:t>,</w:t>
      </w:r>
      <w:r w:rsidR="00050338" w:rsidRPr="001F7565">
        <w:rPr>
          <w:lang w:eastAsia="en-GB"/>
        </w:rPr>
        <w:t xml:space="preserve"> </w:t>
      </w:r>
      <w:r w:rsidR="00A51248" w:rsidRPr="001F7565">
        <w:rPr>
          <w:lang w:eastAsia="en-GB"/>
        </w:rPr>
        <w:t>Gati</w:t>
      </w:r>
      <w:r w:rsidR="00050338" w:rsidRPr="001F7565">
        <w:rPr>
          <w:lang w:eastAsia="en-GB"/>
        </w:rPr>
        <w:t xml:space="preserve"> and Levin (2013) asserted that when computerised assessments were incorporated into the counselling process both approaches benefited the client in their career decision</w:t>
      </w:r>
      <w:r w:rsidR="00A441C5" w:rsidRPr="001F7565">
        <w:rPr>
          <w:lang w:eastAsia="en-GB"/>
        </w:rPr>
        <w:t>-</w:t>
      </w:r>
      <w:r w:rsidR="00050338" w:rsidRPr="001F7565">
        <w:rPr>
          <w:lang w:eastAsia="en-GB"/>
        </w:rPr>
        <w:t xml:space="preserve">making. Their research on </w:t>
      </w:r>
      <w:r w:rsidR="00072D6C" w:rsidRPr="001F7565">
        <w:rPr>
          <w:lang w:eastAsia="en-GB"/>
        </w:rPr>
        <w:t xml:space="preserve">assessments </w:t>
      </w:r>
      <w:r w:rsidR="00050338" w:rsidRPr="001F7565">
        <w:rPr>
          <w:lang w:eastAsia="en-GB"/>
        </w:rPr>
        <w:t>of career indecision showed that the individual’s dispositions displayed in the assessments and analysed automatically (</w:t>
      </w:r>
      <w:proofErr w:type="gramStart"/>
      <w:r w:rsidR="00050338" w:rsidRPr="001F7565">
        <w:rPr>
          <w:lang w:eastAsia="en-GB"/>
        </w:rPr>
        <w:t>e.g.</w:t>
      </w:r>
      <w:proofErr w:type="gramEnd"/>
      <w:r w:rsidR="00050338" w:rsidRPr="001F7565">
        <w:rPr>
          <w:lang w:eastAsia="en-GB"/>
        </w:rPr>
        <w:t xml:space="preserve"> whether an individual is more analytic in their thinking or holistic) helped to inform the counselling approach and the way the counsellor conveyed information and communicated with the individual. </w:t>
      </w:r>
    </w:p>
    <w:p w14:paraId="29B6577B" w14:textId="77777777" w:rsidR="0019452E" w:rsidRPr="001F7565" w:rsidRDefault="00050338" w:rsidP="00B53739">
      <w:pPr>
        <w:pStyle w:val="wpBodyText"/>
        <w:rPr>
          <w:lang w:eastAsia="en-GB"/>
        </w:rPr>
      </w:pPr>
      <w:r w:rsidRPr="001F7565">
        <w:rPr>
          <w:lang w:eastAsia="en-GB"/>
        </w:rPr>
        <w:t xml:space="preserve">These </w:t>
      </w:r>
      <w:r w:rsidR="00072D6C" w:rsidRPr="001F7565">
        <w:rPr>
          <w:lang w:eastAsia="en-GB"/>
        </w:rPr>
        <w:t>studies</w:t>
      </w:r>
      <w:r w:rsidRPr="001F7565">
        <w:rPr>
          <w:lang w:eastAsia="en-GB"/>
        </w:rPr>
        <w:t xml:space="preserve"> </w:t>
      </w:r>
      <w:r w:rsidR="009D558F" w:rsidRPr="001F7565">
        <w:rPr>
          <w:lang w:eastAsia="en-GB"/>
        </w:rPr>
        <w:t xml:space="preserve">build on a number of previous smaller-scale studies conducted with CACGS, which suggest that whilst they represent a relatively effective form of career intervention, they are not as </w:t>
      </w:r>
      <w:r w:rsidR="009D558F" w:rsidRPr="001F7565">
        <w:rPr>
          <w:lang w:eastAsia="en-GB"/>
        </w:rPr>
        <w:lastRenderedPageBreak/>
        <w:t xml:space="preserve">effective as face-to-face interventions like individual counselling and structured </w:t>
      </w:r>
      <w:proofErr w:type="gramStart"/>
      <w:r w:rsidR="009D558F" w:rsidRPr="001F7565">
        <w:rPr>
          <w:lang w:eastAsia="en-GB"/>
        </w:rPr>
        <w:t>groups, and</w:t>
      </w:r>
      <w:proofErr w:type="gramEnd"/>
      <w:r w:rsidR="009D558F" w:rsidRPr="001F7565">
        <w:rPr>
          <w:lang w:eastAsia="en-GB"/>
        </w:rPr>
        <w:t xml:space="preserve"> are more effective when combined with a face-to-face intervention.  </w:t>
      </w:r>
    </w:p>
    <w:p w14:paraId="43C5105C" w14:textId="42FE1D49" w:rsidR="009D558F" w:rsidRPr="001F7565" w:rsidRDefault="009D558F" w:rsidP="0019452E">
      <w:pPr>
        <w:pStyle w:val="wpHeading4"/>
        <w:rPr>
          <w:rFonts w:eastAsia="Times New Roman"/>
          <w:lang w:eastAsia="en-GB"/>
        </w:rPr>
      </w:pPr>
      <w:r w:rsidRPr="001F7565">
        <w:rPr>
          <w:rFonts w:eastAsia="Times New Roman"/>
          <w:lang w:eastAsia="en-GB"/>
        </w:rPr>
        <w:t>Attention to building support for choices</w:t>
      </w:r>
    </w:p>
    <w:p w14:paraId="7A11852A" w14:textId="77777777" w:rsidR="009D558F" w:rsidRPr="001F7565" w:rsidRDefault="009D558F" w:rsidP="009D774D">
      <w:pPr>
        <w:pStyle w:val="wpBodyText"/>
        <w:rPr>
          <w:lang w:eastAsia="en-GB"/>
        </w:rPr>
      </w:pPr>
      <w:r w:rsidRPr="001F7565">
        <w:rPr>
          <w:lang w:eastAsia="en-GB"/>
        </w:rPr>
        <w:t xml:space="preserve">The fifth and final ‘critical ingredient’ identified by Ryan (1999) is </w:t>
      </w:r>
      <w:r w:rsidRPr="001F7565">
        <w:rPr>
          <w:b/>
          <w:lang w:eastAsia="en-GB"/>
        </w:rPr>
        <w:t xml:space="preserve">attention to building an individuals’ awareness of other support on which they can draw </w:t>
      </w:r>
      <w:proofErr w:type="gramStart"/>
      <w:r w:rsidRPr="001F7565">
        <w:rPr>
          <w:b/>
          <w:lang w:eastAsia="en-GB"/>
        </w:rPr>
        <w:t>in order to</w:t>
      </w:r>
      <w:proofErr w:type="gramEnd"/>
      <w:r w:rsidRPr="001F7565">
        <w:rPr>
          <w:b/>
          <w:lang w:eastAsia="en-GB"/>
        </w:rPr>
        <w:t xml:space="preserve"> inform their career choice</w:t>
      </w:r>
      <w:r w:rsidRPr="001F7565">
        <w:rPr>
          <w:lang w:eastAsia="en-GB"/>
        </w:rPr>
        <w:t>.  This involves discussions of the role of the familial / sociocultural environment in career development and the provision of guidance on how to make best use of this.</w:t>
      </w:r>
    </w:p>
    <w:p w14:paraId="0D2EA41B" w14:textId="77FC4E7B" w:rsidR="009D558F" w:rsidRPr="001F7565" w:rsidRDefault="009D558F" w:rsidP="006704DE">
      <w:pPr>
        <w:pStyle w:val="wpBodyText"/>
        <w:rPr>
          <w:lang w:eastAsia="en-GB"/>
        </w:rPr>
      </w:pPr>
      <w:r w:rsidRPr="001F7565">
        <w:rPr>
          <w:lang w:eastAsia="en-GB"/>
        </w:rPr>
        <w:t xml:space="preserve">A five-year study looking at the effectiveness of adult career guidance services in England found that </w:t>
      </w:r>
      <w:proofErr w:type="gramStart"/>
      <w:r w:rsidRPr="001F7565">
        <w:rPr>
          <w:lang w:eastAsia="en-GB"/>
        </w:rPr>
        <w:t>the majority of</w:t>
      </w:r>
      <w:proofErr w:type="gramEnd"/>
      <w:r w:rsidRPr="001F7565">
        <w:rPr>
          <w:lang w:eastAsia="en-GB"/>
        </w:rPr>
        <w:t xml:space="preserve"> participants had agreed action plans with practitioners during their initial case study interview (Bimrose </w:t>
      </w:r>
      <w:r w:rsidRPr="001F7565">
        <w:rPr>
          <w:i/>
          <w:lang w:eastAsia="en-GB"/>
        </w:rPr>
        <w:t>et al.</w:t>
      </w:r>
      <w:r w:rsidRPr="001F7565">
        <w:rPr>
          <w:lang w:eastAsia="en-GB"/>
        </w:rPr>
        <w:t xml:space="preserve">, 2008).  In the final three years of the study, however, participants’ recollection of their original action plans grew vague. Analysis focussed on the plans they were actively pursuing, which did not always relate to their original action plans. Two years after the case study interview, just over half were proactively pursuing an action </w:t>
      </w:r>
      <w:proofErr w:type="gramStart"/>
      <w:r w:rsidRPr="001F7565">
        <w:rPr>
          <w:lang w:eastAsia="en-GB"/>
        </w:rPr>
        <w:t>plans</w:t>
      </w:r>
      <w:proofErr w:type="gramEnd"/>
      <w:r w:rsidRPr="001F7565">
        <w:rPr>
          <w:lang w:eastAsia="en-GB"/>
        </w:rPr>
        <w:t xml:space="preserve"> (but not necessarily their first action plan).  Three years on, this use of plans had increased to 66%, but fell again to 41% in the fourth and final year.  </w:t>
      </w:r>
      <w:r w:rsidRPr="001F7565">
        <w:rPr>
          <w:szCs w:val="21"/>
          <w:lang w:eastAsia="en-GB"/>
        </w:rPr>
        <w:t xml:space="preserve">The study found that, over time, individuals had augmented or replaced their original action plans with advice and guidance from a wider range of other sources, including family and friends, colleagues, </w:t>
      </w:r>
      <w:proofErr w:type="gramStart"/>
      <w:r w:rsidRPr="001F7565">
        <w:rPr>
          <w:szCs w:val="21"/>
          <w:lang w:eastAsia="en-GB"/>
        </w:rPr>
        <w:t>mentors</w:t>
      </w:r>
      <w:proofErr w:type="gramEnd"/>
      <w:r w:rsidRPr="001F7565">
        <w:rPr>
          <w:szCs w:val="21"/>
          <w:lang w:eastAsia="en-GB"/>
        </w:rPr>
        <w:t xml:space="preserve"> and tutors (Bimrose </w:t>
      </w:r>
      <w:r w:rsidRPr="001F7565">
        <w:rPr>
          <w:i/>
          <w:szCs w:val="21"/>
          <w:lang w:eastAsia="en-GB"/>
        </w:rPr>
        <w:t>et al</w:t>
      </w:r>
      <w:r w:rsidRPr="001F7565">
        <w:rPr>
          <w:szCs w:val="21"/>
          <w:lang w:eastAsia="en-GB"/>
        </w:rPr>
        <w:t xml:space="preserve">., 2008).   </w:t>
      </w:r>
    </w:p>
    <w:p w14:paraId="515A5F6C" w14:textId="77777777" w:rsidR="009D558F" w:rsidRPr="001F7565" w:rsidRDefault="009D558F" w:rsidP="009D774D">
      <w:pPr>
        <w:pStyle w:val="wpBodyText"/>
        <w:rPr>
          <w:lang w:eastAsia="en-GB"/>
        </w:rPr>
      </w:pPr>
      <w:r w:rsidRPr="001F7565">
        <w:rPr>
          <w:lang w:eastAsia="en-GB"/>
        </w:rPr>
        <w:t xml:space="preserve">This variation in the proportion of clients pursuing action plans over time can be partly accounted for by changes in their circumstances over the </w:t>
      </w:r>
      <w:proofErr w:type="gramStart"/>
      <w:r w:rsidRPr="001F7565">
        <w:rPr>
          <w:lang w:eastAsia="en-GB"/>
        </w:rPr>
        <w:t>five year</w:t>
      </w:r>
      <w:proofErr w:type="gramEnd"/>
      <w:r w:rsidRPr="001F7565">
        <w:rPr>
          <w:lang w:eastAsia="en-GB"/>
        </w:rPr>
        <w:t xml:space="preserve"> period.  However, the finding does invite some consideration of the role of action planning for adults, both in the short and longer term, with the authors stating that </w:t>
      </w:r>
      <w:r w:rsidRPr="001F7565">
        <w:rPr>
          <w:i/>
          <w:lang w:eastAsia="en-GB"/>
        </w:rPr>
        <w:t>“</w:t>
      </w:r>
      <w:r w:rsidRPr="001F7565">
        <w:rPr>
          <w:lang w:eastAsia="en-GB"/>
        </w:rPr>
        <w:t xml:space="preserve">[plans] </w:t>
      </w:r>
      <w:r w:rsidRPr="001F7565">
        <w:rPr>
          <w:i/>
          <w:lang w:eastAsia="en-GB"/>
        </w:rPr>
        <w:t xml:space="preserve">should be developed as an integral part of a learning process that the client values and owns, rather than as an instrument for practitioners or service delivery targets”.  </w:t>
      </w:r>
    </w:p>
    <w:p w14:paraId="130B943E" w14:textId="77777777" w:rsidR="009D558F" w:rsidRPr="001F7565" w:rsidRDefault="009D558F" w:rsidP="009D774D">
      <w:pPr>
        <w:pStyle w:val="wpHeading4"/>
        <w:rPr>
          <w:rFonts w:eastAsia="Times New Roman"/>
          <w:lang w:eastAsia="en-GB"/>
        </w:rPr>
      </w:pPr>
      <w:r w:rsidRPr="001F7565">
        <w:rPr>
          <w:rFonts w:eastAsia="Times New Roman"/>
          <w:lang w:eastAsia="en-GB"/>
        </w:rPr>
        <w:t>Mode of interventions</w:t>
      </w:r>
    </w:p>
    <w:p w14:paraId="3E42D87A" w14:textId="255BB753" w:rsidR="009D558F" w:rsidRPr="001F7565" w:rsidRDefault="009D558F" w:rsidP="009D774D">
      <w:pPr>
        <w:pStyle w:val="wpBodyText"/>
        <w:rPr>
          <w:lang w:eastAsia="en-GB"/>
        </w:rPr>
      </w:pPr>
      <w:r w:rsidRPr="001F7565">
        <w:rPr>
          <w:lang w:eastAsia="en-GB"/>
        </w:rPr>
        <w:t xml:space="preserve">The evidence presented above considers the effectiveness of a range of individual interventions in developing career management outcomes.  These interventions may be delivered in different </w:t>
      </w:r>
      <w:proofErr w:type="gramStart"/>
      <w:r w:rsidRPr="001F7565">
        <w:rPr>
          <w:lang w:eastAsia="en-GB"/>
        </w:rPr>
        <w:t>ways</w:t>
      </w:r>
      <w:proofErr w:type="gramEnd"/>
      <w:r w:rsidRPr="001F7565">
        <w:rPr>
          <w:lang w:eastAsia="en-GB"/>
        </w:rPr>
        <w:t xml:space="preserve"> and, in the past, some research explored the relative effectiveness of different modes of delivery.  These were reviewed in a meta-analysis by Whiston </w:t>
      </w:r>
      <w:r w:rsidRPr="001F7565">
        <w:rPr>
          <w:i/>
          <w:lang w:eastAsia="en-GB"/>
        </w:rPr>
        <w:t xml:space="preserve">et al. </w:t>
      </w:r>
      <w:r w:rsidRPr="001F7565">
        <w:rPr>
          <w:lang w:eastAsia="en-GB"/>
        </w:rPr>
        <w:t>(2003) who looked at studies that directly compared one form of career intervention to another.  Their review excluded those that explored the effects of an intervention with a control, since these would give no indication of comparative effectiveness between modes. Their results, based on analysis of 57 studies involving 4,732 participants, suggested that:</w:t>
      </w:r>
    </w:p>
    <w:p w14:paraId="2577A4E0" w14:textId="77777777" w:rsidR="009D558F" w:rsidRPr="001F7565" w:rsidRDefault="009D558F" w:rsidP="00771953">
      <w:pPr>
        <w:pStyle w:val="wpListBullet"/>
        <w:rPr>
          <w:lang w:eastAsia="en-GB"/>
        </w:rPr>
      </w:pPr>
      <w:r w:rsidRPr="001F7565">
        <w:rPr>
          <w:b/>
          <w:lang w:eastAsia="en-GB"/>
        </w:rPr>
        <w:t xml:space="preserve">Self-directed </w:t>
      </w:r>
      <w:r w:rsidRPr="001F7565">
        <w:rPr>
          <w:lang w:eastAsia="en-GB"/>
        </w:rPr>
        <w:t xml:space="preserve">interventions were </w:t>
      </w:r>
      <w:r w:rsidRPr="001F7565">
        <w:rPr>
          <w:i/>
          <w:lang w:eastAsia="en-GB"/>
        </w:rPr>
        <w:t>consistently</w:t>
      </w:r>
      <w:r w:rsidRPr="001F7565">
        <w:rPr>
          <w:lang w:eastAsia="en-GB"/>
        </w:rPr>
        <w:t xml:space="preserve"> </w:t>
      </w:r>
      <w:r w:rsidRPr="001F7565">
        <w:rPr>
          <w:i/>
          <w:lang w:eastAsia="en-GB"/>
        </w:rPr>
        <w:t>less effective</w:t>
      </w:r>
      <w:r w:rsidRPr="001F7565">
        <w:rPr>
          <w:lang w:eastAsia="en-GB"/>
        </w:rPr>
        <w:t xml:space="preserve"> than nearly all other forms of interventions, </w:t>
      </w:r>
      <w:proofErr w:type="gramStart"/>
      <w:r w:rsidRPr="001F7565">
        <w:rPr>
          <w:lang w:eastAsia="en-GB"/>
        </w:rPr>
        <w:t>with the exception of</w:t>
      </w:r>
      <w:proofErr w:type="gramEnd"/>
      <w:r w:rsidRPr="001F7565">
        <w:rPr>
          <w:lang w:eastAsia="en-GB"/>
        </w:rPr>
        <w:t xml:space="preserve"> standalone </w:t>
      </w:r>
      <w:r w:rsidRPr="001F7565">
        <w:rPr>
          <w:b/>
          <w:lang w:eastAsia="en-GB"/>
        </w:rPr>
        <w:t>computer-based</w:t>
      </w:r>
      <w:r w:rsidRPr="001F7565">
        <w:rPr>
          <w:lang w:eastAsia="en-GB"/>
        </w:rPr>
        <w:t xml:space="preserve"> interventions</w:t>
      </w:r>
    </w:p>
    <w:p w14:paraId="79FCF612" w14:textId="77777777" w:rsidR="009D558F" w:rsidRPr="001F7565" w:rsidRDefault="009D558F" w:rsidP="00771953">
      <w:pPr>
        <w:pStyle w:val="wpListBullet"/>
        <w:rPr>
          <w:lang w:eastAsia="en-GB"/>
        </w:rPr>
      </w:pPr>
      <w:r w:rsidRPr="001F7565">
        <w:rPr>
          <w:lang w:eastAsia="en-GB"/>
        </w:rPr>
        <w:t xml:space="preserve">The effects of </w:t>
      </w:r>
      <w:r w:rsidRPr="001F7565">
        <w:rPr>
          <w:b/>
          <w:lang w:eastAsia="en-GB"/>
        </w:rPr>
        <w:t>computer-guided</w:t>
      </w:r>
      <w:r w:rsidRPr="001F7565">
        <w:rPr>
          <w:lang w:eastAsia="en-GB"/>
        </w:rPr>
        <w:t xml:space="preserve"> interventions were </w:t>
      </w:r>
      <w:r w:rsidRPr="001F7565">
        <w:rPr>
          <w:i/>
          <w:lang w:eastAsia="en-GB"/>
        </w:rPr>
        <w:t>improved substantially</w:t>
      </w:r>
      <w:r w:rsidRPr="001F7565">
        <w:rPr>
          <w:lang w:eastAsia="en-GB"/>
        </w:rPr>
        <w:t xml:space="preserve"> if </w:t>
      </w:r>
      <w:r w:rsidRPr="001F7565">
        <w:rPr>
          <w:b/>
          <w:lang w:eastAsia="en-GB"/>
        </w:rPr>
        <w:t>counsellor contact</w:t>
      </w:r>
      <w:r w:rsidRPr="001F7565">
        <w:rPr>
          <w:lang w:eastAsia="en-GB"/>
        </w:rPr>
        <w:t xml:space="preserve"> was included at some point during the computer use</w:t>
      </w:r>
    </w:p>
    <w:p w14:paraId="418288D7" w14:textId="5BC8B81F" w:rsidR="007F18E0" w:rsidRPr="001F7565" w:rsidRDefault="009D558F" w:rsidP="002F1186">
      <w:pPr>
        <w:pStyle w:val="wpListBullet"/>
        <w:rPr>
          <w:rFonts w:ascii="Century Gothic" w:eastAsia="Times New Roman" w:hAnsi="Century Gothic" w:cstheme="majorBidi"/>
          <w:b/>
          <w:color w:val="DA291C"/>
          <w:sz w:val="28"/>
          <w:szCs w:val="32"/>
          <w:lang w:eastAsia="en-GB"/>
        </w:rPr>
      </w:pPr>
      <w:r w:rsidRPr="001F7565">
        <w:rPr>
          <w:b/>
          <w:lang w:eastAsia="en-GB"/>
        </w:rPr>
        <w:t>Structured groups</w:t>
      </w:r>
      <w:r w:rsidRPr="001F7565">
        <w:rPr>
          <w:lang w:eastAsia="en-GB"/>
        </w:rPr>
        <w:t xml:space="preserve"> were </w:t>
      </w:r>
      <w:r w:rsidRPr="001F7565">
        <w:rPr>
          <w:i/>
          <w:lang w:eastAsia="en-GB"/>
        </w:rPr>
        <w:t>substantially more effective</w:t>
      </w:r>
      <w:r w:rsidRPr="001F7565">
        <w:rPr>
          <w:lang w:eastAsia="en-GB"/>
        </w:rPr>
        <w:t xml:space="preserve"> than </w:t>
      </w:r>
      <w:r w:rsidRPr="001F7565">
        <w:rPr>
          <w:b/>
          <w:lang w:eastAsia="en-GB"/>
        </w:rPr>
        <w:t>less structured group sessions</w:t>
      </w:r>
    </w:p>
    <w:p w14:paraId="3B77F703" w14:textId="6DED3E79" w:rsidR="009D558F" w:rsidRPr="001F7565" w:rsidRDefault="009D558F" w:rsidP="00771953">
      <w:pPr>
        <w:pStyle w:val="wpHeading2"/>
        <w:rPr>
          <w:rFonts w:eastAsia="Times New Roman"/>
          <w:lang w:eastAsia="en-GB"/>
        </w:rPr>
      </w:pPr>
      <w:r w:rsidRPr="001F7565">
        <w:rPr>
          <w:rFonts w:eastAsia="Times New Roman"/>
          <w:lang w:eastAsia="en-GB"/>
        </w:rPr>
        <w:lastRenderedPageBreak/>
        <w:t>Conclusions and implications</w:t>
      </w:r>
    </w:p>
    <w:p w14:paraId="044C0875" w14:textId="6B7CD229" w:rsidR="009D558F" w:rsidRPr="001F7565" w:rsidRDefault="009D558F" w:rsidP="009D774D">
      <w:pPr>
        <w:pStyle w:val="wpBodyText"/>
        <w:rPr>
          <w:lang w:eastAsia="en-GB"/>
        </w:rPr>
      </w:pPr>
      <w:r w:rsidRPr="001F7565">
        <w:rPr>
          <w:lang w:eastAsia="en-GB"/>
        </w:rPr>
        <w:t xml:space="preserve">This paper has reported on the </w:t>
      </w:r>
      <w:r w:rsidR="00072D6C" w:rsidRPr="001F7565">
        <w:rPr>
          <w:lang w:eastAsia="en-GB"/>
        </w:rPr>
        <w:t xml:space="preserve">updated </w:t>
      </w:r>
      <w:r w:rsidRPr="001F7565">
        <w:rPr>
          <w:lang w:eastAsia="en-GB"/>
        </w:rPr>
        <w:t>findings from a review of the literature on the efficacy of career guidance interventions on the development of Career Management Skills.  This final section provides summary conclusions and resultant implications for the National Careers Service as it further develops and adapts to the new outcome-based approach.</w:t>
      </w:r>
    </w:p>
    <w:p w14:paraId="73ED263A" w14:textId="47D79BA3" w:rsidR="009D558F" w:rsidRPr="001F7565" w:rsidRDefault="009D558F" w:rsidP="009D774D">
      <w:pPr>
        <w:pStyle w:val="wpBodyText"/>
        <w:rPr>
          <w:lang w:eastAsia="en-GB"/>
        </w:rPr>
      </w:pPr>
      <w:r w:rsidRPr="001F7565">
        <w:rPr>
          <w:lang w:eastAsia="en-GB"/>
        </w:rPr>
        <w:t xml:space="preserve">The evidence </w:t>
      </w:r>
      <w:r w:rsidR="00072D6C" w:rsidRPr="001F7565">
        <w:rPr>
          <w:lang w:eastAsia="en-GB"/>
        </w:rPr>
        <w:t xml:space="preserve">from 2021 reflects that found in 2015 and </w:t>
      </w:r>
      <w:r w:rsidRPr="001F7565">
        <w:rPr>
          <w:lang w:eastAsia="en-GB"/>
        </w:rPr>
        <w:t xml:space="preserve">does not </w:t>
      </w:r>
      <w:r w:rsidR="00072D6C" w:rsidRPr="001F7565">
        <w:rPr>
          <w:lang w:eastAsia="en-GB"/>
        </w:rPr>
        <w:t xml:space="preserve">yet </w:t>
      </w:r>
      <w:r w:rsidRPr="001F7565">
        <w:rPr>
          <w:lang w:eastAsia="en-GB"/>
        </w:rPr>
        <w:t>point to a single intervention or group of interventions that are most effective in increasing CMS. However, it identif</w:t>
      </w:r>
      <w:r w:rsidR="00072D6C" w:rsidRPr="001F7565">
        <w:rPr>
          <w:lang w:eastAsia="en-GB"/>
        </w:rPr>
        <w:t>ies</w:t>
      </w:r>
      <w:r w:rsidRPr="001F7565">
        <w:rPr>
          <w:lang w:eastAsia="en-GB"/>
        </w:rPr>
        <w:t xml:space="preserve"> </w:t>
      </w:r>
      <w:r w:rsidRPr="001F7565">
        <w:rPr>
          <w:b/>
          <w:lang w:eastAsia="en-GB"/>
        </w:rPr>
        <w:t>five underpinning components</w:t>
      </w:r>
      <w:r w:rsidRPr="001F7565">
        <w:rPr>
          <w:lang w:eastAsia="en-GB"/>
        </w:rPr>
        <w:t xml:space="preserve"> of career guidance interventions that </w:t>
      </w:r>
      <w:r w:rsidR="00072D6C" w:rsidRPr="001F7565">
        <w:rPr>
          <w:lang w:eastAsia="en-GB"/>
        </w:rPr>
        <w:t xml:space="preserve">consistently </w:t>
      </w:r>
      <w:r w:rsidRPr="001F7565">
        <w:rPr>
          <w:lang w:eastAsia="en-GB"/>
        </w:rPr>
        <w:t xml:space="preserve">have been found to substantially increase effectiveness, particularly when combined. Moreover, career guidance interventions that incorporate more than one of these elements appear more likely to be effective than single interventions in delivering career management outcomes for customers. </w:t>
      </w:r>
    </w:p>
    <w:p w14:paraId="6BE061F9" w14:textId="357A8B1E" w:rsidR="009D558F" w:rsidRPr="001F7565" w:rsidRDefault="009D558F" w:rsidP="009D774D">
      <w:pPr>
        <w:pStyle w:val="wpBodyText"/>
        <w:rPr>
          <w:lang w:eastAsia="en-GB"/>
        </w:rPr>
      </w:pPr>
      <w:r w:rsidRPr="001F7565">
        <w:rPr>
          <w:lang w:eastAsia="en-GB"/>
        </w:rPr>
        <w:t xml:space="preserve">The evidence also highlights the relative efficacy of different modes of delivery of career guidance interventions on CMS development.  It points to a possible emergent hierarchy, with interventions involving practitioner contact and structured groups being more effective than self-directed interventions or unstructured groups. It also suggests that computer-based interventions work better when practitioner input is provided during the intervention or when followed up by a structured workshop session to discuss and review the results.  These findings </w:t>
      </w:r>
      <w:r w:rsidR="00256335" w:rsidRPr="001F7565">
        <w:rPr>
          <w:lang w:eastAsia="en-GB"/>
        </w:rPr>
        <w:t xml:space="preserve">had </w:t>
      </w:r>
      <w:r w:rsidRPr="001F7565">
        <w:rPr>
          <w:lang w:eastAsia="en-GB"/>
        </w:rPr>
        <w:t>implications for the ‘digital-by-default’ principle of the National Careers Service</w:t>
      </w:r>
      <w:r w:rsidR="00256335" w:rsidRPr="001F7565">
        <w:rPr>
          <w:lang w:eastAsia="en-GB"/>
        </w:rPr>
        <w:t xml:space="preserve"> in 2015</w:t>
      </w:r>
      <w:r w:rsidRPr="001F7565">
        <w:rPr>
          <w:lang w:eastAsia="en-GB"/>
        </w:rPr>
        <w:t>, as they suggest</w:t>
      </w:r>
      <w:r w:rsidR="00256335" w:rsidRPr="001F7565">
        <w:rPr>
          <w:lang w:eastAsia="en-GB"/>
        </w:rPr>
        <w:t>ed</w:t>
      </w:r>
      <w:r w:rsidRPr="001F7565">
        <w:rPr>
          <w:lang w:eastAsia="en-GB"/>
        </w:rPr>
        <w:t xml:space="preserve"> that digital interventions work</w:t>
      </w:r>
      <w:r w:rsidR="00256335" w:rsidRPr="001F7565">
        <w:rPr>
          <w:lang w:eastAsia="en-GB"/>
        </w:rPr>
        <w:t>ed</w:t>
      </w:r>
      <w:r w:rsidRPr="001F7565">
        <w:rPr>
          <w:lang w:eastAsia="en-GB"/>
        </w:rPr>
        <w:t xml:space="preserve"> best when combined with some form of practitioner input.</w:t>
      </w:r>
      <w:r w:rsidR="00256335" w:rsidRPr="001F7565">
        <w:rPr>
          <w:lang w:eastAsia="en-GB"/>
        </w:rPr>
        <w:t xml:space="preserve"> It remains to be seen what the impact has been of the rapid rise of digital provision during the Covid pandemic and the subsequent more mixed-delivery economy that has resulted. To date no detailed empirical studies have yet been published on the impact of virtual activities </w:t>
      </w:r>
      <w:r w:rsidR="00A810B1" w:rsidRPr="001F7565">
        <w:rPr>
          <w:lang w:eastAsia="en-GB"/>
        </w:rPr>
        <w:t xml:space="preserve">(under Covid) </w:t>
      </w:r>
      <w:r w:rsidR="00256335" w:rsidRPr="001F7565">
        <w:rPr>
          <w:lang w:eastAsia="en-GB"/>
        </w:rPr>
        <w:t>on careers management skills.</w:t>
      </w:r>
    </w:p>
    <w:p w14:paraId="1A1B84AC" w14:textId="14864731" w:rsidR="009D558F" w:rsidRPr="001F7565" w:rsidRDefault="009D558F" w:rsidP="009D774D">
      <w:pPr>
        <w:pStyle w:val="wpBodyText"/>
        <w:rPr>
          <w:lang w:eastAsia="en-GB"/>
        </w:rPr>
      </w:pPr>
      <w:r w:rsidRPr="001F7565">
        <w:rPr>
          <w:lang w:eastAsia="en-GB"/>
        </w:rPr>
        <w:t>The literature on ‘what works’ in relation to individual career guidance interventions is less conclusive, although does highlight a range of methods, approaches and considerations that could be useful for National Careers Service providers as they continue to develop their service offer</w:t>
      </w:r>
      <w:r w:rsidR="00072D6C" w:rsidRPr="001F7565">
        <w:rPr>
          <w:lang w:eastAsia="en-GB"/>
        </w:rPr>
        <w:t>, particularly within a more mixed delivery context</w:t>
      </w:r>
      <w:r w:rsidR="00516D97" w:rsidRPr="001F7565">
        <w:rPr>
          <w:lang w:eastAsia="en-GB"/>
        </w:rPr>
        <w:t xml:space="preserve"> (Neary et al. 2016a and 2016b)</w:t>
      </w:r>
      <w:r w:rsidRPr="001F7565">
        <w:rPr>
          <w:lang w:eastAsia="en-GB"/>
        </w:rPr>
        <w:t>.  These include the use of narrative / writing approaches; the importance of providing a ‘safe’ environment</w:t>
      </w:r>
      <w:r w:rsidRPr="001F7565">
        <w:rPr>
          <w:szCs w:val="21"/>
          <w:lang w:eastAsia="en-GB"/>
        </w:rPr>
        <w:t>; the quality of the adviser-client relationship;</w:t>
      </w:r>
      <w:r w:rsidRPr="001F7565">
        <w:rPr>
          <w:lang w:eastAsia="en-GB"/>
        </w:rPr>
        <w:t xml:space="preserve"> the need for flexibility in approach; the provision of specialist information and support; and clarity on the purpose and aims of action planning.</w:t>
      </w:r>
    </w:p>
    <w:p w14:paraId="2CBD6DA9" w14:textId="004FB0CB" w:rsidR="009D558F" w:rsidRPr="001F7565" w:rsidRDefault="009D558F" w:rsidP="009D774D">
      <w:pPr>
        <w:pStyle w:val="wpBodyText"/>
        <w:rPr>
          <w:lang w:eastAsia="en-GB"/>
        </w:rPr>
      </w:pPr>
      <w:r w:rsidRPr="001F7565">
        <w:rPr>
          <w:lang w:eastAsia="en-GB"/>
        </w:rPr>
        <w:t xml:space="preserve">A key recommendation arising from this work is that the current list of career management activities / outputs that National Careers Service contractors are being paid against </w:t>
      </w:r>
      <w:r w:rsidR="00072D6C" w:rsidRPr="001F7565">
        <w:rPr>
          <w:lang w:eastAsia="en-GB"/>
        </w:rPr>
        <w:t xml:space="preserve">would still benefit from being </w:t>
      </w:r>
      <w:r w:rsidRPr="001F7565">
        <w:rPr>
          <w:lang w:eastAsia="en-GB"/>
        </w:rPr>
        <w:t xml:space="preserve">reviewed with the aim of developing a more outcome-based approach.  The body of evidence on CMS Blueprints and frameworks </w:t>
      </w:r>
      <w:r w:rsidR="00072D6C" w:rsidRPr="001F7565">
        <w:rPr>
          <w:lang w:eastAsia="en-GB"/>
        </w:rPr>
        <w:t xml:space="preserve">continues to </w:t>
      </w:r>
      <w:r w:rsidRPr="001F7565">
        <w:rPr>
          <w:lang w:eastAsia="en-GB"/>
        </w:rPr>
        <w:t>provide a basis for informing the development of this outcome-based approach.</w:t>
      </w:r>
    </w:p>
    <w:p w14:paraId="7A24C88E" w14:textId="77777777" w:rsidR="009D558F" w:rsidRPr="001F7565" w:rsidRDefault="009D558F" w:rsidP="009D774D">
      <w:pPr>
        <w:pStyle w:val="wpBodyText"/>
        <w:rPr>
          <w:rFonts w:cs="Tahoma"/>
          <w:lang w:eastAsia="en-GB"/>
        </w:rPr>
      </w:pPr>
      <w:r w:rsidRPr="001F7565">
        <w:rPr>
          <w:lang w:eastAsia="en-GB"/>
        </w:rPr>
        <w:br w:type="page"/>
      </w:r>
    </w:p>
    <w:p w14:paraId="702ED975" w14:textId="77777777" w:rsidR="009D558F" w:rsidRPr="001F7565" w:rsidRDefault="009D558F" w:rsidP="00771953">
      <w:pPr>
        <w:pStyle w:val="wpHeading1"/>
        <w:rPr>
          <w:rFonts w:eastAsia="Times New Roman"/>
          <w:lang w:eastAsia="en-GB"/>
        </w:rPr>
      </w:pPr>
      <w:r w:rsidRPr="001F7565">
        <w:rPr>
          <w:rFonts w:eastAsia="Times New Roman"/>
          <w:lang w:eastAsia="en-GB"/>
        </w:rPr>
        <w:lastRenderedPageBreak/>
        <w:t>Annex A: Sources</w:t>
      </w:r>
    </w:p>
    <w:p w14:paraId="505950AB" w14:textId="77777777" w:rsidR="009D558F" w:rsidRPr="001F7565" w:rsidRDefault="009D558F" w:rsidP="009D774D">
      <w:pPr>
        <w:pStyle w:val="wpBodyText"/>
        <w:rPr>
          <w:lang w:eastAsia="en-GB"/>
        </w:rPr>
      </w:pPr>
      <w:r w:rsidRPr="001F7565">
        <w:rPr>
          <w:lang w:eastAsia="en-GB"/>
        </w:rPr>
        <w:t xml:space="preserve">The search terms were applied to the following </w:t>
      </w:r>
      <w:r w:rsidRPr="001F7565">
        <w:rPr>
          <w:b/>
          <w:lang w:eastAsia="en-GB"/>
        </w:rPr>
        <w:t xml:space="preserve">indexes, </w:t>
      </w:r>
      <w:proofErr w:type="gramStart"/>
      <w:r w:rsidRPr="001F7565">
        <w:rPr>
          <w:b/>
          <w:lang w:eastAsia="en-GB"/>
        </w:rPr>
        <w:t>databases</w:t>
      </w:r>
      <w:proofErr w:type="gramEnd"/>
      <w:r w:rsidRPr="001F7565">
        <w:rPr>
          <w:b/>
          <w:lang w:eastAsia="en-GB"/>
        </w:rPr>
        <w:t xml:space="preserve"> and search engines</w:t>
      </w:r>
      <w:r w:rsidRPr="001F7565">
        <w:rPr>
          <w:lang w:eastAsia="en-GB"/>
        </w:rPr>
        <w:t>:</w:t>
      </w:r>
    </w:p>
    <w:p w14:paraId="0D789102" w14:textId="77777777" w:rsidR="009D558F" w:rsidRPr="001F7565" w:rsidRDefault="009D558F" w:rsidP="00771953">
      <w:pPr>
        <w:pStyle w:val="wpListBullet"/>
        <w:rPr>
          <w:lang w:eastAsia="en-GB"/>
        </w:rPr>
      </w:pPr>
      <w:r w:rsidRPr="001F7565">
        <w:rPr>
          <w:lang w:eastAsia="en-GB"/>
        </w:rPr>
        <w:t>Applied Social Sciences Index and Abstracts (ASSIA)</w:t>
      </w:r>
    </w:p>
    <w:p w14:paraId="655FA7E1" w14:textId="77777777" w:rsidR="009D558F" w:rsidRPr="001F7565" w:rsidRDefault="009D558F" w:rsidP="00771953">
      <w:pPr>
        <w:pStyle w:val="wpListBullet"/>
        <w:rPr>
          <w:lang w:eastAsia="en-GB"/>
        </w:rPr>
      </w:pPr>
      <w:r w:rsidRPr="001F7565">
        <w:rPr>
          <w:lang w:eastAsia="en-GB"/>
        </w:rPr>
        <w:t>ASLIB Index to Theses</w:t>
      </w:r>
    </w:p>
    <w:p w14:paraId="21B85EBF" w14:textId="77777777" w:rsidR="009D558F" w:rsidRPr="001F7565" w:rsidRDefault="009D558F" w:rsidP="00771953">
      <w:pPr>
        <w:pStyle w:val="wpListBullet"/>
        <w:rPr>
          <w:lang w:eastAsia="en-GB"/>
        </w:rPr>
      </w:pPr>
      <w:r w:rsidRPr="001F7565">
        <w:rPr>
          <w:lang w:eastAsia="en-GB"/>
        </w:rPr>
        <w:t>Australian Education Index (AEI)</w:t>
      </w:r>
    </w:p>
    <w:p w14:paraId="39179077" w14:textId="77777777" w:rsidR="009D558F" w:rsidRPr="001F7565" w:rsidRDefault="009D558F" w:rsidP="00771953">
      <w:pPr>
        <w:pStyle w:val="wpListBullet"/>
        <w:rPr>
          <w:lang w:eastAsia="en-GB"/>
        </w:rPr>
      </w:pPr>
      <w:r w:rsidRPr="001F7565">
        <w:rPr>
          <w:lang w:eastAsia="en-GB"/>
        </w:rPr>
        <w:t>British Education Index (BEI)</w:t>
      </w:r>
    </w:p>
    <w:p w14:paraId="580DFF38" w14:textId="77777777" w:rsidR="009D558F" w:rsidRPr="001F7565" w:rsidRDefault="009D558F" w:rsidP="00771953">
      <w:pPr>
        <w:pStyle w:val="wpListBullet"/>
        <w:rPr>
          <w:lang w:eastAsia="en-GB"/>
        </w:rPr>
      </w:pPr>
      <w:r w:rsidRPr="001F7565">
        <w:rPr>
          <w:lang w:eastAsia="en-GB"/>
        </w:rPr>
        <w:t>EBSCO Business Source Premier</w:t>
      </w:r>
    </w:p>
    <w:p w14:paraId="2C04E6F4" w14:textId="77777777" w:rsidR="009D558F" w:rsidRPr="001F7565" w:rsidRDefault="009D558F" w:rsidP="00771953">
      <w:pPr>
        <w:pStyle w:val="wpListBullet"/>
        <w:rPr>
          <w:lang w:eastAsia="en-GB"/>
        </w:rPr>
      </w:pPr>
      <w:r w:rsidRPr="001F7565">
        <w:rPr>
          <w:lang w:eastAsia="en-GB"/>
        </w:rPr>
        <w:t>EBSCO Electronic Journals Service</w:t>
      </w:r>
    </w:p>
    <w:p w14:paraId="531CEFCA" w14:textId="77777777" w:rsidR="009D558F" w:rsidRPr="001F7565" w:rsidRDefault="009D558F" w:rsidP="00771953">
      <w:pPr>
        <w:pStyle w:val="wpListBullet"/>
        <w:rPr>
          <w:lang w:eastAsia="en-GB"/>
        </w:rPr>
      </w:pPr>
      <w:r w:rsidRPr="001F7565">
        <w:rPr>
          <w:lang w:eastAsia="en-GB"/>
        </w:rPr>
        <w:t>Emerald</w:t>
      </w:r>
    </w:p>
    <w:p w14:paraId="1827E75C" w14:textId="77777777" w:rsidR="009D558F" w:rsidRPr="001F7565" w:rsidRDefault="009D558F" w:rsidP="00771953">
      <w:pPr>
        <w:pStyle w:val="wpListBullet"/>
        <w:rPr>
          <w:lang w:eastAsia="en-GB"/>
        </w:rPr>
      </w:pPr>
      <w:r w:rsidRPr="001F7565">
        <w:rPr>
          <w:lang w:eastAsia="en-GB"/>
        </w:rPr>
        <w:t>ERIC</w:t>
      </w:r>
    </w:p>
    <w:p w14:paraId="4DE37921" w14:textId="77777777" w:rsidR="009D558F" w:rsidRPr="001F7565" w:rsidRDefault="009D558F" w:rsidP="00771953">
      <w:pPr>
        <w:pStyle w:val="wpListBullet"/>
        <w:rPr>
          <w:lang w:eastAsia="en-GB"/>
        </w:rPr>
      </w:pPr>
      <w:r w:rsidRPr="001F7565">
        <w:rPr>
          <w:lang w:eastAsia="en-GB"/>
        </w:rPr>
        <w:t>Expanded Academic ASAP (via InfoTrac)</w:t>
      </w:r>
    </w:p>
    <w:p w14:paraId="0E183F07" w14:textId="77777777" w:rsidR="00072D6C" w:rsidRPr="001F7565" w:rsidRDefault="009D558F" w:rsidP="00771953">
      <w:pPr>
        <w:pStyle w:val="wpListBullet"/>
        <w:rPr>
          <w:lang w:eastAsia="en-GB"/>
        </w:rPr>
      </w:pPr>
      <w:r w:rsidRPr="001F7565">
        <w:rPr>
          <w:lang w:eastAsia="en-GB"/>
        </w:rPr>
        <w:t>Greynet (The Grey Literature Network Service, including the OpenGrey repository, containing over 700,000 bibliographical references to grey literature produced in Europe)</w:t>
      </w:r>
    </w:p>
    <w:p w14:paraId="2AAAD67C" w14:textId="0EA29419" w:rsidR="009D558F" w:rsidRPr="001F7565" w:rsidRDefault="009D558F" w:rsidP="00771953">
      <w:pPr>
        <w:pStyle w:val="wpListBullet"/>
        <w:rPr>
          <w:lang w:eastAsia="en-GB"/>
        </w:rPr>
      </w:pPr>
      <w:r w:rsidRPr="001F7565">
        <w:rPr>
          <w:lang w:eastAsia="en-GB"/>
        </w:rPr>
        <w:t>Library Plus</w:t>
      </w:r>
    </w:p>
    <w:p w14:paraId="76F3114F" w14:textId="77777777" w:rsidR="009D558F" w:rsidRPr="001F7565" w:rsidRDefault="009D558F" w:rsidP="00771953">
      <w:pPr>
        <w:pStyle w:val="wpListBullet"/>
        <w:rPr>
          <w:lang w:eastAsia="en-GB"/>
        </w:rPr>
      </w:pPr>
      <w:r w:rsidRPr="001F7565">
        <w:rPr>
          <w:lang w:eastAsia="en-GB"/>
        </w:rPr>
        <w:t>Proquest Database Collection</w:t>
      </w:r>
    </w:p>
    <w:p w14:paraId="65EC01BA" w14:textId="77777777" w:rsidR="009D558F" w:rsidRPr="001F7565" w:rsidRDefault="009D558F" w:rsidP="00771953">
      <w:pPr>
        <w:pStyle w:val="wpListBullet"/>
        <w:rPr>
          <w:lang w:eastAsia="en-GB"/>
        </w:rPr>
      </w:pPr>
      <w:r w:rsidRPr="001F7565">
        <w:rPr>
          <w:lang w:eastAsia="en-GB"/>
        </w:rPr>
        <w:t>PsycArticles</w:t>
      </w:r>
    </w:p>
    <w:p w14:paraId="2A0B2A7E" w14:textId="77777777" w:rsidR="009D558F" w:rsidRPr="001F7565" w:rsidRDefault="009D558F" w:rsidP="00771953">
      <w:pPr>
        <w:pStyle w:val="wpListBullet"/>
        <w:rPr>
          <w:lang w:eastAsia="en-GB"/>
        </w:rPr>
      </w:pPr>
      <w:r w:rsidRPr="001F7565">
        <w:rPr>
          <w:lang w:eastAsia="en-GB"/>
        </w:rPr>
        <w:t>PsycINFO (EBSCO)</w:t>
      </w:r>
    </w:p>
    <w:p w14:paraId="0969E929" w14:textId="77777777" w:rsidR="009D558F" w:rsidRPr="001F7565" w:rsidRDefault="009D558F" w:rsidP="00771953">
      <w:pPr>
        <w:pStyle w:val="wpListBullet"/>
        <w:rPr>
          <w:lang w:eastAsia="en-GB"/>
        </w:rPr>
      </w:pPr>
      <w:r w:rsidRPr="001F7565">
        <w:rPr>
          <w:lang w:eastAsia="en-GB"/>
        </w:rPr>
        <w:t>Social Policy and Practice (http://www.spandp.net/)</w:t>
      </w:r>
    </w:p>
    <w:p w14:paraId="3F228503" w14:textId="77777777" w:rsidR="009D558F" w:rsidRPr="001F7565" w:rsidRDefault="009D558F" w:rsidP="00771953">
      <w:pPr>
        <w:pStyle w:val="wpListBullet"/>
        <w:rPr>
          <w:lang w:val="fr-FR" w:eastAsia="en-GB"/>
        </w:rPr>
      </w:pPr>
      <w:r w:rsidRPr="001F7565">
        <w:rPr>
          <w:lang w:val="fr-FR" w:eastAsia="en-GB"/>
        </w:rPr>
        <w:t>Social Sciences Citation Index (SSCI) 1970-</w:t>
      </w:r>
    </w:p>
    <w:p w14:paraId="2A55A9FE" w14:textId="77777777" w:rsidR="009D558F" w:rsidRPr="001F7565" w:rsidRDefault="009D558F" w:rsidP="00771953">
      <w:pPr>
        <w:pStyle w:val="wpListBullet"/>
        <w:rPr>
          <w:lang w:eastAsia="en-GB"/>
        </w:rPr>
      </w:pPr>
      <w:r w:rsidRPr="001F7565">
        <w:rPr>
          <w:lang w:eastAsia="en-GB"/>
        </w:rPr>
        <w:t>Social Science Research Network (SSRN)</w:t>
      </w:r>
    </w:p>
    <w:p w14:paraId="33675050" w14:textId="77777777" w:rsidR="009D558F" w:rsidRPr="001F7565" w:rsidRDefault="009D558F" w:rsidP="00771953">
      <w:pPr>
        <w:pStyle w:val="wpListBullet"/>
        <w:rPr>
          <w:lang w:eastAsia="en-GB"/>
        </w:rPr>
      </w:pPr>
      <w:r w:rsidRPr="001F7565">
        <w:rPr>
          <w:lang w:eastAsia="en-GB"/>
        </w:rPr>
        <w:t>Sociological Abstracts</w:t>
      </w:r>
    </w:p>
    <w:p w14:paraId="1D80DB24" w14:textId="77777777" w:rsidR="009D558F" w:rsidRPr="001F7565" w:rsidRDefault="009D558F" w:rsidP="00771953">
      <w:pPr>
        <w:pStyle w:val="wpListBullet"/>
        <w:rPr>
          <w:lang w:eastAsia="en-GB"/>
        </w:rPr>
      </w:pPr>
      <w:r w:rsidRPr="001F7565">
        <w:rPr>
          <w:lang w:eastAsia="en-GB"/>
        </w:rPr>
        <w:t>Taylor and Francis</w:t>
      </w:r>
    </w:p>
    <w:p w14:paraId="7363B1E4" w14:textId="77777777" w:rsidR="009D558F" w:rsidRPr="001F7565" w:rsidRDefault="009D558F" w:rsidP="00771953">
      <w:pPr>
        <w:pStyle w:val="wpListBullet"/>
        <w:rPr>
          <w:lang w:eastAsia="en-GB"/>
        </w:rPr>
      </w:pPr>
      <w:r w:rsidRPr="001F7565">
        <w:rPr>
          <w:lang w:eastAsia="en-GB"/>
        </w:rPr>
        <w:t>Web of Knowledge</w:t>
      </w:r>
    </w:p>
    <w:p w14:paraId="52AC7269" w14:textId="77777777" w:rsidR="009D558F" w:rsidRPr="001F7565" w:rsidRDefault="009D558F" w:rsidP="00771953">
      <w:pPr>
        <w:pStyle w:val="wpListBullet"/>
        <w:rPr>
          <w:lang w:eastAsia="en-GB"/>
        </w:rPr>
      </w:pPr>
      <w:r w:rsidRPr="001F7565">
        <w:rPr>
          <w:lang w:eastAsia="en-GB"/>
        </w:rPr>
        <w:t>ZETOC (Electronic Table of Contents from the British Library)</w:t>
      </w:r>
    </w:p>
    <w:p w14:paraId="3CAE0647" w14:textId="77777777" w:rsidR="009D558F" w:rsidRPr="001F7565" w:rsidRDefault="009D558F" w:rsidP="009D774D">
      <w:pPr>
        <w:pStyle w:val="wpBodyText"/>
        <w:rPr>
          <w:lang w:eastAsia="en-GB"/>
        </w:rPr>
      </w:pPr>
      <w:r w:rsidRPr="001F7565">
        <w:rPr>
          <w:lang w:eastAsia="en-GB"/>
        </w:rPr>
        <w:t xml:space="preserve">Some of the above </w:t>
      </w:r>
      <w:proofErr w:type="gramStart"/>
      <w:r w:rsidRPr="001F7565">
        <w:rPr>
          <w:lang w:eastAsia="en-GB"/>
        </w:rPr>
        <w:t>list</w:t>
      </w:r>
      <w:proofErr w:type="gramEnd"/>
      <w:r w:rsidRPr="001F7565">
        <w:rPr>
          <w:lang w:eastAsia="en-GB"/>
        </w:rPr>
        <w:t xml:space="preserve"> were searched at the same time using Library Plus and other multiple search tools. </w:t>
      </w:r>
    </w:p>
    <w:p w14:paraId="7B33AD5A" w14:textId="3B62E6BC" w:rsidR="009D558F" w:rsidRPr="001F7565" w:rsidRDefault="009D558F" w:rsidP="009D774D">
      <w:pPr>
        <w:pStyle w:val="wpBodyText"/>
        <w:rPr>
          <w:lang w:eastAsia="en-GB"/>
        </w:rPr>
      </w:pPr>
      <w:r w:rsidRPr="001F7565">
        <w:rPr>
          <w:lang w:eastAsia="en-GB"/>
        </w:rPr>
        <w:t>Following the database searches, added additional references were added from previous literature</w:t>
      </w:r>
      <w:r w:rsidR="0044330B" w:rsidRPr="001F7565">
        <w:rPr>
          <w:lang w:eastAsia="en-GB"/>
        </w:rPr>
        <w:t>-</w:t>
      </w:r>
      <w:r w:rsidRPr="001F7565">
        <w:rPr>
          <w:lang w:eastAsia="en-GB"/>
        </w:rPr>
        <w:t xml:space="preserve">based studies and from researchers’ own bibliographic databases </w:t>
      </w:r>
      <w:proofErr w:type="gramStart"/>
      <w:r w:rsidRPr="001F7565">
        <w:rPr>
          <w:lang w:eastAsia="en-GB"/>
        </w:rPr>
        <w:t>e.g.</w:t>
      </w:r>
      <w:proofErr w:type="gramEnd"/>
      <w:r w:rsidRPr="001F7565">
        <w:rPr>
          <w:lang w:eastAsia="en-GB"/>
        </w:rPr>
        <w:t xml:space="preserve"> CiteULike.  </w:t>
      </w:r>
    </w:p>
    <w:p w14:paraId="088E548D" w14:textId="77777777" w:rsidR="009D558F" w:rsidRPr="001F7565" w:rsidRDefault="009D558F" w:rsidP="009D558F">
      <w:pPr>
        <w:spacing w:after="180" w:line="288" w:lineRule="auto"/>
        <w:jc w:val="both"/>
        <w:rPr>
          <w:rFonts w:eastAsia="Times New Roman" w:cs="Times New Roman"/>
          <w:sz w:val="21"/>
          <w:lang w:eastAsia="en-GB"/>
        </w:rPr>
      </w:pPr>
      <w:r w:rsidRPr="001F7565">
        <w:rPr>
          <w:rFonts w:eastAsia="Times New Roman" w:cs="Times New Roman"/>
          <w:sz w:val="21"/>
          <w:lang w:eastAsia="en-GB"/>
        </w:rPr>
        <w:br w:type="page"/>
      </w:r>
    </w:p>
    <w:p w14:paraId="574E6CA1" w14:textId="307641F8" w:rsidR="009D558F" w:rsidRPr="001F7565" w:rsidRDefault="009D558F" w:rsidP="00771953">
      <w:pPr>
        <w:pStyle w:val="wpHeading1"/>
        <w:rPr>
          <w:rFonts w:eastAsia="Times New Roman"/>
          <w:lang w:eastAsia="en-GB"/>
        </w:rPr>
      </w:pPr>
      <w:r w:rsidRPr="001F7565">
        <w:rPr>
          <w:rFonts w:eastAsia="Times New Roman"/>
          <w:lang w:eastAsia="en-GB"/>
        </w:rPr>
        <w:lastRenderedPageBreak/>
        <w:t>Annex B: References</w:t>
      </w:r>
      <w:r w:rsidR="00C90613" w:rsidRPr="001F7565">
        <w:rPr>
          <w:rFonts w:eastAsia="Times New Roman"/>
          <w:lang w:eastAsia="en-GB"/>
        </w:rPr>
        <w:t xml:space="preserve"> </w:t>
      </w:r>
    </w:p>
    <w:p w14:paraId="5D9AB425" w14:textId="05A0D2ED" w:rsidR="008E27C1" w:rsidRPr="001F7565" w:rsidRDefault="008E27C1" w:rsidP="008E27C1">
      <w:pPr>
        <w:pStyle w:val="wpBodyText"/>
        <w:rPr>
          <w:lang w:eastAsia="en-GB"/>
        </w:rPr>
      </w:pPr>
      <w:r w:rsidRPr="001F7565">
        <w:rPr>
          <w:lang w:eastAsia="en-GB"/>
        </w:rPr>
        <w:t>Barnes</w:t>
      </w:r>
      <w:r w:rsidR="003B7CA3" w:rsidRPr="001F7565">
        <w:rPr>
          <w:lang w:eastAsia="en-GB"/>
        </w:rPr>
        <w:t>,</w:t>
      </w:r>
      <w:r w:rsidRPr="001F7565">
        <w:rPr>
          <w:lang w:eastAsia="en-GB"/>
        </w:rPr>
        <w:t xml:space="preserve"> S</w:t>
      </w:r>
      <w:r w:rsidR="003B7CA3" w:rsidRPr="001F7565">
        <w:rPr>
          <w:lang w:eastAsia="en-GB"/>
        </w:rPr>
        <w:t>.</w:t>
      </w:r>
      <w:r w:rsidRPr="001F7565">
        <w:rPr>
          <w:lang w:eastAsia="en-GB"/>
        </w:rPr>
        <w:t>, Bimrose</w:t>
      </w:r>
      <w:r w:rsidR="003B7CA3" w:rsidRPr="001F7565">
        <w:rPr>
          <w:lang w:eastAsia="en-GB"/>
        </w:rPr>
        <w:t>,</w:t>
      </w:r>
      <w:r w:rsidRPr="001F7565">
        <w:rPr>
          <w:lang w:eastAsia="en-GB"/>
        </w:rPr>
        <w:t xml:space="preserve"> J</w:t>
      </w:r>
      <w:r w:rsidR="003B7CA3" w:rsidRPr="001F7565">
        <w:rPr>
          <w:lang w:eastAsia="en-GB"/>
        </w:rPr>
        <w:t>.</w:t>
      </w:r>
      <w:r w:rsidRPr="001F7565">
        <w:rPr>
          <w:lang w:eastAsia="en-GB"/>
        </w:rPr>
        <w:t xml:space="preserve"> and Brow</w:t>
      </w:r>
      <w:r w:rsidR="003B7CA3" w:rsidRPr="001F7565">
        <w:rPr>
          <w:lang w:eastAsia="en-GB"/>
        </w:rPr>
        <w:t>,</w:t>
      </w:r>
      <w:r w:rsidRPr="001F7565">
        <w:rPr>
          <w:lang w:eastAsia="en-GB"/>
        </w:rPr>
        <w:t xml:space="preserve"> A</w:t>
      </w:r>
      <w:r w:rsidR="003B7CA3" w:rsidRPr="001F7565">
        <w:rPr>
          <w:lang w:eastAsia="en-GB"/>
        </w:rPr>
        <w:t>.</w:t>
      </w:r>
      <w:r w:rsidRPr="001F7565">
        <w:rPr>
          <w:lang w:eastAsia="en-GB"/>
        </w:rPr>
        <w:t xml:space="preserve"> Kettunen</w:t>
      </w:r>
      <w:r w:rsidR="003B7CA3" w:rsidRPr="001F7565">
        <w:rPr>
          <w:lang w:eastAsia="en-GB"/>
        </w:rPr>
        <w:t>,</w:t>
      </w:r>
      <w:r w:rsidRPr="001F7565">
        <w:rPr>
          <w:lang w:eastAsia="en-GB"/>
        </w:rPr>
        <w:t xml:space="preserve"> J</w:t>
      </w:r>
      <w:r w:rsidR="003B7CA3" w:rsidRPr="001F7565">
        <w:rPr>
          <w:lang w:eastAsia="en-GB"/>
        </w:rPr>
        <w:t>.</w:t>
      </w:r>
      <w:r w:rsidRPr="001F7565">
        <w:rPr>
          <w:lang w:eastAsia="en-GB"/>
        </w:rPr>
        <w:t xml:space="preserve"> Vuorinen</w:t>
      </w:r>
      <w:r w:rsidR="003B7CA3" w:rsidRPr="001F7565">
        <w:rPr>
          <w:lang w:eastAsia="en-GB"/>
        </w:rPr>
        <w:t>,</w:t>
      </w:r>
      <w:r w:rsidRPr="001F7565">
        <w:rPr>
          <w:lang w:eastAsia="en-GB"/>
        </w:rPr>
        <w:t xml:space="preserve"> R</w:t>
      </w:r>
      <w:r w:rsidR="003B7CA3" w:rsidRPr="001F7565">
        <w:rPr>
          <w:lang w:eastAsia="en-GB"/>
        </w:rPr>
        <w:t>.</w:t>
      </w:r>
      <w:r w:rsidRPr="001F7565">
        <w:rPr>
          <w:lang w:eastAsia="en-GB"/>
        </w:rPr>
        <w:t xml:space="preserve"> (2020). </w:t>
      </w:r>
      <w:r w:rsidRPr="001F7565">
        <w:rPr>
          <w:i/>
          <w:iCs/>
          <w:lang w:eastAsia="en-GB"/>
        </w:rPr>
        <w:t>Lifelong guidance policy and practice in the EU: trends, challenges and opportunities</w:t>
      </w:r>
      <w:proofErr w:type="gramStart"/>
      <w:r w:rsidRPr="001F7565">
        <w:rPr>
          <w:lang w:eastAsia="en-GB"/>
        </w:rPr>
        <w:t>. :</w:t>
      </w:r>
      <w:proofErr w:type="gramEnd"/>
      <w:r w:rsidRPr="001F7565">
        <w:rPr>
          <w:lang w:eastAsia="en-GB"/>
        </w:rPr>
        <w:t xml:space="preserve"> European Commission , pp.</w:t>
      </w:r>
      <w:r w:rsidR="003B7CA3" w:rsidRPr="001F7565">
        <w:rPr>
          <w:lang w:eastAsia="en-GB"/>
        </w:rPr>
        <w:t xml:space="preserve"> 1-140</w:t>
      </w:r>
      <w:r w:rsidRPr="001F7565">
        <w:rPr>
          <w:lang w:eastAsia="en-GB"/>
        </w:rPr>
        <w:t xml:space="preserve">. </w:t>
      </w:r>
    </w:p>
    <w:p w14:paraId="30A16069" w14:textId="3810AA6F"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Behaghel L, Crépon</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B</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and Gurg</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M</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(2014). Private and Public Provision of </w:t>
      </w:r>
      <w:r w:rsidR="003B7CA3" w:rsidRPr="001F7565">
        <w:rPr>
          <w:rFonts w:ascii="Cambria" w:hAnsi="Cambria" w:cs="Segoe UI"/>
          <w:color w:val="212529"/>
          <w:sz w:val="22"/>
          <w:szCs w:val="22"/>
        </w:rPr>
        <w:t>Counselling</w:t>
      </w:r>
      <w:r w:rsidRPr="001F7565">
        <w:rPr>
          <w:rFonts w:ascii="Cambria" w:hAnsi="Cambria" w:cs="Segoe UI"/>
          <w:color w:val="212529"/>
          <w:sz w:val="22"/>
          <w:szCs w:val="22"/>
        </w:rPr>
        <w:t xml:space="preserve"> to Job Seekers: Evidence from a Large Controlled Experiment. </w:t>
      </w:r>
      <w:r w:rsidRPr="001F7565">
        <w:rPr>
          <w:rFonts w:ascii="Cambria" w:hAnsi="Cambria" w:cs="Segoe UI"/>
          <w:i/>
          <w:iCs/>
          <w:color w:val="212529"/>
          <w:sz w:val="22"/>
          <w:szCs w:val="22"/>
        </w:rPr>
        <w:t>American Economic Journal: Applied Economics</w:t>
      </w:r>
      <w:r w:rsidRPr="001F7565">
        <w:rPr>
          <w:rFonts w:ascii="Cambria" w:hAnsi="Cambria" w:cs="Segoe UI"/>
          <w:color w:val="212529"/>
          <w:sz w:val="22"/>
          <w:szCs w:val="22"/>
        </w:rPr>
        <w:t xml:space="preserve">, </w:t>
      </w:r>
      <w:r w:rsidR="003B7CA3" w:rsidRPr="001F7565">
        <w:rPr>
          <w:rFonts w:ascii="Cambria" w:hAnsi="Cambria" w:cs="Segoe UI"/>
          <w:color w:val="212529"/>
          <w:sz w:val="22"/>
          <w:szCs w:val="22"/>
        </w:rPr>
        <w:t>6(4)</w:t>
      </w:r>
      <w:r w:rsidRPr="001F7565">
        <w:rPr>
          <w:rFonts w:ascii="Cambria" w:hAnsi="Cambria" w:cs="Segoe UI"/>
          <w:color w:val="212529"/>
          <w:sz w:val="22"/>
          <w:szCs w:val="22"/>
        </w:rPr>
        <w:t>, pp.</w:t>
      </w:r>
      <w:r w:rsidR="003B7CA3" w:rsidRPr="001F7565">
        <w:rPr>
          <w:rFonts w:ascii="Cambria" w:hAnsi="Cambria" w:cs="Segoe UI"/>
          <w:color w:val="212529"/>
          <w:sz w:val="22"/>
          <w:szCs w:val="22"/>
        </w:rPr>
        <w:t xml:space="preserve"> 142-174</w:t>
      </w:r>
      <w:r w:rsidRPr="001F7565">
        <w:rPr>
          <w:rFonts w:ascii="Cambria" w:hAnsi="Cambria" w:cs="Segoe UI"/>
          <w:color w:val="212529"/>
          <w:sz w:val="22"/>
          <w:szCs w:val="22"/>
        </w:rPr>
        <w:t>.</w:t>
      </w:r>
    </w:p>
    <w:p w14:paraId="39FC7A8E" w14:textId="6B80BAB4"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Bhopal</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K. (2020). Gender, </w:t>
      </w:r>
      <w:proofErr w:type="gramStart"/>
      <w:r w:rsidRPr="001F7565">
        <w:rPr>
          <w:rFonts w:ascii="Cambria" w:hAnsi="Cambria" w:cs="Segoe UI"/>
          <w:color w:val="212529"/>
          <w:sz w:val="22"/>
          <w:szCs w:val="22"/>
        </w:rPr>
        <w:t>ethnicity</w:t>
      </w:r>
      <w:proofErr w:type="gramEnd"/>
      <w:r w:rsidRPr="001F7565">
        <w:rPr>
          <w:rFonts w:ascii="Cambria" w:hAnsi="Cambria" w:cs="Segoe UI"/>
          <w:color w:val="212529"/>
          <w:sz w:val="22"/>
          <w:szCs w:val="22"/>
        </w:rPr>
        <w:t xml:space="preserve"> and career progression in UK higher education: a case study analysis. </w:t>
      </w:r>
      <w:r w:rsidR="003B7CA3" w:rsidRPr="001F7565">
        <w:rPr>
          <w:rFonts w:ascii="Cambria" w:hAnsi="Cambria" w:cs="Segoe UI"/>
          <w:i/>
          <w:iCs/>
          <w:color w:val="212529"/>
          <w:sz w:val="22"/>
          <w:szCs w:val="22"/>
        </w:rPr>
        <w:t>Research Papers in Education</w:t>
      </w:r>
      <w:r w:rsidRPr="001F7565">
        <w:rPr>
          <w:rFonts w:ascii="Cambria" w:hAnsi="Cambria" w:cs="Segoe UI"/>
          <w:color w:val="212529"/>
          <w:sz w:val="22"/>
          <w:szCs w:val="22"/>
        </w:rPr>
        <w:t xml:space="preserve">, </w:t>
      </w:r>
      <w:r w:rsidR="003B7CA3" w:rsidRPr="001F7565">
        <w:rPr>
          <w:rFonts w:ascii="Cambria" w:hAnsi="Cambria" w:cs="Segoe UI"/>
          <w:color w:val="212529"/>
          <w:sz w:val="22"/>
          <w:szCs w:val="22"/>
        </w:rPr>
        <w:t>35(6)</w:t>
      </w:r>
      <w:r w:rsidRPr="001F7565">
        <w:rPr>
          <w:rFonts w:ascii="Cambria" w:hAnsi="Cambria" w:cs="Segoe UI"/>
          <w:color w:val="212529"/>
          <w:sz w:val="22"/>
          <w:szCs w:val="22"/>
        </w:rPr>
        <w:t>, pp.</w:t>
      </w:r>
      <w:r w:rsidR="003B7CA3" w:rsidRPr="001F7565">
        <w:rPr>
          <w:rFonts w:ascii="Cambria" w:hAnsi="Cambria" w:cs="Segoe UI"/>
          <w:color w:val="212529"/>
          <w:sz w:val="22"/>
          <w:szCs w:val="22"/>
        </w:rPr>
        <w:t xml:space="preserve"> 706-721.</w:t>
      </w:r>
    </w:p>
    <w:p w14:paraId="76AA3A4C" w14:textId="6CD63B24" w:rsidR="009D558F" w:rsidRPr="001F7565" w:rsidRDefault="009D558F" w:rsidP="009D774D">
      <w:pPr>
        <w:pStyle w:val="wpBodyText"/>
        <w:rPr>
          <w:lang w:eastAsia="en-GB"/>
        </w:rPr>
      </w:pPr>
      <w:r w:rsidRPr="001F7565">
        <w:rPr>
          <w:lang w:eastAsia="en-GB"/>
        </w:rPr>
        <w:t xml:space="preserve">Bimrose, J., Barnes, S. and Hughes, D. (2008).  </w:t>
      </w:r>
      <w:r w:rsidRPr="001F7565">
        <w:rPr>
          <w:i/>
          <w:lang w:eastAsia="en-GB"/>
        </w:rPr>
        <w:t xml:space="preserve">Adult Career Progression &amp; Advancement:  A </w:t>
      </w:r>
      <w:proofErr w:type="gramStart"/>
      <w:r w:rsidRPr="001F7565">
        <w:rPr>
          <w:i/>
          <w:lang w:eastAsia="en-GB"/>
        </w:rPr>
        <w:t>Five Year</w:t>
      </w:r>
      <w:proofErr w:type="gramEnd"/>
      <w:r w:rsidRPr="001F7565">
        <w:rPr>
          <w:i/>
          <w:lang w:eastAsia="en-GB"/>
        </w:rPr>
        <w:t xml:space="preserve"> Study of the Effectiveness of Guidance.</w:t>
      </w:r>
      <w:r w:rsidRPr="001F7565">
        <w:rPr>
          <w:lang w:eastAsia="en-GB"/>
        </w:rPr>
        <w:t xml:space="preserve"> London: Department for Education and Skills.</w:t>
      </w:r>
    </w:p>
    <w:p w14:paraId="71A7B5A2" w14:textId="69B36105" w:rsidR="008E27C1" w:rsidRPr="001F7565" w:rsidRDefault="008E27C1" w:rsidP="009D774D">
      <w:pPr>
        <w:pStyle w:val="wpBodyText"/>
        <w:rPr>
          <w:lang w:eastAsia="en-GB"/>
        </w:rPr>
      </w:pPr>
      <w:r w:rsidRPr="001F7565">
        <w:rPr>
          <w:lang w:eastAsia="en-GB"/>
        </w:rPr>
        <w:t>Bimrose</w:t>
      </w:r>
      <w:r w:rsidR="003B7CA3" w:rsidRPr="001F7565">
        <w:rPr>
          <w:lang w:eastAsia="en-GB"/>
        </w:rPr>
        <w:t>,</w:t>
      </w:r>
      <w:r w:rsidRPr="001F7565">
        <w:rPr>
          <w:lang w:eastAsia="en-GB"/>
        </w:rPr>
        <w:t xml:space="preserve"> J, Watson</w:t>
      </w:r>
      <w:r w:rsidR="003B7CA3" w:rsidRPr="001F7565">
        <w:rPr>
          <w:lang w:eastAsia="en-GB"/>
        </w:rPr>
        <w:t>,</w:t>
      </w:r>
      <w:r w:rsidRPr="001F7565">
        <w:rPr>
          <w:lang w:eastAsia="en-GB"/>
        </w:rPr>
        <w:t xml:space="preserve"> M</w:t>
      </w:r>
      <w:r w:rsidR="003B7CA3" w:rsidRPr="001F7565">
        <w:rPr>
          <w:lang w:eastAsia="en-GB"/>
        </w:rPr>
        <w:t>.</w:t>
      </w:r>
      <w:r w:rsidRPr="001F7565">
        <w:rPr>
          <w:lang w:eastAsia="en-GB"/>
        </w:rPr>
        <w:t xml:space="preserve"> and McMahon</w:t>
      </w:r>
      <w:r w:rsidR="003B7CA3" w:rsidRPr="001F7565">
        <w:rPr>
          <w:lang w:eastAsia="en-GB"/>
        </w:rPr>
        <w:t>,</w:t>
      </w:r>
      <w:r w:rsidRPr="001F7565">
        <w:rPr>
          <w:lang w:eastAsia="en-GB"/>
        </w:rPr>
        <w:t xml:space="preserve"> M</w:t>
      </w:r>
      <w:r w:rsidR="003B7CA3" w:rsidRPr="001F7565">
        <w:rPr>
          <w:lang w:eastAsia="en-GB"/>
        </w:rPr>
        <w:t>.</w:t>
      </w:r>
      <w:r w:rsidRPr="001F7565">
        <w:rPr>
          <w:lang w:eastAsia="en-GB"/>
        </w:rPr>
        <w:t xml:space="preserve"> Haasler</w:t>
      </w:r>
      <w:r w:rsidR="003B7CA3" w:rsidRPr="001F7565">
        <w:rPr>
          <w:lang w:eastAsia="en-GB"/>
        </w:rPr>
        <w:t>,</w:t>
      </w:r>
      <w:r w:rsidRPr="001F7565">
        <w:rPr>
          <w:lang w:eastAsia="en-GB"/>
        </w:rPr>
        <w:t xml:space="preserve"> S</w:t>
      </w:r>
      <w:r w:rsidR="003B7CA3" w:rsidRPr="001F7565">
        <w:rPr>
          <w:lang w:eastAsia="en-GB"/>
        </w:rPr>
        <w:t>.</w:t>
      </w:r>
      <w:r w:rsidRPr="001F7565">
        <w:rPr>
          <w:lang w:eastAsia="en-GB"/>
        </w:rPr>
        <w:t xml:space="preserve"> Tomassini</w:t>
      </w:r>
      <w:r w:rsidR="003B7CA3" w:rsidRPr="001F7565">
        <w:rPr>
          <w:lang w:eastAsia="en-GB"/>
        </w:rPr>
        <w:t>,</w:t>
      </w:r>
      <w:r w:rsidRPr="001F7565">
        <w:rPr>
          <w:lang w:eastAsia="en-GB"/>
        </w:rPr>
        <w:t xml:space="preserve"> M</w:t>
      </w:r>
      <w:r w:rsidR="003B7CA3" w:rsidRPr="001F7565">
        <w:rPr>
          <w:lang w:eastAsia="en-GB"/>
        </w:rPr>
        <w:t>.</w:t>
      </w:r>
      <w:r w:rsidRPr="001F7565">
        <w:rPr>
          <w:lang w:eastAsia="en-GB"/>
        </w:rPr>
        <w:t xml:space="preserve"> Suzanne</w:t>
      </w:r>
      <w:r w:rsidR="003B7CA3" w:rsidRPr="001F7565">
        <w:rPr>
          <w:lang w:eastAsia="en-GB"/>
        </w:rPr>
        <w:t>,</w:t>
      </w:r>
      <w:r w:rsidRPr="001F7565">
        <w:rPr>
          <w:lang w:eastAsia="en-GB"/>
        </w:rPr>
        <w:t xml:space="preserve"> P</w:t>
      </w:r>
      <w:r w:rsidR="003B7CA3" w:rsidRPr="001F7565">
        <w:rPr>
          <w:lang w:eastAsia="en-GB"/>
        </w:rPr>
        <w:t>.</w:t>
      </w:r>
      <w:r w:rsidRPr="001F7565">
        <w:rPr>
          <w:lang w:eastAsia="en-GB"/>
        </w:rPr>
        <w:t xml:space="preserve"> (2014). The problem with women? Challenges posed by gender for career guidance practice. </w:t>
      </w:r>
      <w:r w:rsidRPr="001F7565">
        <w:rPr>
          <w:i/>
          <w:iCs/>
          <w:lang w:eastAsia="en-GB"/>
        </w:rPr>
        <w:t>International Journal Educ</w:t>
      </w:r>
      <w:r w:rsidR="003B7CA3" w:rsidRPr="001F7565">
        <w:rPr>
          <w:i/>
          <w:iCs/>
          <w:lang w:eastAsia="en-GB"/>
        </w:rPr>
        <w:t>ation</w:t>
      </w:r>
      <w:r w:rsidRPr="001F7565">
        <w:rPr>
          <w:i/>
          <w:iCs/>
          <w:lang w:eastAsia="en-GB"/>
        </w:rPr>
        <w:t xml:space="preserve"> Vocational Guidance</w:t>
      </w:r>
      <w:r w:rsidRPr="001F7565">
        <w:rPr>
          <w:lang w:eastAsia="en-GB"/>
        </w:rPr>
        <w:t>, pp.</w:t>
      </w:r>
      <w:r w:rsidR="003B7CA3" w:rsidRPr="001F7565">
        <w:rPr>
          <w:lang w:eastAsia="en-GB"/>
        </w:rPr>
        <w:t>77-88</w:t>
      </w:r>
      <w:r w:rsidRPr="001F7565">
        <w:rPr>
          <w:lang w:eastAsia="en-GB"/>
        </w:rPr>
        <w:t>.</w:t>
      </w:r>
    </w:p>
    <w:p w14:paraId="7B8B5F54" w14:textId="445389F3" w:rsidR="009D558F" w:rsidRPr="001F7565" w:rsidRDefault="009D558F" w:rsidP="009D774D">
      <w:pPr>
        <w:pStyle w:val="wpBodyText"/>
        <w:rPr>
          <w:lang w:eastAsia="en-GB"/>
        </w:rPr>
      </w:pPr>
      <w:r w:rsidRPr="001F7565">
        <w:rPr>
          <w:lang w:eastAsia="en-GB"/>
        </w:rPr>
        <w:t xml:space="preserve">Brown, S., &amp; Ryan Krane, N. (2000). </w:t>
      </w:r>
      <w:r w:rsidRPr="001F7565">
        <w:rPr>
          <w:i/>
          <w:lang w:eastAsia="en-GB"/>
        </w:rPr>
        <w:t xml:space="preserve">Four (or five) sessions and a cloud of dust: Old assumptions and new observations about career </w:t>
      </w:r>
      <w:r w:rsidR="003B7CA3" w:rsidRPr="001F7565">
        <w:rPr>
          <w:i/>
          <w:lang w:eastAsia="en-GB"/>
        </w:rPr>
        <w:t>counselling</w:t>
      </w:r>
      <w:r w:rsidRPr="001F7565">
        <w:rPr>
          <w:i/>
          <w:lang w:eastAsia="en-GB"/>
        </w:rPr>
        <w:t xml:space="preserve">. </w:t>
      </w:r>
      <w:r w:rsidRPr="001F7565">
        <w:rPr>
          <w:lang w:eastAsia="en-GB"/>
        </w:rPr>
        <w:t xml:space="preserve">In S. Brown &amp; R. Lent (Eds.), Handbook of </w:t>
      </w:r>
      <w:r w:rsidR="003B7CA3" w:rsidRPr="001F7565">
        <w:rPr>
          <w:lang w:eastAsia="en-GB"/>
        </w:rPr>
        <w:t>counselling</w:t>
      </w:r>
      <w:r w:rsidRPr="001F7565">
        <w:rPr>
          <w:lang w:eastAsia="en-GB"/>
        </w:rPr>
        <w:t xml:space="preserve"> psychology (3rd ed.) (pp. 740–766). Hoboken, NJ: John Wiley &amp; Sons Inc. Referenced in: McLaren (2014).</w:t>
      </w:r>
    </w:p>
    <w:p w14:paraId="354B5CB1" w14:textId="5DF58326"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Callanan</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G A</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and Perri</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D F</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Tomkowicz</w:t>
      </w:r>
      <w:r w:rsidR="003B7CA3" w:rsidRPr="001F7565">
        <w:rPr>
          <w:rFonts w:ascii="Cambria" w:hAnsi="Cambria" w:cs="Segoe UI"/>
          <w:color w:val="212529"/>
          <w:sz w:val="22"/>
          <w:szCs w:val="22"/>
        </w:rPr>
        <w:t>,</w:t>
      </w:r>
      <w:r w:rsidRPr="001F7565">
        <w:rPr>
          <w:rFonts w:ascii="Cambria" w:hAnsi="Cambria" w:cs="Segoe UI"/>
          <w:color w:val="212529"/>
          <w:sz w:val="22"/>
          <w:szCs w:val="22"/>
        </w:rPr>
        <w:t xml:space="preserve"> S M. (2017). Career management in uncertain times: challenges and opportunities. </w:t>
      </w:r>
      <w:r w:rsidRPr="001F7565">
        <w:rPr>
          <w:rFonts w:ascii="Cambria" w:hAnsi="Cambria" w:cs="Segoe UI"/>
          <w:i/>
          <w:iCs/>
          <w:color w:val="212529"/>
          <w:sz w:val="22"/>
          <w:szCs w:val="22"/>
        </w:rPr>
        <w:t>The Career Development Quarterly</w:t>
      </w:r>
      <w:r w:rsidRPr="001F7565">
        <w:rPr>
          <w:rFonts w:ascii="Cambria" w:hAnsi="Cambria" w:cs="Segoe UI"/>
          <w:color w:val="212529"/>
          <w:sz w:val="22"/>
          <w:szCs w:val="22"/>
        </w:rPr>
        <w:t xml:space="preserve">, </w:t>
      </w:r>
      <w:r w:rsidR="003B7CA3" w:rsidRPr="001F7565">
        <w:rPr>
          <w:rFonts w:ascii="Cambria" w:hAnsi="Cambria" w:cs="Segoe UI"/>
          <w:color w:val="212529"/>
          <w:sz w:val="22"/>
          <w:szCs w:val="22"/>
        </w:rPr>
        <w:t>35</w:t>
      </w:r>
      <w:r w:rsidRPr="001F7565">
        <w:rPr>
          <w:rFonts w:ascii="Cambria" w:hAnsi="Cambria" w:cs="Segoe UI"/>
          <w:color w:val="212529"/>
          <w:sz w:val="22"/>
          <w:szCs w:val="22"/>
        </w:rPr>
        <w:t>, pp.</w:t>
      </w:r>
      <w:r w:rsidR="003B7CA3" w:rsidRPr="001F7565">
        <w:rPr>
          <w:rFonts w:ascii="Cambria" w:hAnsi="Cambria" w:cs="Segoe UI"/>
          <w:color w:val="212529"/>
          <w:sz w:val="22"/>
          <w:szCs w:val="22"/>
        </w:rPr>
        <w:t>353-</w:t>
      </w:r>
      <w:r w:rsidR="00CE46FF" w:rsidRPr="001F7565">
        <w:rPr>
          <w:rFonts w:ascii="Cambria" w:hAnsi="Cambria" w:cs="Segoe UI"/>
          <w:color w:val="212529"/>
          <w:sz w:val="22"/>
          <w:szCs w:val="22"/>
        </w:rPr>
        <w:t>366</w:t>
      </w:r>
      <w:r w:rsidRPr="001F7565">
        <w:rPr>
          <w:rFonts w:ascii="Cambria" w:hAnsi="Cambria" w:cs="Segoe UI"/>
          <w:color w:val="212529"/>
          <w:sz w:val="22"/>
          <w:szCs w:val="22"/>
        </w:rPr>
        <w:t>.</w:t>
      </w:r>
    </w:p>
    <w:p w14:paraId="69C65531" w14:textId="4B49E858" w:rsidR="008E27C1" w:rsidRPr="001F7565" w:rsidRDefault="008E27C1" w:rsidP="00963164">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Davis</w:t>
      </w:r>
      <w:r w:rsidR="00CE46FF" w:rsidRPr="001F7565">
        <w:rPr>
          <w:rFonts w:ascii="Cambria" w:hAnsi="Cambria" w:cs="Segoe UI"/>
          <w:color w:val="212529"/>
          <w:sz w:val="22"/>
          <w:szCs w:val="22"/>
        </w:rPr>
        <w:t>,</w:t>
      </w:r>
      <w:r w:rsidRPr="001F7565">
        <w:rPr>
          <w:rFonts w:ascii="Cambria" w:hAnsi="Cambria" w:cs="Segoe UI"/>
          <w:color w:val="212529"/>
          <w:sz w:val="22"/>
          <w:szCs w:val="22"/>
        </w:rPr>
        <w:t xml:space="preserve"> P. (2015). Implementing an employee career-development strategy How to build commitment and retain employees. </w:t>
      </w:r>
      <w:r w:rsidRPr="001F7565">
        <w:rPr>
          <w:rFonts w:ascii="Cambria" w:hAnsi="Cambria" w:cs="Segoe UI"/>
          <w:i/>
          <w:iCs/>
          <w:color w:val="212529"/>
          <w:sz w:val="22"/>
          <w:szCs w:val="22"/>
        </w:rPr>
        <w:t>Human Resource Management International Digest</w:t>
      </w:r>
      <w:r w:rsidRPr="001F7565">
        <w:rPr>
          <w:rFonts w:ascii="Cambria" w:hAnsi="Cambria" w:cs="Segoe UI"/>
          <w:color w:val="212529"/>
          <w:sz w:val="22"/>
          <w:szCs w:val="22"/>
        </w:rPr>
        <w:t xml:space="preserve">, </w:t>
      </w:r>
      <w:r w:rsidR="00CE46FF" w:rsidRPr="001F7565">
        <w:rPr>
          <w:rFonts w:ascii="Cambria" w:hAnsi="Cambria" w:cs="Segoe UI"/>
          <w:color w:val="212529"/>
          <w:sz w:val="22"/>
          <w:szCs w:val="22"/>
        </w:rPr>
        <w:t>23(4)</w:t>
      </w:r>
      <w:r w:rsidRPr="001F7565">
        <w:rPr>
          <w:rFonts w:ascii="Cambria" w:hAnsi="Cambria" w:cs="Segoe UI"/>
          <w:color w:val="212529"/>
          <w:sz w:val="22"/>
          <w:szCs w:val="22"/>
        </w:rPr>
        <w:t>, pp.</w:t>
      </w:r>
      <w:r w:rsidR="00CE46FF" w:rsidRPr="001F7565">
        <w:rPr>
          <w:rFonts w:ascii="Cambria" w:hAnsi="Cambria" w:cs="Segoe UI"/>
          <w:color w:val="212529"/>
          <w:sz w:val="22"/>
          <w:szCs w:val="22"/>
        </w:rPr>
        <w:t>28-32</w:t>
      </w:r>
      <w:r w:rsidRPr="001F7565">
        <w:rPr>
          <w:rFonts w:ascii="Cambria" w:hAnsi="Cambria" w:cs="Segoe UI"/>
          <w:color w:val="212529"/>
          <w:sz w:val="22"/>
          <w:szCs w:val="22"/>
        </w:rPr>
        <w:t>.</w:t>
      </w:r>
    </w:p>
    <w:p w14:paraId="78BF242B" w14:textId="275C4444"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Gati</w:t>
      </w:r>
      <w:r w:rsidR="00CE46FF" w:rsidRPr="001F7565">
        <w:rPr>
          <w:rFonts w:ascii="Cambria" w:hAnsi="Cambria" w:cs="Segoe UI"/>
          <w:color w:val="212529"/>
          <w:sz w:val="22"/>
          <w:szCs w:val="22"/>
        </w:rPr>
        <w:t>,</w:t>
      </w:r>
      <w:r w:rsidRPr="001F7565">
        <w:rPr>
          <w:rFonts w:ascii="Cambria" w:hAnsi="Cambria" w:cs="Segoe UI"/>
          <w:color w:val="212529"/>
          <w:sz w:val="22"/>
          <w:szCs w:val="22"/>
        </w:rPr>
        <w:t xml:space="preserve"> I</w:t>
      </w:r>
      <w:r w:rsidR="00CE46FF" w:rsidRPr="001F7565">
        <w:rPr>
          <w:rFonts w:ascii="Cambria" w:hAnsi="Cambria" w:cs="Segoe UI"/>
          <w:color w:val="212529"/>
          <w:sz w:val="22"/>
          <w:szCs w:val="22"/>
        </w:rPr>
        <w:t>.</w:t>
      </w:r>
      <w:r w:rsidRPr="001F7565">
        <w:rPr>
          <w:rFonts w:ascii="Cambria" w:hAnsi="Cambria" w:cs="Segoe UI"/>
          <w:color w:val="212529"/>
          <w:sz w:val="22"/>
          <w:szCs w:val="22"/>
        </w:rPr>
        <w:t xml:space="preserve"> and Levin</w:t>
      </w:r>
      <w:r w:rsidR="00CE46FF" w:rsidRPr="001F7565">
        <w:rPr>
          <w:rFonts w:ascii="Cambria" w:hAnsi="Cambria" w:cs="Segoe UI"/>
          <w:color w:val="212529"/>
          <w:sz w:val="22"/>
          <w:szCs w:val="22"/>
        </w:rPr>
        <w:t>,</w:t>
      </w:r>
      <w:r w:rsidRPr="001F7565">
        <w:rPr>
          <w:rFonts w:ascii="Cambria" w:hAnsi="Cambria" w:cs="Segoe UI"/>
          <w:color w:val="212529"/>
          <w:sz w:val="22"/>
          <w:szCs w:val="22"/>
        </w:rPr>
        <w:t xml:space="preserve"> N. (2013). </w:t>
      </w:r>
      <w:r w:rsidR="00CE46FF" w:rsidRPr="001F7565">
        <w:rPr>
          <w:rFonts w:ascii="Cambria" w:hAnsi="Cambria" w:cs="Segoe UI"/>
          <w:color w:val="212529"/>
          <w:sz w:val="22"/>
          <w:szCs w:val="22"/>
        </w:rPr>
        <w:t>Counselling</w:t>
      </w:r>
      <w:r w:rsidRPr="001F7565">
        <w:rPr>
          <w:rFonts w:ascii="Cambria" w:hAnsi="Cambria" w:cs="Segoe UI"/>
          <w:color w:val="212529"/>
          <w:sz w:val="22"/>
          <w:szCs w:val="22"/>
        </w:rPr>
        <w:t xml:space="preserve"> for Career Decision-Making Difficulties: Measures and Methods,</w:t>
      </w:r>
      <w:r w:rsidR="00CE46FF" w:rsidRPr="001F7565">
        <w:rPr>
          <w:rFonts w:ascii="Cambria" w:hAnsi="Cambria" w:cs="Segoe UI"/>
          <w:color w:val="212529"/>
          <w:sz w:val="22"/>
          <w:szCs w:val="22"/>
        </w:rPr>
        <w:t xml:space="preserve"> </w:t>
      </w:r>
      <w:proofErr w:type="gramStart"/>
      <w:r w:rsidR="00CE46FF" w:rsidRPr="001F7565">
        <w:rPr>
          <w:rFonts w:ascii="Cambria" w:hAnsi="Cambria" w:cs="Segoe UI"/>
          <w:color w:val="212529"/>
          <w:sz w:val="22"/>
          <w:szCs w:val="22"/>
        </w:rPr>
        <w:t>68</w:t>
      </w:r>
      <w:r w:rsidRPr="001F7565">
        <w:rPr>
          <w:rFonts w:ascii="Cambria" w:hAnsi="Cambria" w:cs="Segoe UI"/>
          <w:color w:val="212529"/>
          <w:sz w:val="22"/>
          <w:szCs w:val="22"/>
        </w:rPr>
        <w:t xml:space="preserve"> ,</w:t>
      </w:r>
      <w:proofErr w:type="gramEnd"/>
      <w:r w:rsidRPr="001F7565">
        <w:rPr>
          <w:rFonts w:ascii="Cambria" w:hAnsi="Cambria" w:cs="Segoe UI"/>
          <w:color w:val="212529"/>
          <w:sz w:val="22"/>
          <w:szCs w:val="22"/>
        </w:rPr>
        <w:t xml:space="preserve"> pp.</w:t>
      </w:r>
      <w:r w:rsidR="00CE46FF" w:rsidRPr="001F7565">
        <w:rPr>
          <w:rFonts w:ascii="Cambria" w:hAnsi="Cambria" w:cs="Segoe UI"/>
          <w:color w:val="212529"/>
          <w:sz w:val="22"/>
          <w:szCs w:val="22"/>
        </w:rPr>
        <w:t>98-113</w:t>
      </w:r>
      <w:r w:rsidR="00963164" w:rsidRPr="001F7565">
        <w:rPr>
          <w:rFonts w:ascii="Cambria" w:hAnsi="Cambria" w:cs="Segoe UI"/>
          <w:color w:val="212529"/>
          <w:sz w:val="22"/>
          <w:szCs w:val="22"/>
        </w:rPr>
        <w:t>e</w:t>
      </w:r>
    </w:p>
    <w:p w14:paraId="2CD5251C" w14:textId="72DF1107" w:rsidR="009D558F" w:rsidRPr="001F7565" w:rsidRDefault="009D558F" w:rsidP="009D774D">
      <w:pPr>
        <w:pStyle w:val="wpBodyText"/>
        <w:rPr>
          <w:lang w:eastAsia="en-GB"/>
        </w:rPr>
      </w:pPr>
      <w:r w:rsidRPr="001F7565">
        <w:rPr>
          <w:lang w:eastAsia="en-GB"/>
        </w:rPr>
        <w:t xml:space="preserve">Henderson, S. (2009). </w:t>
      </w:r>
      <w:r w:rsidRPr="001F7565">
        <w:rPr>
          <w:i/>
          <w:lang w:eastAsia="en-GB"/>
        </w:rPr>
        <w:t>Assessment of Personal Goals: An Online Tool for Personal Counselling, Coaching and Business Consulting.</w:t>
      </w:r>
      <w:r w:rsidRPr="001F7565">
        <w:rPr>
          <w:lang w:eastAsia="en-GB"/>
        </w:rPr>
        <w:t xml:space="preserve">  Measurement and Evaluation in </w:t>
      </w:r>
      <w:r w:rsidR="0019452E" w:rsidRPr="001F7565">
        <w:rPr>
          <w:lang w:eastAsia="en-GB"/>
        </w:rPr>
        <w:t>Counselling</w:t>
      </w:r>
      <w:r w:rsidRPr="001F7565">
        <w:rPr>
          <w:lang w:eastAsia="en-GB"/>
        </w:rPr>
        <w:t xml:space="preserve"> and Development. 41.</w:t>
      </w:r>
    </w:p>
    <w:p w14:paraId="07FD65F0" w14:textId="108E362B" w:rsidR="009D558F" w:rsidRPr="001F7565" w:rsidRDefault="009D558F" w:rsidP="009D774D">
      <w:pPr>
        <w:pStyle w:val="wpBodyText"/>
        <w:rPr>
          <w:lang w:eastAsia="en-GB"/>
        </w:rPr>
      </w:pPr>
      <w:r w:rsidRPr="001F7565">
        <w:rPr>
          <w:lang w:eastAsia="en-GB"/>
        </w:rPr>
        <w:t xml:space="preserve">Hooley, T., Watts, A.G., Sultana, R. and Neary, S. (2013). </w:t>
      </w:r>
      <w:r w:rsidRPr="001F7565">
        <w:rPr>
          <w:i/>
          <w:lang w:eastAsia="en-GB"/>
        </w:rPr>
        <w:t>The ‘Blueprint’ framework for career management skills: a critical exploration</w:t>
      </w:r>
      <w:r w:rsidRPr="001F7565">
        <w:rPr>
          <w:lang w:eastAsia="en-GB"/>
        </w:rPr>
        <w:t>. British Journal of Guidance &amp; Counselling, 41:2, 117-131.</w:t>
      </w:r>
    </w:p>
    <w:p w14:paraId="0E997850" w14:textId="68DE7E85"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Hooley T. (2014). </w:t>
      </w:r>
      <w:r w:rsidRPr="001F7565">
        <w:rPr>
          <w:rFonts w:ascii="Cambria" w:hAnsi="Cambria" w:cs="Segoe UI"/>
          <w:i/>
          <w:iCs/>
          <w:color w:val="212529"/>
          <w:sz w:val="22"/>
          <w:szCs w:val="22"/>
        </w:rPr>
        <w:t>The Evidence Base on Lifelong Guidance: a Guide to Key Findings for Effective Policy and Practice</w:t>
      </w:r>
      <w:r w:rsidRPr="001F7565">
        <w:rPr>
          <w:rFonts w:ascii="Cambria" w:hAnsi="Cambria" w:cs="Segoe UI"/>
          <w:color w:val="212529"/>
          <w:sz w:val="22"/>
          <w:szCs w:val="22"/>
        </w:rPr>
        <w:t>. pp.</w:t>
      </w:r>
      <w:r w:rsidR="00963164" w:rsidRPr="001F7565">
        <w:rPr>
          <w:rFonts w:ascii="Cambria" w:hAnsi="Cambria" w:cs="Segoe UI"/>
          <w:color w:val="212529"/>
          <w:sz w:val="22"/>
          <w:szCs w:val="22"/>
        </w:rPr>
        <w:t>1-76</w:t>
      </w:r>
      <w:r w:rsidRPr="001F7565">
        <w:rPr>
          <w:rFonts w:ascii="Cambria" w:hAnsi="Cambria" w:cs="Segoe UI"/>
          <w:color w:val="212529"/>
          <w:sz w:val="22"/>
          <w:szCs w:val="22"/>
        </w:rPr>
        <w:t xml:space="preserve">. </w:t>
      </w:r>
    </w:p>
    <w:p w14:paraId="30A93E80" w14:textId="5DB33CB9"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 xml:space="preserve">Hooley T and Rice </w:t>
      </w:r>
      <w:proofErr w:type="gramStart"/>
      <w:r w:rsidRPr="001F7565">
        <w:rPr>
          <w:rFonts w:ascii="Cambria" w:hAnsi="Cambria" w:cs="Segoe UI"/>
          <w:color w:val="212529"/>
          <w:sz w:val="22"/>
          <w:szCs w:val="22"/>
        </w:rPr>
        <w:t>S .</w:t>
      </w:r>
      <w:proofErr w:type="gramEnd"/>
      <w:r w:rsidRPr="001F7565">
        <w:rPr>
          <w:rFonts w:ascii="Cambria" w:hAnsi="Cambria" w:cs="Segoe UI"/>
          <w:color w:val="212529"/>
          <w:sz w:val="22"/>
          <w:szCs w:val="22"/>
        </w:rPr>
        <w:t xml:space="preserve"> (2018). Ensuring quality in career guidance: a critical review. </w:t>
      </w:r>
      <w:r w:rsidRPr="001F7565">
        <w:rPr>
          <w:rFonts w:ascii="Cambria" w:hAnsi="Cambria" w:cs="Segoe UI"/>
          <w:i/>
          <w:iCs/>
          <w:color w:val="212529"/>
          <w:sz w:val="22"/>
          <w:szCs w:val="22"/>
        </w:rPr>
        <w:t>British Journal of Guidance &amp; Counselling</w:t>
      </w:r>
      <w:r w:rsidRPr="001F7565">
        <w:rPr>
          <w:rFonts w:ascii="Cambria" w:hAnsi="Cambria" w:cs="Segoe UI"/>
          <w:color w:val="212529"/>
          <w:sz w:val="22"/>
          <w:szCs w:val="22"/>
        </w:rPr>
        <w:t>, pp.</w:t>
      </w:r>
      <w:r w:rsidR="00963164" w:rsidRPr="001F7565">
        <w:rPr>
          <w:rFonts w:ascii="Cambria" w:hAnsi="Cambria" w:cs="Segoe UI"/>
          <w:color w:val="212529"/>
          <w:sz w:val="22"/>
          <w:szCs w:val="22"/>
        </w:rPr>
        <w:t>1-</w:t>
      </w:r>
      <w:r w:rsidRPr="001F7565">
        <w:rPr>
          <w:rFonts w:ascii="Cambria" w:hAnsi="Cambria" w:cs="Segoe UI"/>
          <w:color w:val="212529"/>
          <w:sz w:val="22"/>
          <w:szCs w:val="22"/>
        </w:rPr>
        <w:t>16.</w:t>
      </w:r>
    </w:p>
    <w:p w14:paraId="3AC0B982" w14:textId="77777777" w:rsidR="008E27C1" w:rsidRPr="001F7565" w:rsidRDefault="008E27C1" w:rsidP="009D774D">
      <w:pPr>
        <w:pStyle w:val="wpBodyText"/>
        <w:rPr>
          <w:lang w:eastAsia="en-GB"/>
        </w:rPr>
      </w:pPr>
    </w:p>
    <w:p w14:paraId="1F3C5599" w14:textId="77777777" w:rsidR="009D558F" w:rsidRPr="001F7565" w:rsidRDefault="009D558F" w:rsidP="009D774D">
      <w:pPr>
        <w:pStyle w:val="wpBodyText"/>
        <w:rPr>
          <w:rFonts w:cs="AdvTR"/>
          <w:lang w:eastAsia="en-GB"/>
        </w:rPr>
      </w:pPr>
      <w:r w:rsidRPr="001F7565">
        <w:rPr>
          <w:rFonts w:cs="AdvTR"/>
          <w:lang w:eastAsia="en-GB"/>
        </w:rPr>
        <w:lastRenderedPageBreak/>
        <w:t xml:space="preserve">Kolb, D. (1984). </w:t>
      </w:r>
      <w:r w:rsidRPr="001F7565">
        <w:rPr>
          <w:i/>
          <w:lang w:eastAsia="en-GB"/>
        </w:rPr>
        <w:t>Experiential learning: Experience as the source of learning and development</w:t>
      </w:r>
      <w:r w:rsidRPr="001F7565">
        <w:rPr>
          <w:rFonts w:cs="AdvTR"/>
          <w:i/>
          <w:lang w:eastAsia="en-GB"/>
        </w:rPr>
        <w:t>.</w:t>
      </w:r>
      <w:r w:rsidRPr="001F7565">
        <w:rPr>
          <w:rFonts w:cs="AdvTR"/>
          <w:lang w:eastAsia="en-GB"/>
        </w:rPr>
        <w:t xml:space="preserve"> Englewood Cliffs, NJ: Prentice-Hall.</w:t>
      </w:r>
    </w:p>
    <w:p w14:paraId="68AC84E7" w14:textId="5AFC303D" w:rsidR="009D558F" w:rsidRPr="001F7565" w:rsidRDefault="009D558F" w:rsidP="009D774D">
      <w:pPr>
        <w:pStyle w:val="wpBodyText"/>
        <w:rPr>
          <w:rFonts w:cs="AdvTR"/>
          <w:lang w:eastAsia="en-GB"/>
        </w:rPr>
      </w:pPr>
      <w:r w:rsidRPr="001F7565">
        <w:rPr>
          <w:rFonts w:cs="AdvTR"/>
          <w:lang w:eastAsia="en-GB"/>
        </w:rPr>
        <w:t xml:space="preserve">Kuijpers, M., Meijers, F., and Gundy, C. (2011). </w:t>
      </w:r>
      <w:r w:rsidRPr="001F7565">
        <w:rPr>
          <w:rFonts w:cs="AdvTR"/>
          <w:i/>
          <w:lang w:eastAsia="en-GB"/>
        </w:rPr>
        <w:t>The relationship between learning environment and career competencies of students in vocational education</w:t>
      </w:r>
      <w:r w:rsidRPr="001F7565">
        <w:rPr>
          <w:rFonts w:cs="AdvTR"/>
          <w:lang w:eastAsia="en-GB"/>
        </w:rPr>
        <w:t xml:space="preserve">. Journal of Vocational </w:t>
      </w:r>
      <w:r w:rsidR="0019452E" w:rsidRPr="001F7565">
        <w:rPr>
          <w:rFonts w:cs="AdvTR"/>
          <w:lang w:eastAsia="en-GB"/>
        </w:rPr>
        <w:t>Behaviour</w:t>
      </w:r>
      <w:r w:rsidRPr="001F7565">
        <w:rPr>
          <w:rFonts w:cs="AdvTR"/>
          <w:lang w:eastAsia="en-GB"/>
        </w:rPr>
        <w:t>, 78, 21–30.</w:t>
      </w:r>
    </w:p>
    <w:p w14:paraId="3D738635" w14:textId="77777777" w:rsidR="009D558F" w:rsidRPr="001F7565" w:rsidRDefault="009D558F" w:rsidP="009D774D">
      <w:pPr>
        <w:pStyle w:val="wpBodyText"/>
        <w:rPr>
          <w:lang w:eastAsia="en-GB"/>
        </w:rPr>
      </w:pPr>
      <w:r w:rsidRPr="001F7565">
        <w:rPr>
          <w:rFonts w:cs="AdvTR"/>
          <w:lang w:eastAsia="en-GB"/>
        </w:rPr>
        <w:t xml:space="preserve">Lengelle, R., Meijers, F., Poell, R. and Post, M. (2014). </w:t>
      </w:r>
      <w:r w:rsidRPr="001F7565">
        <w:rPr>
          <w:rFonts w:cs="AdvTR"/>
          <w:i/>
          <w:lang w:eastAsia="en-GB"/>
        </w:rPr>
        <w:t>Career Writing: Creative, Expressive and Reflective Approaches to Narrative Identify Formation in Students in Higher Education</w:t>
      </w:r>
      <w:r w:rsidRPr="001F7565">
        <w:rPr>
          <w:rFonts w:cs="AdvTR"/>
          <w:lang w:eastAsia="en-GB"/>
        </w:rPr>
        <w:t>. Journal of Vocational Behaviour, 85, 75-84.</w:t>
      </w:r>
    </w:p>
    <w:p w14:paraId="13F07580" w14:textId="77777777" w:rsidR="009D558F" w:rsidRPr="001F7565" w:rsidRDefault="009D558F" w:rsidP="009D774D">
      <w:pPr>
        <w:pStyle w:val="wpBodyText"/>
        <w:rPr>
          <w:lang w:eastAsia="en-GB"/>
        </w:rPr>
      </w:pPr>
      <w:r w:rsidRPr="001F7565">
        <w:rPr>
          <w:lang w:eastAsia="en-GB"/>
        </w:rPr>
        <w:t xml:space="preserve">Learning and Skills Improvement Service (LSIS) (2009). </w:t>
      </w:r>
      <w:r w:rsidRPr="001F7565">
        <w:rPr>
          <w:i/>
          <w:lang w:eastAsia="en-GB"/>
        </w:rPr>
        <w:t>Career Learning for the 21</w:t>
      </w:r>
      <w:r w:rsidRPr="001F7565">
        <w:rPr>
          <w:i/>
          <w:vertAlign w:val="superscript"/>
          <w:lang w:eastAsia="en-GB"/>
        </w:rPr>
        <w:t>st</w:t>
      </w:r>
      <w:r w:rsidRPr="001F7565">
        <w:rPr>
          <w:i/>
          <w:lang w:eastAsia="en-GB"/>
        </w:rPr>
        <w:t xml:space="preserve"> Century: The Career Blueprint – A Competence Approach</w:t>
      </w:r>
      <w:r w:rsidRPr="001F7565">
        <w:rPr>
          <w:lang w:eastAsia="en-GB"/>
        </w:rPr>
        <w:t xml:space="preserve">. Coventry: LSIS. </w:t>
      </w:r>
    </w:p>
    <w:p w14:paraId="0AD8659A" w14:textId="77777777" w:rsidR="009D558F" w:rsidRPr="001F7565" w:rsidRDefault="009D558F" w:rsidP="009D774D">
      <w:pPr>
        <w:pStyle w:val="wpBodyText"/>
        <w:rPr>
          <w:lang w:eastAsia="en-GB"/>
        </w:rPr>
      </w:pPr>
      <w:r w:rsidRPr="001F7565">
        <w:rPr>
          <w:lang w:eastAsia="en-GB"/>
        </w:rPr>
        <w:t xml:space="preserve">Learning and Skills Improvement Service (LSIS) (2011). </w:t>
      </w:r>
      <w:r w:rsidRPr="001F7565">
        <w:rPr>
          <w:i/>
          <w:lang w:eastAsia="en-GB"/>
        </w:rPr>
        <w:t>Career Learning for the 21</w:t>
      </w:r>
      <w:r w:rsidRPr="001F7565">
        <w:rPr>
          <w:i/>
          <w:vertAlign w:val="superscript"/>
          <w:lang w:eastAsia="en-GB"/>
        </w:rPr>
        <w:t>st</w:t>
      </w:r>
      <w:r w:rsidRPr="001F7565">
        <w:rPr>
          <w:i/>
          <w:lang w:eastAsia="en-GB"/>
        </w:rPr>
        <w:t xml:space="preserve"> Century: The Blueprint for Careers – Evidence of Impact</w:t>
      </w:r>
      <w:r w:rsidRPr="001F7565">
        <w:rPr>
          <w:lang w:eastAsia="en-GB"/>
        </w:rPr>
        <w:t xml:space="preserve">. Coventry: LSIS. </w:t>
      </w:r>
    </w:p>
    <w:p w14:paraId="2ABE7DF8" w14:textId="77777777" w:rsidR="009D558F" w:rsidRPr="001F7565" w:rsidRDefault="009D558F" w:rsidP="009D774D">
      <w:pPr>
        <w:pStyle w:val="wpBodyText"/>
        <w:rPr>
          <w:lang w:eastAsia="en-GB"/>
        </w:rPr>
      </w:pPr>
      <w:r w:rsidRPr="001F7565">
        <w:rPr>
          <w:lang w:eastAsia="en-GB"/>
        </w:rPr>
        <w:t xml:space="preserve">Learning and Skills Improvement Service (LSIS) (2012). </w:t>
      </w:r>
      <w:r w:rsidRPr="001F7565">
        <w:rPr>
          <w:i/>
          <w:lang w:eastAsia="en-GB"/>
        </w:rPr>
        <w:t>A Guide to the Blueprint for Careers and its Implementation</w:t>
      </w:r>
      <w:r w:rsidRPr="001F7565">
        <w:rPr>
          <w:lang w:eastAsia="en-GB"/>
        </w:rPr>
        <w:t>. Coventry: LSIS.</w:t>
      </w:r>
    </w:p>
    <w:p w14:paraId="68F34F55" w14:textId="77777777" w:rsidR="009D558F" w:rsidRPr="001F7565" w:rsidRDefault="009D558F" w:rsidP="009D774D">
      <w:pPr>
        <w:pStyle w:val="wpBodyText"/>
        <w:rPr>
          <w:lang w:eastAsia="en-GB"/>
        </w:rPr>
      </w:pPr>
      <w:r w:rsidRPr="001F7565">
        <w:rPr>
          <w:lang w:eastAsia="en-GB"/>
        </w:rPr>
        <w:t xml:space="preserve">McLaren (2014). </w:t>
      </w:r>
      <w:r w:rsidRPr="001F7565">
        <w:rPr>
          <w:i/>
          <w:lang w:eastAsia="en-GB"/>
        </w:rPr>
        <w:t>Moderators of Efficacy for a Computer-Assisted Career Guidance System (Cacgs) Intervention</w:t>
      </w:r>
      <w:r w:rsidRPr="001F7565">
        <w:rPr>
          <w:lang w:eastAsia="en-GB"/>
        </w:rPr>
        <w:t>. (Doctoral dissertation).  In partial fulfilment of the requirements for the Degree of Doctor of Philosophy, Colorado State University.</w:t>
      </w:r>
    </w:p>
    <w:p w14:paraId="59377194" w14:textId="4F8EC006" w:rsidR="009D558F" w:rsidRPr="001F7565" w:rsidRDefault="009D558F" w:rsidP="009D774D">
      <w:pPr>
        <w:pStyle w:val="wpBodyText"/>
        <w:rPr>
          <w:lang w:eastAsia="en-GB"/>
        </w:rPr>
      </w:pPr>
      <w:r w:rsidRPr="001F7565">
        <w:rPr>
          <w:lang w:eastAsia="en-GB"/>
        </w:rPr>
        <w:t xml:space="preserve">Neary, S., Tristram, H., Morris, M. and Mackay, S. </w:t>
      </w:r>
      <w:r w:rsidR="00451229" w:rsidRPr="001F7565">
        <w:rPr>
          <w:lang w:eastAsia="en-GB"/>
        </w:rPr>
        <w:t>(2015)</w:t>
      </w:r>
      <w:r w:rsidRPr="001F7565">
        <w:rPr>
          <w:lang w:eastAsia="en-GB"/>
        </w:rPr>
        <w:t xml:space="preserve">.  </w:t>
      </w:r>
      <w:r w:rsidRPr="001F7565">
        <w:rPr>
          <w:i/>
          <w:lang w:eastAsia="en-GB"/>
        </w:rPr>
        <w:t>The impact of career guidance on progression in learning and work: A Literature Review</w:t>
      </w:r>
      <w:r w:rsidRPr="001F7565">
        <w:rPr>
          <w:lang w:eastAsia="en-GB"/>
        </w:rPr>
        <w:t>.</w:t>
      </w:r>
    </w:p>
    <w:p w14:paraId="4E36536D" w14:textId="70D690DE" w:rsidR="001642EE" w:rsidRPr="001F7565" w:rsidRDefault="008E27C1" w:rsidP="001642EE">
      <w:pPr>
        <w:pStyle w:val="NormalWeb"/>
        <w:spacing w:before="0" w:beforeAutospacing="0"/>
      </w:pPr>
      <w:r w:rsidRPr="001F7565">
        <w:rPr>
          <w:rFonts w:ascii="Cambria" w:hAnsi="Cambria" w:cs="Segoe UI"/>
          <w:color w:val="212529"/>
          <w:sz w:val="22"/>
          <w:szCs w:val="22"/>
        </w:rPr>
        <w:t>Neary</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Dodd</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V</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and Hooley</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T</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(2016</w:t>
      </w:r>
      <w:r w:rsidR="001642EE" w:rsidRPr="001F7565">
        <w:rPr>
          <w:rFonts w:ascii="Cambria" w:hAnsi="Cambria" w:cs="Segoe UI"/>
          <w:color w:val="212529"/>
          <w:sz w:val="22"/>
          <w:szCs w:val="22"/>
        </w:rPr>
        <w:t>a</w:t>
      </w:r>
      <w:r w:rsidRPr="001F7565">
        <w:rPr>
          <w:rFonts w:ascii="Cambria" w:hAnsi="Cambria" w:cs="Segoe UI"/>
          <w:color w:val="212529"/>
          <w:sz w:val="22"/>
          <w:szCs w:val="22"/>
        </w:rPr>
        <w:t>). </w:t>
      </w:r>
      <w:r w:rsidRPr="001F7565">
        <w:rPr>
          <w:rFonts w:ascii="Cambria" w:hAnsi="Cambria" w:cs="Segoe UI"/>
          <w:i/>
          <w:iCs/>
          <w:color w:val="212529"/>
          <w:sz w:val="22"/>
          <w:szCs w:val="22"/>
        </w:rPr>
        <w:t>Understanding career management skills: findings from the first phase of the CMS LEADER project</w:t>
      </w:r>
      <w:r w:rsidRPr="001F7565">
        <w:rPr>
          <w:rFonts w:ascii="Cambria" w:hAnsi="Cambria" w:cs="Segoe UI"/>
          <w:color w:val="212529"/>
          <w:sz w:val="22"/>
          <w:szCs w:val="22"/>
        </w:rPr>
        <w:t>. pp.</w:t>
      </w:r>
      <w:r w:rsidR="00963164" w:rsidRPr="001F7565">
        <w:rPr>
          <w:rFonts w:ascii="Cambria" w:hAnsi="Cambria" w:cs="Segoe UI"/>
          <w:color w:val="212529"/>
          <w:sz w:val="22"/>
          <w:szCs w:val="22"/>
        </w:rPr>
        <w:t>1-</w:t>
      </w:r>
      <w:r w:rsidRPr="001F7565">
        <w:rPr>
          <w:rFonts w:ascii="Cambria" w:hAnsi="Cambria" w:cs="Segoe UI"/>
          <w:color w:val="212529"/>
          <w:sz w:val="22"/>
          <w:szCs w:val="22"/>
        </w:rPr>
        <w:t xml:space="preserve">48. </w:t>
      </w:r>
    </w:p>
    <w:p w14:paraId="39A37117" w14:textId="72809825" w:rsidR="001642EE" w:rsidRPr="001F7565" w:rsidRDefault="001642EE" w:rsidP="001642EE">
      <w:pPr>
        <w:rPr>
          <w:sz w:val="20"/>
          <w:szCs w:val="20"/>
        </w:rPr>
      </w:pPr>
      <w:r w:rsidRPr="001F7565">
        <w:rPr>
          <w:sz w:val="20"/>
          <w:szCs w:val="20"/>
        </w:rPr>
        <w:t xml:space="preserve">Neary, S. and Hooley, T. (2016b). </w:t>
      </w:r>
      <w:r w:rsidRPr="001F7565">
        <w:rPr>
          <w:i/>
          <w:iCs/>
          <w:sz w:val="20"/>
          <w:szCs w:val="20"/>
        </w:rPr>
        <w:t>Presenting the LEADER Framework for Careers</w:t>
      </w:r>
      <w:r w:rsidRPr="001F7565">
        <w:rPr>
          <w:sz w:val="20"/>
          <w:szCs w:val="20"/>
        </w:rPr>
        <w:t xml:space="preserve"> (1.0). Derby: International Centre for Guidance Studies, University of Derby.</w:t>
      </w:r>
    </w:p>
    <w:p w14:paraId="3727117C" w14:textId="77777777" w:rsidR="001642EE" w:rsidRPr="001F7565" w:rsidRDefault="001642EE" w:rsidP="001642EE">
      <w:pPr>
        <w:rPr>
          <w:rFonts w:cs="Segoe UI"/>
          <w:color w:val="212529"/>
        </w:rPr>
      </w:pPr>
    </w:p>
    <w:p w14:paraId="7F93CAC6" w14:textId="2B2A0B66"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Neary</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Bujok</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E</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and Mosley</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 (2017). </w:t>
      </w:r>
      <w:r w:rsidRPr="001F7565">
        <w:rPr>
          <w:rFonts w:ascii="Cambria" w:hAnsi="Cambria" w:cs="Segoe UI"/>
          <w:i/>
          <w:iCs/>
          <w:color w:val="212529"/>
          <w:sz w:val="22"/>
          <w:szCs w:val="22"/>
        </w:rPr>
        <w:t>Leading career management (CMS) in Europe</w:t>
      </w:r>
      <w:r w:rsidRPr="001F7565">
        <w:rPr>
          <w:rFonts w:ascii="Cambria" w:hAnsi="Cambria" w:cs="Segoe UI"/>
          <w:color w:val="212529"/>
          <w:sz w:val="22"/>
          <w:szCs w:val="22"/>
        </w:rPr>
        <w:t xml:space="preserve">. </w:t>
      </w:r>
      <w:r w:rsidR="00963164" w:rsidRPr="001F7565">
        <w:rPr>
          <w:rFonts w:ascii="Cambria" w:hAnsi="Cambria" w:cs="Segoe UI"/>
          <w:color w:val="212529"/>
          <w:sz w:val="22"/>
          <w:szCs w:val="22"/>
        </w:rPr>
        <w:t>5(2)</w:t>
      </w:r>
      <w:r w:rsidRPr="001F7565">
        <w:rPr>
          <w:rFonts w:ascii="Cambria" w:hAnsi="Cambria" w:cs="Segoe UI"/>
          <w:color w:val="212529"/>
          <w:sz w:val="22"/>
          <w:szCs w:val="22"/>
        </w:rPr>
        <w:t xml:space="preserve"> </w:t>
      </w:r>
    </w:p>
    <w:p w14:paraId="3D2B9E0C" w14:textId="544C2522"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Nota</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L</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Santilli</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and Soresi</w:t>
      </w:r>
      <w:r w:rsidR="00963164" w:rsidRPr="001F7565">
        <w:rPr>
          <w:rFonts w:ascii="Cambria" w:hAnsi="Cambria" w:cs="Segoe UI"/>
          <w:color w:val="212529"/>
          <w:sz w:val="22"/>
          <w:szCs w:val="22"/>
        </w:rPr>
        <w:t>,</w:t>
      </w:r>
      <w:r w:rsidRPr="001F7565">
        <w:rPr>
          <w:rFonts w:ascii="Cambria" w:hAnsi="Cambria" w:cs="Segoe UI"/>
          <w:color w:val="212529"/>
          <w:sz w:val="22"/>
          <w:szCs w:val="22"/>
        </w:rPr>
        <w:t xml:space="preserve"> S. (2016). A life‐design‐based online career intervention for early adolescents: Description and initial analysis. </w:t>
      </w:r>
      <w:r w:rsidRPr="001F7565">
        <w:rPr>
          <w:rFonts w:ascii="Cambria" w:hAnsi="Cambria" w:cs="Segoe UI"/>
          <w:i/>
          <w:iCs/>
          <w:color w:val="212529"/>
          <w:sz w:val="22"/>
          <w:szCs w:val="22"/>
        </w:rPr>
        <w:t>The Career Development Quarterly</w:t>
      </w:r>
      <w:r w:rsidRPr="001F7565">
        <w:rPr>
          <w:rFonts w:ascii="Cambria" w:hAnsi="Cambria" w:cs="Segoe UI"/>
          <w:color w:val="212529"/>
          <w:sz w:val="22"/>
          <w:szCs w:val="22"/>
        </w:rPr>
        <w:t>,</w:t>
      </w:r>
      <w:r w:rsidR="00963164" w:rsidRPr="001F7565">
        <w:rPr>
          <w:rFonts w:ascii="Cambria" w:hAnsi="Cambria" w:cs="Segoe UI"/>
          <w:color w:val="212529"/>
          <w:sz w:val="22"/>
          <w:szCs w:val="22"/>
        </w:rPr>
        <w:t xml:space="preserve"> 64</w:t>
      </w:r>
      <w:r w:rsidRPr="001F7565">
        <w:rPr>
          <w:rFonts w:ascii="Cambria" w:hAnsi="Cambria" w:cs="Segoe UI"/>
          <w:color w:val="212529"/>
          <w:sz w:val="22"/>
          <w:szCs w:val="22"/>
        </w:rPr>
        <w:t>, pp.</w:t>
      </w:r>
      <w:r w:rsidR="00963164" w:rsidRPr="001F7565">
        <w:rPr>
          <w:rFonts w:ascii="Cambria" w:hAnsi="Cambria" w:cs="Segoe UI"/>
          <w:color w:val="212529"/>
          <w:sz w:val="22"/>
          <w:szCs w:val="22"/>
        </w:rPr>
        <w:t>4-19</w:t>
      </w:r>
    </w:p>
    <w:p w14:paraId="3F0D24B7" w14:textId="77777777" w:rsidR="009D558F" w:rsidRPr="001F7565" w:rsidRDefault="009D558F" w:rsidP="009D774D">
      <w:pPr>
        <w:pStyle w:val="wpBodyText"/>
        <w:rPr>
          <w:lang w:eastAsia="en-GB"/>
        </w:rPr>
      </w:pPr>
      <w:r w:rsidRPr="001F7565">
        <w:rPr>
          <w:lang w:eastAsia="en-GB"/>
        </w:rPr>
        <w:t xml:space="preserve">Ryan, N. (1999). </w:t>
      </w:r>
      <w:r w:rsidRPr="001F7565">
        <w:rPr>
          <w:i/>
          <w:lang w:eastAsia="en-GB"/>
        </w:rPr>
        <w:t>Career counselling and career choice goal attainment: A meta-analytically derived model for career counselling practice</w:t>
      </w:r>
      <w:r w:rsidRPr="001F7565">
        <w:rPr>
          <w:lang w:eastAsia="en-GB"/>
        </w:rPr>
        <w:t xml:space="preserve">. (Doctoral dissertation). Retrieved from Proquest Dissertations and Theses database. (UMI No. 9930585).  Referenced in: McLaren (2014). </w:t>
      </w:r>
    </w:p>
    <w:p w14:paraId="7646542C" w14:textId="77777777" w:rsidR="009D558F" w:rsidRPr="001F7565" w:rsidRDefault="009D558F" w:rsidP="009D774D">
      <w:pPr>
        <w:pStyle w:val="wpBodyText"/>
        <w:rPr>
          <w:lang w:eastAsia="en-GB"/>
        </w:rPr>
      </w:pPr>
      <w:r w:rsidRPr="001F7565">
        <w:rPr>
          <w:lang w:eastAsia="en-GB"/>
        </w:rPr>
        <w:t xml:space="preserve">Skills Development Scotland (SDS) (2012). </w:t>
      </w:r>
      <w:r w:rsidRPr="001F7565">
        <w:rPr>
          <w:i/>
          <w:lang w:eastAsia="en-GB"/>
        </w:rPr>
        <w:t>Career Management Skills Framework for Scotland</w:t>
      </w:r>
      <w:r w:rsidRPr="001F7565">
        <w:rPr>
          <w:lang w:eastAsia="en-GB"/>
        </w:rPr>
        <w:t xml:space="preserve">. Glasgow: SDS. </w:t>
      </w:r>
    </w:p>
    <w:p w14:paraId="03181812" w14:textId="77777777" w:rsidR="009D558F" w:rsidRPr="001F7565" w:rsidRDefault="009D558F" w:rsidP="009D774D">
      <w:pPr>
        <w:pStyle w:val="wpBodyText"/>
        <w:rPr>
          <w:lang w:val="en-US" w:eastAsia="en-GB"/>
        </w:rPr>
      </w:pPr>
      <w:r w:rsidRPr="001F7565">
        <w:rPr>
          <w:lang w:val="en-US" w:eastAsia="en-GB"/>
        </w:rPr>
        <w:t xml:space="preserve">Sturges, J., Simpson, R. and Altman, Y. (2003). </w:t>
      </w:r>
      <w:r w:rsidRPr="001F7565">
        <w:rPr>
          <w:i/>
          <w:lang w:val="en-US" w:eastAsia="en-GB"/>
        </w:rPr>
        <w:t>Capitalising on learning: an exploration of the MBA as a vehicle for developing career competencies</w:t>
      </w:r>
      <w:r w:rsidRPr="001F7565">
        <w:rPr>
          <w:lang w:val="en-US" w:eastAsia="en-GB"/>
        </w:rPr>
        <w:t xml:space="preserve">. </w:t>
      </w:r>
      <w:r w:rsidRPr="001F7565">
        <w:rPr>
          <w:iCs/>
          <w:lang w:val="en-US" w:eastAsia="en-GB"/>
        </w:rPr>
        <w:t>International Journal of Training and Development</w:t>
      </w:r>
      <w:r w:rsidRPr="001F7565">
        <w:rPr>
          <w:lang w:val="en-US" w:eastAsia="en-GB"/>
        </w:rPr>
        <w:t xml:space="preserve">, </w:t>
      </w:r>
      <w:r w:rsidRPr="001F7565">
        <w:rPr>
          <w:iCs/>
          <w:lang w:val="en-US" w:eastAsia="en-GB"/>
        </w:rPr>
        <w:t>7</w:t>
      </w:r>
      <w:r w:rsidRPr="001F7565">
        <w:rPr>
          <w:lang w:val="en-US" w:eastAsia="en-GB"/>
        </w:rPr>
        <w:t>:1, 53-66.</w:t>
      </w:r>
    </w:p>
    <w:p w14:paraId="4E601639" w14:textId="77777777" w:rsidR="009D558F" w:rsidRPr="001F7565" w:rsidRDefault="009D558F" w:rsidP="009D774D">
      <w:pPr>
        <w:pStyle w:val="wpBodyText"/>
        <w:rPr>
          <w:lang w:eastAsia="en-GB"/>
        </w:rPr>
      </w:pPr>
      <w:r w:rsidRPr="001F7565">
        <w:rPr>
          <w:lang w:eastAsia="en-GB"/>
        </w:rPr>
        <w:lastRenderedPageBreak/>
        <w:t xml:space="preserve">Sultana (2009). Work Package 1: </w:t>
      </w:r>
      <w:r w:rsidRPr="001F7565">
        <w:rPr>
          <w:i/>
          <w:lang w:eastAsia="en-GB"/>
        </w:rPr>
        <w:t xml:space="preserve">Career Management Skills – Reflection </w:t>
      </w:r>
      <w:proofErr w:type="gramStart"/>
      <w:r w:rsidRPr="001F7565">
        <w:rPr>
          <w:i/>
          <w:lang w:eastAsia="en-GB"/>
        </w:rPr>
        <w:t>note</w:t>
      </w:r>
      <w:proofErr w:type="gramEnd"/>
      <w:r w:rsidRPr="001F7565">
        <w:rPr>
          <w:i/>
          <w:lang w:eastAsia="en-GB"/>
        </w:rPr>
        <w:t xml:space="preserve"> from Peer Learning Event held in Vilnius</w:t>
      </w:r>
      <w:r w:rsidRPr="001F7565">
        <w:rPr>
          <w:lang w:eastAsia="en-GB"/>
        </w:rPr>
        <w:t>, 5-7 May 2009.</w:t>
      </w:r>
    </w:p>
    <w:p w14:paraId="57415E93" w14:textId="61AC6730" w:rsidR="009D558F" w:rsidRPr="001F7565" w:rsidRDefault="009D558F" w:rsidP="009D774D">
      <w:pPr>
        <w:pStyle w:val="wpBodyText"/>
        <w:rPr>
          <w:lang w:eastAsia="en-GB"/>
        </w:rPr>
      </w:pPr>
      <w:r w:rsidRPr="001F7565">
        <w:rPr>
          <w:lang w:eastAsia="en-GB"/>
        </w:rPr>
        <w:t xml:space="preserve">Sultana (2011).  </w:t>
      </w:r>
      <w:r w:rsidRPr="001F7565">
        <w:rPr>
          <w:i/>
          <w:lang w:eastAsia="en-GB"/>
        </w:rPr>
        <w:t>Learning Career Management Skills in Europe: A Critical Review</w:t>
      </w:r>
      <w:r w:rsidRPr="001F7565">
        <w:rPr>
          <w:lang w:eastAsia="en-GB"/>
        </w:rPr>
        <w:t>. Journal of Education and Work, 25:2, 225-248.</w:t>
      </w:r>
    </w:p>
    <w:p w14:paraId="01D62465" w14:textId="30278A8D" w:rsidR="009D558F" w:rsidRPr="001F7565" w:rsidRDefault="008E27C1" w:rsidP="009D774D">
      <w:pPr>
        <w:pStyle w:val="wpBodyText"/>
        <w:rPr>
          <w:lang w:eastAsia="en-GB"/>
        </w:rPr>
      </w:pPr>
      <w:r w:rsidRPr="001F7565">
        <w:rPr>
          <w:rFonts w:cs="Segoe UI"/>
          <w:color w:val="212529"/>
        </w:rPr>
        <w:t>Starcic</w:t>
      </w:r>
      <w:r w:rsidR="0024416A" w:rsidRPr="001F7565">
        <w:rPr>
          <w:rFonts w:cs="Segoe UI"/>
          <w:color w:val="212529"/>
        </w:rPr>
        <w:t>,</w:t>
      </w:r>
      <w:r w:rsidRPr="001F7565">
        <w:rPr>
          <w:rFonts w:cs="Segoe UI"/>
          <w:color w:val="212529"/>
        </w:rPr>
        <w:t xml:space="preserve"> A I</w:t>
      </w:r>
      <w:r w:rsidR="0024416A" w:rsidRPr="001F7565">
        <w:rPr>
          <w:rFonts w:cs="Segoe UI"/>
          <w:color w:val="212529"/>
        </w:rPr>
        <w:t>.</w:t>
      </w:r>
      <w:r w:rsidRPr="001F7565">
        <w:rPr>
          <w:rFonts w:cs="Segoe UI"/>
          <w:color w:val="212529"/>
        </w:rPr>
        <w:t xml:space="preserve"> Barrow</w:t>
      </w:r>
      <w:r w:rsidR="0024416A" w:rsidRPr="001F7565">
        <w:rPr>
          <w:rFonts w:cs="Segoe UI"/>
          <w:color w:val="212529"/>
        </w:rPr>
        <w:t>,</w:t>
      </w:r>
      <w:r w:rsidRPr="001F7565">
        <w:rPr>
          <w:rFonts w:cs="Segoe UI"/>
          <w:color w:val="212529"/>
        </w:rPr>
        <w:t xml:space="preserve"> M</w:t>
      </w:r>
      <w:r w:rsidR="0024416A" w:rsidRPr="001F7565">
        <w:rPr>
          <w:rFonts w:cs="Segoe UI"/>
          <w:color w:val="212529"/>
        </w:rPr>
        <w:t>.</w:t>
      </w:r>
      <w:r w:rsidRPr="001F7565">
        <w:rPr>
          <w:rFonts w:cs="Segoe UI"/>
          <w:color w:val="212529"/>
        </w:rPr>
        <w:t xml:space="preserve"> and Zajc</w:t>
      </w:r>
      <w:r w:rsidR="0024416A" w:rsidRPr="001F7565">
        <w:rPr>
          <w:rFonts w:cs="Segoe UI"/>
          <w:color w:val="212529"/>
        </w:rPr>
        <w:t>,</w:t>
      </w:r>
      <w:r w:rsidRPr="001F7565">
        <w:rPr>
          <w:rFonts w:cs="Segoe UI"/>
          <w:color w:val="212529"/>
        </w:rPr>
        <w:t xml:space="preserve"> M</w:t>
      </w:r>
      <w:r w:rsidR="0024416A" w:rsidRPr="001F7565">
        <w:rPr>
          <w:rFonts w:cs="Segoe UI"/>
          <w:color w:val="212529"/>
        </w:rPr>
        <w:t>.</w:t>
      </w:r>
      <w:r w:rsidRPr="001F7565">
        <w:rPr>
          <w:rFonts w:cs="Segoe UI"/>
          <w:color w:val="212529"/>
        </w:rPr>
        <w:t xml:space="preserve"> Lebenicnik</w:t>
      </w:r>
      <w:r w:rsidR="0024416A" w:rsidRPr="001F7565">
        <w:rPr>
          <w:rFonts w:cs="Segoe UI"/>
          <w:color w:val="212529"/>
        </w:rPr>
        <w:t>,</w:t>
      </w:r>
      <w:r w:rsidRPr="001F7565">
        <w:rPr>
          <w:rFonts w:cs="Segoe UI"/>
          <w:color w:val="212529"/>
        </w:rPr>
        <w:t xml:space="preserve"> M</w:t>
      </w:r>
      <w:r w:rsidR="0024416A" w:rsidRPr="001F7565">
        <w:rPr>
          <w:rFonts w:cs="Segoe UI"/>
          <w:color w:val="212529"/>
        </w:rPr>
        <w:t>.</w:t>
      </w:r>
      <w:r w:rsidRPr="001F7565">
        <w:rPr>
          <w:rFonts w:cs="Segoe UI"/>
          <w:color w:val="212529"/>
        </w:rPr>
        <w:t xml:space="preserve"> (2017). Students' attitudes on social network sites and their actual use for career management competences and professional identity developmen</w:t>
      </w:r>
      <w:r w:rsidR="0024416A" w:rsidRPr="001F7565">
        <w:rPr>
          <w:rFonts w:cs="Segoe UI"/>
          <w:color w:val="212529"/>
        </w:rPr>
        <w:t>t</w:t>
      </w:r>
      <w:r w:rsidRPr="001F7565">
        <w:rPr>
          <w:rFonts w:cs="Segoe UI"/>
          <w:color w:val="212529"/>
        </w:rPr>
        <w:t>. </w:t>
      </w:r>
      <w:r w:rsidRPr="001F7565">
        <w:rPr>
          <w:rFonts w:cs="Segoe UI"/>
          <w:i/>
          <w:iCs/>
          <w:color w:val="212529"/>
        </w:rPr>
        <w:t>International Journal of Emerging Technologies in Learning</w:t>
      </w:r>
      <w:r w:rsidRPr="001F7565">
        <w:rPr>
          <w:rFonts w:cs="Segoe UI"/>
          <w:color w:val="212529"/>
        </w:rPr>
        <w:t>,</w:t>
      </w:r>
      <w:r w:rsidR="0024416A" w:rsidRPr="001F7565">
        <w:rPr>
          <w:rFonts w:cs="Segoe UI"/>
          <w:color w:val="212529"/>
        </w:rPr>
        <w:t xml:space="preserve"> 12(5</w:t>
      </w:r>
      <w:proofErr w:type="gramStart"/>
      <w:r w:rsidR="0024416A" w:rsidRPr="001F7565">
        <w:rPr>
          <w:rFonts w:cs="Segoe UI"/>
          <w:color w:val="212529"/>
        </w:rPr>
        <w:t>)</w:t>
      </w:r>
      <w:r w:rsidRPr="001F7565">
        <w:rPr>
          <w:rFonts w:cs="Segoe UI"/>
          <w:color w:val="212529"/>
        </w:rPr>
        <w:t xml:space="preserve"> ,</w:t>
      </w:r>
      <w:proofErr w:type="gramEnd"/>
      <w:r w:rsidRPr="001F7565">
        <w:rPr>
          <w:rFonts w:cs="Segoe UI"/>
          <w:color w:val="212529"/>
        </w:rPr>
        <w:t xml:space="preserve"> pp.</w:t>
      </w:r>
      <w:r w:rsidR="0024416A" w:rsidRPr="001F7565">
        <w:rPr>
          <w:rFonts w:cs="Segoe UI"/>
          <w:color w:val="212529"/>
        </w:rPr>
        <w:t>65-81</w:t>
      </w:r>
      <w:r w:rsidRPr="001F7565">
        <w:rPr>
          <w:rFonts w:cs="Segoe UI"/>
          <w:color w:val="212529"/>
        </w:rPr>
        <w:t>.</w:t>
      </w:r>
      <w:r w:rsidR="009D558F" w:rsidRPr="001F7565">
        <w:rPr>
          <w:lang w:eastAsia="en-GB"/>
        </w:rPr>
        <w:t xml:space="preserve">Thomsen, R. (2014). </w:t>
      </w:r>
      <w:r w:rsidR="009D558F" w:rsidRPr="001F7565">
        <w:rPr>
          <w:i/>
          <w:lang w:eastAsia="en-GB"/>
        </w:rPr>
        <w:t>A Nordic Perspective on Career Competences and Guidance</w:t>
      </w:r>
      <w:r w:rsidR="009D558F" w:rsidRPr="001F7565">
        <w:rPr>
          <w:lang w:eastAsia="en-GB"/>
        </w:rPr>
        <w:t>. Presented at the 16th PM ELGPN in Rome October 2014.</w:t>
      </w:r>
    </w:p>
    <w:p w14:paraId="67B21B4A" w14:textId="0F8A10E8" w:rsidR="008E27C1" w:rsidRPr="001F7565" w:rsidRDefault="008E27C1" w:rsidP="008E27C1">
      <w:pPr>
        <w:pStyle w:val="NormalWeb"/>
        <w:spacing w:before="0" w:beforeAutospacing="0"/>
        <w:rPr>
          <w:rFonts w:ascii="Cambria" w:hAnsi="Cambria" w:cs="Segoe UI"/>
          <w:color w:val="212529"/>
          <w:sz w:val="22"/>
          <w:szCs w:val="22"/>
        </w:rPr>
      </w:pPr>
      <w:r w:rsidRPr="001F7565">
        <w:rPr>
          <w:rFonts w:ascii="Cambria" w:hAnsi="Cambria" w:cs="Segoe UI"/>
          <w:color w:val="212529"/>
          <w:sz w:val="22"/>
          <w:szCs w:val="22"/>
        </w:rPr>
        <w:t>Thomsen</w:t>
      </w:r>
      <w:r w:rsidR="0024416A" w:rsidRPr="001F7565">
        <w:rPr>
          <w:rFonts w:ascii="Cambria" w:hAnsi="Cambria" w:cs="Segoe UI"/>
          <w:color w:val="212529"/>
          <w:sz w:val="22"/>
          <w:szCs w:val="22"/>
        </w:rPr>
        <w:t>,</w:t>
      </w:r>
      <w:r w:rsidRPr="001F7565">
        <w:rPr>
          <w:rFonts w:ascii="Cambria" w:hAnsi="Cambria" w:cs="Segoe UI"/>
          <w:color w:val="212529"/>
          <w:sz w:val="22"/>
          <w:szCs w:val="22"/>
        </w:rPr>
        <w:t xml:space="preserve"> R. (2017). </w:t>
      </w:r>
      <w:r w:rsidRPr="001F7565">
        <w:rPr>
          <w:rFonts w:ascii="Cambria" w:hAnsi="Cambria" w:cs="Segoe UI"/>
          <w:i/>
          <w:iCs/>
          <w:color w:val="212529"/>
          <w:sz w:val="22"/>
          <w:szCs w:val="22"/>
        </w:rPr>
        <w:t>Career guidance in communities: A model for reflexive practice</w:t>
      </w:r>
      <w:r w:rsidRPr="001F7565">
        <w:rPr>
          <w:rFonts w:ascii="Cambria" w:hAnsi="Cambria" w:cs="Segoe UI"/>
          <w:color w:val="212529"/>
          <w:sz w:val="22"/>
          <w:szCs w:val="22"/>
        </w:rPr>
        <w:t>. pp.</w:t>
      </w:r>
      <w:r w:rsidR="0024416A" w:rsidRPr="001F7565">
        <w:rPr>
          <w:rFonts w:ascii="Cambria" w:hAnsi="Cambria" w:cs="Segoe UI"/>
          <w:color w:val="212529"/>
          <w:sz w:val="22"/>
          <w:szCs w:val="22"/>
        </w:rPr>
        <w:t>1-20</w:t>
      </w:r>
      <w:r w:rsidRPr="001F7565">
        <w:rPr>
          <w:rFonts w:ascii="Cambria" w:hAnsi="Cambria" w:cs="Segoe UI"/>
          <w:color w:val="212529"/>
          <w:sz w:val="22"/>
          <w:szCs w:val="22"/>
        </w:rPr>
        <w:t xml:space="preserve">. </w:t>
      </w:r>
    </w:p>
    <w:p w14:paraId="4156346A" w14:textId="3318DBA5" w:rsidR="008E27C1" w:rsidRPr="001F7565" w:rsidRDefault="008E27C1" w:rsidP="009D774D">
      <w:pPr>
        <w:pStyle w:val="wpBodyText"/>
        <w:rPr>
          <w:lang w:eastAsia="en-GB"/>
        </w:rPr>
      </w:pPr>
      <w:r w:rsidRPr="001F7565">
        <w:rPr>
          <w:lang w:eastAsia="en-GB"/>
        </w:rPr>
        <w:t>Vallas</w:t>
      </w:r>
      <w:r w:rsidR="00B2594D" w:rsidRPr="001F7565">
        <w:rPr>
          <w:lang w:eastAsia="en-GB"/>
        </w:rPr>
        <w:t>,</w:t>
      </w:r>
      <w:r w:rsidRPr="001F7565">
        <w:rPr>
          <w:lang w:eastAsia="en-GB"/>
        </w:rPr>
        <w:t xml:space="preserve"> S</w:t>
      </w:r>
      <w:r w:rsidR="00B2594D" w:rsidRPr="001F7565">
        <w:rPr>
          <w:lang w:eastAsia="en-GB"/>
        </w:rPr>
        <w:t>.</w:t>
      </w:r>
      <w:r w:rsidRPr="001F7565">
        <w:rPr>
          <w:lang w:eastAsia="en-GB"/>
        </w:rPr>
        <w:t xml:space="preserve"> and Hill</w:t>
      </w:r>
      <w:r w:rsidR="00B2594D" w:rsidRPr="001F7565">
        <w:rPr>
          <w:lang w:eastAsia="en-GB"/>
        </w:rPr>
        <w:t>,</w:t>
      </w:r>
      <w:r w:rsidRPr="001F7565">
        <w:rPr>
          <w:lang w:eastAsia="en-GB"/>
        </w:rPr>
        <w:t xml:space="preserve"> </w:t>
      </w:r>
      <w:proofErr w:type="gramStart"/>
      <w:r w:rsidRPr="001F7565">
        <w:rPr>
          <w:lang w:eastAsia="en-GB"/>
        </w:rPr>
        <w:t>A .</w:t>
      </w:r>
      <w:proofErr w:type="gramEnd"/>
      <w:r w:rsidRPr="001F7565">
        <w:rPr>
          <w:lang w:eastAsia="en-GB"/>
        </w:rPr>
        <w:t xml:space="preserve"> (2018). Reconfiguring Worker Subjectivity: Career Advice Literature and the “Branding” of the Worker’s Self. </w:t>
      </w:r>
      <w:r w:rsidRPr="001F7565">
        <w:rPr>
          <w:i/>
          <w:iCs/>
          <w:lang w:eastAsia="en-GB"/>
        </w:rPr>
        <w:t>Sociological Forum</w:t>
      </w:r>
      <w:r w:rsidRPr="001F7565">
        <w:rPr>
          <w:lang w:eastAsia="en-GB"/>
        </w:rPr>
        <w:t xml:space="preserve">, </w:t>
      </w:r>
      <w:r w:rsidR="0024416A" w:rsidRPr="001F7565">
        <w:rPr>
          <w:lang w:eastAsia="en-GB"/>
        </w:rPr>
        <w:t>33(2)</w:t>
      </w:r>
      <w:r w:rsidRPr="001F7565">
        <w:rPr>
          <w:lang w:eastAsia="en-GB"/>
        </w:rPr>
        <w:t>, pp.</w:t>
      </w:r>
      <w:r w:rsidR="0024416A" w:rsidRPr="001F7565">
        <w:rPr>
          <w:lang w:eastAsia="en-GB"/>
        </w:rPr>
        <w:t>287-309</w:t>
      </w:r>
      <w:r w:rsidRPr="001F7565">
        <w:rPr>
          <w:lang w:eastAsia="en-GB"/>
        </w:rPr>
        <w:t>.</w:t>
      </w:r>
    </w:p>
    <w:p w14:paraId="0F3ED4E4" w14:textId="77777777" w:rsidR="009D558F" w:rsidRPr="001F7565" w:rsidRDefault="009D558F" w:rsidP="009D774D">
      <w:pPr>
        <w:pStyle w:val="wpBodyText"/>
        <w:rPr>
          <w:lang w:eastAsia="en-GB"/>
        </w:rPr>
      </w:pPr>
      <w:r w:rsidRPr="001F7565">
        <w:rPr>
          <w:lang w:eastAsia="en-GB"/>
        </w:rPr>
        <w:t xml:space="preserve">Vuori, J., Toppinen-Tanner, S. and Mutanen, P. (2012). </w:t>
      </w:r>
      <w:r w:rsidRPr="001F7565">
        <w:rPr>
          <w:i/>
          <w:lang w:eastAsia="en-GB"/>
        </w:rPr>
        <w:t>Effects of resource-building group intervention on career management and mental health in work organizations: randomized controlled field trial.</w:t>
      </w:r>
      <w:r w:rsidRPr="001F7565">
        <w:rPr>
          <w:lang w:eastAsia="en-GB"/>
        </w:rPr>
        <w:t xml:space="preserve"> Journal of Applied Psychology, 97:2, 273.</w:t>
      </w:r>
    </w:p>
    <w:p w14:paraId="7813C5B0" w14:textId="2E5C7ADC" w:rsidR="009D558F" w:rsidRPr="001F7565" w:rsidRDefault="009D558F" w:rsidP="009D774D">
      <w:pPr>
        <w:pStyle w:val="wpBodyText"/>
        <w:rPr>
          <w:lang w:eastAsia="en-GB"/>
        </w:rPr>
      </w:pPr>
      <w:proofErr w:type="spellStart"/>
      <w:r w:rsidRPr="001F7565">
        <w:rPr>
          <w:lang w:eastAsia="en-GB"/>
        </w:rPr>
        <w:t>Westergaard</w:t>
      </w:r>
      <w:proofErr w:type="spellEnd"/>
      <w:r w:rsidRPr="001F7565">
        <w:rPr>
          <w:lang w:eastAsia="en-GB"/>
        </w:rPr>
        <w:t xml:space="preserve">, J. (2012). </w:t>
      </w:r>
      <w:r w:rsidRPr="001F7565">
        <w:rPr>
          <w:i/>
          <w:lang w:eastAsia="en-GB"/>
        </w:rPr>
        <w:t>Career Guidance and Therapeutic Counselling: Sharing ‘What Works’ in Practice with Young People</w:t>
      </w:r>
      <w:r w:rsidRPr="001F7565">
        <w:rPr>
          <w:lang w:eastAsia="en-GB"/>
        </w:rPr>
        <w:t>. British Journal of Guidance and Counselling, 40:4, 327-339.</w:t>
      </w:r>
    </w:p>
    <w:p w14:paraId="7E85F517" w14:textId="6B4FB402" w:rsidR="00974E2F" w:rsidRPr="001F7565" w:rsidRDefault="008E27C1" w:rsidP="009D774D">
      <w:pPr>
        <w:pStyle w:val="wpBodyText"/>
      </w:pPr>
      <w:r w:rsidRPr="001F7565">
        <w:rPr>
          <w:lang w:eastAsia="en-GB"/>
        </w:rPr>
        <w:t>Williams</w:t>
      </w:r>
      <w:r w:rsidR="00E85DB1" w:rsidRPr="001F7565">
        <w:rPr>
          <w:lang w:eastAsia="en-GB"/>
        </w:rPr>
        <w:t>,</w:t>
      </w:r>
      <w:r w:rsidRPr="001F7565">
        <w:rPr>
          <w:lang w:eastAsia="en-GB"/>
        </w:rPr>
        <w:t xml:space="preserve"> J</w:t>
      </w:r>
      <w:r w:rsidR="00E85DB1" w:rsidRPr="001F7565">
        <w:rPr>
          <w:lang w:eastAsia="en-GB"/>
        </w:rPr>
        <w:t>.</w:t>
      </w:r>
      <w:r w:rsidRPr="001F7565">
        <w:rPr>
          <w:lang w:eastAsia="en-GB"/>
        </w:rPr>
        <w:t xml:space="preserve"> Buzzeo</w:t>
      </w:r>
      <w:r w:rsidR="00E85DB1" w:rsidRPr="001F7565">
        <w:rPr>
          <w:lang w:eastAsia="en-GB"/>
        </w:rPr>
        <w:t>,</w:t>
      </w:r>
      <w:r w:rsidRPr="001F7565">
        <w:rPr>
          <w:lang w:eastAsia="en-GB"/>
        </w:rPr>
        <w:t xml:space="preserve"> J</w:t>
      </w:r>
      <w:r w:rsidR="00E85DB1" w:rsidRPr="001F7565">
        <w:rPr>
          <w:lang w:eastAsia="en-GB"/>
        </w:rPr>
        <w:t>.</w:t>
      </w:r>
      <w:r w:rsidRPr="001F7565">
        <w:rPr>
          <w:lang w:eastAsia="en-GB"/>
        </w:rPr>
        <w:t xml:space="preserve"> and Spiegelhalter</w:t>
      </w:r>
      <w:r w:rsidR="00E85DB1" w:rsidRPr="001F7565">
        <w:rPr>
          <w:lang w:eastAsia="en-GB"/>
        </w:rPr>
        <w:t>,</w:t>
      </w:r>
      <w:r w:rsidRPr="001F7565">
        <w:rPr>
          <w:lang w:eastAsia="en-GB"/>
        </w:rPr>
        <w:t xml:space="preserve"> K</w:t>
      </w:r>
      <w:r w:rsidR="00E85DB1" w:rsidRPr="001F7565">
        <w:rPr>
          <w:lang w:eastAsia="en-GB"/>
        </w:rPr>
        <w:t>.</w:t>
      </w:r>
      <w:r w:rsidRPr="001F7565">
        <w:rPr>
          <w:lang w:eastAsia="en-GB"/>
        </w:rPr>
        <w:t xml:space="preserve"> Dawson</w:t>
      </w:r>
      <w:r w:rsidR="00E85DB1" w:rsidRPr="001F7565">
        <w:rPr>
          <w:lang w:eastAsia="en-GB"/>
        </w:rPr>
        <w:t>,</w:t>
      </w:r>
      <w:r w:rsidRPr="001F7565">
        <w:rPr>
          <w:lang w:eastAsia="en-GB"/>
        </w:rPr>
        <w:t xml:space="preserve"> A. (2018). </w:t>
      </w:r>
      <w:r w:rsidRPr="001F7565">
        <w:rPr>
          <w:i/>
          <w:iCs/>
          <w:lang w:eastAsia="en-GB"/>
        </w:rPr>
        <w:t xml:space="preserve">Careers Provision in Colleges: What </w:t>
      </w:r>
      <w:proofErr w:type="gramStart"/>
      <w:r w:rsidRPr="001F7565">
        <w:rPr>
          <w:i/>
          <w:iCs/>
          <w:lang w:eastAsia="en-GB"/>
        </w:rPr>
        <w:t>Works?</w:t>
      </w:r>
      <w:r w:rsidRPr="001F7565">
        <w:rPr>
          <w:lang w:eastAsia="en-GB"/>
        </w:rPr>
        <w:t>.</w:t>
      </w:r>
      <w:proofErr w:type="gramEnd"/>
      <w:r w:rsidRPr="001F7565">
        <w:rPr>
          <w:lang w:eastAsia="en-GB"/>
        </w:rPr>
        <w:t xml:space="preserve"> pp.</w:t>
      </w:r>
      <w:r w:rsidR="00E85DB1" w:rsidRPr="001F7565">
        <w:rPr>
          <w:lang w:eastAsia="en-GB"/>
        </w:rPr>
        <w:t>1-20</w:t>
      </w:r>
    </w:p>
    <w:p w14:paraId="6EB982E9" w14:textId="77777777" w:rsidR="00516D97" w:rsidRPr="001F7565" w:rsidRDefault="00516D97" w:rsidP="00516D97"/>
    <w:p w14:paraId="5DE0296A" w14:textId="77777777" w:rsidR="00516D97" w:rsidRDefault="00516D97" w:rsidP="00516D97">
      <w:r w:rsidRPr="001F7565">
        <w:rPr>
          <w:sz w:val="20"/>
          <w:szCs w:val="20"/>
        </w:rPr>
        <w:t xml:space="preserve">Neary, S. and Hooley, T. (2016). </w:t>
      </w:r>
      <w:r w:rsidRPr="001F7565">
        <w:rPr>
          <w:i/>
          <w:iCs/>
          <w:sz w:val="20"/>
          <w:szCs w:val="20"/>
        </w:rPr>
        <w:t>Presenting the LEADER Framework for Careers</w:t>
      </w:r>
      <w:r w:rsidRPr="001F7565">
        <w:rPr>
          <w:sz w:val="20"/>
          <w:szCs w:val="20"/>
        </w:rPr>
        <w:t xml:space="preserve"> (1.0). Derby: International Centre for Guidance Studies, University of Derby.</w:t>
      </w:r>
    </w:p>
    <w:p w14:paraId="2E0CDE7D" w14:textId="77777777" w:rsidR="00516D97" w:rsidRDefault="00516D97" w:rsidP="009D774D">
      <w:pPr>
        <w:pStyle w:val="wpBodyText"/>
      </w:pPr>
    </w:p>
    <w:p w14:paraId="6EDBD7C1" w14:textId="77777777" w:rsidR="00516D97" w:rsidRPr="006B26B5" w:rsidRDefault="00516D97" w:rsidP="009D774D">
      <w:pPr>
        <w:pStyle w:val="wpBodyText"/>
      </w:pPr>
    </w:p>
    <w:p w14:paraId="7CAB28D2" w14:textId="77777777" w:rsidR="003A4706" w:rsidRDefault="003A4706" w:rsidP="003A4706">
      <w:pPr>
        <w:pStyle w:val="wpSource"/>
      </w:pPr>
    </w:p>
    <w:p w14:paraId="4D4A0A02" w14:textId="77777777" w:rsidR="00ED2DBE" w:rsidRPr="00ED2DBE" w:rsidRDefault="00ED2DBE" w:rsidP="00ED2DBE">
      <w:pPr>
        <w:pStyle w:val="wpHeading1"/>
      </w:pPr>
    </w:p>
    <w:sectPr w:rsidR="00ED2DBE" w:rsidRPr="00ED2DBE" w:rsidSect="00772BAE">
      <w:headerReference w:type="default" r:id="rId29"/>
      <w:footerReference w:type="default" r:id="rId30"/>
      <w:pgSz w:w="11907" w:h="16840" w:code="9"/>
      <w:pgMar w:top="1134" w:right="1418" w:bottom="1474" w:left="1304" w:header="39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356B" w14:textId="77777777" w:rsidR="00300C8D" w:rsidRDefault="00300C8D" w:rsidP="00FE141F">
      <w:r>
        <w:separator/>
      </w:r>
    </w:p>
    <w:p w14:paraId="509724C2" w14:textId="77777777" w:rsidR="00300C8D" w:rsidRDefault="00300C8D"/>
  </w:endnote>
  <w:endnote w:type="continuationSeparator" w:id="0">
    <w:p w14:paraId="6C80BF3D" w14:textId="77777777" w:rsidR="00300C8D" w:rsidRDefault="00300C8D" w:rsidP="00FE141F">
      <w:r>
        <w:continuationSeparator/>
      </w:r>
    </w:p>
    <w:p w14:paraId="223580FF" w14:textId="77777777" w:rsidR="00300C8D" w:rsidRDefault="00300C8D"/>
  </w:endnote>
  <w:endnote w:type="continuationNotice" w:id="1">
    <w:p w14:paraId="50F615FF" w14:textId="77777777" w:rsidR="00300C8D" w:rsidRDefault="0030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T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FAF3" w14:textId="202D070E" w:rsidR="00300C8D" w:rsidRPr="00A47C06" w:rsidRDefault="00300C8D" w:rsidP="00A47C06">
    <w:pPr>
      <w:pStyle w:val="Footer"/>
    </w:pPr>
    <w:r>
      <w:rPr>
        <w:noProof/>
        <w:lang w:eastAsia="en-GB"/>
      </w:rPr>
      <w:drawing>
        <wp:anchor distT="0" distB="0" distL="114300" distR="114300" simplePos="0" relativeHeight="251658242" behindDoc="1" locked="0" layoutInCell="1" allowOverlap="1" wp14:anchorId="6B37AF1F" wp14:editId="794EC05B">
          <wp:simplePos x="0" y="0"/>
          <wp:positionH relativeFrom="margin">
            <wp:posOffset>472440</wp:posOffset>
          </wp:positionH>
          <wp:positionV relativeFrom="page">
            <wp:posOffset>9858375</wp:posOffset>
          </wp:positionV>
          <wp:extent cx="923925" cy="454025"/>
          <wp:effectExtent l="0" t="0" r="9525" b="317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454025"/>
                  </a:xfrm>
                  <a:prstGeom prst="rect">
                    <a:avLst/>
                  </a:prstGeom>
                </pic:spPr>
              </pic:pic>
            </a:graphicData>
          </a:graphic>
        </wp:anchor>
      </w:drawing>
    </w:r>
    <w:r>
      <w:rPr>
        <w:noProof/>
      </w:rPr>
      <w:drawing>
        <wp:anchor distT="0" distB="0" distL="114300" distR="114300" simplePos="0" relativeHeight="251658240" behindDoc="1" locked="0" layoutInCell="1" allowOverlap="1" wp14:anchorId="6BC47A00" wp14:editId="6B894623">
          <wp:simplePos x="0" y="0"/>
          <wp:positionH relativeFrom="page">
            <wp:posOffset>467995</wp:posOffset>
          </wp:positionH>
          <wp:positionV relativeFrom="page">
            <wp:posOffset>10010775</wp:posOffset>
          </wp:positionV>
          <wp:extent cx="756360" cy="224640"/>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60" cy="224640"/>
                  </a:xfrm>
                  <a:prstGeom prst="rect">
                    <a:avLst/>
                  </a:prstGeom>
                  <a:noFill/>
                </pic:spPr>
              </pic:pic>
            </a:graphicData>
          </a:graphic>
          <wp14:sizeRelH relativeFrom="margin">
            <wp14:pctWidth>0</wp14:pctWidth>
          </wp14:sizeRelH>
          <wp14:sizeRelV relativeFrom="margin">
            <wp14:pctHeight>0</wp14:pctHeight>
          </wp14:sizeRelV>
        </wp:anchor>
      </w:drawing>
    </w:r>
    <w:r w:rsidRPr="00A33308">
      <w:t xml:space="preserve">Maximising the Impact of Careers Services on Career Management Skills: </w:t>
    </w:r>
    <w:r>
      <w:br/>
    </w:r>
    <w:r w:rsidRPr="00A33308">
      <w:t>A Review of the Literature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7D51" w14:textId="77777777" w:rsidR="00300C8D" w:rsidRDefault="00300C8D" w:rsidP="00FE141F">
      <w:r>
        <w:separator/>
      </w:r>
    </w:p>
    <w:p w14:paraId="33E356AE" w14:textId="77777777" w:rsidR="00300C8D" w:rsidRDefault="00300C8D"/>
  </w:footnote>
  <w:footnote w:type="continuationSeparator" w:id="0">
    <w:p w14:paraId="7D660301" w14:textId="77777777" w:rsidR="00300C8D" w:rsidRDefault="00300C8D" w:rsidP="00FE141F">
      <w:r>
        <w:continuationSeparator/>
      </w:r>
    </w:p>
    <w:p w14:paraId="4D8E30C1" w14:textId="77777777" w:rsidR="00300C8D" w:rsidRDefault="00300C8D"/>
  </w:footnote>
  <w:footnote w:type="continuationNotice" w:id="1">
    <w:p w14:paraId="2FDA126F" w14:textId="77777777" w:rsidR="00300C8D" w:rsidRDefault="00300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B4F" w14:textId="77777777" w:rsidR="00300C8D" w:rsidRDefault="00300C8D">
    <w:pPr>
      <w:pStyle w:val="Header"/>
    </w:pPr>
    <w:r>
      <w:fldChar w:fldCharType="begin"/>
    </w:r>
    <w:r>
      <w:instrText xml:space="preserve"> page </w:instrText>
    </w:r>
    <w:r>
      <w:fldChar w:fldCharType="separate"/>
    </w:r>
    <w:r>
      <w:rPr>
        <w:noProof/>
      </w:rPr>
      <w:t>1</w:t>
    </w:r>
    <w:r>
      <w:fldChar w:fldCharType="end"/>
    </w:r>
    <w:r>
      <w:rPr>
        <w:noProof/>
      </w:rPr>
      <mc:AlternateContent>
        <mc:Choice Requires="wps">
          <w:drawing>
            <wp:anchor distT="0" distB="0" distL="114300" distR="114300" simplePos="0" relativeHeight="251658241" behindDoc="1" locked="0" layoutInCell="1" allowOverlap="0" wp14:anchorId="70B24DF5" wp14:editId="036599A8">
              <wp:simplePos x="0" y="0"/>
              <wp:positionH relativeFrom="page">
                <wp:posOffset>6142355</wp:posOffset>
              </wp:positionH>
              <wp:positionV relativeFrom="page">
                <wp:posOffset>252095</wp:posOffset>
              </wp:positionV>
              <wp:extent cx="866880" cy="0"/>
              <wp:effectExtent l="0" t="304800" r="0" b="323850"/>
              <wp:wrapNone/>
              <wp:docPr id="3" name="Straight Connector 3"/>
              <wp:cNvGraphicFramePr/>
              <a:graphic xmlns:a="http://schemas.openxmlformats.org/drawingml/2006/main">
                <a:graphicData uri="http://schemas.microsoft.com/office/word/2010/wordprocessingShape">
                  <wps:wsp>
                    <wps:cNvCnPr/>
                    <wps:spPr>
                      <a:xfrm rot="2580000" flipV="1">
                        <a:off x="0" y="0"/>
                        <a:ext cx="866880" cy="0"/>
                      </a:xfrm>
                      <a:prstGeom prst="line">
                        <a:avLst/>
                      </a:prstGeom>
                      <a:ln w="12700">
                        <a:solidFill>
                          <a:srgbClr val="B3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5F549" id="Straight Connector 3" o:spid="_x0000_s1026" style="position:absolute;rotation:-43;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83.65pt,19.85pt" to="551.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" o:allowoverlap="f" strokecolor="#b3b3b3" strokeweight="1pt">
              <w10:wrap anchorx="page" anchory="page"/>
            </v:line>
          </w:pict>
        </mc:Fallback>
      </mc:AlternateContent>
    </w:r>
  </w:p>
  <w:p w14:paraId="7E4B81C8" w14:textId="77777777" w:rsidR="00300C8D" w:rsidRDefault="00300C8D"/>
  <w:p w14:paraId="45AE2ED3" w14:textId="77777777" w:rsidR="00300C8D" w:rsidRDefault="00300C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317"/>
    <w:multiLevelType w:val="hybridMultilevel"/>
    <w:tmpl w:val="D05042DA"/>
    <w:lvl w:ilvl="0" w:tplc="42C28DBE">
      <w:start w:val="1"/>
      <w:numFmt w:val="bullet"/>
      <w:pStyle w:val="wpBullet2"/>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165D"/>
    <w:multiLevelType w:val="multilevel"/>
    <w:tmpl w:val="8C02D344"/>
    <w:styleLink w:val="EODBullets"/>
    <w:lvl w:ilvl="0">
      <w:start w:val="1"/>
      <w:numFmt w:val="bullet"/>
      <w:lvlText w:val=""/>
      <w:lvlJc w:val="left"/>
      <w:pPr>
        <w:tabs>
          <w:tab w:val="num" w:pos="357"/>
        </w:tabs>
        <w:ind w:left="360" w:hanging="360"/>
      </w:pPr>
      <w:rPr>
        <w:rFonts w:ascii="Symbol" w:hAnsi="Symbol" w:hint="default"/>
        <w:color w:val="FFFFFF" w:themeColor="text2" w:themeTint="99"/>
      </w:rPr>
    </w:lvl>
    <w:lvl w:ilvl="1">
      <w:start w:val="1"/>
      <w:numFmt w:val="bullet"/>
      <w:lvlText w:val=""/>
      <w:lvlJc w:val="left"/>
      <w:pPr>
        <w:tabs>
          <w:tab w:val="num" w:pos="720"/>
        </w:tabs>
        <w:ind w:left="720" w:hanging="360"/>
      </w:pPr>
      <w:rPr>
        <w:rFonts w:ascii="Symbol" w:hAnsi="Symbol" w:hint="default"/>
        <w:color w:val="FFFFFF" w:themeColor="text2" w:themeTint="99"/>
      </w:rPr>
    </w:lvl>
    <w:lvl w:ilvl="2">
      <w:start w:val="1"/>
      <w:numFmt w:val="bullet"/>
      <w:lvlText w:val="○"/>
      <w:lvlJc w:val="left"/>
      <w:pPr>
        <w:tabs>
          <w:tab w:val="num" w:pos="1077"/>
        </w:tabs>
        <w:ind w:left="1080" w:hanging="360"/>
      </w:pPr>
      <w:rPr>
        <w:rFonts w:ascii="Calibri" w:hAnsi="Calibri" w:hint="default"/>
        <w:color w:val="FFFFFF" w:themeColor="text2" w:themeTint="9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16105"/>
    <w:multiLevelType w:val="multilevel"/>
    <w:tmpl w:val="043A9EF2"/>
    <w:styleLink w:val="SQWMain"/>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hanging="510"/>
      </w:pPr>
      <w:rPr>
        <w:rFonts w:ascii="Century Gothic" w:hAnsi="Century Gothic" w:hint="default"/>
        <w:b/>
        <w:i w:val="0"/>
        <w:color w:val="DA291C"/>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566213"/>
    <w:multiLevelType w:val="multilevel"/>
    <w:tmpl w:val="2B1E7314"/>
    <w:lvl w:ilvl="0">
      <w:start w:val="1"/>
      <w:numFmt w:val="bullet"/>
      <w:pStyle w:val="wp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677F1"/>
    <w:multiLevelType w:val="multilevel"/>
    <w:tmpl w:val="6A7A5F6C"/>
    <w:styleLink w:val="SQWBullets"/>
    <w:lvl w:ilvl="0">
      <w:start w:val="1"/>
      <w:numFmt w:val="bullet"/>
      <w:pStyle w:val="wpListBullet"/>
      <w:lvlText w:val=""/>
      <w:lvlJc w:val="left"/>
      <w:pPr>
        <w:tabs>
          <w:tab w:val="num" w:pos="357"/>
        </w:tabs>
        <w:ind w:left="360" w:hanging="360"/>
      </w:pPr>
      <w:rPr>
        <w:rFonts w:ascii="Symbol" w:hAnsi="Symbol" w:hint="default"/>
        <w:color w:val="DA291C"/>
      </w:rPr>
    </w:lvl>
    <w:lvl w:ilvl="1">
      <w:start w:val="1"/>
      <w:numFmt w:val="bullet"/>
      <w:pStyle w:val="wpListBullet2"/>
      <w:lvlText w:val=""/>
      <w:lvlJc w:val="left"/>
      <w:pPr>
        <w:tabs>
          <w:tab w:val="num" w:pos="720"/>
        </w:tabs>
        <w:ind w:left="720" w:hanging="360"/>
      </w:pPr>
      <w:rPr>
        <w:rFonts w:ascii="Wingdings" w:hAnsi="Wingdings" w:hint="default"/>
        <w:color w:val="DA291C"/>
        <w:sz w:val="16"/>
      </w:rPr>
    </w:lvl>
    <w:lvl w:ilvl="2">
      <w:start w:val="1"/>
      <w:numFmt w:val="bullet"/>
      <w:lvlText w:val=""/>
      <w:lvlJc w:val="left"/>
      <w:pPr>
        <w:tabs>
          <w:tab w:val="num" w:pos="1077"/>
        </w:tabs>
        <w:ind w:left="1080" w:hanging="360"/>
      </w:pPr>
      <w:rPr>
        <w:rFonts w:ascii="Symbol" w:hAnsi="Symbol" w:hint="default"/>
        <w:color w:val="DA291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A44504"/>
    <w:multiLevelType w:val="multilevel"/>
    <w:tmpl w:val="DFB01484"/>
    <w:lvl w:ilvl="0">
      <w:start w:val="1"/>
      <w:numFmt w:val="bullet"/>
      <w:lvlText w:val=""/>
      <w:lvlJc w:val="left"/>
      <w:pPr>
        <w:tabs>
          <w:tab w:val="num" w:pos="357"/>
        </w:tabs>
        <w:ind w:left="360" w:hanging="360"/>
      </w:pPr>
      <w:rPr>
        <w:rFonts w:ascii="Symbol" w:hAnsi="Symbol" w:hint="default"/>
        <w:color w:val="DA291C"/>
      </w:rPr>
    </w:lvl>
    <w:lvl w:ilvl="1">
      <w:start w:val="1"/>
      <w:numFmt w:val="bullet"/>
      <w:lvlText w:val=""/>
      <w:lvlJc w:val="left"/>
      <w:pPr>
        <w:tabs>
          <w:tab w:val="num" w:pos="720"/>
        </w:tabs>
        <w:ind w:left="720" w:hanging="360"/>
      </w:pPr>
      <w:rPr>
        <w:rFonts w:ascii="Wingdings" w:hAnsi="Wingdings" w:hint="default"/>
        <w:color w:val="DA291C"/>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4906E8"/>
    <w:multiLevelType w:val="hybridMultilevel"/>
    <w:tmpl w:val="352C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3762"/>
    <w:multiLevelType w:val="multilevel"/>
    <w:tmpl w:val="932C7B3C"/>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FC12B8"/>
    <w:multiLevelType w:val="multilevel"/>
    <w:tmpl w:val="04FA6632"/>
    <w:styleLink w:val="SQWAnnexHeadings"/>
    <w:lvl w:ilvl="0">
      <w:start w:val="1"/>
      <w:numFmt w:val="upperLetter"/>
      <w:lvlText w:val="Anne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Restart w:val="0"/>
      <w:pStyle w:val="Heading5"/>
      <w:suff w:val="space"/>
      <w:lvlText w:val="Annex %5:"/>
      <w:lvlJc w:val="left"/>
      <w:pPr>
        <w:ind w:left="0" w:firstLine="0"/>
      </w:pPr>
      <w:rPr>
        <w:rFonts w:hint="default"/>
      </w:rPr>
    </w:lvl>
    <w:lvl w:ilvl="5">
      <w:start w:val="1"/>
      <w:numFmt w:val="decimal"/>
      <w:lvlText w:val="%1.%6"/>
      <w:lvlJc w:val="left"/>
      <w:pPr>
        <w:tabs>
          <w:tab w:val="num" w:pos="0"/>
        </w:tabs>
        <w:ind w:left="0" w:hanging="510"/>
      </w:pPr>
      <w:rPr>
        <w:rFonts w:ascii="Century Gothic" w:hAnsi="Century Gothic" w:hint="default"/>
        <w:b/>
        <w:i w:val="0"/>
        <w:color w:val="DA291C"/>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4B19A4"/>
    <w:multiLevelType w:val="multilevel"/>
    <w:tmpl w:val="105020F8"/>
    <w:styleLink w:val="SQWBoxBullets"/>
    <w:lvl w:ilvl="0">
      <w:start w:val="1"/>
      <w:numFmt w:val="bullet"/>
      <w:pStyle w:val="BoxBullet"/>
      <w:lvlText w:val=""/>
      <w:lvlJc w:val="left"/>
      <w:pPr>
        <w:tabs>
          <w:tab w:val="num" w:pos="357"/>
        </w:tabs>
        <w:ind w:left="360" w:hanging="360"/>
      </w:pPr>
      <w:rPr>
        <w:rFonts w:ascii="Symbol" w:hAnsi="Symbol" w:hint="default"/>
        <w:color w:val="FFFF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9D265F"/>
    <w:multiLevelType w:val="multilevel"/>
    <w:tmpl w:val="F4DA0824"/>
    <w:styleLink w:val="SQWPlainNumbering"/>
    <w:lvl w:ilvl="0">
      <w:start w:val="1"/>
      <w:numFmt w:val="decimal"/>
      <w:lvlText w:val="%1."/>
      <w:lvlJc w:val="left"/>
      <w:pPr>
        <w:tabs>
          <w:tab w:val="num" w:pos="0"/>
        </w:tabs>
        <w:ind w:left="0" w:hanging="510"/>
      </w:pPr>
      <w:rPr>
        <w:rFonts w:ascii="Century Gothic" w:hAnsi="Century Gothic" w:hint="default"/>
        <w:b/>
        <w:i w:val="0"/>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C94919"/>
    <w:multiLevelType w:val="multilevel"/>
    <w:tmpl w:val="E51A9B60"/>
    <w:styleLink w:val="SQWTableBullets"/>
    <w:lvl w:ilvl="0">
      <w:start w:val="1"/>
      <w:numFmt w:val="bullet"/>
      <w:pStyle w:val="wpTableBullet"/>
      <w:lvlText w:val=""/>
      <w:lvlJc w:val="left"/>
      <w:pPr>
        <w:tabs>
          <w:tab w:val="num" w:pos="357"/>
        </w:tabs>
        <w:ind w:left="360" w:hanging="360"/>
      </w:pPr>
      <w:rPr>
        <w:rFonts w:ascii="Symbol" w:hAnsi="Symbol" w:hint="default"/>
        <w:color w:val="DA291C"/>
      </w:rPr>
    </w:lvl>
    <w:lvl w:ilvl="1">
      <w:start w:val="1"/>
      <w:numFmt w:val="bullet"/>
      <w:pStyle w:val="wpTableBullet2"/>
      <w:lvlText w:val=""/>
      <w:lvlJc w:val="left"/>
      <w:pPr>
        <w:tabs>
          <w:tab w:val="num" w:pos="720"/>
        </w:tabs>
        <w:ind w:left="720" w:hanging="360"/>
      </w:pPr>
      <w:rPr>
        <w:rFonts w:ascii="Wingdings" w:hAnsi="Wingdings" w:hint="default"/>
        <w:color w:val="DA291C"/>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5D559E"/>
    <w:multiLevelType w:val="multilevel"/>
    <w:tmpl w:val="DEBA3F2C"/>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76232A"/>
    <w:multiLevelType w:val="multilevel"/>
    <w:tmpl w:val="AFCCC640"/>
    <w:styleLink w:val="SQWListNumbers"/>
    <w:lvl w:ilvl="0">
      <w:start w:val="1"/>
      <w:numFmt w:val="decimal"/>
      <w:pStyle w:val="wpListNumber"/>
      <w:lvlText w:val="%1."/>
      <w:lvlJc w:val="left"/>
      <w:pPr>
        <w:tabs>
          <w:tab w:val="num" w:pos="357"/>
        </w:tabs>
        <w:ind w:left="360" w:hanging="360"/>
      </w:pPr>
      <w:rPr>
        <w:rFonts w:hint="default"/>
        <w:color w:val="auto"/>
      </w:rPr>
    </w:lvl>
    <w:lvl w:ilvl="1">
      <w:start w:val="1"/>
      <w:numFmt w:val="decimal"/>
      <w:pStyle w:val="wpListNumber2"/>
      <w:lvlText w:val="%1.%2."/>
      <w:lvlJc w:val="left"/>
      <w:pPr>
        <w:tabs>
          <w:tab w:val="num" w:pos="851"/>
        </w:tabs>
        <w:ind w:left="851" w:hanging="491"/>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D74D88"/>
    <w:multiLevelType w:val="multilevel"/>
    <w:tmpl w:val="269EEF6E"/>
    <w:styleLink w:val="EODListNumbers"/>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B62397"/>
    <w:multiLevelType w:val="hybridMultilevel"/>
    <w:tmpl w:val="18D4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51969"/>
    <w:multiLevelType w:val="multilevel"/>
    <w:tmpl w:val="65B2DBD4"/>
    <w:styleLink w:val="WPListNumbering"/>
    <w:lvl w:ilvl="0">
      <w:start w:val="1"/>
      <w:numFmt w:val="decimal"/>
      <w:lvlText w:val="%1."/>
      <w:lvlJc w:val="left"/>
      <w:pPr>
        <w:tabs>
          <w:tab w:val="num" w:pos="0"/>
        </w:tabs>
        <w:ind w:left="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3A51BD"/>
    <w:multiLevelType w:val="hybridMultilevel"/>
    <w:tmpl w:val="F782ED24"/>
    <w:lvl w:ilvl="0" w:tplc="140A3828">
      <w:start w:val="1"/>
      <w:numFmt w:val="bullet"/>
      <w:pStyle w:val="Caption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025078">
    <w:abstractNumId w:val="12"/>
  </w:num>
  <w:num w:numId="2" w16cid:durableId="1804151747">
    <w:abstractNumId w:val="7"/>
  </w:num>
  <w:num w:numId="3" w16cid:durableId="602997721">
    <w:abstractNumId w:val="1"/>
  </w:num>
  <w:num w:numId="4" w16cid:durableId="951979362">
    <w:abstractNumId w:val="14"/>
  </w:num>
  <w:num w:numId="5" w16cid:durableId="1642691748">
    <w:abstractNumId w:val="2"/>
  </w:num>
  <w:num w:numId="6" w16cid:durableId="1862821833">
    <w:abstractNumId w:val="10"/>
  </w:num>
  <w:num w:numId="7" w16cid:durableId="325397902">
    <w:abstractNumId w:val="8"/>
  </w:num>
  <w:num w:numId="8" w16cid:durableId="145317482">
    <w:abstractNumId w:val="9"/>
  </w:num>
  <w:num w:numId="9" w16cid:durableId="2084451605">
    <w:abstractNumId w:val="4"/>
  </w:num>
  <w:num w:numId="10" w16cid:durableId="1936791921">
    <w:abstractNumId w:val="13"/>
  </w:num>
  <w:num w:numId="11" w16cid:durableId="1911111398">
    <w:abstractNumId w:val="8"/>
  </w:num>
  <w:num w:numId="12" w16cid:durableId="2131972049">
    <w:abstractNumId w:val="11"/>
  </w:num>
  <w:num w:numId="13" w16cid:durableId="1398699703">
    <w:abstractNumId w:val="9"/>
  </w:num>
  <w:num w:numId="14" w16cid:durableId="1304696276">
    <w:abstractNumId w:val="0"/>
  </w:num>
  <w:num w:numId="15" w16cid:durableId="71852556">
    <w:abstractNumId w:val="17"/>
  </w:num>
  <w:num w:numId="16" w16cid:durableId="213397997">
    <w:abstractNumId w:val="3"/>
  </w:num>
  <w:num w:numId="17" w16cid:durableId="2007391040">
    <w:abstractNumId w:val="16"/>
  </w:num>
  <w:num w:numId="18" w16cid:durableId="484007772">
    <w:abstractNumId w:val="6"/>
  </w:num>
  <w:num w:numId="19" w16cid:durableId="1302270464">
    <w:abstractNumId w:val="15"/>
  </w:num>
  <w:num w:numId="20" w16cid:durableId="204100292">
    <w:abstractNumId w:val="11"/>
  </w:num>
  <w:num w:numId="21" w16cid:durableId="1567033373">
    <w:abstractNumId w:val="11"/>
  </w:num>
  <w:num w:numId="22" w16cid:durableId="212607768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9F"/>
    <w:rsid w:val="000031CF"/>
    <w:rsid w:val="00004564"/>
    <w:rsid w:val="00050338"/>
    <w:rsid w:val="00072D6C"/>
    <w:rsid w:val="00077D80"/>
    <w:rsid w:val="000901A0"/>
    <w:rsid w:val="000A2E5A"/>
    <w:rsid w:val="000C31E2"/>
    <w:rsid w:val="000C4872"/>
    <w:rsid w:val="000D0B5E"/>
    <w:rsid w:val="000D1D6B"/>
    <w:rsid w:val="000F639D"/>
    <w:rsid w:val="00115000"/>
    <w:rsid w:val="00142CCD"/>
    <w:rsid w:val="001642EE"/>
    <w:rsid w:val="00167F45"/>
    <w:rsid w:val="0019452E"/>
    <w:rsid w:val="0019465F"/>
    <w:rsid w:val="0019526C"/>
    <w:rsid w:val="001E03C5"/>
    <w:rsid w:val="001E2DFA"/>
    <w:rsid w:val="001F5029"/>
    <w:rsid w:val="001F7565"/>
    <w:rsid w:val="002023BA"/>
    <w:rsid w:val="002161C8"/>
    <w:rsid w:val="002177F7"/>
    <w:rsid w:val="0022369B"/>
    <w:rsid w:val="0024416A"/>
    <w:rsid w:val="00244754"/>
    <w:rsid w:val="002533D1"/>
    <w:rsid w:val="00256335"/>
    <w:rsid w:val="00260338"/>
    <w:rsid w:val="002604C6"/>
    <w:rsid w:val="002745A8"/>
    <w:rsid w:val="002B19D6"/>
    <w:rsid w:val="002C5344"/>
    <w:rsid w:val="002D60A1"/>
    <w:rsid w:val="002F09A8"/>
    <w:rsid w:val="002F1186"/>
    <w:rsid w:val="002F2A72"/>
    <w:rsid w:val="002F473E"/>
    <w:rsid w:val="002F54B2"/>
    <w:rsid w:val="00300C8D"/>
    <w:rsid w:val="00301063"/>
    <w:rsid w:val="00313481"/>
    <w:rsid w:val="003162C8"/>
    <w:rsid w:val="003617B3"/>
    <w:rsid w:val="003754B4"/>
    <w:rsid w:val="003A1722"/>
    <w:rsid w:val="003A4706"/>
    <w:rsid w:val="003B7CA3"/>
    <w:rsid w:val="003E5C41"/>
    <w:rsid w:val="003E7135"/>
    <w:rsid w:val="00441491"/>
    <w:rsid w:val="0044330B"/>
    <w:rsid w:val="004469A0"/>
    <w:rsid w:val="00451229"/>
    <w:rsid w:val="00451529"/>
    <w:rsid w:val="00454D45"/>
    <w:rsid w:val="0045669F"/>
    <w:rsid w:val="004606F6"/>
    <w:rsid w:val="00476A4F"/>
    <w:rsid w:val="00480A3C"/>
    <w:rsid w:val="004A3941"/>
    <w:rsid w:val="004B37A1"/>
    <w:rsid w:val="004D543E"/>
    <w:rsid w:val="004E64B8"/>
    <w:rsid w:val="00516D97"/>
    <w:rsid w:val="00516E9A"/>
    <w:rsid w:val="00520B7C"/>
    <w:rsid w:val="00537A71"/>
    <w:rsid w:val="00554409"/>
    <w:rsid w:val="00555531"/>
    <w:rsid w:val="0055653C"/>
    <w:rsid w:val="00556B9E"/>
    <w:rsid w:val="00563CB4"/>
    <w:rsid w:val="0058598E"/>
    <w:rsid w:val="005A71D7"/>
    <w:rsid w:val="005B0703"/>
    <w:rsid w:val="005B2996"/>
    <w:rsid w:val="005B5F44"/>
    <w:rsid w:val="00615301"/>
    <w:rsid w:val="006212A2"/>
    <w:rsid w:val="00631295"/>
    <w:rsid w:val="006448F2"/>
    <w:rsid w:val="00662B6A"/>
    <w:rsid w:val="00665213"/>
    <w:rsid w:val="006704DE"/>
    <w:rsid w:val="006717AC"/>
    <w:rsid w:val="006748D9"/>
    <w:rsid w:val="0068468E"/>
    <w:rsid w:val="006A3E3A"/>
    <w:rsid w:val="006B26B5"/>
    <w:rsid w:val="006E5194"/>
    <w:rsid w:val="006E6312"/>
    <w:rsid w:val="006F4CBB"/>
    <w:rsid w:val="00700266"/>
    <w:rsid w:val="00711B18"/>
    <w:rsid w:val="00726E70"/>
    <w:rsid w:val="0073457D"/>
    <w:rsid w:val="00752479"/>
    <w:rsid w:val="00771953"/>
    <w:rsid w:val="00772BAE"/>
    <w:rsid w:val="0077445E"/>
    <w:rsid w:val="00791A57"/>
    <w:rsid w:val="007A2A78"/>
    <w:rsid w:val="007E3B4F"/>
    <w:rsid w:val="007F18E0"/>
    <w:rsid w:val="00803B73"/>
    <w:rsid w:val="00820A9C"/>
    <w:rsid w:val="00847546"/>
    <w:rsid w:val="00853F06"/>
    <w:rsid w:val="00864303"/>
    <w:rsid w:val="00877BBC"/>
    <w:rsid w:val="00884177"/>
    <w:rsid w:val="008A60F0"/>
    <w:rsid w:val="008A7BCB"/>
    <w:rsid w:val="008E27C1"/>
    <w:rsid w:val="008F00FA"/>
    <w:rsid w:val="008F22A5"/>
    <w:rsid w:val="0096118A"/>
    <w:rsid w:val="00963164"/>
    <w:rsid w:val="00974E2F"/>
    <w:rsid w:val="009A3EA3"/>
    <w:rsid w:val="009A691F"/>
    <w:rsid w:val="009C5891"/>
    <w:rsid w:val="009C59AD"/>
    <w:rsid w:val="009D558F"/>
    <w:rsid w:val="009D774D"/>
    <w:rsid w:val="009E3A78"/>
    <w:rsid w:val="009E42DB"/>
    <w:rsid w:val="009F1AFC"/>
    <w:rsid w:val="00A21D37"/>
    <w:rsid w:val="00A33308"/>
    <w:rsid w:val="00A33657"/>
    <w:rsid w:val="00A345D3"/>
    <w:rsid w:val="00A441C5"/>
    <w:rsid w:val="00A47C06"/>
    <w:rsid w:val="00A51248"/>
    <w:rsid w:val="00A62DBC"/>
    <w:rsid w:val="00A810B1"/>
    <w:rsid w:val="00A817E9"/>
    <w:rsid w:val="00A84181"/>
    <w:rsid w:val="00AB4877"/>
    <w:rsid w:val="00AC6C7E"/>
    <w:rsid w:val="00AE0ED3"/>
    <w:rsid w:val="00AF154C"/>
    <w:rsid w:val="00AF5EAB"/>
    <w:rsid w:val="00B02808"/>
    <w:rsid w:val="00B1466D"/>
    <w:rsid w:val="00B2594D"/>
    <w:rsid w:val="00B50C5E"/>
    <w:rsid w:val="00B53739"/>
    <w:rsid w:val="00B575DF"/>
    <w:rsid w:val="00BA79C5"/>
    <w:rsid w:val="00BB41A9"/>
    <w:rsid w:val="00BD0C7A"/>
    <w:rsid w:val="00BD0D0E"/>
    <w:rsid w:val="00BD657E"/>
    <w:rsid w:val="00BD7523"/>
    <w:rsid w:val="00BE6C2F"/>
    <w:rsid w:val="00BF4698"/>
    <w:rsid w:val="00C01797"/>
    <w:rsid w:val="00C05A1C"/>
    <w:rsid w:val="00C1441C"/>
    <w:rsid w:val="00C22442"/>
    <w:rsid w:val="00C31662"/>
    <w:rsid w:val="00C34F39"/>
    <w:rsid w:val="00C372D2"/>
    <w:rsid w:val="00C430B0"/>
    <w:rsid w:val="00C74007"/>
    <w:rsid w:val="00C8016B"/>
    <w:rsid w:val="00C90613"/>
    <w:rsid w:val="00CA7026"/>
    <w:rsid w:val="00CC6938"/>
    <w:rsid w:val="00CE46FF"/>
    <w:rsid w:val="00CF675F"/>
    <w:rsid w:val="00D1749E"/>
    <w:rsid w:val="00D33467"/>
    <w:rsid w:val="00D4191B"/>
    <w:rsid w:val="00D41E8C"/>
    <w:rsid w:val="00D50CDA"/>
    <w:rsid w:val="00D606C7"/>
    <w:rsid w:val="00D930F3"/>
    <w:rsid w:val="00DA728D"/>
    <w:rsid w:val="00DC434E"/>
    <w:rsid w:val="00E00411"/>
    <w:rsid w:val="00E03D40"/>
    <w:rsid w:val="00E122DB"/>
    <w:rsid w:val="00E2601F"/>
    <w:rsid w:val="00E369AB"/>
    <w:rsid w:val="00E57C47"/>
    <w:rsid w:val="00E66356"/>
    <w:rsid w:val="00E74301"/>
    <w:rsid w:val="00E85DB1"/>
    <w:rsid w:val="00E9578C"/>
    <w:rsid w:val="00EA6BAB"/>
    <w:rsid w:val="00EC0876"/>
    <w:rsid w:val="00EC566E"/>
    <w:rsid w:val="00EC6CD1"/>
    <w:rsid w:val="00ED2DBE"/>
    <w:rsid w:val="00EF5513"/>
    <w:rsid w:val="00F276A9"/>
    <w:rsid w:val="00F33A6D"/>
    <w:rsid w:val="00F4076A"/>
    <w:rsid w:val="00F44297"/>
    <w:rsid w:val="00F55DC0"/>
    <w:rsid w:val="00F77BC9"/>
    <w:rsid w:val="00F9196D"/>
    <w:rsid w:val="00FB0BAE"/>
    <w:rsid w:val="00FC46D8"/>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A320"/>
  <w15:chartTrackingRefBased/>
  <w15:docId w15:val="{C6C8C555-941F-4E94-9D4E-41889A91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6"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2" w:unhideWhenUsed="1" w:qFormat="1"/>
    <w:lsdException w:name="List Continue 2" w:semiHidden="1" w:uiPriority="12" w:unhideWhenUsed="1" w:qFormat="1"/>
    <w:lsdException w:name="List Continue 3" w:semiHidden="1" w:uiPriority="1" w:unhideWhenUsed="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9"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A3E3A"/>
    <w:pPr>
      <w:spacing w:line="240" w:lineRule="auto"/>
    </w:pPr>
    <w:rPr>
      <w:rFonts w:ascii="Cambria" w:hAnsi="Cambria"/>
      <w:sz w:val="22"/>
      <w:szCs w:val="22"/>
      <w:lang w:val="en-GB"/>
    </w:rPr>
  </w:style>
  <w:style w:type="paragraph" w:styleId="Heading1">
    <w:name w:val="heading 1"/>
    <w:basedOn w:val="Normal"/>
    <w:next w:val="Normal"/>
    <w:link w:val="Heading1Char"/>
    <w:qFormat/>
    <w:rsid w:val="005B5F44"/>
    <w:pPr>
      <w:keepNext/>
      <w:keepLines/>
      <w:spacing w:after="560" w:line="420" w:lineRule="exact"/>
      <w:outlineLvl w:val="0"/>
    </w:pPr>
    <w:rPr>
      <w:rFonts w:ascii="Century Gothic" w:eastAsiaTheme="majorEastAsia" w:hAnsi="Century Gothic" w:cstheme="majorBidi"/>
      <w:b/>
      <w:color w:val="1A1A1A"/>
      <w:sz w:val="36"/>
      <w:szCs w:val="32"/>
    </w:rPr>
  </w:style>
  <w:style w:type="paragraph" w:styleId="Heading2">
    <w:name w:val="heading 2"/>
    <w:basedOn w:val="Normal"/>
    <w:next w:val="Normal"/>
    <w:link w:val="Heading2Char"/>
    <w:uiPriority w:val="9"/>
    <w:qFormat/>
    <w:rsid w:val="00313481"/>
    <w:pPr>
      <w:keepNext/>
      <w:keepLines/>
      <w:spacing w:before="280" w:after="300" w:line="360" w:lineRule="exact"/>
      <w:outlineLvl w:val="1"/>
    </w:pPr>
    <w:rPr>
      <w:rFonts w:ascii="Century Gothic" w:eastAsiaTheme="majorEastAsia" w:hAnsi="Century Gothic" w:cstheme="majorBidi"/>
      <w:b/>
      <w:color w:val="DA291C"/>
      <w:sz w:val="30"/>
      <w:szCs w:val="26"/>
    </w:rPr>
  </w:style>
  <w:style w:type="paragraph" w:styleId="Heading3">
    <w:name w:val="heading 3"/>
    <w:basedOn w:val="Normal"/>
    <w:next w:val="Normal"/>
    <w:link w:val="Heading3Char"/>
    <w:qFormat/>
    <w:rsid w:val="00313481"/>
    <w:pPr>
      <w:keepNext/>
      <w:keepLines/>
      <w:spacing w:before="260" w:after="260" w:line="320" w:lineRule="atLeast"/>
      <w:outlineLvl w:val="2"/>
    </w:pPr>
    <w:rPr>
      <w:rFonts w:ascii="Century Gothic" w:eastAsiaTheme="majorEastAsia" w:hAnsi="Century Gothic" w:cstheme="majorBidi"/>
      <w:b/>
      <w:color w:val="DA291C"/>
    </w:rPr>
  </w:style>
  <w:style w:type="paragraph" w:styleId="Heading4">
    <w:name w:val="heading 4"/>
    <w:basedOn w:val="Normal"/>
    <w:next w:val="Normal"/>
    <w:link w:val="Heading4Char"/>
    <w:qFormat/>
    <w:rsid w:val="00313481"/>
    <w:pPr>
      <w:keepNext/>
      <w:keepLines/>
      <w:spacing w:before="260" w:after="260" w:line="320" w:lineRule="atLeast"/>
      <w:outlineLvl w:val="3"/>
    </w:pPr>
    <w:rPr>
      <w:rFonts w:ascii="Century Gothic" w:eastAsiaTheme="majorEastAsia" w:hAnsi="Century Gothic" w:cstheme="majorBidi"/>
      <w:b/>
      <w:iCs/>
      <w:color w:val="1A1A1A"/>
    </w:rPr>
  </w:style>
  <w:style w:type="paragraph" w:styleId="Heading5">
    <w:name w:val="heading 5"/>
    <w:aliases w:val="Annex Heading"/>
    <w:basedOn w:val="Heading1"/>
    <w:next w:val="Normal"/>
    <w:link w:val="Heading5Char"/>
    <w:uiPriority w:val="19"/>
    <w:semiHidden/>
    <w:qFormat/>
    <w:rsid w:val="00313481"/>
    <w:pPr>
      <w:numPr>
        <w:ilvl w:val="4"/>
        <w:numId w:val="11"/>
      </w:numPr>
      <w:outlineLvl w:val="4"/>
    </w:pPr>
  </w:style>
  <w:style w:type="paragraph" w:styleId="Heading6">
    <w:name w:val="heading 6"/>
    <w:aliases w:val="Annex Heading 2"/>
    <w:basedOn w:val="Heading2"/>
    <w:next w:val="Normal"/>
    <w:link w:val="Heading6Char"/>
    <w:uiPriority w:val="19"/>
    <w:semiHidden/>
    <w:qFormat/>
    <w:rsid w:val="00313481"/>
    <w:pPr>
      <w:outlineLvl w:val="5"/>
    </w:pPr>
  </w:style>
  <w:style w:type="paragraph" w:styleId="Heading7">
    <w:name w:val="heading 7"/>
    <w:aliases w:val="Annex Heading 3"/>
    <w:basedOn w:val="Heading3"/>
    <w:next w:val="Normal"/>
    <w:link w:val="Heading7Char"/>
    <w:uiPriority w:val="19"/>
    <w:semiHidden/>
    <w:qFormat/>
    <w:rsid w:val="00313481"/>
    <w:pPr>
      <w:spacing w:line="320" w:lineRule="exact"/>
      <w:outlineLvl w:val="6"/>
    </w:pPr>
    <w:rPr>
      <w:iCs/>
    </w:rPr>
  </w:style>
  <w:style w:type="paragraph" w:styleId="Heading8">
    <w:name w:val="heading 8"/>
    <w:aliases w:val="Annex Heading 4"/>
    <w:basedOn w:val="Heading4"/>
    <w:next w:val="Normal"/>
    <w:link w:val="Heading8Char"/>
    <w:qFormat/>
    <w:rsid w:val="00313481"/>
    <w:pPr>
      <w:outlineLvl w:val="7"/>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ListNumber">
    <w:name w:val="wp List Number"/>
    <w:basedOn w:val="Normal"/>
    <w:qFormat/>
    <w:rsid w:val="006A3E3A"/>
    <w:pPr>
      <w:numPr>
        <w:numId w:val="10"/>
      </w:numPr>
      <w:spacing w:after="260" w:line="320" w:lineRule="atLeast"/>
      <w:jc w:val="both"/>
    </w:pPr>
  </w:style>
  <w:style w:type="paragraph" w:customStyle="1" w:styleId="wpListNumber2">
    <w:name w:val="wp List Number 2"/>
    <w:basedOn w:val="Normal"/>
    <w:uiPriority w:val="9"/>
    <w:qFormat/>
    <w:rsid w:val="006A3E3A"/>
    <w:pPr>
      <w:numPr>
        <w:ilvl w:val="1"/>
        <w:numId w:val="10"/>
      </w:numPr>
      <w:spacing w:after="260" w:line="320" w:lineRule="atLeast"/>
      <w:jc w:val="both"/>
    </w:pPr>
  </w:style>
  <w:style w:type="numbering" w:customStyle="1" w:styleId="BulletList">
    <w:name w:val="Bullet List"/>
    <w:basedOn w:val="NoList"/>
    <w:uiPriority w:val="99"/>
    <w:rsid w:val="00313481"/>
    <w:pPr>
      <w:numPr>
        <w:numId w:val="1"/>
      </w:numPr>
    </w:pPr>
  </w:style>
  <w:style w:type="paragraph" w:styleId="Footer">
    <w:name w:val="footer"/>
    <w:basedOn w:val="Normal"/>
    <w:link w:val="FooterChar"/>
    <w:rsid w:val="00A47C06"/>
    <w:pPr>
      <w:tabs>
        <w:tab w:val="center" w:pos="4513"/>
        <w:tab w:val="right" w:pos="9026"/>
      </w:tabs>
      <w:ind w:right="-680"/>
      <w:jc w:val="right"/>
    </w:pPr>
    <w:rPr>
      <w:color w:val="1A1A1A"/>
      <w:sz w:val="18"/>
    </w:rPr>
  </w:style>
  <w:style w:type="character" w:customStyle="1" w:styleId="FooterChar">
    <w:name w:val="Footer Char"/>
    <w:basedOn w:val="DefaultParagraphFont"/>
    <w:link w:val="Footer"/>
    <w:uiPriority w:val="99"/>
    <w:rsid w:val="00A47C06"/>
    <w:rPr>
      <w:rFonts w:ascii="Cambria" w:hAnsi="Cambria"/>
      <w:color w:val="1A1A1A"/>
      <w:sz w:val="18"/>
      <w:szCs w:val="22"/>
      <w:lang w:val="en-GB"/>
    </w:rPr>
  </w:style>
  <w:style w:type="paragraph" w:styleId="Header">
    <w:name w:val="header"/>
    <w:basedOn w:val="Normal"/>
    <w:link w:val="HeaderChar"/>
    <w:rsid w:val="00313481"/>
    <w:pPr>
      <w:tabs>
        <w:tab w:val="center" w:pos="4513"/>
        <w:tab w:val="right" w:pos="9026"/>
      </w:tabs>
      <w:ind w:right="-680"/>
      <w:jc w:val="right"/>
    </w:pPr>
    <w:rPr>
      <w:color w:val="1A1A1A"/>
      <w:sz w:val="20"/>
    </w:rPr>
  </w:style>
  <w:style w:type="character" w:customStyle="1" w:styleId="HeaderChar">
    <w:name w:val="Header Char"/>
    <w:basedOn w:val="DefaultParagraphFont"/>
    <w:link w:val="Header"/>
    <w:uiPriority w:val="99"/>
    <w:rsid w:val="00313481"/>
    <w:rPr>
      <w:rFonts w:ascii="Cambria" w:hAnsi="Cambria"/>
      <w:color w:val="1A1A1A"/>
      <w:sz w:val="20"/>
      <w:szCs w:val="22"/>
      <w:lang w:val="en-GB"/>
    </w:rPr>
  </w:style>
  <w:style w:type="character" w:customStyle="1" w:styleId="Heading1Char">
    <w:name w:val="Heading 1 Char"/>
    <w:basedOn w:val="DefaultParagraphFont"/>
    <w:link w:val="Heading1"/>
    <w:uiPriority w:val="9"/>
    <w:semiHidden/>
    <w:rsid w:val="006748D9"/>
    <w:rPr>
      <w:rFonts w:ascii="Century Gothic" w:eastAsiaTheme="majorEastAsia" w:hAnsi="Century Gothic" w:cstheme="majorBidi"/>
      <w:b/>
      <w:color w:val="1A1A1A"/>
      <w:sz w:val="36"/>
      <w:szCs w:val="32"/>
      <w:lang w:val="en-GB"/>
    </w:rPr>
  </w:style>
  <w:style w:type="character" w:customStyle="1" w:styleId="Heading2Char">
    <w:name w:val="Heading 2 Char"/>
    <w:basedOn w:val="DefaultParagraphFont"/>
    <w:link w:val="Heading2"/>
    <w:uiPriority w:val="9"/>
    <w:rsid w:val="006748D9"/>
    <w:rPr>
      <w:rFonts w:ascii="Century Gothic" w:eastAsiaTheme="majorEastAsia" w:hAnsi="Century Gothic" w:cstheme="majorBidi"/>
      <w:b/>
      <w:color w:val="DA291C"/>
      <w:sz w:val="30"/>
      <w:szCs w:val="26"/>
      <w:lang w:val="en-GB"/>
    </w:rPr>
  </w:style>
  <w:style w:type="character" w:customStyle="1" w:styleId="Heading3Char">
    <w:name w:val="Heading 3 Char"/>
    <w:basedOn w:val="DefaultParagraphFont"/>
    <w:link w:val="Heading3"/>
    <w:uiPriority w:val="9"/>
    <w:semiHidden/>
    <w:rsid w:val="006748D9"/>
    <w:rPr>
      <w:rFonts w:ascii="Century Gothic" w:eastAsiaTheme="majorEastAsia" w:hAnsi="Century Gothic" w:cstheme="majorBidi"/>
      <w:b/>
      <w:color w:val="DA291C"/>
      <w:sz w:val="22"/>
      <w:szCs w:val="22"/>
      <w:lang w:val="en-GB"/>
    </w:rPr>
  </w:style>
  <w:style w:type="character" w:customStyle="1" w:styleId="Heading4Char">
    <w:name w:val="Heading 4 Char"/>
    <w:basedOn w:val="DefaultParagraphFont"/>
    <w:link w:val="Heading4"/>
    <w:uiPriority w:val="9"/>
    <w:semiHidden/>
    <w:rsid w:val="006748D9"/>
    <w:rPr>
      <w:rFonts w:ascii="Century Gothic" w:eastAsiaTheme="majorEastAsia" w:hAnsi="Century Gothic" w:cstheme="majorBidi"/>
      <w:b/>
      <w:iCs/>
      <w:color w:val="1A1A1A"/>
      <w:sz w:val="22"/>
      <w:szCs w:val="22"/>
      <w:lang w:val="en-GB"/>
    </w:rPr>
  </w:style>
  <w:style w:type="character" w:customStyle="1" w:styleId="Heading5Char">
    <w:name w:val="Heading 5 Char"/>
    <w:aliases w:val="Annex Heading Char"/>
    <w:basedOn w:val="DefaultParagraphFont"/>
    <w:link w:val="Heading5"/>
    <w:uiPriority w:val="19"/>
    <w:semiHidden/>
    <w:rsid w:val="006748D9"/>
    <w:rPr>
      <w:rFonts w:ascii="Century Gothic" w:eastAsiaTheme="majorEastAsia" w:hAnsi="Century Gothic" w:cstheme="majorBidi"/>
      <w:b/>
      <w:color w:val="1A1A1A"/>
      <w:sz w:val="36"/>
      <w:szCs w:val="32"/>
      <w:lang w:val="en-GB"/>
    </w:rPr>
  </w:style>
  <w:style w:type="character" w:customStyle="1" w:styleId="Heading6Char">
    <w:name w:val="Heading 6 Char"/>
    <w:aliases w:val="Annex Heading 2 Char"/>
    <w:basedOn w:val="DefaultParagraphFont"/>
    <w:link w:val="Heading6"/>
    <w:uiPriority w:val="19"/>
    <w:semiHidden/>
    <w:rsid w:val="006748D9"/>
    <w:rPr>
      <w:rFonts w:ascii="Century Gothic" w:eastAsiaTheme="majorEastAsia" w:hAnsi="Century Gothic" w:cstheme="majorBidi"/>
      <w:b/>
      <w:color w:val="DA291C"/>
      <w:sz w:val="30"/>
      <w:szCs w:val="26"/>
      <w:lang w:val="en-GB"/>
    </w:rPr>
  </w:style>
  <w:style w:type="paragraph" w:styleId="List">
    <w:name w:val="List"/>
    <w:basedOn w:val="Normal"/>
    <w:uiPriority w:val="99"/>
    <w:semiHidden/>
    <w:unhideWhenUsed/>
    <w:rsid w:val="00877BBC"/>
    <w:pPr>
      <w:spacing w:before="100" w:after="260" w:line="320" w:lineRule="atLeast"/>
      <w:ind w:left="284" w:hanging="284"/>
    </w:pPr>
  </w:style>
  <w:style w:type="paragraph" w:styleId="List2">
    <w:name w:val="List 2"/>
    <w:basedOn w:val="Normal"/>
    <w:uiPriority w:val="99"/>
    <w:semiHidden/>
    <w:unhideWhenUsed/>
    <w:rsid w:val="00877BBC"/>
    <w:pPr>
      <w:spacing w:after="260" w:line="320" w:lineRule="atLeast"/>
      <w:ind w:left="567"/>
    </w:pPr>
  </w:style>
  <w:style w:type="paragraph" w:styleId="List3">
    <w:name w:val="List 3"/>
    <w:basedOn w:val="Normal"/>
    <w:uiPriority w:val="99"/>
    <w:semiHidden/>
    <w:unhideWhenUsed/>
    <w:rsid w:val="00877BBC"/>
    <w:pPr>
      <w:spacing w:after="260" w:line="320" w:lineRule="atLeast"/>
      <w:ind w:left="851"/>
    </w:pPr>
  </w:style>
  <w:style w:type="paragraph" w:styleId="List4">
    <w:name w:val="List 4"/>
    <w:basedOn w:val="Normal"/>
    <w:uiPriority w:val="99"/>
    <w:semiHidden/>
    <w:unhideWhenUsed/>
    <w:rsid w:val="00877BBC"/>
    <w:pPr>
      <w:spacing w:after="260" w:line="320" w:lineRule="atLeast"/>
      <w:ind w:left="1134"/>
    </w:pPr>
  </w:style>
  <w:style w:type="paragraph" w:styleId="List5">
    <w:name w:val="List 5"/>
    <w:basedOn w:val="Normal"/>
    <w:uiPriority w:val="99"/>
    <w:semiHidden/>
    <w:unhideWhenUsed/>
    <w:rsid w:val="00877BBC"/>
    <w:pPr>
      <w:spacing w:after="260" w:line="320" w:lineRule="atLeast"/>
      <w:ind w:left="1418"/>
    </w:pPr>
  </w:style>
  <w:style w:type="paragraph" w:customStyle="1" w:styleId="wpDisclaimer">
    <w:name w:val="wp Disclaimer"/>
    <w:basedOn w:val="Normal"/>
    <w:uiPriority w:val="99"/>
    <w:qFormat/>
    <w:rsid w:val="00D33467"/>
    <w:pPr>
      <w:framePr w:wrap="around" w:hAnchor="margin" w:yAlign="bottom"/>
      <w:spacing w:line="200" w:lineRule="exact"/>
      <w:suppressOverlap/>
    </w:pPr>
    <w:rPr>
      <w:sz w:val="14"/>
    </w:rPr>
  </w:style>
  <w:style w:type="paragraph" w:customStyle="1" w:styleId="wpDisclaimerHeading">
    <w:name w:val="wp Disclaimer Heading"/>
    <w:basedOn w:val="Normal"/>
    <w:next w:val="wpDisclaimer"/>
    <w:uiPriority w:val="99"/>
    <w:qFormat/>
    <w:rsid w:val="006748D9"/>
    <w:rPr>
      <w:rFonts w:ascii="Century Gothic" w:hAnsi="Century Gothic"/>
      <w:b/>
      <w:color w:val="DA291C"/>
      <w:sz w:val="18"/>
    </w:rPr>
  </w:style>
  <w:style w:type="paragraph" w:customStyle="1" w:styleId="wpListContinue">
    <w:name w:val="wp List Continue"/>
    <w:basedOn w:val="Normal"/>
    <w:uiPriority w:val="9"/>
    <w:qFormat/>
    <w:rsid w:val="00BE6C2F"/>
    <w:pPr>
      <w:spacing w:after="260" w:line="320" w:lineRule="atLeast"/>
      <w:ind w:left="357"/>
      <w:jc w:val="both"/>
    </w:pPr>
  </w:style>
  <w:style w:type="numbering" w:customStyle="1" w:styleId="NumberList">
    <w:name w:val="Number List"/>
    <w:basedOn w:val="BulletList"/>
    <w:uiPriority w:val="99"/>
    <w:rsid w:val="00313481"/>
    <w:pPr>
      <w:numPr>
        <w:numId w:val="2"/>
      </w:numPr>
    </w:pPr>
  </w:style>
  <w:style w:type="table" w:styleId="TableGrid">
    <w:name w:val="Table Grid"/>
    <w:basedOn w:val="TableNormal"/>
    <w:uiPriority w:val="39"/>
    <w:rsid w:val="00313481"/>
    <w:pPr>
      <w:spacing w:line="240" w:lineRule="auto"/>
    </w:pPr>
    <w:rPr>
      <w:rFonts w:ascii="Cambria" w:hAnsi="Cambria"/>
      <w:sz w:val="22"/>
      <w:szCs w:val="22"/>
      <w:lang w:val="en-GB"/>
    </w:rPr>
    <w:tblPr>
      <w:tblCellMar>
        <w:left w:w="0" w:type="dxa"/>
        <w:right w:w="0" w:type="dxa"/>
      </w:tblCellMar>
    </w:tblPr>
  </w:style>
  <w:style w:type="paragraph" w:customStyle="1" w:styleId="wpHeading2">
    <w:name w:val="wp Heading 2"/>
    <w:basedOn w:val="wpHeading1"/>
    <w:next w:val="wpBodyText"/>
    <w:qFormat/>
    <w:rsid w:val="00ED2DBE"/>
    <w:pPr>
      <w:spacing w:line="360" w:lineRule="exact"/>
      <w:outlineLvl w:val="1"/>
    </w:pPr>
    <w:rPr>
      <w:color w:val="DA291C"/>
      <w:sz w:val="28"/>
    </w:rPr>
  </w:style>
  <w:style w:type="paragraph" w:styleId="TOC2">
    <w:name w:val="toc 2"/>
    <w:basedOn w:val="Normal"/>
    <w:next w:val="Normal"/>
    <w:uiPriority w:val="99"/>
    <w:semiHidden/>
    <w:unhideWhenUsed/>
    <w:rsid w:val="00313481"/>
    <w:pPr>
      <w:spacing w:after="100"/>
      <w:ind w:left="221"/>
    </w:pPr>
  </w:style>
  <w:style w:type="paragraph" w:styleId="TOC3">
    <w:name w:val="toc 3"/>
    <w:basedOn w:val="Normal"/>
    <w:next w:val="Normal"/>
    <w:semiHidden/>
    <w:unhideWhenUsed/>
    <w:rsid w:val="00313481"/>
    <w:pPr>
      <w:spacing w:after="100"/>
      <w:ind w:left="442"/>
    </w:pPr>
  </w:style>
  <w:style w:type="paragraph" w:customStyle="1" w:styleId="wpCaption">
    <w:name w:val="wp Caption"/>
    <w:basedOn w:val="Normal"/>
    <w:next w:val="wpBodyText"/>
    <w:uiPriority w:val="19"/>
    <w:qFormat/>
    <w:rsid w:val="00BE6C2F"/>
    <w:pPr>
      <w:keepNext/>
      <w:spacing w:before="260" w:line="320" w:lineRule="atLeast"/>
    </w:pPr>
    <w:rPr>
      <w:b/>
      <w:iCs/>
      <w:szCs w:val="18"/>
    </w:rPr>
  </w:style>
  <w:style w:type="paragraph" w:customStyle="1" w:styleId="wpQuoteText">
    <w:name w:val="wp Quote Text"/>
    <w:basedOn w:val="Normal"/>
    <w:uiPriority w:val="24"/>
    <w:qFormat/>
    <w:rsid w:val="00791A57"/>
    <w:pPr>
      <w:spacing w:before="260" w:line="320" w:lineRule="atLeast"/>
      <w:jc w:val="both"/>
    </w:pPr>
    <w:rPr>
      <w:i/>
      <w:iCs/>
      <w:color w:val="DA291C"/>
    </w:rPr>
  </w:style>
  <w:style w:type="paragraph" w:customStyle="1" w:styleId="wpQuoteSource">
    <w:name w:val="wp Quote Source"/>
    <w:basedOn w:val="Normal"/>
    <w:next w:val="wpQuoteText"/>
    <w:uiPriority w:val="24"/>
    <w:qFormat/>
    <w:rsid w:val="006748D9"/>
    <w:pPr>
      <w:spacing w:after="260" w:line="320" w:lineRule="atLeast"/>
    </w:pPr>
    <w:rPr>
      <w:b/>
      <w:iCs/>
      <w:color w:val="DA291C"/>
    </w:rPr>
  </w:style>
  <w:style w:type="character" w:styleId="PlaceholderText">
    <w:name w:val="Placeholder Text"/>
    <w:basedOn w:val="DefaultParagraphFont"/>
    <w:uiPriority w:val="99"/>
    <w:rsid w:val="00BD657E"/>
    <w:rPr>
      <w:color w:val="auto"/>
      <w:bdr w:val="none" w:sz="0" w:space="0" w:color="auto"/>
      <w:shd w:val="clear" w:color="auto" w:fill="C0C0C0"/>
    </w:rPr>
  </w:style>
  <w:style w:type="numbering" w:customStyle="1" w:styleId="EODBullets">
    <w:name w:val="EOD Bullets"/>
    <w:basedOn w:val="BulletList"/>
    <w:uiPriority w:val="99"/>
    <w:rsid w:val="006717AC"/>
    <w:pPr>
      <w:numPr>
        <w:numId w:val="3"/>
      </w:numPr>
    </w:pPr>
  </w:style>
  <w:style w:type="numbering" w:customStyle="1" w:styleId="EODListNumbers">
    <w:name w:val="EOD List Numbers"/>
    <w:basedOn w:val="NumberList"/>
    <w:uiPriority w:val="99"/>
    <w:rsid w:val="006717AC"/>
    <w:pPr>
      <w:numPr>
        <w:numId w:val="4"/>
      </w:numPr>
    </w:pPr>
  </w:style>
  <w:style w:type="paragraph" w:customStyle="1" w:styleId="wpBodyTextBold">
    <w:name w:val="wp Body Text Bold"/>
    <w:basedOn w:val="Normal"/>
    <w:uiPriority w:val="4"/>
    <w:qFormat/>
    <w:rsid w:val="00BE6C2F"/>
    <w:pPr>
      <w:spacing w:after="260" w:line="320" w:lineRule="atLeast"/>
      <w:jc w:val="both"/>
    </w:pPr>
    <w:rPr>
      <w:b/>
    </w:rPr>
  </w:style>
  <w:style w:type="paragraph" w:customStyle="1" w:styleId="wpBodyTextNoSpacing">
    <w:name w:val="wp Body Text No Spacing"/>
    <w:basedOn w:val="Normal"/>
    <w:uiPriority w:val="4"/>
    <w:qFormat/>
    <w:rsid w:val="00BE6C2F"/>
    <w:pPr>
      <w:spacing w:line="320" w:lineRule="atLeast"/>
      <w:jc w:val="both"/>
    </w:pPr>
  </w:style>
  <w:style w:type="paragraph" w:customStyle="1" w:styleId="BoxText">
    <w:name w:val="Box Text"/>
    <w:basedOn w:val="Normal"/>
    <w:qFormat/>
    <w:rsid w:val="00BE6C2F"/>
    <w:pPr>
      <w:spacing w:before="100" w:after="100"/>
      <w:jc w:val="both"/>
    </w:pPr>
    <w:rPr>
      <w:color w:val="FFFFFF"/>
    </w:rPr>
  </w:style>
  <w:style w:type="paragraph" w:customStyle="1" w:styleId="BoxBullet">
    <w:name w:val="Box Bullet"/>
    <w:basedOn w:val="BoxText"/>
    <w:uiPriority w:val="99"/>
    <w:qFormat/>
    <w:rsid w:val="006748D9"/>
    <w:pPr>
      <w:numPr>
        <w:numId w:val="13"/>
      </w:numPr>
    </w:pPr>
  </w:style>
  <w:style w:type="paragraph" w:styleId="BalloonText">
    <w:name w:val="Balloon Text"/>
    <w:basedOn w:val="Normal"/>
    <w:link w:val="BalloonTextChar"/>
    <w:semiHidden/>
    <w:unhideWhenUsed/>
    <w:rsid w:val="0031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1"/>
    <w:rPr>
      <w:rFonts w:ascii="Segoe UI" w:hAnsi="Segoe UI" w:cs="Segoe UI"/>
      <w:sz w:val="18"/>
      <w:szCs w:val="18"/>
      <w:lang w:val="en-GB"/>
    </w:rPr>
  </w:style>
  <w:style w:type="character" w:customStyle="1" w:styleId="BlueText">
    <w:name w:val="Blue Text"/>
    <w:basedOn w:val="DefaultParagraphFont"/>
    <w:uiPriority w:val="99"/>
    <w:rsid w:val="00313481"/>
    <w:rPr>
      <w:rFonts w:ascii="Cambria" w:hAnsi="Cambria" w:hint="default"/>
      <w:b/>
      <w:bCs w:val="0"/>
      <w:color w:val="0000FF"/>
    </w:rPr>
  </w:style>
  <w:style w:type="paragraph" w:customStyle="1" w:styleId="BoxHeading">
    <w:name w:val="Box Heading"/>
    <w:basedOn w:val="Heading2"/>
    <w:uiPriority w:val="99"/>
    <w:qFormat/>
    <w:rsid w:val="006748D9"/>
    <w:pPr>
      <w:spacing w:before="0" w:after="200"/>
    </w:pPr>
    <w:rPr>
      <w:color w:val="FFFFFF"/>
    </w:rPr>
  </w:style>
  <w:style w:type="paragraph" w:customStyle="1" w:styleId="CaseStudyHeading">
    <w:name w:val="Case Study Heading"/>
    <w:basedOn w:val="BoxHeading"/>
    <w:next w:val="Normal"/>
    <w:uiPriority w:val="99"/>
    <w:qFormat/>
    <w:rsid w:val="006748D9"/>
    <w:pPr>
      <w:outlineLvl w:val="9"/>
    </w:pPr>
  </w:style>
  <w:style w:type="paragraph" w:customStyle="1" w:styleId="CaseStudyText">
    <w:name w:val="Case Study Text"/>
    <w:basedOn w:val="Normal"/>
    <w:uiPriority w:val="33"/>
    <w:qFormat/>
    <w:rsid w:val="00BE6C2F"/>
    <w:pPr>
      <w:spacing w:before="260" w:after="260" w:line="320" w:lineRule="atLeast"/>
      <w:jc w:val="both"/>
    </w:pPr>
    <w:rPr>
      <w:color w:val="FFFFFF"/>
    </w:rPr>
  </w:style>
  <w:style w:type="paragraph" w:customStyle="1" w:styleId="CaseStudyQuote">
    <w:name w:val="Case Study Quote"/>
    <w:basedOn w:val="CaseStudyText"/>
    <w:uiPriority w:val="99"/>
    <w:qFormat/>
    <w:rsid w:val="006748D9"/>
    <w:rPr>
      <w:i/>
    </w:rPr>
  </w:style>
  <w:style w:type="paragraph" w:customStyle="1" w:styleId="wpTableText">
    <w:name w:val="wp Table Text"/>
    <w:basedOn w:val="Normal"/>
    <w:qFormat/>
    <w:rsid w:val="00480A3C"/>
    <w:pPr>
      <w:spacing w:line="260" w:lineRule="atLeast"/>
    </w:pPr>
    <w:rPr>
      <w:sz w:val="20"/>
    </w:rPr>
  </w:style>
  <w:style w:type="paragraph" w:customStyle="1" w:styleId="wpColumnHeading">
    <w:name w:val="wp Column Heading"/>
    <w:basedOn w:val="Normal"/>
    <w:next w:val="wpTableText"/>
    <w:qFormat/>
    <w:rsid w:val="006748D9"/>
    <w:pPr>
      <w:spacing w:line="260" w:lineRule="atLeast"/>
    </w:pPr>
    <w:rPr>
      <w:b/>
      <w:color w:val="FFFFFF"/>
      <w:sz w:val="20"/>
    </w:rPr>
  </w:style>
  <w:style w:type="paragraph" w:customStyle="1" w:styleId="wpSource">
    <w:name w:val="wp Source"/>
    <w:basedOn w:val="Normal"/>
    <w:next w:val="wpBodyText"/>
    <w:qFormat/>
    <w:rsid w:val="00480A3C"/>
    <w:pPr>
      <w:spacing w:after="260"/>
      <w:jc w:val="right"/>
    </w:pPr>
    <w:rPr>
      <w:i/>
      <w:sz w:val="16"/>
    </w:rPr>
  </w:style>
  <w:style w:type="paragraph" w:customStyle="1" w:styleId="wpTableBullet">
    <w:name w:val="wp Table Bullet"/>
    <w:basedOn w:val="Normal"/>
    <w:qFormat/>
    <w:rsid w:val="00A345D3"/>
    <w:pPr>
      <w:numPr>
        <w:numId w:val="12"/>
      </w:numPr>
      <w:spacing w:line="260" w:lineRule="atLeast"/>
    </w:pPr>
    <w:rPr>
      <w:sz w:val="20"/>
    </w:rPr>
  </w:style>
  <w:style w:type="paragraph" w:customStyle="1" w:styleId="wpTableBullet2">
    <w:name w:val="wp Table Bullet 2"/>
    <w:basedOn w:val="Normal"/>
    <w:qFormat/>
    <w:rsid w:val="00A345D3"/>
    <w:pPr>
      <w:numPr>
        <w:ilvl w:val="1"/>
        <w:numId w:val="12"/>
      </w:numPr>
      <w:spacing w:line="260" w:lineRule="atLeast"/>
    </w:pPr>
    <w:rPr>
      <w:sz w:val="20"/>
    </w:rPr>
  </w:style>
  <w:style w:type="paragraph" w:customStyle="1" w:styleId="wpContactHeading">
    <w:name w:val="wp Contact Heading"/>
    <w:basedOn w:val="Normal"/>
    <w:next w:val="wpContactText"/>
    <w:uiPriority w:val="99"/>
    <w:qFormat/>
    <w:rsid w:val="00877BBC"/>
    <w:pPr>
      <w:spacing w:line="320" w:lineRule="exact"/>
    </w:pPr>
    <w:rPr>
      <w:rFonts w:ascii="Century Gothic" w:hAnsi="Century Gothic"/>
      <w:b/>
      <w:color w:val="DA291C"/>
      <w:sz w:val="18"/>
    </w:rPr>
  </w:style>
  <w:style w:type="character" w:customStyle="1" w:styleId="Heading7Char">
    <w:name w:val="Heading 7 Char"/>
    <w:aliases w:val="Annex Heading 3 Char"/>
    <w:basedOn w:val="DefaultParagraphFont"/>
    <w:link w:val="Heading7"/>
    <w:uiPriority w:val="19"/>
    <w:semiHidden/>
    <w:rsid w:val="006748D9"/>
    <w:rPr>
      <w:rFonts w:ascii="Century Gothic" w:eastAsiaTheme="majorEastAsia" w:hAnsi="Century Gothic" w:cstheme="majorBidi"/>
      <w:b/>
      <w:iCs/>
      <w:color w:val="DA291C"/>
      <w:sz w:val="22"/>
      <w:szCs w:val="22"/>
      <w:lang w:val="en-GB"/>
    </w:rPr>
  </w:style>
  <w:style w:type="character" w:customStyle="1" w:styleId="Heading8Char">
    <w:name w:val="Heading 8 Char"/>
    <w:aliases w:val="Annex Heading 4 Char"/>
    <w:basedOn w:val="DefaultParagraphFont"/>
    <w:link w:val="Heading8"/>
    <w:uiPriority w:val="19"/>
    <w:semiHidden/>
    <w:rsid w:val="006748D9"/>
    <w:rPr>
      <w:rFonts w:ascii="Century Gothic" w:eastAsiaTheme="majorEastAsia" w:hAnsi="Century Gothic" w:cstheme="majorBidi"/>
      <w:b/>
      <w:iCs/>
      <w:color w:val="1A1A1A"/>
      <w:sz w:val="22"/>
      <w:szCs w:val="21"/>
      <w:lang w:val="en-GB"/>
    </w:rPr>
  </w:style>
  <w:style w:type="character" w:styleId="Hyperlink">
    <w:name w:val="Hyperlink"/>
    <w:basedOn w:val="DefaultParagraphFont"/>
    <w:unhideWhenUsed/>
    <w:rsid w:val="00313481"/>
    <w:rPr>
      <w:color w:val="0000FF" w:themeColor="hyperlink"/>
      <w:u w:val="single"/>
    </w:rPr>
  </w:style>
  <w:style w:type="table" w:customStyle="1" w:styleId="SQW">
    <w:name w:val="SQW"/>
    <w:basedOn w:val="TableNormal"/>
    <w:uiPriority w:val="99"/>
    <w:rsid w:val="00313481"/>
    <w:pPr>
      <w:spacing w:line="240" w:lineRule="auto"/>
    </w:pPr>
    <w:rPr>
      <w:rFonts w:ascii="Cambria" w:hAnsi="Cambria"/>
      <w:sz w:val="20"/>
      <w:szCs w:val="22"/>
    </w:rPr>
    <w:tblPr>
      <w:tblStyleRowBandSize w:val="1"/>
      <w:tblBorders>
        <w:insideV w:val="single" w:sz="8" w:space="0" w:color="9DA4A9"/>
      </w:tblBorders>
      <w:tblCellMar>
        <w:top w:w="57" w:type="dxa"/>
        <w:bottom w:w="57" w:type="dxa"/>
      </w:tblCellMar>
    </w:tblPr>
    <w:tblStylePr w:type="firstRow">
      <w:tblPr/>
      <w:tcPr>
        <w:tcBorders>
          <w:top w:val="nil"/>
          <w:left w:val="single" w:sz="4" w:space="0" w:color="DA291C"/>
          <w:bottom w:val="nil"/>
          <w:right w:val="nil"/>
          <w:insideH w:val="single" w:sz="4" w:space="0" w:color="9DA4A9"/>
          <w:insideV w:val="single" w:sz="8" w:space="0" w:color="9DA4A9"/>
          <w:tl2br w:val="nil"/>
          <w:tr2bl w:val="nil"/>
        </w:tcBorders>
        <w:shd w:val="clear" w:color="auto" w:fill="DA291C"/>
      </w:tcPr>
    </w:tblStylePr>
    <w:tblStylePr w:type="band2Horz">
      <w:rPr>
        <w:rFonts w:ascii="Cambria" w:hAnsi="Cambria"/>
      </w:rPr>
      <w:tblPr/>
      <w:tcPr>
        <w:tcBorders>
          <w:top w:val="nil"/>
          <w:left w:val="single" w:sz="4" w:space="0" w:color="EBEDEE"/>
          <w:bottom w:val="nil"/>
          <w:right w:val="single" w:sz="4" w:space="0" w:color="EBEDEE"/>
          <w:insideH w:val="nil"/>
          <w:insideV w:val="single" w:sz="8" w:space="0" w:color="9DA4A9"/>
          <w:tl2br w:val="nil"/>
          <w:tr2bl w:val="nil"/>
        </w:tcBorders>
        <w:shd w:val="clear" w:color="auto" w:fill="EBEDEE"/>
      </w:tcPr>
    </w:tblStylePr>
  </w:style>
  <w:style w:type="numbering" w:customStyle="1" w:styleId="SQWAnnexHeadings">
    <w:name w:val="SQW Annex Headings"/>
    <w:basedOn w:val="NoList"/>
    <w:uiPriority w:val="99"/>
    <w:rsid w:val="00313481"/>
    <w:pPr>
      <w:numPr>
        <w:numId w:val="7"/>
      </w:numPr>
    </w:pPr>
  </w:style>
  <w:style w:type="numbering" w:customStyle="1" w:styleId="SQWBoxBullets">
    <w:name w:val="SQW Box Bullets"/>
    <w:basedOn w:val="NoList"/>
    <w:uiPriority w:val="99"/>
    <w:rsid w:val="00313481"/>
    <w:pPr>
      <w:numPr>
        <w:numId w:val="8"/>
      </w:numPr>
    </w:pPr>
  </w:style>
  <w:style w:type="numbering" w:customStyle="1" w:styleId="SQWBullets">
    <w:name w:val="SQW Bullets"/>
    <w:basedOn w:val="BulletList"/>
    <w:uiPriority w:val="99"/>
    <w:rsid w:val="00A345D3"/>
    <w:pPr>
      <w:numPr>
        <w:numId w:val="9"/>
      </w:numPr>
    </w:pPr>
  </w:style>
  <w:style w:type="table" w:customStyle="1" w:styleId="SQWCaseStudy">
    <w:name w:val="SQW Case Study"/>
    <w:basedOn w:val="TableNormal"/>
    <w:uiPriority w:val="99"/>
    <w:rsid w:val="00313481"/>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227" w:type="dxa"/>
        <w:bottom w:w="227" w:type="dxa"/>
        <w:right w:w="227" w:type="dxa"/>
      </w:tblCellMar>
    </w:tblPr>
    <w:tcPr>
      <w:shd w:val="clear" w:color="auto" w:fill="5B6770"/>
    </w:tcPr>
  </w:style>
  <w:style w:type="table" w:customStyle="1" w:styleId="SQWChartBox">
    <w:name w:val="SQW Chart Box"/>
    <w:basedOn w:val="TableNormal"/>
    <w:uiPriority w:val="99"/>
    <w:rsid w:val="00BE6C2F"/>
    <w:pPr>
      <w:spacing w:line="240" w:lineRule="auto"/>
    </w:pPr>
    <w:rPr>
      <w:rFonts w:ascii="Cambria" w:hAnsi="Cambria"/>
      <w:sz w:val="22"/>
      <w:szCs w:val="22"/>
    </w:rPr>
    <w:tblPr>
      <w:tblBorders>
        <w:top w:val="single" w:sz="4" w:space="0" w:color="B3B3B3"/>
        <w:left w:val="single" w:sz="4" w:space="0" w:color="B3B3B3"/>
        <w:bottom w:val="single" w:sz="4" w:space="0" w:color="B3B3B3"/>
        <w:right w:val="single" w:sz="4" w:space="0" w:color="B3B3B3"/>
      </w:tblBorders>
      <w:tblCellMar>
        <w:top w:w="170" w:type="dxa"/>
        <w:left w:w="170" w:type="dxa"/>
        <w:bottom w:w="170" w:type="dxa"/>
        <w:right w:w="170" w:type="dxa"/>
      </w:tblCellMar>
    </w:tblPr>
    <w:tcPr>
      <w:shd w:val="clear" w:color="auto" w:fill="auto"/>
    </w:tcPr>
  </w:style>
  <w:style w:type="numbering" w:customStyle="1" w:styleId="SQWListNumbers">
    <w:name w:val="SQW List Numbers"/>
    <w:basedOn w:val="NumberList"/>
    <w:uiPriority w:val="99"/>
    <w:rsid w:val="006A3E3A"/>
    <w:pPr>
      <w:numPr>
        <w:numId w:val="10"/>
      </w:numPr>
    </w:pPr>
  </w:style>
  <w:style w:type="numbering" w:customStyle="1" w:styleId="SQWMain">
    <w:name w:val="SQW Main"/>
    <w:basedOn w:val="NoList"/>
    <w:uiPriority w:val="99"/>
    <w:rsid w:val="00313481"/>
    <w:pPr>
      <w:numPr>
        <w:numId w:val="5"/>
      </w:numPr>
    </w:pPr>
  </w:style>
  <w:style w:type="numbering" w:customStyle="1" w:styleId="SQWPlainNumbering">
    <w:name w:val="SQW Plain Numbering"/>
    <w:basedOn w:val="SQWMain"/>
    <w:uiPriority w:val="99"/>
    <w:rsid w:val="00313481"/>
    <w:pPr>
      <w:numPr>
        <w:numId w:val="6"/>
      </w:numPr>
    </w:pPr>
  </w:style>
  <w:style w:type="table" w:customStyle="1" w:styleId="SQWSummaryBox">
    <w:name w:val="SQW Summary Box"/>
    <w:basedOn w:val="TableNormal"/>
    <w:uiPriority w:val="99"/>
    <w:rsid w:val="003A4706"/>
    <w:pPr>
      <w:spacing w:line="240" w:lineRule="auto"/>
    </w:pPr>
    <w:rPr>
      <w:rFonts w:ascii="Cambria" w:hAnsi="Cambria"/>
      <w:sz w:val="22"/>
      <w:szCs w:val="22"/>
    </w:rPr>
    <w:tblPr>
      <w:tblBorders>
        <w:top w:val="single" w:sz="4" w:space="0" w:color="5B6770"/>
        <w:left w:val="single" w:sz="4" w:space="0" w:color="5B6770"/>
        <w:bottom w:val="single" w:sz="4" w:space="0" w:color="5B6770"/>
        <w:right w:val="single" w:sz="4" w:space="0" w:color="5B6770"/>
      </w:tblBorders>
      <w:tblCellMar>
        <w:top w:w="227" w:type="dxa"/>
        <w:left w:w="510" w:type="dxa"/>
        <w:bottom w:w="227" w:type="dxa"/>
        <w:right w:w="510" w:type="dxa"/>
      </w:tblCellMar>
    </w:tblPr>
    <w:tcPr>
      <w:shd w:val="clear" w:color="auto" w:fill="5B6770"/>
    </w:tcPr>
  </w:style>
  <w:style w:type="numbering" w:customStyle="1" w:styleId="SQWTableBullets">
    <w:name w:val="SQW Table Bullets"/>
    <w:basedOn w:val="NoList"/>
    <w:uiPriority w:val="99"/>
    <w:rsid w:val="00A345D3"/>
    <w:pPr>
      <w:numPr>
        <w:numId w:val="12"/>
      </w:numPr>
    </w:pPr>
  </w:style>
  <w:style w:type="paragraph" w:customStyle="1" w:styleId="wpBodyText">
    <w:name w:val="wp Body Text"/>
    <w:basedOn w:val="Normal"/>
    <w:qFormat/>
    <w:rsid w:val="00BE6C2F"/>
    <w:pPr>
      <w:spacing w:after="260" w:line="320" w:lineRule="atLeast"/>
      <w:jc w:val="both"/>
    </w:pPr>
  </w:style>
  <w:style w:type="paragraph" w:customStyle="1" w:styleId="wpDate">
    <w:name w:val="wp Date"/>
    <w:basedOn w:val="Normal"/>
    <w:qFormat/>
    <w:rsid w:val="006748D9"/>
    <w:pPr>
      <w:jc w:val="right"/>
    </w:pPr>
    <w:rPr>
      <w:rFonts w:ascii="Century Gothic" w:hAnsi="Century Gothic"/>
      <w:b/>
      <w:color w:val="FFFFFF"/>
      <w:sz w:val="24"/>
    </w:rPr>
  </w:style>
  <w:style w:type="paragraph" w:customStyle="1" w:styleId="wpTitle">
    <w:name w:val="wp Title"/>
    <w:basedOn w:val="Normal"/>
    <w:qFormat/>
    <w:rsid w:val="00877BBC"/>
    <w:pPr>
      <w:spacing w:after="400"/>
      <w:contextualSpacing/>
    </w:pPr>
    <w:rPr>
      <w:rFonts w:ascii="Century Gothic" w:eastAsiaTheme="majorEastAsia" w:hAnsi="Century Gothic" w:cstheme="majorBidi"/>
      <w:b/>
      <w:color w:val="FFFFFF"/>
      <w:kern w:val="28"/>
      <w:sz w:val="52"/>
      <w:szCs w:val="56"/>
    </w:rPr>
  </w:style>
  <w:style w:type="paragraph" w:customStyle="1" w:styleId="wpSubtitle">
    <w:name w:val="wp Subtitle"/>
    <w:basedOn w:val="Normal"/>
    <w:qFormat/>
    <w:rsid w:val="009C59AD"/>
    <w:pPr>
      <w:numPr>
        <w:ilvl w:val="1"/>
      </w:numPr>
    </w:pPr>
    <w:rPr>
      <w:rFonts w:ascii="Century Gothic" w:eastAsiaTheme="minorEastAsia" w:hAnsi="Century Gothic"/>
      <w:b/>
      <w:color w:val="FFFFFF"/>
      <w:sz w:val="36"/>
    </w:rPr>
  </w:style>
  <w:style w:type="paragraph" w:customStyle="1" w:styleId="wpHeading1">
    <w:name w:val="wp Heading 1"/>
    <w:basedOn w:val="Heading1"/>
    <w:next w:val="wpBodyText"/>
    <w:qFormat/>
    <w:rsid w:val="002177F7"/>
    <w:pPr>
      <w:spacing w:before="360" w:after="180"/>
    </w:pPr>
  </w:style>
  <w:style w:type="paragraph" w:customStyle="1" w:styleId="wpListBullet">
    <w:name w:val="wp List Bullet"/>
    <w:basedOn w:val="Normal"/>
    <w:uiPriority w:val="9"/>
    <w:qFormat/>
    <w:rsid w:val="00A345D3"/>
    <w:pPr>
      <w:numPr>
        <w:numId w:val="9"/>
      </w:numPr>
      <w:spacing w:after="180" w:line="320" w:lineRule="atLeast"/>
      <w:jc w:val="both"/>
    </w:pPr>
  </w:style>
  <w:style w:type="paragraph" w:customStyle="1" w:styleId="wpListBullet2">
    <w:name w:val="wp List Bullet 2"/>
    <w:basedOn w:val="Normal"/>
    <w:uiPriority w:val="9"/>
    <w:qFormat/>
    <w:rsid w:val="00A345D3"/>
    <w:pPr>
      <w:numPr>
        <w:ilvl w:val="1"/>
        <w:numId w:val="9"/>
      </w:numPr>
      <w:spacing w:before="100" w:after="100" w:line="320" w:lineRule="atLeast"/>
      <w:jc w:val="both"/>
    </w:pPr>
  </w:style>
  <w:style w:type="paragraph" w:customStyle="1" w:styleId="wpListContinue2">
    <w:name w:val="wp List Continue 2"/>
    <w:basedOn w:val="Normal"/>
    <w:uiPriority w:val="9"/>
    <w:qFormat/>
    <w:rsid w:val="00BE6C2F"/>
    <w:pPr>
      <w:spacing w:after="260" w:line="320" w:lineRule="atLeast"/>
      <w:ind w:left="714"/>
      <w:jc w:val="both"/>
    </w:pPr>
  </w:style>
  <w:style w:type="paragraph" w:customStyle="1" w:styleId="wpContactText">
    <w:name w:val="wp Contact Text"/>
    <w:basedOn w:val="Normal"/>
    <w:uiPriority w:val="99"/>
    <w:qFormat/>
    <w:rsid w:val="00877BBC"/>
    <w:pPr>
      <w:spacing w:line="320" w:lineRule="exact"/>
    </w:pPr>
    <w:rPr>
      <w:rFonts w:ascii="Century Gothic" w:hAnsi="Century Gothic"/>
      <w:b/>
      <w:sz w:val="18"/>
    </w:rPr>
  </w:style>
  <w:style w:type="paragraph" w:customStyle="1" w:styleId="ContactText">
    <w:name w:val="Contact Text"/>
    <w:basedOn w:val="Normal"/>
    <w:uiPriority w:val="99"/>
    <w:qFormat/>
    <w:rsid w:val="008A7BCB"/>
    <w:pPr>
      <w:framePr w:wrap="around" w:hAnchor="margin" w:yAlign="bottom"/>
      <w:spacing w:line="320" w:lineRule="exact"/>
      <w:suppressOverlap/>
    </w:pPr>
    <w:rPr>
      <w:rFonts w:ascii="Century Gothic" w:hAnsi="Century Gothic"/>
      <w:b/>
      <w:sz w:val="18"/>
    </w:rPr>
  </w:style>
  <w:style w:type="paragraph" w:customStyle="1" w:styleId="wpTOEHeading">
    <w:name w:val="wp TOE Heading"/>
    <w:basedOn w:val="Normal"/>
    <w:next w:val="wpBodyText"/>
    <w:uiPriority w:val="99"/>
    <w:qFormat/>
    <w:rsid w:val="00803B73"/>
    <w:pPr>
      <w:keepNext/>
      <w:keepLines/>
      <w:spacing w:after="120"/>
      <w:outlineLvl w:val="3"/>
    </w:pPr>
    <w:rPr>
      <w:rFonts w:ascii="Century Gothic" w:eastAsiaTheme="majorEastAsia" w:hAnsi="Century Gothic" w:cstheme="majorBidi"/>
      <w:b/>
      <w:iCs/>
      <w:color w:val="1A1A1A"/>
    </w:rPr>
  </w:style>
  <w:style w:type="paragraph" w:customStyle="1" w:styleId="wpHeading3">
    <w:name w:val="wp Heading 3"/>
    <w:basedOn w:val="wpHeading2"/>
    <w:next w:val="wpBodyText"/>
    <w:qFormat/>
    <w:rsid w:val="00ED2DBE"/>
    <w:pPr>
      <w:spacing w:line="320" w:lineRule="atLeast"/>
    </w:pPr>
    <w:rPr>
      <w:sz w:val="24"/>
    </w:rPr>
  </w:style>
  <w:style w:type="paragraph" w:customStyle="1" w:styleId="wpHeading4">
    <w:name w:val="wp Heading 4"/>
    <w:basedOn w:val="wpHeading3"/>
    <w:next w:val="wpBodyText"/>
    <w:qFormat/>
    <w:rsid w:val="002D60A1"/>
    <w:rPr>
      <w:sz w:val="20"/>
    </w:rPr>
  </w:style>
  <w:style w:type="paragraph" w:customStyle="1" w:styleId="wpHeading5">
    <w:name w:val="wp Heading 5"/>
    <w:basedOn w:val="wpHeading4"/>
    <w:next w:val="wpBodyText"/>
    <w:qFormat/>
    <w:rsid w:val="00ED2DBE"/>
    <w:rPr>
      <w:b w:val="0"/>
    </w:rPr>
  </w:style>
  <w:style w:type="numbering" w:customStyle="1" w:styleId="NoList1">
    <w:name w:val="No List1"/>
    <w:next w:val="NoList"/>
    <w:uiPriority w:val="99"/>
    <w:semiHidden/>
    <w:unhideWhenUsed/>
    <w:rsid w:val="009D558F"/>
  </w:style>
  <w:style w:type="paragraph" w:customStyle="1" w:styleId="wpBullet2">
    <w:name w:val="wp Bullet 2"/>
    <w:rsid w:val="009D558F"/>
    <w:pPr>
      <w:numPr>
        <w:numId w:val="14"/>
      </w:numPr>
      <w:spacing w:after="180" w:line="288" w:lineRule="auto"/>
      <w:jc w:val="both"/>
    </w:pPr>
    <w:rPr>
      <w:rFonts w:ascii="Cambria" w:eastAsia="Times New Roman" w:hAnsi="Cambria" w:cs="Times New Roman"/>
      <w:sz w:val="21"/>
      <w:szCs w:val="22"/>
      <w:lang w:val="en-GB" w:eastAsia="en-GB"/>
    </w:rPr>
  </w:style>
  <w:style w:type="paragraph" w:customStyle="1" w:styleId="Web">
    <w:name w:val="Web"/>
    <w:rsid w:val="009D558F"/>
    <w:pPr>
      <w:spacing w:line="240" w:lineRule="auto"/>
      <w:jc w:val="right"/>
    </w:pPr>
    <w:rPr>
      <w:rFonts w:ascii="Arial" w:eastAsia="Times New Roman" w:hAnsi="Arial" w:cs="Times New Roman"/>
      <w:b/>
      <w:sz w:val="18"/>
      <w:szCs w:val="18"/>
      <w:lang w:val="en-GB" w:eastAsia="en-GB"/>
    </w:rPr>
  </w:style>
  <w:style w:type="paragraph" w:customStyle="1" w:styleId="wpBullet">
    <w:name w:val="wp Bullet"/>
    <w:rsid w:val="009D558F"/>
    <w:pPr>
      <w:numPr>
        <w:numId w:val="16"/>
      </w:numPr>
      <w:spacing w:after="180" w:line="288" w:lineRule="auto"/>
      <w:jc w:val="both"/>
    </w:pPr>
    <w:rPr>
      <w:rFonts w:ascii="Cambria" w:eastAsia="Times New Roman" w:hAnsi="Cambria" w:cs="Tahoma"/>
      <w:sz w:val="21"/>
      <w:szCs w:val="22"/>
      <w:lang w:val="en-GB" w:eastAsia="en-GB"/>
    </w:rPr>
  </w:style>
  <w:style w:type="character" w:styleId="PageNumber">
    <w:name w:val="page number"/>
    <w:basedOn w:val="DefaultParagraphFont"/>
    <w:rsid w:val="009D558F"/>
    <w:rPr>
      <w:rFonts w:ascii="Arial" w:hAnsi="Arial"/>
      <w:sz w:val="18"/>
      <w:szCs w:val="18"/>
    </w:rPr>
  </w:style>
  <w:style w:type="paragraph" w:customStyle="1" w:styleId="Caption1">
    <w:name w:val="Caption1"/>
    <w:next w:val="Normal"/>
    <w:qFormat/>
    <w:rsid w:val="009D558F"/>
    <w:pPr>
      <w:numPr>
        <w:numId w:val="15"/>
      </w:numPr>
      <w:tabs>
        <w:tab w:val="clear" w:pos="720"/>
        <w:tab w:val="num" w:pos="643"/>
      </w:tabs>
      <w:spacing w:line="240" w:lineRule="auto"/>
      <w:ind w:left="643" w:hanging="360"/>
    </w:pPr>
    <w:rPr>
      <w:rFonts w:ascii="Arial" w:eastAsia="Times New Roman" w:hAnsi="Arial" w:cs="Times New Roman"/>
      <w:b/>
      <w:bCs/>
      <w:color w:val="037F8B"/>
      <w:sz w:val="18"/>
      <w:szCs w:val="18"/>
      <w:lang w:val="en-GB" w:eastAsia="en-GB"/>
    </w:rPr>
  </w:style>
  <w:style w:type="character" w:styleId="FootnoteReference">
    <w:name w:val="footnote reference"/>
    <w:basedOn w:val="DefaultParagraphFont"/>
    <w:rsid w:val="009D558F"/>
    <w:rPr>
      <w:vertAlign w:val="superscript"/>
    </w:rPr>
  </w:style>
  <w:style w:type="paragraph" w:customStyle="1" w:styleId="FootnoteText1">
    <w:name w:val="Footnote Text1"/>
    <w:next w:val="FootnoteText"/>
    <w:rsid w:val="009D558F"/>
    <w:pPr>
      <w:spacing w:line="240" w:lineRule="auto"/>
    </w:pPr>
    <w:rPr>
      <w:rFonts w:ascii="Cambria" w:eastAsia="Times New Roman" w:hAnsi="Cambria" w:cs="Times New Roman"/>
      <w:sz w:val="16"/>
      <w:szCs w:val="20"/>
      <w:lang w:val="en-GB" w:eastAsia="en-GB"/>
    </w:rPr>
  </w:style>
  <w:style w:type="paragraph" w:customStyle="1" w:styleId="wpQuote">
    <w:name w:val="wp Quote"/>
    <w:rsid w:val="009D558F"/>
    <w:pPr>
      <w:spacing w:after="180" w:line="240" w:lineRule="auto"/>
      <w:ind w:left="851" w:right="851"/>
    </w:pPr>
    <w:rPr>
      <w:rFonts w:ascii="Cambria" w:eastAsia="Times New Roman" w:hAnsi="Cambria" w:cs="Times New Roman"/>
      <w:i/>
      <w:sz w:val="21"/>
      <w:szCs w:val="22"/>
      <w:lang w:val="en-GB" w:eastAsia="en-GB"/>
    </w:rPr>
  </w:style>
  <w:style w:type="paragraph" w:styleId="TOC4">
    <w:name w:val="toc 4"/>
    <w:basedOn w:val="Normal"/>
    <w:next w:val="Normal"/>
    <w:autoRedefine/>
    <w:semiHidden/>
    <w:rsid w:val="009D558F"/>
    <w:pPr>
      <w:spacing w:after="200" w:line="276" w:lineRule="auto"/>
      <w:ind w:left="660"/>
    </w:pPr>
  </w:style>
  <w:style w:type="paragraph" w:styleId="TableofFigures">
    <w:name w:val="table of figures"/>
    <w:basedOn w:val="Normal"/>
    <w:next w:val="Normal"/>
    <w:semiHidden/>
    <w:rsid w:val="009D558F"/>
    <w:pPr>
      <w:spacing w:after="200" w:line="276" w:lineRule="auto"/>
    </w:pPr>
  </w:style>
  <w:style w:type="paragraph" w:customStyle="1" w:styleId="wpCaptionPara">
    <w:name w:val="wp Caption Para"/>
    <w:next w:val="wpBodyText"/>
    <w:rsid w:val="009D558F"/>
    <w:pPr>
      <w:keepNext/>
      <w:pBdr>
        <w:top w:val="single" w:sz="4" w:space="1" w:color="FFFFFF"/>
        <w:left w:val="single" w:sz="4" w:space="4" w:color="FFFFFF"/>
        <w:bottom w:val="single" w:sz="4" w:space="1" w:color="FFFFFF"/>
        <w:right w:val="single" w:sz="4" w:space="4" w:color="FFFFFF"/>
      </w:pBdr>
      <w:spacing w:line="240" w:lineRule="auto"/>
    </w:pPr>
    <w:rPr>
      <w:rFonts w:ascii="Arial" w:eastAsia="Times New Roman" w:hAnsi="Arial" w:cs="Arial"/>
      <w:b/>
      <w:bCs/>
      <w:color w:val="037F8B"/>
      <w:kern w:val="28"/>
      <w:sz w:val="18"/>
      <w:szCs w:val="18"/>
      <w:lang w:val="en-GB" w:eastAsia="en-GB"/>
    </w:rPr>
  </w:style>
  <w:style w:type="paragraph" w:customStyle="1" w:styleId="NoteHeading1">
    <w:name w:val="Note Heading1"/>
    <w:next w:val="Normal"/>
    <w:rsid w:val="009D558F"/>
    <w:pPr>
      <w:spacing w:line="240" w:lineRule="auto"/>
    </w:pPr>
    <w:rPr>
      <w:rFonts w:ascii="Arial" w:eastAsia="Times New Roman" w:hAnsi="Arial" w:cs="Times New Roman"/>
      <w:b/>
      <w:sz w:val="16"/>
      <w:szCs w:val="16"/>
      <w:lang w:val="en-GB" w:eastAsia="en-GB"/>
    </w:rPr>
  </w:style>
  <w:style w:type="paragraph" w:styleId="BodyText">
    <w:name w:val="Body Text"/>
    <w:basedOn w:val="Normal"/>
    <w:link w:val="BodyTextChar"/>
    <w:rsid w:val="009D558F"/>
    <w:pPr>
      <w:spacing w:after="180" w:line="288" w:lineRule="auto"/>
    </w:pPr>
  </w:style>
  <w:style w:type="character" w:customStyle="1" w:styleId="BodyTextChar">
    <w:name w:val="Body Text Char"/>
    <w:basedOn w:val="DefaultParagraphFont"/>
    <w:link w:val="BodyText"/>
    <w:rsid w:val="009D558F"/>
    <w:rPr>
      <w:rFonts w:ascii="Cambria" w:hAnsi="Cambria"/>
      <w:sz w:val="22"/>
      <w:szCs w:val="22"/>
      <w:lang w:val="en-GB"/>
    </w:rPr>
  </w:style>
  <w:style w:type="character" w:customStyle="1" w:styleId="NoteHeadingChar">
    <w:name w:val="Note Heading Char"/>
    <w:basedOn w:val="DefaultParagraphFont"/>
    <w:link w:val="NoteHeading"/>
    <w:rsid w:val="009D558F"/>
    <w:rPr>
      <w:rFonts w:ascii="Arial" w:hAnsi="Arial"/>
      <w:b/>
      <w:sz w:val="16"/>
      <w:szCs w:val="16"/>
    </w:rPr>
  </w:style>
  <w:style w:type="paragraph" w:customStyle="1" w:styleId="NoteText">
    <w:name w:val="Note Text"/>
    <w:rsid w:val="009D558F"/>
    <w:pPr>
      <w:spacing w:line="240" w:lineRule="auto"/>
    </w:pPr>
    <w:rPr>
      <w:rFonts w:ascii="Arial" w:eastAsia="Times New Roman" w:hAnsi="Arial" w:cs="Times New Roman"/>
      <w:sz w:val="16"/>
      <w:szCs w:val="16"/>
      <w:lang w:val="en-GB" w:eastAsia="en-GB"/>
    </w:rPr>
  </w:style>
  <w:style w:type="numbering" w:customStyle="1" w:styleId="WPListNumbering">
    <w:name w:val="WP List Numbering"/>
    <w:basedOn w:val="NoList"/>
    <w:uiPriority w:val="99"/>
    <w:rsid w:val="009D558F"/>
    <w:pPr>
      <w:numPr>
        <w:numId w:val="17"/>
      </w:numPr>
    </w:pPr>
  </w:style>
  <w:style w:type="paragraph" w:customStyle="1" w:styleId="wpToEHeading0">
    <w:name w:val="wp ToE Heading"/>
    <w:basedOn w:val="Normal"/>
    <w:rsid w:val="009D558F"/>
    <w:pPr>
      <w:spacing w:after="113" w:line="276" w:lineRule="auto"/>
    </w:pPr>
    <w:rPr>
      <w:rFonts w:ascii="Arial" w:hAnsi="Arial"/>
      <w:b/>
      <w:color w:val="037F8B"/>
      <w:sz w:val="18"/>
      <w:szCs w:val="16"/>
    </w:rPr>
  </w:style>
  <w:style w:type="paragraph" w:styleId="ListParagraph">
    <w:name w:val="List Paragraph"/>
    <w:basedOn w:val="Normal"/>
    <w:uiPriority w:val="34"/>
    <w:qFormat/>
    <w:rsid w:val="009D558F"/>
    <w:pPr>
      <w:spacing w:after="200" w:line="276" w:lineRule="auto"/>
      <w:ind w:left="720"/>
      <w:contextualSpacing/>
    </w:pPr>
  </w:style>
  <w:style w:type="table" w:customStyle="1" w:styleId="LightList-Accent51">
    <w:name w:val="Light List - Accent 51"/>
    <w:basedOn w:val="TableNormal"/>
    <w:next w:val="LightList-Accent5"/>
    <w:uiPriority w:val="61"/>
    <w:rsid w:val="009D558F"/>
    <w:pPr>
      <w:spacing w:line="240" w:lineRule="auto"/>
    </w:pPr>
    <w:rPr>
      <w:rFonts w:ascii="Cambria" w:hAnsi="Cambria"/>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4-Accent21">
    <w:name w:val="Grid Table 4 - Accent 21"/>
    <w:basedOn w:val="TableNormal"/>
    <w:uiPriority w:val="49"/>
    <w:rsid w:val="009D558F"/>
    <w:pPr>
      <w:spacing w:line="240" w:lineRule="auto"/>
    </w:pPr>
    <w:rPr>
      <w:rFonts w:eastAsia="Times New Roman" w:cs="Times New Roman"/>
      <w:sz w:val="20"/>
      <w:szCs w:val="20"/>
      <w:lang w:val="en-GB" w:eastAsia="en-GB"/>
    </w:rPr>
    <w:tblPr>
      <w:tblStyleRowBandSize w:val="1"/>
      <w:tblStyleColBandSize w:val="1"/>
      <w:tblBorders>
        <w:top w:val="single" w:sz="4" w:space="0" w:color="B3D8DC"/>
        <w:left w:val="single" w:sz="4" w:space="0" w:color="B3D8DC"/>
        <w:bottom w:val="single" w:sz="4" w:space="0" w:color="B3D8DC"/>
        <w:right w:val="single" w:sz="4" w:space="0" w:color="B3D8DC"/>
        <w:insideH w:val="single" w:sz="4" w:space="0" w:color="B3D8DC"/>
        <w:insideV w:val="single" w:sz="4" w:space="0" w:color="B3D8DC"/>
      </w:tblBorders>
    </w:tblPr>
    <w:tblStylePr w:type="firstRow">
      <w:rPr>
        <w:b/>
        <w:bCs/>
        <w:color w:val="FFFFFF"/>
      </w:rPr>
      <w:tblPr/>
      <w:tcPr>
        <w:tcBorders>
          <w:top w:val="single" w:sz="4" w:space="0" w:color="81BFC5"/>
          <w:left w:val="single" w:sz="4" w:space="0" w:color="81BFC5"/>
          <w:bottom w:val="single" w:sz="4" w:space="0" w:color="81BFC5"/>
          <w:right w:val="single" w:sz="4" w:space="0" w:color="81BFC5"/>
          <w:insideH w:val="nil"/>
          <w:insideV w:val="nil"/>
        </w:tcBorders>
        <w:shd w:val="clear" w:color="auto" w:fill="81BFC5"/>
      </w:tcPr>
    </w:tblStylePr>
    <w:tblStylePr w:type="lastRow">
      <w:rPr>
        <w:b/>
        <w:bCs/>
      </w:rPr>
      <w:tblPr/>
      <w:tcPr>
        <w:tcBorders>
          <w:top w:val="double" w:sz="4" w:space="0" w:color="81BFC5"/>
        </w:tcBorders>
      </w:tcPr>
    </w:tblStylePr>
    <w:tblStylePr w:type="firstCol">
      <w:rPr>
        <w:b/>
        <w:bCs/>
      </w:rPr>
    </w:tblStylePr>
    <w:tblStylePr w:type="lastCol">
      <w:rPr>
        <w:b/>
        <w:bCs/>
      </w:rPr>
    </w:tblStylePr>
    <w:tblStylePr w:type="band1Vert">
      <w:tblPr/>
      <w:tcPr>
        <w:shd w:val="clear" w:color="auto" w:fill="E5F2F3"/>
      </w:tcPr>
    </w:tblStylePr>
    <w:tblStylePr w:type="band1Horz">
      <w:tblPr/>
      <w:tcPr>
        <w:shd w:val="clear" w:color="auto" w:fill="E5F2F3"/>
      </w:tcPr>
    </w:tblStylePr>
  </w:style>
  <w:style w:type="character" w:styleId="CommentReference">
    <w:name w:val="annotation reference"/>
    <w:basedOn w:val="DefaultParagraphFont"/>
    <w:uiPriority w:val="99"/>
    <w:semiHidden/>
    <w:unhideWhenUsed/>
    <w:rsid w:val="009D558F"/>
    <w:rPr>
      <w:sz w:val="16"/>
      <w:szCs w:val="16"/>
    </w:rPr>
  </w:style>
  <w:style w:type="paragraph" w:styleId="CommentText">
    <w:name w:val="annotation text"/>
    <w:basedOn w:val="Normal"/>
    <w:link w:val="CommentTextChar"/>
    <w:uiPriority w:val="99"/>
    <w:semiHidden/>
    <w:unhideWhenUsed/>
    <w:rsid w:val="009D558F"/>
    <w:pPr>
      <w:spacing w:after="200"/>
    </w:pPr>
    <w:rPr>
      <w:sz w:val="20"/>
      <w:szCs w:val="20"/>
    </w:rPr>
  </w:style>
  <w:style w:type="character" w:customStyle="1" w:styleId="CommentTextChar">
    <w:name w:val="Comment Text Char"/>
    <w:basedOn w:val="DefaultParagraphFont"/>
    <w:link w:val="CommentText"/>
    <w:uiPriority w:val="99"/>
    <w:semiHidden/>
    <w:rsid w:val="009D558F"/>
    <w:rPr>
      <w:rFonts w:ascii="Cambria" w:hAnsi="Cambria"/>
      <w:sz w:val="20"/>
      <w:szCs w:val="20"/>
      <w:lang w:val="en-GB"/>
    </w:rPr>
  </w:style>
  <w:style w:type="paragraph" w:customStyle="1" w:styleId="Default">
    <w:name w:val="Default"/>
    <w:rsid w:val="009D558F"/>
    <w:pPr>
      <w:autoSpaceDE w:val="0"/>
      <w:autoSpaceDN w:val="0"/>
      <w:adjustRightInd w:val="0"/>
      <w:spacing w:line="240" w:lineRule="auto"/>
    </w:pPr>
    <w:rPr>
      <w:rFonts w:ascii="Arial" w:eastAsia="Times New Roman" w:hAnsi="Arial" w:cs="Arial"/>
      <w:color w:val="000000"/>
      <w:lang w:val="en-GB" w:eastAsia="en-GB"/>
    </w:rPr>
  </w:style>
  <w:style w:type="paragraph" w:styleId="CommentSubject">
    <w:name w:val="annotation subject"/>
    <w:basedOn w:val="CommentText"/>
    <w:next w:val="CommentText"/>
    <w:link w:val="CommentSubjectChar"/>
    <w:semiHidden/>
    <w:unhideWhenUsed/>
    <w:rsid w:val="009D558F"/>
    <w:rPr>
      <w:b/>
      <w:bCs/>
    </w:rPr>
  </w:style>
  <w:style w:type="character" w:customStyle="1" w:styleId="CommentSubjectChar">
    <w:name w:val="Comment Subject Char"/>
    <w:basedOn w:val="CommentTextChar"/>
    <w:link w:val="CommentSubject"/>
    <w:semiHidden/>
    <w:rsid w:val="009D558F"/>
    <w:rPr>
      <w:rFonts w:ascii="Cambria" w:hAnsi="Cambria"/>
      <w:b/>
      <w:bCs/>
      <w:sz w:val="20"/>
      <w:szCs w:val="20"/>
      <w:lang w:val="en-GB"/>
    </w:rPr>
  </w:style>
  <w:style w:type="character" w:customStyle="1" w:styleId="FollowedHyperlink1">
    <w:name w:val="FollowedHyperlink1"/>
    <w:basedOn w:val="DefaultParagraphFont"/>
    <w:semiHidden/>
    <w:unhideWhenUsed/>
    <w:rsid w:val="009D558F"/>
    <w:rPr>
      <w:color w:val="800080"/>
      <w:u w:val="single"/>
    </w:rPr>
  </w:style>
  <w:style w:type="table" w:customStyle="1" w:styleId="TableGrid1">
    <w:name w:val="Table Grid1"/>
    <w:basedOn w:val="TableNormal"/>
    <w:next w:val="TableGrid"/>
    <w:rsid w:val="009D558F"/>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9D558F"/>
    <w:pPr>
      <w:spacing w:line="240" w:lineRule="auto"/>
    </w:pPr>
    <w:rPr>
      <w:rFonts w:ascii="Cambria" w:hAnsi="Cambria"/>
      <w:sz w:val="22"/>
      <w:szCs w:val="22"/>
      <w:lang w:val="en-GB"/>
    </w:rPr>
  </w:style>
  <w:style w:type="paragraph" w:styleId="FootnoteText">
    <w:name w:val="footnote text"/>
    <w:basedOn w:val="Normal"/>
    <w:link w:val="FootnoteTextChar"/>
    <w:uiPriority w:val="99"/>
    <w:semiHidden/>
    <w:unhideWhenUsed/>
    <w:rsid w:val="009D558F"/>
    <w:rPr>
      <w:sz w:val="20"/>
      <w:szCs w:val="20"/>
    </w:rPr>
  </w:style>
  <w:style w:type="character" w:customStyle="1" w:styleId="FootnoteTextChar">
    <w:name w:val="Footnote Text Char"/>
    <w:basedOn w:val="DefaultParagraphFont"/>
    <w:link w:val="FootnoteText"/>
    <w:uiPriority w:val="99"/>
    <w:semiHidden/>
    <w:rsid w:val="009D558F"/>
    <w:rPr>
      <w:rFonts w:ascii="Cambria" w:hAnsi="Cambria"/>
      <w:sz w:val="20"/>
      <w:szCs w:val="20"/>
      <w:lang w:val="en-GB"/>
    </w:rPr>
  </w:style>
  <w:style w:type="paragraph" w:styleId="NoteHeading">
    <w:name w:val="Note Heading"/>
    <w:basedOn w:val="Normal"/>
    <w:next w:val="Normal"/>
    <w:link w:val="NoteHeadingChar"/>
    <w:semiHidden/>
    <w:unhideWhenUsed/>
    <w:rsid w:val="009D558F"/>
    <w:rPr>
      <w:rFonts w:ascii="Arial" w:hAnsi="Arial"/>
      <w:b/>
      <w:sz w:val="16"/>
      <w:szCs w:val="16"/>
      <w:lang w:val="id-ID"/>
    </w:rPr>
  </w:style>
  <w:style w:type="character" w:customStyle="1" w:styleId="NoteHeadingChar1">
    <w:name w:val="Note Heading Char1"/>
    <w:basedOn w:val="DefaultParagraphFont"/>
    <w:uiPriority w:val="99"/>
    <w:semiHidden/>
    <w:rsid w:val="009D558F"/>
    <w:rPr>
      <w:rFonts w:ascii="Cambria" w:hAnsi="Cambria"/>
      <w:sz w:val="22"/>
      <w:szCs w:val="22"/>
      <w:lang w:val="en-GB"/>
    </w:rPr>
  </w:style>
  <w:style w:type="table" w:styleId="LightList-Accent5">
    <w:name w:val="Light List Accent 5"/>
    <w:basedOn w:val="TableNormal"/>
    <w:uiPriority w:val="61"/>
    <w:semiHidden/>
    <w:unhideWhenUsed/>
    <w:rsid w:val="009D558F"/>
    <w:pPr>
      <w:spacing w:line="240" w:lineRule="auto"/>
    </w:pPr>
    <w:tblPr>
      <w:tblStyleRowBandSize w:val="1"/>
      <w:tblStyleColBandSize w:val="1"/>
      <w:tblBorders>
        <w:top w:val="single" w:sz="8" w:space="0" w:color="9DA4A9" w:themeColor="accent5"/>
        <w:left w:val="single" w:sz="8" w:space="0" w:color="9DA4A9" w:themeColor="accent5"/>
        <w:bottom w:val="single" w:sz="8" w:space="0" w:color="9DA4A9" w:themeColor="accent5"/>
        <w:right w:val="single" w:sz="8" w:space="0" w:color="9DA4A9" w:themeColor="accent5"/>
      </w:tblBorders>
    </w:tblPr>
    <w:tblStylePr w:type="firstRow">
      <w:pPr>
        <w:spacing w:before="0" w:after="0" w:line="240" w:lineRule="auto"/>
      </w:pPr>
      <w:rPr>
        <w:b/>
        <w:bCs/>
        <w:color w:val="1A1A1A" w:themeColor="background1"/>
      </w:rPr>
      <w:tblPr/>
      <w:tcPr>
        <w:shd w:val="clear" w:color="auto" w:fill="9DA4A9" w:themeFill="accent5"/>
      </w:tcPr>
    </w:tblStylePr>
    <w:tblStylePr w:type="lastRow">
      <w:pPr>
        <w:spacing w:before="0" w:after="0" w:line="240" w:lineRule="auto"/>
      </w:pPr>
      <w:rPr>
        <w:b/>
        <w:bCs/>
      </w:rPr>
      <w:tblPr/>
      <w:tcPr>
        <w:tcBorders>
          <w:top w:val="double" w:sz="6" w:space="0" w:color="9DA4A9" w:themeColor="accent5"/>
          <w:left w:val="single" w:sz="8" w:space="0" w:color="9DA4A9" w:themeColor="accent5"/>
          <w:bottom w:val="single" w:sz="8" w:space="0" w:color="9DA4A9" w:themeColor="accent5"/>
          <w:right w:val="single" w:sz="8" w:space="0" w:color="9DA4A9" w:themeColor="accent5"/>
        </w:tcBorders>
      </w:tcPr>
    </w:tblStylePr>
    <w:tblStylePr w:type="firstCol">
      <w:rPr>
        <w:b/>
        <w:bCs/>
      </w:rPr>
    </w:tblStylePr>
    <w:tblStylePr w:type="lastCol">
      <w:rPr>
        <w:b/>
        <w:bCs/>
      </w:rPr>
    </w:tblStylePr>
    <w:tblStylePr w:type="band1Vert">
      <w:tblPr/>
      <w:tcPr>
        <w:tcBorders>
          <w:top w:val="single" w:sz="8" w:space="0" w:color="9DA4A9" w:themeColor="accent5"/>
          <w:left w:val="single" w:sz="8" w:space="0" w:color="9DA4A9" w:themeColor="accent5"/>
          <w:bottom w:val="single" w:sz="8" w:space="0" w:color="9DA4A9" w:themeColor="accent5"/>
          <w:right w:val="single" w:sz="8" w:space="0" w:color="9DA4A9" w:themeColor="accent5"/>
        </w:tcBorders>
      </w:tcPr>
    </w:tblStylePr>
    <w:tblStylePr w:type="band1Horz">
      <w:tblPr/>
      <w:tcPr>
        <w:tcBorders>
          <w:top w:val="single" w:sz="8" w:space="0" w:color="9DA4A9" w:themeColor="accent5"/>
          <w:left w:val="single" w:sz="8" w:space="0" w:color="9DA4A9" w:themeColor="accent5"/>
          <w:bottom w:val="single" w:sz="8" w:space="0" w:color="9DA4A9" w:themeColor="accent5"/>
          <w:right w:val="single" w:sz="8" w:space="0" w:color="9DA4A9" w:themeColor="accent5"/>
        </w:tcBorders>
      </w:tcPr>
    </w:tblStylePr>
  </w:style>
  <w:style w:type="character" w:styleId="FollowedHyperlink">
    <w:name w:val="FollowedHyperlink"/>
    <w:basedOn w:val="DefaultParagraphFont"/>
    <w:uiPriority w:val="99"/>
    <w:semiHidden/>
    <w:unhideWhenUsed/>
    <w:rsid w:val="009D558F"/>
    <w:rPr>
      <w:color w:val="800080" w:themeColor="followedHyperlink"/>
      <w:u w:val="single"/>
    </w:rPr>
  </w:style>
  <w:style w:type="paragraph" w:styleId="Revision">
    <w:name w:val="Revision"/>
    <w:hidden/>
    <w:uiPriority w:val="99"/>
    <w:semiHidden/>
    <w:rsid w:val="009D558F"/>
    <w:pPr>
      <w:spacing w:line="240" w:lineRule="auto"/>
    </w:pPr>
    <w:rPr>
      <w:rFonts w:ascii="Cambria" w:hAnsi="Cambria"/>
      <w:sz w:val="22"/>
      <w:szCs w:val="22"/>
      <w:lang w:val="en-GB"/>
    </w:rPr>
  </w:style>
  <w:style w:type="paragraph" w:styleId="Caption">
    <w:name w:val="caption"/>
    <w:basedOn w:val="Normal"/>
    <w:next w:val="Normal"/>
    <w:uiPriority w:val="16"/>
    <w:unhideWhenUsed/>
    <w:qFormat/>
    <w:rsid w:val="002745A8"/>
    <w:pPr>
      <w:spacing w:after="200"/>
    </w:pPr>
    <w:rPr>
      <w:i/>
      <w:iCs/>
      <w:color w:val="FFFFFF" w:themeColor="text2"/>
      <w:sz w:val="18"/>
      <w:szCs w:val="18"/>
    </w:rPr>
  </w:style>
  <w:style w:type="paragraph" w:styleId="NormalWeb">
    <w:name w:val="Normal (Web)"/>
    <w:basedOn w:val="Normal"/>
    <w:uiPriority w:val="99"/>
    <w:unhideWhenUsed/>
    <w:rsid w:val="00B0280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0669">
      <w:bodyDiv w:val="1"/>
      <w:marLeft w:val="0"/>
      <w:marRight w:val="0"/>
      <w:marTop w:val="0"/>
      <w:marBottom w:val="0"/>
      <w:divBdr>
        <w:top w:val="none" w:sz="0" w:space="0" w:color="auto"/>
        <w:left w:val="none" w:sz="0" w:space="0" w:color="auto"/>
        <w:bottom w:val="none" w:sz="0" w:space="0" w:color="auto"/>
        <w:right w:val="none" w:sz="0" w:space="0" w:color="auto"/>
      </w:divBdr>
      <w:divsChild>
        <w:div w:id="1928925889">
          <w:marLeft w:val="547"/>
          <w:marRight w:val="0"/>
          <w:marTop w:val="0"/>
          <w:marBottom w:val="0"/>
          <w:divBdr>
            <w:top w:val="none" w:sz="0" w:space="0" w:color="auto"/>
            <w:left w:val="none" w:sz="0" w:space="0" w:color="auto"/>
            <w:bottom w:val="none" w:sz="0" w:space="0" w:color="auto"/>
            <w:right w:val="none" w:sz="0" w:space="0" w:color="auto"/>
          </w:divBdr>
        </w:div>
        <w:div w:id="681055858">
          <w:marLeft w:val="547"/>
          <w:marRight w:val="0"/>
          <w:marTop w:val="0"/>
          <w:marBottom w:val="0"/>
          <w:divBdr>
            <w:top w:val="none" w:sz="0" w:space="0" w:color="auto"/>
            <w:left w:val="none" w:sz="0" w:space="0" w:color="auto"/>
            <w:bottom w:val="none" w:sz="0" w:space="0" w:color="auto"/>
            <w:right w:val="none" w:sz="0" w:space="0" w:color="auto"/>
          </w:divBdr>
        </w:div>
      </w:divsChild>
    </w:div>
    <w:div w:id="12271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rby.openrepository.com/bitstream/handle/10545/606948/FINAL+Best+Practice+Literature+Review+-+Customer+Satisfaction.pdf;jsessionid=1716124344083BA357EC5607460B4D03?sequence=5"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https://www.sqw.co.uk/application/files/1516/3912/7673/Best_Practice_Literature_Review_-_Customer_Satisfaction_-_JUNE15.pdf"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qw.co.uk/application/files/4416/3912/7674/Best_Practice_Literature_Review_-_Brokerage_-_JUNE15.pdf"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qw.co.uk/application/files/4916/3912/7674/Best_Practice_Literature_Review_-_Progression_to_Learning_and_Work_-_JUNE15.pdf" TargetMode="External"/><Relationship Id="rId23" Type="http://schemas.openxmlformats.org/officeDocument/2006/relationships/diagramData" Target="diagrams/data2.xml"/><Relationship Id="rId28" Type="http://schemas.openxmlformats.org/officeDocument/2006/relationships/hyperlink" Target="https://assets.publishing.service.gov.uk/government/uploads/system/uploads/attachment_data/file/984155/National_Careers_Service_Funding_Rules_PM_Rules_2021-22_March_2021.pdf"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qw.co.uk/application/files/7816/3912/7674/Best_Practice_Literature_Review_-_Career_Management_Skills_-_JUNE15.pdf" TargetMode="External"/><Relationship Id="rId22" Type="http://schemas.openxmlformats.org/officeDocument/2006/relationships/image" Target="media/image1.png"/><Relationship Id="rId27" Type="http://schemas.microsoft.com/office/2007/relationships/diagramDrawing" Target="diagrams/drawing2.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is\AppData\Roaming\Microsoft\Templates\SQW%20Working%20Paper%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FEE877-E6A3-484E-8325-BDFA062676C2}"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GB"/>
        </a:p>
      </dgm:t>
    </dgm:pt>
    <dgm:pt modelId="{FC335C8B-C316-4AB1-BEE7-AD3134754D96}">
      <dgm:prSet phldrT="[Text]" custT="1"/>
      <dgm:spPr>
        <a:xfrm rot="5400000">
          <a:off x="-94803" y="95478"/>
          <a:ext cx="632026" cy="442418"/>
        </a:xfrm>
        <a:prstGeom prst="chevron">
          <a:avLst/>
        </a:prstGeom>
        <a:solidFill>
          <a:schemeClr val="accent1"/>
        </a:solidFill>
        <a:ln w="25400" cap="flat" cmpd="sng" algn="ctr">
          <a:solidFill>
            <a:schemeClr val="accent1"/>
          </a:solidFill>
          <a:prstDash val="solid"/>
        </a:ln>
        <a:effectLst/>
      </dgm:spPr>
      <dgm:t>
        <a:bodyPr/>
        <a:lstStyle/>
        <a:p>
          <a:pPr>
            <a:buNone/>
          </a:pPr>
          <a:r>
            <a:rPr lang="en-GB" sz="1000" b="1">
              <a:solidFill>
                <a:srgbClr val="FFFFFF"/>
              </a:solidFill>
              <a:latin typeface="Arial"/>
              <a:ea typeface="+mn-ea"/>
              <a:cs typeface="+mn-cs"/>
            </a:rPr>
            <a:t>1989</a:t>
          </a:r>
        </a:p>
      </dgm:t>
    </dgm:pt>
    <dgm:pt modelId="{91D89CA6-5339-47BE-A2FA-D3EA26DFA861}" type="parTrans" cxnId="{754FD515-7A6A-4DD7-9676-B18C7D1B361A}">
      <dgm:prSet/>
      <dgm:spPr/>
      <dgm:t>
        <a:bodyPr/>
        <a:lstStyle/>
        <a:p>
          <a:endParaRPr lang="en-GB" sz="1000">
            <a:latin typeface="+mj-lt"/>
          </a:endParaRPr>
        </a:p>
      </dgm:t>
    </dgm:pt>
    <dgm:pt modelId="{E71B7AEF-269F-471F-951C-222FED3A83C1}" type="sibTrans" cxnId="{754FD515-7A6A-4DD7-9676-B18C7D1B361A}">
      <dgm:prSet/>
      <dgm:spPr/>
      <dgm:t>
        <a:bodyPr/>
        <a:lstStyle/>
        <a:p>
          <a:endParaRPr lang="en-GB" sz="1000">
            <a:latin typeface="+mj-lt"/>
          </a:endParaRPr>
        </a:p>
      </dgm:t>
    </dgm:pt>
    <dgm:pt modelId="{4B27E8A5-112E-4BDA-AC04-7988E7614FA3}">
      <dgm:prSet phldrT="[Text]" custT="1"/>
      <dgm:spPr>
        <a:xfrm rot="5400000">
          <a:off x="2497063" y="-2053969"/>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gm:spPr>
      <dgm:t>
        <a:bodyPr/>
        <a:lstStyle/>
        <a:p>
          <a:pPr>
            <a:buChar char="•"/>
          </a:pPr>
          <a:r>
            <a:rPr lang="en-GB" sz="1000">
              <a:solidFill>
                <a:sysClr val="windowText" lastClr="000000">
                  <a:hueOff val="0"/>
                  <a:satOff val="0"/>
                  <a:lumOff val="0"/>
                  <a:alphaOff val="0"/>
                </a:sysClr>
              </a:solidFill>
              <a:latin typeface="Arial"/>
              <a:ea typeface="+mn-ea"/>
              <a:cs typeface="+mn-cs"/>
            </a:rPr>
            <a:t> </a:t>
          </a:r>
          <a:r>
            <a:rPr lang="en-GB" sz="1000" b="1">
              <a:solidFill>
                <a:sysClr val="windowText" lastClr="000000">
                  <a:hueOff val="0"/>
                  <a:satOff val="0"/>
                  <a:lumOff val="0"/>
                  <a:alphaOff val="0"/>
                </a:sysClr>
              </a:solidFill>
              <a:latin typeface="Arial"/>
              <a:ea typeface="+mn-ea"/>
              <a:cs typeface="+mn-cs"/>
            </a:rPr>
            <a:t>USA</a:t>
          </a:r>
          <a:r>
            <a:rPr lang="en-GB" sz="1000">
              <a:solidFill>
                <a:sysClr val="windowText" lastClr="000000">
                  <a:hueOff val="0"/>
                  <a:satOff val="0"/>
                  <a:lumOff val="0"/>
                  <a:alphaOff val="0"/>
                </a:sysClr>
              </a:solidFill>
              <a:latin typeface="Arial"/>
              <a:ea typeface="+mn-ea"/>
              <a:cs typeface="+mn-cs"/>
            </a:rPr>
            <a:t> publish National Career Development Guidelines (NCDG), which were subsequently broadened and updated in 2003, 2004 &amp; 2007 </a:t>
          </a:r>
        </a:p>
      </dgm:t>
    </dgm:pt>
    <dgm:pt modelId="{A06CBFE5-AAC2-4E24-A174-7CC01524C4DB}" type="parTrans" cxnId="{4CA76883-F6FA-48C1-909B-507540EF7691}">
      <dgm:prSet/>
      <dgm:spPr/>
      <dgm:t>
        <a:bodyPr/>
        <a:lstStyle/>
        <a:p>
          <a:endParaRPr lang="en-GB" sz="1000">
            <a:latin typeface="+mj-lt"/>
          </a:endParaRPr>
        </a:p>
      </dgm:t>
    </dgm:pt>
    <dgm:pt modelId="{97BF27D9-2E45-43EB-AA08-1C5ED9CBBC1B}" type="sibTrans" cxnId="{4CA76883-F6FA-48C1-909B-507540EF7691}">
      <dgm:prSet/>
      <dgm:spPr/>
      <dgm:t>
        <a:bodyPr/>
        <a:lstStyle/>
        <a:p>
          <a:endParaRPr lang="en-GB" sz="1000">
            <a:latin typeface="+mj-lt"/>
          </a:endParaRPr>
        </a:p>
      </dgm:t>
    </dgm:pt>
    <dgm:pt modelId="{14AC78FD-8F64-4350-BF8C-E627979F1AE1}">
      <dgm:prSet phldrT="[Text]" custT="1"/>
      <dgm:spPr>
        <a:xfrm rot="5400000">
          <a:off x="-94803" y="560628"/>
          <a:ext cx="632026" cy="442418"/>
        </a:xfrm>
        <a:prstGeom prst="chevron">
          <a:avLst/>
        </a:prstGeom>
        <a:solidFill>
          <a:schemeClr val="accent1"/>
        </a:solidFill>
        <a:ln w="25400" cap="flat" cmpd="sng" algn="ctr">
          <a:solidFill>
            <a:schemeClr val="accent1"/>
          </a:solidFill>
          <a:prstDash val="solid"/>
        </a:ln>
        <a:effectLst/>
      </dgm:spPr>
      <dgm:t>
        <a:bodyPr/>
        <a:lstStyle/>
        <a:p>
          <a:pPr>
            <a:buNone/>
          </a:pPr>
          <a:r>
            <a:rPr lang="en-GB" sz="1000" b="1">
              <a:solidFill>
                <a:srgbClr val="FFFFFF"/>
              </a:solidFill>
              <a:latin typeface="Arial"/>
              <a:ea typeface="+mn-ea"/>
              <a:cs typeface="+mn-cs"/>
            </a:rPr>
            <a:t>1996</a:t>
          </a:r>
        </a:p>
      </dgm:t>
    </dgm:pt>
    <dgm:pt modelId="{5AA55F9D-2324-4DA2-AED0-9DB9E11BA16F}" type="parTrans" cxnId="{26F39E47-4816-4F71-AC2B-D32E6C06AC6E}">
      <dgm:prSet/>
      <dgm:spPr/>
      <dgm:t>
        <a:bodyPr/>
        <a:lstStyle/>
        <a:p>
          <a:endParaRPr lang="en-GB" sz="1000">
            <a:latin typeface="+mj-lt"/>
          </a:endParaRPr>
        </a:p>
      </dgm:t>
    </dgm:pt>
    <dgm:pt modelId="{13F566A7-DC99-4C3B-A853-886FD5CF5701}" type="sibTrans" cxnId="{26F39E47-4816-4F71-AC2B-D32E6C06AC6E}">
      <dgm:prSet/>
      <dgm:spPr/>
      <dgm:t>
        <a:bodyPr/>
        <a:lstStyle/>
        <a:p>
          <a:endParaRPr lang="en-GB" sz="1000">
            <a:latin typeface="+mj-lt"/>
          </a:endParaRPr>
        </a:p>
      </dgm:t>
    </dgm:pt>
    <dgm:pt modelId="{7796FD69-E383-4B0E-9461-F11F417EEA29}">
      <dgm:prSet phldrT="[Text]" custT="1"/>
      <dgm:spPr>
        <a:xfrm rot="5400000">
          <a:off x="2497063" y="-158882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gm:spPr>
      <dgm:t>
        <a:bodyPr/>
        <a:lstStyle/>
        <a:p>
          <a:pPr>
            <a:buChar char="•"/>
          </a:pPr>
          <a:r>
            <a:rPr lang="en-GB" sz="1000">
              <a:solidFill>
                <a:sysClr val="windowText" lastClr="000000">
                  <a:hueOff val="0"/>
                  <a:satOff val="0"/>
                  <a:lumOff val="0"/>
                  <a:alphaOff val="0"/>
                </a:sysClr>
              </a:solidFill>
              <a:latin typeface="Arial"/>
              <a:ea typeface="+mn-ea"/>
              <a:cs typeface="+mn-cs"/>
            </a:rPr>
            <a:t> </a:t>
          </a:r>
          <a:r>
            <a:rPr lang="en-GB" sz="1000" b="1">
              <a:solidFill>
                <a:sysClr val="windowText" lastClr="000000">
                  <a:hueOff val="0"/>
                  <a:satOff val="0"/>
                  <a:lumOff val="0"/>
                  <a:alphaOff val="0"/>
                </a:sysClr>
              </a:solidFill>
              <a:latin typeface="Arial"/>
              <a:ea typeface="+mn-ea"/>
              <a:cs typeface="+mn-cs"/>
            </a:rPr>
            <a:t>Canada</a:t>
          </a:r>
          <a:r>
            <a:rPr lang="en-GB" sz="1000">
              <a:solidFill>
                <a:sysClr val="windowText" lastClr="000000">
                  <a:hueOff val="0"/>
                  <a:satOff val="0"/>
                  <a:lumOff val="0"/>
                  <a:alphaOff val="0"/>
                </a:sysClr>
              </a:solidFill>
              <a:latin typeface="Arial"/>
              <a:ea typeface="+mn-ea"/>
              <a:cs typeface="+mn-cs"/>
            </a:rPr>
            <a:t> publish Blueprint for Life/Work Designs</a:t>
          </a:r>
        </a:p>
      </dgm:t>
    </dgm:pt>
    <dgm:pt modelId="{249861F3-38EA-47EC-935B-F51A80E0A62B}" type="parTrans" cxnId="{BD9BFD3B-390E-4EA7-AF25-FCD7061C7EB2}">
      <dgm:prSet/>
      <dgm:spPr/>
      <dgm:t>
        <a:bodyPr/>
        <a:lstStyle/>
        <a:p>
          <a:endParaRPr lang="en-GB" sz="1000">
            <a:latin typeface="+mj-lt"/>
          </a:endParaRPr>
        </a:p>
      </dgm:t>
    </dgm:pt>
    <dgm:pt modelId="{2D319C42-4E6A-489A-99DC-6BDBE079C332}" type="sibTrans" cxnId="{BD9BFD3B-390E-4EA7-AF25-FCD7061C7EB2}">
      <dgm:prSet/>
      <dgm:spPr/>
      <dgm:t>
        <a:bodyPr/>
        <a:lstStyle/>
        <a:p>
          <a:endParaRPr lang="en-GB" sz="1000">
            <a:latin typeface="+mj-lt"/>
          </a:endParaRPr>
        </a:p>
      </dgm:t>
    </dgm:pt>
    <dgm:pt modelId="{EAF0430F-E1F4-46EE-BED3-0839023B1CF5}">
      <dgm:prSet phldrT="[Text]" custT="1"/>
      <dgm:spPr>
        <a:xfrm rot="5400000">
          <a:off x="-94803" y="1025778"/>
          <a:ext cx="632026" cy="442418"/>
        </a:xfrm>
        <a:prstGeom prst="chevron">
          <a:avLst/>
        </a:prstGeom>
        <a:solidFill>
          <a:schemeClr val="accent1"/>
        </a:solidFill>
        <a:ln w="25400" cap="flat" cmpd="sng" algn="ctr">
          <a:solidFill>
            <a:schemeClr val="accent1"/>
          </a:solidFill>
          <a:prstDash val="solid"/>
        </a:ln>
        <a:effectLst/>
      </dgm:spPr>
      <dgm:t>
        <a:bodyPr/>
        <a:lstStyle/>
        <a:p>
          <a:pPr>
            <a:buNone/>
          </a:pPr>
          <a:r>
            <a:rPr lang="en-GB" sz="1000" b="1">
              <a:solidFill>
                <a:srgbClr val="FFFFFF"/>
              </a:solidFill>
              <a:latin typeface="Arial"/>
              <a:ea typeface="+mn-ea"/>
              <a:cs typeface="+mn-cs"/>
            </a:rPr>
            <a:t>2010</a:t>
          </a:r>
        </a:p>
      </dgm:t>
    </dgm:pt>
    <dgm:pt modelId="{BED2F501-C082-45DE-BFC6-9A54B018B79A}" type="parTrans" cxnId="{76E821FD-745B-44C5-B775-F7F1AD32B537}">
      <dgm:prSet/>
      <dgm:spPr/>
      <dgm:t>
        <a:bodyPr/>
        <a:lstStyle/>
        <a:p>
          <a:endParaRPr lang="en-GB" sz="1000">
            <a:latin typeface="+mj-lt"/>
          </a:endParaRPr>
        </a:p>
      </dgm:t>
    </dgm:pt>
    <dgm:pt modelId="{BB43DD6D-4002-4CED-AE1F-C9839F250CE1}" type="sibTrans" cxnId="{76E821FD-745B-44C5-B775-F7F1AD32B537}">
      <dgm:prSet/>
      <dgm:spPr/>
      <dgm:t>
        <a:bodyPr/>
        <a:lstStyle/>
        <a:p>
          <a:endParaRPr lang="en-GB" sz="1000">
            <a:latin typeface="+mj-lt"/>
          </a:endParaRPr>
        </a:p>
      </dgm:t>
    </dgm:pt>
    <dgm:pt modelId="{D802486F-86ED-4422-8505-9775F9F85737}">
      <dgm:prSet phldrT="[Text]" custT="1"/>
      <dgm:spPr>
        <a:xfrm rot="5400000">
          <a:off x="2497063" y="-112367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gm:spPr>
      <dgm:t>
        <a:bodyPr/>
        <a:lstStyle/>
        <a:p>
          <a:pPr>
            <a:buChar char="•"/>
          </a:pPr>
          <a:r>
            <a:rPr lang="en-GB" sz="1000">
              <a:solidFill>
                <a:sysClr val="windowText" lastClr="000000">
                  <a:hueOff val="0"/>
                  <a:satOff val="0"/>
                  <a:lumOff val="0"/>
                  <a:alphaOff val="0"/>
                </a:sysClr>
              </a:solidFill>
              <a:latin typeface="Arial"/>
              <a:ea typeface="+mn-ea"/>
              <a:cs typeface="+mn-cs"/>
            </a:rPr>
            <a:t> </a:t>
          </a:r>
          <a:r>
            <a:rPr lang="en-GB" sz="1000" b="1">
              <a:solidFill>
                <a:sysClr val="windowText" lastClr="000000">
                  <a:hueOff val="0"/>
                  <a:satOff val="0"/>
                  <a:lumOff val="0"/>
                  <a:alphaOff val="0"/>
                </a:sysClr>
              </a:solidFill>
              <a:latin typeface="Arial"/>
              <a:ea typeface="+mn-ea"/>
              <a:cs typeface="+mn-cs"/>
            </a:rPr>
            <a:t>Australian</a:t>
          </a:r>
          <a:r>
            <a:rPr lang="en-GB" sz="1000">
              <a:solidFill>
                <a:sysClr val="windowText" lastClr="000000">
                  <a:hueOff val="0"/>
                  <a:satOff val="0"/>
                  <a:lumOff val="0"/>
                  <a:alphaOff val="0"/>
                </a:sysClr>
              </a:solidFill>
              <a:latin typeface="Arial"/>
              <a:ea typeface="+mn-ea"/>
              <a:cs typeface="+mn-cs"/>
            </a:rPr>
            <a:t> Blueprint is published following an extensive period of research, development and testing / piloting</a:t>
          </a:r>
        </a:p>
      </dgm:t>
    </dgm:pt>
    <dgm:pt modelId="{368FEC84-8F83-46F9-8B1B-57026BB12C87}" type="parTrans" cxnId="{E62BC9DC-9AB1-4806-828C-FD2A1B882733}">
      <dgm:prSet/>
      <dgm:spPr/>
      <dgm:t>
        <a:bodyPr/>
        <a:lstStyle/>
        <a:p>
          <a:endParaRPr lang="en-GB" sz="1000">
            <a:latin typeface="+mj-lt"/>
          </a:endParaRPr>
        </a:p>
      </dgm:t>
    </dgm:pt>
    <dgm:pt modelId="{C19531EF-30A3-43DF-8A48-2A6270D3CAB8}" type="sibTrans" cxnId="{E62BC9DC-9AB1-4806-828C-FD2A1B882733}">
      <dgm:prSet/>
      <dgm:spPr/>
      <dgm:t>
        <a:bodyPr/>
        <a:lstStyle/>
        <a:p>
          <a:endParaRPr lang="en-GB" sz="1000">
            <a:latin typeface="+mj-lt"/>
          </a:endParaRPr>
        </a:p>
      </dgm:t>
    </dgm:pt>
    <dgm:pt modelId="{34552276-56AF-4300-809D-314FDE4729A6}">
      <dgm:prSet custT="1"/>
      <dgm:spPr>
        <a:xfrm rot="5400000">
          <a:off x="-94803" y="1490927"/>
          <a:ext cx="632026" cy="442418"/>
        </a:xfrm>
        <a:prstGeom prst="chevron">
          <a:avLst/>
        </a:prstGeom>
        <a:solidFill>
          <a:schemeClr val="accent1"/>
        </a:solidFill>
        <a:ln w="25400" cap="flat" cmpd="sng" algn="ctr">
          <a:solidFill>
            <a:schemeClr val="accent1"/>
          </a:solidFill>
          <a:prstDash val="solid"/>
        </a:ln>
        <a:effectLst/>
      </dgm:spPr>
      <dgm:t>
        <a:bodyPr/>
        <a:lstStyle/>
        <a:p>
          <a:pPr>
            <a:buNone/>
          </a:pPr>
          <a:r>
            <a:rPr lang="en-GB" sz="1000" b="1">
              <a:solidFill>
                <a:srgbClr val="FFFFFF"/>
              </a:solidFill>
              <a:latin typeface="Arial"/>
              <a:ea typeface="+mn-ea"/>
              <a:cs typeface="+mn-cs"/>
            </a:rPr>
            <a:t>2012</a:t>
          </a:r>
        </a:p>
      </dgm:t>
    </dgm:pt>
    <dgm:pt modelId="{C21E9E5D-B03D-473F-97E8-6C66C11326B1}" type="sibTrans" cxnId="{2517068B-454F-4CA9-BD32-A16DBFE0E962}">
      <dgm:prSet/>
      <dgm:spPr/>
      <dgm:t>
        <a:bodyPr/>
        <a:lstStyle/>
        <a:p>
          <a:endParaRPr lang="en-GB" sz="1000">
            <a:latin typeface="+mj-lt"/>
          </a:endParaRPr>
        </a:p>
      </dgm:t>
    </dgm:pt>
    <dgm:pt modelId="{56C60523-798E-4784-BF0F-579181A257A1}" type="parTrans" cxnId="{2517068B-454F-4CA9-BD32-A16DBFE0E962}">
      <dgm:prSet/>
      <dgm:spPr/>
      <dgm:t>
        <a:bodyPr/>
        <a:lstStyle/>
        <a:p>
          <a:endParaRPr lang="en-GB" sz="1000">
            <a:latin typeface="+mj-lt"/>
          </a:endParaRPr>
        </a:p>
      </dgm:t>
    </dgm:pt>
    <dgm:pt modelId="{684B26A3-B250-4373-AFF6-89C5FB8376FB}">
      <dgm:prSet custT="1"/>
      <dgm:spPr>
        <a:xfrm rot="5400000">
          <a:off x="2497063" y="-65852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gm:spPr>
      <dgm:t>
        <a:bodyPr/>
        <a:lstStyle/>
        <a:p>
          <a:pPr>
            <a:buChar char="•"/>
          </a:pPr>
          <a:r>
            <a:rPr lang="en-GB" sz="1000">
              <a:solidFill>
                <a:sysClr val="windowText" lastClr="000000">
                  <a:hueOff val="0"/>
                  <a:satOff val="0"/>
                  <a:lumOff val="0"/>
                  <a:alphaOff val="0"/>
                </a:sysClr>
              </a:solidFill>
              <a:latin typeface="Arial"/>
              <a:ea typeface="+mn-ea"/>
              <a:cs typeface="+mn-cs"/>
            </a:rPr>
            <a:t> </a:t>
          </a:r>
          <a:r>
            <a:rPr lang="en-GB" sz="1000" b="1">
              <a:solidFill>
                <a:sysClr val="windowText" lastClr="000000">
                  <a:hueOff val="0"/>
                  <a:satOff val="0"/>
                  <a:lumOff val="0"/>
                  <a:alphaOff val="0"/>
                </a:sysClr>
              </a:solidFill>
              <a:latin typeface="Arial"/>
              <a:ea typeface="+mn-ea"/>
              <a:cs typeface="+mn-cs"/>
            </a:rPr>
            <a:t>English </a:t>
          </a:r>
          <a:r>
            <a:rPr lang="en-GB" sz="1000" b="0">
              <a:solidFill>
                <a:sysClr val="windowText" lastClr="000000">
                  <a:hueOff val="0"/>
                  <a:satOff val="0"/>
                  <a:lumOff val="0"/>
                  <a:alphaOff val="0"/>
                </a:sysClr>
              </a:solidFill>
              <a:latin typeface="Arial"/>
              <a:ea typeface="+mn-ea"/>
              <a:cs typeface="+mn-cs"/>
            </a:rPr>
            <a:t>Blueprint for Careers is published</a:t>
          </a:r>
        </a:p>
      </dgm:t>
    </dgm:pt>
    <dgm:pt modelId="{A3CC0F69-0D1E-4E86-8267-6B2154DC5551}" type="parTrans" cxnId="{CA58D192-799F-4BE7-A174-C72E23DA3DAC}">
      <dgm:prSet/>
      <dgm:spPr/>
      <dgm:t>
        <a:bodyPr/>
        <a:lstStyle/>
        <a:p>
          <a:endParaRPr lang="en-GB" sz="1000">
            <a:latin typeface="+mj-lt"/>
          </a:endParaRPr>
        </a:p>
      </dgm:t>
    </dgm:pt>
    <dgm:pt modelId="{0DEDCE26-4E4B-4D6E-B043-BB4D949C0EFE}" type="sibTrans" cxnId="{CA58D192-799F-4BE7-A174-C72E23DA3DAC}">
      <dgm:prSet/>
      <dgm:spPr/>
      <dgm:t>
        <a:bodyPr/>
        <a:lstStyle/>
        <a:p>
          <a:endParaRPr lang="en-GB" sz="1000">
            <a:latin typeface="+mj-lt"/>
          </a:endParaRPr>
        </a:p>
      </dgm:t>
    </dgm:pt>
    <dgm:pt modelId="{2E3B4CD5-5D61-44B0-9CA5-45599A0B30F6}">
      <dgm:prSet custT="1"/>
      <dgm:spPr>
        <a:xfrm rot="5400000">
          <a:off x="2497063" y="-65852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gm:spPr>
      <dgm:t>
        <a:bodyPr/>
        <a:lstStyle/>
        <a:p>
          <a:pPr>
            <a:buChar char="•"/>
          </a:pPr>
          <a:r>
            <a:rPr lang="en-GB" sz="1000" b="0">
              <a:solidFill>
                <a:sysClr val="windowText" lastClr="000000">
                  <a:hueOff val="0"/>
                  <a:satOff val="0"/>
                  <a:lumOff val="0"/>
                  <a:alphaOff val="0"/>
                </a:sysClr>
              </a:solidFill>
              <a:latin typeface="Arial"/>
              <a:ea typeface="+mn-ea"/>
              <a:cs typeface="+mn-cs"/>
            </a:rPr>
            <a:t> </a:t>
          </a:r>
          <a:r>
            <a:rPr lang="en-GB" sz="1000" b="1">
              <a:solidFill>
                <a:sysClr val="windowText" lastClr="000000">
                  <a:hueOff val="0"/>
                  <a:satOff val="0"/>
                  <a:lumOff val="0"/>
                  <a:alphaOff val="0"/>
                </a:sysClr>
              </a:solidFill>
              <a:latin typeface="Arial"/>
              <a:ea typeface="+mn-ea"/>
              <a:cs typeface="+mn-cs"/>
            </a:rPr>
            <a:t>Scotland</a:t>
          </a:r>
          <a:r>
            <a:rPr lang="en-GB" sz="1000" b="0">
              <a:solidFill>
                <a:sysClr val="windowText" lastClr="000000">
                  <a:hueOff val="0"/>
                  <a:satOff val="0"/>
                  <a:lumOff val="0"/>
                  <a:alphaOff val="0"/>
                </a:sysClr>
              </a:solidFill>
              <a:latin typeface="Arial"/>
              <a:ea typeface="+mn-ea"/>
              <a:cs typeface="+mn-cs"/>
            </a:rPr>
            <a:t> publishes Career Management Skills Framework  </a:t>
          </a:r>
        </a:p>
      </dgm:t>
    </dgm:pt>
    <dgm:pt modelId="{E65F9DF8-1A5E-460B-B388-27D0CA5C1BAA}" type="parTrans" cxnId="{2423FAFF-9463-450D-9C49-B5CA30F19C07}">
      <dgm:prSet/>
      <dgm:spPr/>
      <dgm:t>
        <a:bodyPr/>
        <a:lstStyle/>
        <a:p>
          <a:endParaRPr lang="en-GB" sz="1000">
            <a:latin typeface="+mj-lt"/>
          </a:endParaRPr>
        </a:p>
      </dgm:t>
    </dgm:pt>
    <dgm:pt modelId="{98BD5E62-0A05-4A27-BF36-8AFA7FC01418}" type="sibTrans" cxnId="{2423FAFF-9463-450D-9C49-B5CA30F19C07}">
      <dgm:prSet/>
      <dgm:spPr/>
      <dgm:t>
        <a:bodyPr/>
        <a:lstStyle/>
        <a:p>
          <a:endParaRPr lang="en-GB" sz="1000">
            <a:latin typeface="+mj-lt"/>
          </a:endParaRPr>
        </a:p>
      </dgm:t>
    </dgm:pt>
    <dgm:pt modelId="{58D6B28A-F33A-4884-A500-BE2305456D3C}" type="pres">
      <dgm:prSet presAssocID="{02FEE877-E6A3-484E-8325-BDFA062676C2}" presName="linearFlow" presStyleCnt="0">
        <dgm:presLayoutVars>
          <dgm:dir/>
          <dgm:animLvl val="lvl"/>
          <dgm:resizeHandles val="exact"/>
        </dgm:presLayoutVars>
      </dgm:prSet>
      <dgm:spPr/>
    </dgm:pt>
    <dgm:pt modelId="{91DA472E-6209-4C78-81DB-BC8EC39C2B4A}" type="pres">
      <dgm:prSet presAssocID="{FC335C8B-C316-4AB1-BEE7-AD3134754D96}" presName="composite" presStyleCnt="0"/>
      <dgm:spPr/>
    </dgm:pt>
    <dgm:pt modelId="{7D25F03D-9325-4C6D-83D6-D56478AE38FD}" type="pres">
      <dgm:prSet presAssocID="{FC335C8B-C316-4AB1-BEE7-AD3134754D96}" presName="parentText" presStyleLbl="alignNode1" presStyleIdx="0" presStyleCnt="4">
        <dgm:presLayoutVars>
          <dgm:chMax val="1"/>
          <dgm:bulletEnabled val="1"/>
        </dgm:presLayoutVars>
      </dgm:prSet>
      <dgm:spPr/>
    </dgm:pt>
    <dgm:pt modelId="{2DFB9E33-6DED-4EBB-B176-E0993F751C93}" type="pres">
      <dgm:prSet presAssocID="{FC335C8B-C316-4AB1-BEE7-AD3134754D96}" presName="descendantText" presStyleLbl="alignAcc1" presStyleIdx="0" presStyleCnt="4">
        <dgm:presLayoutVars>
          <dgm:bulletEnabled val="1"/>
        </dgm:presLayoutVars>
      </dgm:prSet>
      <dgm:spPr/>
    </dgm:pt>
    <dgm:pt modelId="{60E796D7-2C66-429E-B1FF-C56D636DA328}" type="pres">
      <dgm:prSet presAssocID="{E71B7AEF-269F-471F-951C-222FED3A83C1}" presName="sp" presStyleCnt="0"/>
      <dgm:spPr/>
    </dgm:pt>
    <dgm:pt modelId="{55A3FC41-7F6A-49EF-B146-A03A665EC9C5}" type="pres">
      <dgm:prSet presAssocID="{14AC78FD-8F64-4350-BF8C-E627979F1AE1}" presName="composite" presStyleCnt="0"/>
      <dgm:spPr/>
    </dgm:pt>
    <dgm:pt modelId="{C63531CB-11DF-4819-B6C6-B243633E4F33}" type="pres">
      <dgm:prSet presAssocID="{14AC78FD-8F64-4350-BF8C-E627979F1AE1}" presName="parentText" presStyleLbl="alignNode1" presStyleIdx="1" presStyleCnt="4">
        <dgm:presLayoutVars>
          <dgm:chMax val="1"/>
          <dgm:bulletEnabled val="1"/>
        </dgm:presLayoutVars>
      </dgm:prSet>
      <dgm:spPr/>
    </dgm:pt>
    <dgm:pt modelId="{46AA658C-79C9-49C4-BAD1-813EE3EA1702}" type="pres">
      <dgm:prSet presAssocID="{14AC78FD-8F64-4350-BF8C-E627979F1AE1}" presName="descendantText" presStyleLbl="alignAcc1" presStyleIdx="1" presStyleCnt="4">
        <dgm:presLayoutVars>
          <dgm:bulletEnabled val="1"/>
        </dgm:presLayoutVars>
      </dgm:prSet>
      <dgm:spPr/>
    </dgm:pt>
    <dgm:pt modelId="{772ED0C7-D7CE-4DA4-AF21-98E4909B698F}" type="pres">
      <dgm:prSet presAssocID="{13F566A7-DC99-4C3B-A853-886FD5CF5701}" presName="sp" presStyleCnt="0"/>
      <dgm:spPr/>
    </dgm:pt>
    <dgm:pt modelId="{F4060A62-EB5F-4B9E-8D64-EAB2BCFB9E90}" type="pres">
      <dgm:prSet presAssocID="{EAF0430F-E1F4-46EE-BED3-0839023B1CF5}" presName="composite" presStyleCnt="0"/>
      <dgm:spPr/>
    </dgm:pt>
    <dgm:pt modelId="{4B7B5D30-498A-486F-804A-A47E35D9C4A7}" type="pres">
      <dgm:prSet presAssocID="{EAF0430F-E1F4-46EE-BED3-0839023B1CF5}" presName="parentText" presStyleLbl="alignNode1" presStyleIdx="2" presStyleCnt="4">
        <dgm:presLayoutVars>
          <dgm:chMax val="1"/>
          <dgm:bulletEnabled val="1"/>
        </dgm:presLayoutVars>
      </dgm:prSet>
      <dgm:spPr/>
    </dgm:pt>
    <dgm:pt modelId="{4B878CBB-216D-4FBE-AFD0-8B27C0E36B91}" type="pres">
      <dgm:prSet presAssocID="{EAF0430F-E1F4-46EE-BED3-0839023B1CF5}" presName="descendantText" presStyleLbl="alignAcc1" presStyleIdx="2" presStyleCnt="4">
        <dgm:presLayoutVars>
          <dgm:bulletEnabled val="1"/>
        </dgm:presLayoutVars>
      </dgm:prSet>
      <dgm:spPr/>
    </dgm:pt>
    <dgm:pt modelId="{064C2415-ED32-4DC1-AF3B-03F18D054F07}" type="pres">
      <dgm:prSet presAssocID="{BB43DD6D-4002-4CED-AE1F-C9839F250CE1}" presName="sp" presStyleCnt="0"/>
      <dgm:spPr/>
    </dgm:pt>
    <dgm:pt modelId="{662280F5-EDDC-46A5-8F88-E0ABD8001A24}" type="pres">
      <dgm:prSet presAssocID="{34552276-56AF-4300-809D-314FDE4729A6}" presName="composite" presStyleCnt="0"/>
      <dgm:spPr/>
    </dgm:pt>
    <dgm:pt modelId="{0C4EA848-7353-4B65-8471-1B082E4CF075}" type="pres">
      <dgm:prSet presAssocID="{34552276-56AF-4300-809D-314FDE4729A6}" presName="parentText" presStyleLbl="alignNode1" presStyleIdx="3" presStyleCnt="4">
        <dgm:presLayoutVars>
          <dgm:chMax val="1"/>
          <dgm:bulletEnabled val="1"/>
        </dgm:presLayoutVars>
      </dgm:prSet>
      <dgm:spPr/>
    </dgm:pt>
    <dgm:pt modelId="{FBDABDD3-E3F8-4C39-8192-22729EE7D187}" type="pres">
      <dgm:prSet presAssocID="{34552276-56AF-4300-809D-314FDE4729A6}" presName="descendantText" presStyleLbl="alignAcc1" presStyleIdx="3" presStyleCnt="4">
        <dgm:presLayoutVars>
          <dgm:bulletEnabled val="1"/>
        </dgm:presLayoutVars>
      </dgm:prSet>
      <dgm:spPr/>
    </dgm:pt>
  </dgm:ptLst>
  <dgm:cxnLst>
    <dgm:cxn modelId="{5012930D-CD9D-4009-A2FF-B9926C1FBF7F}" type="presOf" srcId="{02FEE877-E6A3-484E-8325-BDFA062676C2}" destId="{58D6B28A-F33A-4884-A500-BE2305456D3C}" srcOrd="0" destOrd="0" presId="urn:microsoft.com/office/officeart/2005/8/layout/chevron2"/>
    <dgm:cxn modelId="{04D5D30F-4932-4973-B599-7CF7ACA05ED0}" type="presOf" srcId="{FC335C8B-C316-4AB1-BEE7-AD3134754D96}" destId="{7D25F03D-9325-4C6D-83D6-D56478AE38FD}" srcOrd="0" destOrd="0" presId="urn:microsoft.com/office/officeart/2005/8/layout/chevron2"/>
    <dgm:cxn modelId="{754FD515-7A6A-4DD7-9676-B18C7D1B361A}" srcId="{02FEE877-E6A3-484E-8325-BDFA062676C2}" destId="{FC335C8B-C316-4AB1-BEE7-AD3134754D96}" srcOrd="0" destOrd="0" parTransId="{91D89CA6-5339-47BE-A2FA-D3EA26DFA861}" sibTransId="{E71B7AEF-269F-471F-951C-222FED3A83C1}"/>
    <dgm:cxn modelId="{ED70571B-5275-4907-B35B-12848AD820D6}" type="presOf" srcId="{14AC78FD-8F64-4350-BF8C-E627979F1AE1}" destId="{C63531CB-11DF-4819-B6C6-B243633E4F33}" srcOrd="0" destOrd="0" presId="urn:microsoft.com/office/officeart/2005/8/layout/chevron2"/>
    <dgm:cxn modelId="{B353C525-35AE-4869-8DBA-3E0C0AAFBC7C}" type="presOf" srcId="{D802486F-86ED-4422-8505-9775F9F85737}" destId="{4B878CBB-216D-4FBE-AFD0-8B27C0E36B91}" srcOrd="0" destOrd="0" presId="urn:microsoft.com/office/officeart/2005/8/layout/chevron2"/>
    <dgm:cxn modelId="{BD9BFD3B-390E-4EA7-AF25-FCD7061C7EB2}" srcId="{14AC78FD-8F64-4350-BF8C-E627979F1AE1}" destId="{7796FD69-E383-4B0E-9461-F11F417EEA29}" srcOrd="0" destOrd="0" parTransId="{249861F3-38EA-47EC-935B-F51A80E0A62B}" sibTransId="{2D319C42-4E6A-489A-99DC-6BDBE079C332}"/>
    <dgm:cxn modelId="{26F39E47-4816-4F71-AC2B-D32E6C06AC6E}" srcId="{02FEE877-E6A3-484E-8325-BDFA062676C2}" destId="{14AC78FD-8F64-4350-BF8C-E627979F1AE1}" srcOrd="1" destOrd="0" parTransId="{5AA55F9D-2324-4DA2-AED0-9DB9E11BA16F}" sibTransId="{13F566A7-DC99-4C3B-A853-886FD5CF5701}"/>
    <dgm:cxn modelId="{5136FC7D-E909-4D09-AD6F-C06F585E6A3B}" type="presOf" srcId="{EAF0430F-E1F4-46EE-BED3-0839023B1CF5}" destId="{4B7B5D30-498A-486F-804A-A47E35D9C4A7}" srcOrd="0" destOrd="0" presId="urn:microsoft.com/office/officeart/2005/8/layout/chevron2"/>
    <dgm:cxn modelId="{4CA76883-F6FA-48C1-909B-507540EF7691}" srcId="{FC335C8B-C316-4AB1-BEE7-AD3134754D96}" destId="{4B27E8A5-112E-4BDA-AC04-7988E7614FA3}" srcOrd="0" destOrd="0" parTransId="{A06CBFE5-AAC2-4E24-A174-7CC01524C4DB}" sibTransId="{97BF27D9-2E45-43EB-AA08-1C5ED9CBBC1B}"/>
    <dgm:cxn modelId="{2517068B-454F-4CA9-BD32-A16DBFE0E962}" srcId="{02FEE877-E6A3-484E-8325-BDFA062676C2}" destId="{34552276-56AF-4300-809D-314FDE4729A6}" srcOrd="3" destOrd="0" parTransId="{56C60523-798E-4784-BF0F-579181A257A1}" sibTransId="{C21E9E5D-B03D-473F-97E8-6C66C11326B1}"/>
    <dgm:cxn modelId="{CA58D192-799F-4BE7-A174-C72E23DA3DAC}" srcId="{34552276-56AF-4300-809D-314FDE4729A6}" destId="{684B26A3-B250-4373-AFF6-89C5FB8376FB}" srcOrd="0" destOrd="0" parTransId="{A3CC0F69-0D1E-4E86-8267-6B2154DC5551}" sibTransId="{0DEDCE26-4E4B-4D6E-B043-BB4D949C0EFE}"/>
    <dgm:cxn modelId="{900D49B9-415C-4141-B7B7-82C4EDC64F7A}" type="presOf" srcId="{34552276-56AF-4300-809D-314FDE4729A6}" destId="{0C4EA848-7353-4B65-8471-1B082E4CF075}" srcOrd="0" destOrd="0" presId="urn:microsoft.com/office/officeart/2005/8/layout/chevron2"/>
    <dgm:cxn modelId="{A0E854C8-4718-43A0-B1CC-32D970B7F489}" type="presOf" srcId="{4B27E8A5-112E-4BDA-AC04-7988E7614FA3}" destId="{2DFB9E33-6DED-4EBB-B176-E0993F751C93}" srcOrd="0" destOrd="0" presId="urn:microsoft.com/office/officeart/2005/8/layout/chevron2"/>
    <dgm:cxn modelId="{16E2FCC9-1E77-4C86-B79F-2B05C81EFFAA}" type="presOf" srcId="{2E3B4CD5-5D61-44B0-9CA5-45599A0B30F6}" destId="{FBDABDD3-E3F8-4C39-8192-22729EE7D187}" srcOrd="0" destOrd="1" presId="urn:microsoft.com/office/officeart/2005/8/layout/chevron2"/>
    <dgm:cxn modelId="{06F27AD6-72BF-4D75-BBF5-8BBABE59F866}" type="presOf" srcId="{684B26A3-B250-4373-AFF6-89C5FB8376FB}" destId="{FBDABDD3-E3F8-4C39-8192-22729EE7D187}" srcOrd="0" destOrd="0" presId="urn:microsoft.com/office/officeart/2005/8/layout/chevron2"/>
    <dgm:cxn modelId="{434BC4D8-3AE3-4549-9A12-DF956407196E}" type="presOf" srcId="{7796FD69-E383-4B0E-9461-F11F417EEA29}" destId="{46AA658C-79C9-49C4-BAD1-813EE3EA1702}" srcOrd="0" destOrd="0" presId="urn:microsoft.com/office/officeart/2005/8/layout/chevron2"/>
    <dgm:cxn modelId="{E62BC9DC-9AB1-4806-828C-FD2A1B882733}" srcId="{EAF0430F-E1F4-46EE-BED3-0839023B1CF5}" destId="{D802486F-86ED-4422-8505-9775F9F85737}" srcOrd="0" destOrd="0" parTransId="{368FEC84-8F83-46F9-8B1B-57026BB12C87}" sibTransId="{C19531EF-30A3-43DF-8A48-2A6270D3CAB8}"/>
    <dgm:cxn modelId="{76E821FD-745B-44C5-B775-F7F1AD32B537}" srcId="{02FEE877-E6A3-484E-8325-BDFA062676C2}" destId="{EAF0430F-E1F4-46EE-BED3-0839023B1CF5}" srcOrd="2" destOrd="0" parTransId="{BED2F501-C082-45DE-BFC6-9A54B018B79A}" sibTransId="{BB43DD6D-4002-4CED-AE1F-C9839F250CE1}"/>
    <dgm:cxn modelId="{2423FAFF-9463-450D-9C49-B5CA30F19C07}" srcId="{34552276-56AF-4300-809D-314FDE4729A6}" destId="{2E3B4CD5-5D61-44B0-9CA5-45599A0B30F6}" srcOrd="1" destOrd="0" parTransId="{E65F9DF8-1A5E-460B-B388-27D0CA5C1BAA}" sibTransId="{98BD5E62-0A05-4A27-BF36-8AFA7FC01418}"/>
    <dgm:cxn modelId="{27578930-C7A0-472B-9F4B-9AC9272813ED}" type="presParOf" srcId="{58D6B28A-F33A-4884-A500-BE2305456D3C}" destId="{91DA472E-6209-4C78-81DB-BC8EC39C2B4A}" srcOrd="0" destOrd="0" presId="urn:microsoft.com/office/officeart/2005/8/layout/chevron2"/>
    <dgm:cxn modelId="{3F92F5A8-7169-4966-879B-96EC0F5FD7EC}" type="presParOf" srcId="{91DA472E-6209-4C78-81DB-BC8EC39C2B4A}" destId="{7D25F03D-9325-4C6D-83D6-D56478AE38FD}" srcOrd="0" destOrd="0" presId="urn:microsoft.com/office/officeart/2005/8/layout/chevron2"/>
    <dgm:cxn modelId="{4FF508AA-E94A-4EB5-8056-B59E41DF0A5D}" type="presParOf" srcId="{91DA472E-6209-4C78-81DB-BC8EC39C2B4A}" destId="{2DFB9E33-6DED-4EBB-B176-E0993F751C93}" srcOrd="1" destOrd="0" presId="urn:microsoft.com/office/officeart/2005/8/layout/chevron2"/>
    <dgm:cxn modelId="{9E2C426C-7794-45FC-B04D-464DF4D546CF}" type="presParOf" srcId="{58D6B28A-F33A-4884-A500-BE2305456D3C}" destId="{60E796D7-2C66-429E-B1FF-C56D636DA328}" srcOrd="1" destOrd="0" presId="urn:microsoft.com/office/officeart/2005/8/layout/chevron2"/>
    <dgm:cxn modelId="{6EAB73A2-E6A8-4619-8DCA-9FC336B4BD40}" type="presParOf" srcId="{58D6B28A-F33A-4884-A500-BE2305456D3C}" destId="{55A3FC41-7F6A-49EF-B146-A03A665EC9C5}" srcOrd="2" destOrd="0" presId="urn:microsoft.com/office/officeart/2005/8/layout/chevron2"/>
    <dgm:cxn modelId="{A2749040-2A58-4815-8A4C-A19B94BDC9FD}" type="presParOf" srcId="{55A3FC41-7F6A-49EF-B146-A03A665EC9C5}" destId="{C63531CB-11DF-4819-B6C6-B243633E4F33}" srcOrd="0" destOrd="0" presId="urn:microsoft.com/office/officeart/2005/8/layout/chevron2"/>
    <dgm:cxn modelId="{B0E61EB7-FFB8-455F-ABAD-55E4B935BC61}" type="presParOf" srcId="{55A3FC41-7F6A-49EF-B146-A03A665EC9C5}" destId="{46AA658C-79C9-49C4-BAD1-813EE3EA1702}" srcOrd="1" destOrd="0" presId="urn:microsoft.com/office/officeart/2005/8/layout/chevron2"/>
    <dgm:cxn modelId="{04F0FE64-51F7-4F9F-A0BF-178DCADA2AA2}" type="presParOf" srcId="{58D6B28A-F33A-4884-A500-BE2305456D3C}" destId="{772ED0C7-D7CE-4DA4-AF21-98E4909B698F}" srcOrd="3" destOrd="0" presId="urn:microsoft.com/office/officeart/2005/8/layout/chevron2"/>
    <dgm:cxn modelId="{F36EA94B-FDF1-4AC1-A6E3-9256007DA12A}" type="presParOf" srcId="{58D6B28A-F33A-4884-A500-BE2305456D3C}" destId="{F4060A62-EB5F-4B9E-8D64-EAB2BCFB9E90}" srcOrd="4" destOrd="0" presId="urn:microsoft.com/office/officeart/2005/8/layout/chevron2"/>
    <dgm:cxn modelId="{D1A8F0D4-B9C0-4682-A081-6BA4A20D3516}" type="presParOf" srcId="{F4060A62-EB5F-4B9E-8D64-EAB2BCFB9E90}" destId="{4B7B5D30-498A-486F-804A-A47E35D9C4A7}" srcOrd="0" destOrd="0" presId="urn:microsoft.com/office/officeart/2005/8/layout/chevron2"/>
    <dgm:cxn modelId="{A0CC3D48-C071-4440-90A5-4BB5757767F2}" type="presParOf" srcId="{F4060A62-EB5F-4B9E-8D64-EAB2BCFB9E90}" destId="{4B878CBB-216D-4FBE-AFD0-8B27C0E36B91}" srcOrd="1" destOrd="0" presId="urn:microsoft.com/office/officeart/2005/8/layout/chevron2"/>
    <dgm:cxn modelId="{6C5273D1-AD3F-4374-BEAF-316ADF1DF4E8}" type="presParOf" srcId="{58D6B28A-F33A-4884-A500-BE2305456D3C}" destId="{064C2415-ED32-4DC1-AF3B-03F18D054F07}" srcOrd="5" destOrd="0" presId="urn:microsoft.com/office/officeart/2005/8/layout/chevron2"/>
    <dgm:cxn modelId="{894E629C-E968-4F42-9CAF-F96CF3B608A7}" type="presParOf" srcId="{58D6B28A-F33A-4884-A500-BE2305456D3C}" destId="{662280F5-EDDC-46A5-8F88-E0ABD8001A24}" srcOrd="6" destOrd="0" presId="urn:microsoft.com/office/officeart/2005/8/layout/chevron2"/>
    <dgm:cxn modelId="{BAE08B27-DBDF-48D2-9E46-B280A9DC2F13}" type="presParOf" srcId="{662280F5-EDDC-46A5-8F88-E0ABD8001A24}" destId="{0C4EA848-7353-4B65-8471-1B082E4CF075}" srcOrd="0" destOrd="0" presId="urn:microsoft.com/office/officeart/2005/8/layout/chevron2"/>
    <dgm:cxn modelId="{3AA6325E-6D02-4031-9F7F-83D222C66FA4}" type="presParOf" srcId="{662280F5-EDDC-46A5-8F88-E0ABD8001A24}" destId="{FBDABDD3-E3F8-4C39-8192-22729EE7D18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B3DF1F-65FD-488B-A850-707F8FAD91CF}" type="doc">
      <dgm:prSet loTypeId="urn:microsoft.com/office/officeart/2005/8/layout/cycle1" loCatId="cycle" qsTypeId="urn:microsoft.com/office/officeart/2005/8/quickstyle/simple1" qsCatId="simple" csTypeId="urn:microsoft.com/office/officeart/2005/8/colors/accent5_1" csCatId="accent5" phldr="1"/>
      <dgm:spPr/>
      <dgm:t>
        <a:bodyPr/>
        <a:lstStyle/>
        <a:p>
          <a:endParaRPr lang="en-GB"/>
        </a:p>
      </dgm:t>
    </dgm:pt>
    <dgm:pt modelId="{85979893-6816-4B65-B543-C0770537CED6}">
      <dgm:prSet phldrT="[Text]" custT="1"/>
      <dgm:spPr>
        <a:xfrm>
          <a:off x="2310578" y="53398"/>
          <a:ext cx="845948" cy="845948"/>
        </a:xfrm>
        <a:prstGeom prst="rect">
          <a:avLst/>
        </a:prstGeom>
        <a:noFill/>
        <a:ln>
          <a:noFill/>
        </a:ln>
        <a:effectLst/>
      </dgm:spPr>
      <dgm:t>
        <a:bodyPr/>
        <a:lstStyle/>
        <a:p>
          <a:pPr>
            <a:buNone/>
          </a:pPr>
          <a:r>
            <a:rPr lang="en-GB" sz="1100">
              <a:solidFill>
                <a:srgbClr val="000000">
                  <a:lumMod val="65000"/>
                  <a:lumOff val="35000"/>
                </a:srgbClr>
              </a:solidFill>
              <a:latin typeface="Arial"/>
              <a:ea typeface="+mn-ea"/>
              <a:cs typeface="+mn-cs"/>
            </a:rPr>
            <a:t>1. Doing something</a:t>
          </a:r>
        </a:p>
      </dgm:t>
    </dgm:pt>
    <dgm:pt modelId="{89DDAD85-580B-45DF-9693-4F1604E32321}" type="parTrans" cxnId="{8707EEFF-E69E-4025-9960-3620A89CE019}">
      <dgm:prSet/>
      <dgm:spPr/>
      <dgm:t>
        <a:bodyPr/>
        <a:lstStyle/>
        <a:p>
          <a:endParaRPr lang="en-GB">
            <a:solidFill>
              <a:schemeClr val="tx2">
                <a:lumMod val="65000"/>
                <a:lumOff val="35000"/>
              </a:schemeClr>
            </a:solidFill>
          </a:endParaRPr>
        </a:p>
      </dgm:t>
    </dgm:pt>
    <dgm:pt modelId="{7D1FE4B9-E7FA-44F1-9AC4-3C7DBE600DA6}" type="sibTrans" cxnId="{8707EEFF-E69E-4025-9960-3620A89CE019}">
      <dgm:prSet/>
      <dgm:spPr>
        <a:xfrm>
          <a:off x="818990" y="-159"/>
          <a:ext cx="2391094" cy="2391094"/>
        </a:xfrm>
        <a:prstGeom prst="circularArrow">
          <a:avLst>
            <a:gd name="adj1" fmla="val 6899"/>
            <a:gd name="adj2" fmla="val 465103"/>
            <a:gd name="adj3" fmla="val 550462"/>
            <a:gd name="adj4" fmla="val 20584435"/>
            <a:gd name="adj5" fmla="val 8049"/>
          </a:avLst>
        </a:prstGeom>
        <a:solidFill>
          <a:srgbClr val="FFFFFF">
            <a:hueOff val="0"/>
            <a:satOff val="0"/>
            <a:lumOff val="0"/>
            <a:alphaOff val="0"/>
          </a:srgbClr>
        </a:solidFill>
        <a:ln w="25400" cap="flat" cmpd="sng" algn="ctr">
          <a:solidFill>
            <a:schemeClr val="accent1"/>
          </a:solidFill>
          <a:prstDash val="solid"/>
        </a:ln>
        <a:effectLst/>
      </dgm:spPr>
      <dgm:t>
        <a:bodyPr/>
        <a:lstStyle/>
        <a:p>
          <a:endParaRPr lang="en-GB">
            <a:solidFill>
              <a:schemeClr val="tx2">
                <a:lumMod val="65000"/>
                <a:lumOff val="35000"/>
              </a:schemeClr>
            </a:solidFill>
          </a:endParaRPr>
        </a:p>
      </dgm:t>
    </dgm:pt>
    <dgm:pt modelId="{22E65E8D-DBDF-4FBA-9FBD-E693A57B863D}">
      <dgm:prSet phldrT="[Text]" custT="1"/>
      <dgm:spPr>
        <a:xfrm>
          <a:off x="2310578" y="1491428"/>
          <a:ext cx="845948" cy="845948"/>
        </a:xfrm>
        <a:prstGeom prst="rect">
          <a:avLst/>
        </a:prstGeom>
        <a:noFill/>
        <a:ln>
          <a:noFill/>
        </a:ln>
        <a:effectLst/>
      </dgm:spPr>
      <dgm:t>
        <a:bodyPr/>
        <a:lstStyle/>
        <a:p>
          <a:pPr>
            <a:buNone/>
          </a:pPr>
          <a:r>
            <a:rPr lang="en-GB" sz="1100">
              <a:solidFill>
                <a:srgbClr val="000000">
                  <a:lumMod val="65000"/>
                  <a:lumOff val="35000"/>
                </a:srgbClr>
              </a:solidFill>
              <a:latin typeface="Arial"/>
              <a:ea typeface="+mn-ea"/>
              <a:cs typeface="+mn-cs"/>
            </a:rPr>
            <a:t>2. Thinking about what you have done</a:t>
          </a:r>
        </a:p>
      </dgm:t>
    </dgm:pt>
    <dgm:pt modelId="{616AABAD-DB72-4094-B12F-FE258B41ED9C}" type="parTrans" cxnId="{7CE93CD1-8695-46A9-986D-6974098DC101}">
      <dgm:prSet/>
      <dgm:spPr/>
      <dgm:t>
        <a:bodyPr/>
        <a:lstStyle/>
        <a:p>
          <a:endParaRPr lang="en-GB">
            <a:solidFill>
              <a:schemeClr val="tx2">
                <a:lumMod val="65000"/>
                <a:lumOff val="35000"/>
              </a:schemeClr>
            </a:solidFill>
          </a:endParaRPr>
        </a:p>
      </dgm:t>
    </dgm:pt>
    <dgm:pt modelId="{745C7DA1-A480-4383-9611-F4C84ECFA4C3}" type="sibTrans" cxnId="{7CE93CD1-8695-46A9-986D-6974098DC101}">
      <dgm:prSet/>
      <dgm:spPr>
        <a:xfrm>
          <a:off x="818990" y="-159"/>
          <a:ext cx="2391094" cy="2391094"/>
        </a:xfrm>
        <a:prstGeom prst="circularArrow">
          <a:avLst>
            <a:gd name="adj1" fmla="val 6899"/>
            <a:gd name="adj2" fmla="val 465103"/>
            <a:gd name="adj3" fmla="val 5950462"/>
            <a:gd name="adj4" fmla="val 4384435"/>
            <a:gd name="adj5" fmla="val 8049"/>
          </a:avLst>
        </a:prstGeom>
        <a:solidFill>
          <a:srgbClr val="FFFFFF">
            <a:hueOff val="0"/>
            <a:satOff val="0"/>
            <a:lumOff val="0"/>
            <a:alphaOff val="0"/>
          </a:srgbClr>
        </a:solidFill>
        <a:ln w="25400" cap="flat" cmpd="sng" algn="ctr">
          <a:solidFill>
            <a:schemeClr val="accent1"/>
          </a:solidFill>
          <a:prstDash val="solid"/>
        </a:ln>
        <a:effectLst/>
      </dgm:spPr>
      <dgm:t>
        <a:bodyPr/>
        <a:lstStyle/>
        <a:p>
          <a:endParaRPr lang="en-GB">
            <a:solidFill>
              <a:schemeClr val="tx2">
                <a:lumMod val="65000"/>
                <a:lumOff val="35000"/>
              </a:schemeClr>
            </a:solidFill>
          </a:endParaRPr>
        </a:p>
      </dgm:t>
    </dgm:pt>
    <dgm:pt modelId="{29AB846E-6A2A-43C5-B8CA-CEF74428CC3E}">
      <dgm:prSet phldrT="[Text]" custT="1"/>
      <dgm:spPr>
        <a:xfrm>
          <a:off x="872548" y="1491428"/>
          <a:ext cx="845948" cy="845948"/>
        </a:xfrm>
        <a:prstGeom prst="rect">
          <a:avLst/>
        </a:prstGeom>
        <a:noFill/>
        <a:ln>
          <a:noFill/>
        </a:ln>
        <a:effectLst/>
      </dgm:spPr>
      <dgm:t>
        <a:bodyPr/>
        <a:lstStyle/>
        <a:p>
          <a:pPr>
            <a:buNone/>
          </a:pPr>
          <a:r>
            <a:rPr lang="en-GB" sz="1100">
              <a:solidFill>
                <a:srgbClr val="000000">
                  <a:lumMod val="65000"/>
                  <a:lumOff val="35000"/>
                </a:srgbClr>
              </a:solidFill>
              <a:latin typeface="Arial"/>
              <a:ea typeface="+mn-ea"/>
              <a:cs typeface="+mn-cs"/>
            </a:rPr>
            <a:t>3. Trying to understand what happened</a:t>
          </a:r>
        </a:p>
      </dgm:t>
    </dgm:pt>
    <dgm:pt modelId="{DBF8D7A0-DCD7-4129-9BC5-6BE2AB840F4E}" type="parTrans" cxnId="{D2B19070-EC13-4F1C-9129-A67D42ED0F8C}">
      <dgm:prSet/>
      <dgm:spPr/>
      <dgm:t>
        <a:bodyPr/>
        <a:lstStyle/>
        <a:p>
          <a:endParaRPr lang="en-GB">
            <a:solidFill>
              <a:schemeClr val="tx2">
                <a:lumMod val="65000"/>
                <a:lumOff val="35000"/>
              </a:schemeClr>
            </a:solidFill>
          </a:endParaRPr>
        </a:p>
      </dgm:t>
    </dgm:pt>
    <dgm:pt modelId="{0FF2F341-65DD-4150-8CEE-2BB54BD27743}" type="sibTrans" cxnId="{D2B19070-EC13-4F1C-9129-A67D42ED0F8C}">
      <dgm:prSet/>
      <dgm:spPr>
        <a:xfrm>
          <a:off x="818990" y="-159"/>
          <a:ext cx="2391094" cy="2391094"/>
        </a:xfrm>
        <a:prstGeom prst="circularArrow">
          <a:avLst>
            <a:gd name="adj1" fmla="val 6899"/>
            <a:gd name="adj2" fmla="val 465103"/>
            <a:gd name="adj3" fmla="val 11350462"/>
            <a:gd name="adj4" fmla="val 9784435"/>
            <a:gd name="adj5" fmla="val 8049"/>
          </a:avLst>
        </a:prstGeom>
        <a:solidFill>
          <a:srgbClr val="FFFFFF">
            <a:hueOff val="0"/>
            <a:satOff val="0"/>
            <a:lumOff val="0"/>
            <a:alphaOff val="0"/>
          </a:srgbClr>
        </a:solidFill>
        <a:ln w="25400" cap="flat" cmpd="sng" algn="ctr">
          <a:solidFill>
            <a:schemeClr val="accent1"/>
          </a:solidFill>
          <a:prstDash val="solid"/>
        </a:ln>
        <a:effectLst/>
      </dgm:spPr>
      <dgm:t>
        <a:bodyPr/>
        <a:lstStyle/>
        <a:p>
          <a:endParaRPr lang="en-GB">
            <a:solidFill>
              <a:srgbClr val="FF0000"/>
            </a:solidFill>
          </a:endParaRPr>
        </a:p>
      </dgm:t>
    </dgm:pt>
    <dgm:pt modelId="{DCDBDE49-5B22-456E-9FC3-49F413383F7D}">
      <dgm:prSet phldrT="[Text]" custT="1"/>
      <dgm:spPr>
        <a:xfrm>
          <a:off x="872548" y="53398"/>
          <a:ext cx="845948" cy="845948"/>
        </a:xfrm>
        <a:prstGeom prst="rect">
          <a:avLst/>
        </a:prstGeom>
        <a:noFill/>
        <a:ln>
          <a:noFill/>
        </a:ln>
        <a:effectLst/>
      </dgm:spPr>
      <dgm:t>
        <a:bodyPr/>
        <a:lstStyle/>
        <a:p>
          <a:pPr>
            <a:buNone/>
          </a:pPr>
          <a:r>
            <a:rPr lang="en-GB" sz="1100">
              <a:solidFill>
                <a:srgbClr val="000000">
                  <a:lumMod val="65000"/>
                  <a:lumOff val="35000"/>
                </a:srgbClr>
              </a:solidFill>
              <a:latin typeface="Arial"/>
              <a:ea typeface="+mn-ea"/>
              <a:cs typeface="+mn-cs"/>
            </a:rPr>
            <a:t>4. Trying something new</a:t>
          </a:r>
        </a:p>
      </dgm:t>
    </dgm:pt>
    <dgm:pt modelId="{24C7FBC7-2CAC-4D35-B615-6D875C792ED2}" type="parTrans" cxnId="{01375248-6320-4FA8-AB3C-BC7475D103BD}">
      <dgm:prSet/>
      <dgm:spPr/>
      <dgm:t>
        <a:bodyPr/>
        <a:lstStyle/>
        <a:p>
          <a:endParaRPr lang="en-GB">
            <a:solidFill>
              <a:schemeClr val="tx2">
                <a:lumMod val="65000"/>
                <a:lumOff val="35000"/>
              </a:schemeClr>
            </a:solidFill>
          </a:endParaRPr>
        </a:p>
      </dgm:t>
    </dgm:pt>
    <dgm:pt modelId="{BC5189FF-EC66-453E-83AB-4D01E74938F6}" type="sibTrans" cxnId="{01375248-6320-4FA8-AB3C-BC7475D103BD}">
      <dgm:prSet/>
      <dgm:spPr>
        <a:xfrm>
          <a:off x="818990" y="-159"/>
          <a:ext cx="2391094" cy="2391094"/>
        </a:xfrm>
        <a:prstGeom prst="circularArrow">
          <a:avLst>
            <a:gd name="adj1" fmla="val 6899"/>
            <a:gd name="adj2" fmla="val 465103"/>
            <a:gd name="adj3" fmla="val 16750462"/>
            <a:gd name="adj4" fmla="val 15184435"/>
            <a:gd name="adj5" fmla="val 8049"/>
          </a:avLst>
        </a:prstGeom>
        <a:solidFill>
          <a:srgbClr val="FFFFFF">
            <a:hueOff val="0"/>
            <a:satOff val="0"/>
            <a:lumOff val="0"/>
            <a:alphaOff val="0"/>
          </a:srgbClr>
        </a:solidFill>
        <a:ln w="25400" cap="flat" cmpd="sng" algn="ctr">
          <a:solidFill>
            <a:schemeClr val="accent1"/>
          </a:solidFill>
          <a:prstDash val="solid"/>
        </a:ln>
        <a:effectLst/>
      </dgm:spPr>
      <dgm:t>
        <a:bodyPr/>
        <a:lstStyle/>
        <a:p>
          <a:endParaRPr lang="en-GB">
            <a:solidFill>
              <a:schemeClr val="tx2">
                <a:lumMod val="65000"/>
                <a:lumOff val="35000"/>
              </a:schemeClr>
            </a:solidFill>
          </a:endParaRPr>
        </a:p>
      </dgm:t>
    </dgm:pt>
    <dgm:pt modelId="{AE824A0F-A665-45F4-B885-9E573BF26534}" type="pres">
      <dgm:prSet presAssocID="{C0B3DF1F-65FD-488B-A850-707F8FAD91CF}" presName="cycle" presStyleCnt="0">
        <dgm:presLayoutVars>
          <dgm:dir/>
          <dgm:resizeHandles val="exact"/>
        </dgm:presLayoutVars>
      </dgm:prSet>
      <dgm:spPr/>
    </dgm:pt>
    <dgm:pt modelId="{A2A33088-2E11-4513-8E5B-7A6CD4C0D2DB}" type="pres">
      <dgm:prSet presAssocID="{85979893-6816-4B65-B543-C0770537CED6}" presName="dummy" presStyleCnt="0"/>
      <dgm:spPr/>
    </dgm:pt>
    <dgm:pt modelId="{978F0890-A55B-47CE-93CB-B5CFD5D4A40C}" type="pres">
      <dgm:prSet presAssocID="{85979893-6816-4B65-B543-C0770537CED6}" presName="node" presStyleLbl="revTx" presStyleIdx="0" presStyleCnt="4">
        <dgm:presLayoutVars>
          <dgm:bulletEnabled val="1"/>
        </dgm:presLayoutVars>
      </dgm:prSet>
      <dgm:spPr/>
    </dgm:pt>
    <dgm:pt modelId="{8B41A7DA-39A2-4EC4-9039-8C1033CB36E5}" type="pres">
      <dgm:prSet presAssocID="{7D1FE4B9-E7FA-44F1-9AC4-3C7DBE600DA6}" presName="sibTrans" presStyleLbl="node1" presStyleIdx="0" presStyleCnt="4"/>
      <dgm:spPr/>
    </dgm:pt>
    <dgm:pt modelId="{CBB0A747-C83F-413F-B8B9-A6024C16E26F}" type="pres">
      <dgm:prSet presAssocID="{22E65E8D-DBDF-4FBA-9FBD-E693A57B863D}" presName="dummy" presStyleCnt="0"/>
      <dgm:spPr/>
    </dgm:pt>
    <dgm:pt modelId="{D6B9501E-0E8A-42DC-AAAB-D91EB742A47B}" type="pres">
      <dgm:prSet presAssocID="{22E65E8D-DBDF-4FBA-9FBD-E693A57B863D}" presName="node" presStyleLbl="revTx" presStyleIdx="1" presStyleCnt="4">
        <dgm:presLayoutVars>
          <dgm:bulletEnabled val="1"/>
        </dgm:presLayoutVars>
      </dgm:prSet>
      <dgm:spPr/>
    </dgm:pt>
    <dgm:pt modelId="{CF5E23CE-5423-4F71-9ADF-2852BCBE0AFE}" type="pres">
      <dgm:prSet presAssocID="{745C7DA1-A480-4383-9611-F4C84ECFA4C3}" presName="sibTrans" presStyleLbl="node1" presStyleIdx="1" presStyleCnt="4"/>
      <dgm:spPr/>
    </dgm:pt>
    <dgm:pt modelId="{9E3C7A27-E1E7-46EC-906D-D56C9D9F0E0B}" type="pres">
      <dgm:prSet presAssocID="{29AB846E-6A2A-43C5-B8CA-CEF74428CC3E}" presName="dummy" presStyleCnt="0"/>
      <dgm:spPr/>
    </dgm:pt>
    <dgm:pt modelId="{3307DD3B-1BDA-4E06-B438-4AC529AE5E6B}" type="pres">
      <dgm:prSet presAssocID="{29AB846E-6A2A-43C5-B8CA-CEF74428CC3E}" presName="node" presStyleLbl="revTx" presStyleIdx="2" presStyleCnt="4">
        <dgm:presLayoutVars>
          <dgm:bulletEnabled val="1"/>
        </dgm:presLayoutVars>
      </dgm:prSet>
      <dgm:spPr/>
    </dgm:pt>
    <dgm:pt modelId="{BCCA0646-F15A-401B-AFC4-2A0EF2C107AB}" type="pres">
      <dgm:prSet presAssocID="{0FF2F341-65DD-4150-8CEE-2BB54BD27743}" presName="sibTrans" presStyleLbl="node1" presStyleIdx="2" presStyleCnt="4"/>
      <dgm:spPr/>
    </dgm:pt>
    <dgm:pt modelId="{0B9666C5-30E4-4C72-B347-DFBF3456ECED}" type="pres">
      <dgm:prSet presAssocID="{DCDBDE49-5B22-456E-9FC3-49F413383F7D}" presName="dummy" presStyleCnt="0"/>
      <dgm:spPr/>
    </dgm:pt>
    <dgm:pt modelId="{8995D235-51A1-459D-A2B5-78D525E308EC}" type="pres">
      <dgm:prSet presAssocID="{DCDBDE49-5B22-456E-9FC3-49F413383F7D}" presName="node" presStyleLbl="revTx" presStyleIdx="3" presStyleCnt="4">
        <dgm:presLayoutVars>
          <dgm:bulletEnabled val="1"/>
        </dgm:presLayoutVars>
      </dgm:prSet>
      <dgm:spPr/>
    </dgm:pt>
    <dgm:pt modelId="{9E80FAE2-D35C-41EF-B533-1DDC1E884AA9}" type="pres">
      <dgm:prSet presAssocID="{BC5189FF-EC66-453E-83AB-4D01E74938F6}" presName="sibTrans" presStyleLbl="node1" presStyleIdx="3" presStyleCnt="4"/>
      <dgm:spPr/>
    </dgm:pt>
  </dgm:ptLst>
  <dgm:cxnLst>
    <dgm:cxn modelId="{1F3BDB08-DF5B-4732-88A7-A35E21BC93DA}" type="presOf" srcId="{22E65E8D-DBDF-4FBA-9FBD-E693A57B863D}" destId="{D6B9501E-0E8A-42DC-AAAB-D91EB742A47B}" srcOrd="0" destOrd="0" presId="urn:microsoft.com/office/officeart/2005/8/layout/cycle1"/>
    <dgm:cxn modelId="{E281745E-8DB0-4E59-9779-72D01E747770}" type="presOf" srcId="{745C7DA1-A480-4383-9611-F4C84ECFA4C3}" destId="{CF5E23CE-5423-4F71-9ADF-2852BCBE0AFE}" srcOrd="0" destOrd="0" presId="urn:microsoft.com/office/officeart/2005/8/layout/cycle1"/>
    <dgm:cxn modelId="{01375248-6320-4FA8-AB3C-BC7475D103BD}" srcId="{C0B3DF1F-65FD-488B-A850-707F8FAD91CF}" destId="{DCDBDE49-5B22-456E-9FC3-49F413383F7D}" srcOrd="3" destOrd="0" parTransId="{24C7FBC7-2CAC-4D35-B615-6D875C792ED2}" sibTransId="{BC5189FF-EC66-453E-83AB-4D01E74938F6}"/>
    <dgm:cxn modelId="{D2B19070-EC13-4F1C-9129-A67D42ED0F8C}" srcId="{C0B3DF1F-65FD-488B-A850-707F8FAD91CF}" destId="{29AB846E-6A2A-43C5-B8CA-CEF74428CC3E}" srcOrd="2" destOrd="0" parTransId="{DBF8D7A0-DCD7-4129-9BC5-6BE2AB840F4E}" sibTransId="{0FF2F341-65DD-4150-8CEE-2BB54BD27743}"/>
    <dgm:cxn modelId="{576C5652-C59E-4AE6-804A-9BD2CE3FFFE6}" type="presOf" srcId="{DCDBDE49-5B22-456E-9FC3-49F413383F7D}" destId="{8995D235-51A1-459D-A2B5-78D525E308EC}" srcOrd="0" destOrd="0" presId="urn:microsoft.com/office/officeart/2005/8/layout/cycle1"/>
    <dgm:cxn modelId="{86887BA6-F8BB-4C80-9058-D742593C0D24}" type="presOf" srcId="{C0B3DF1F-65FD-488B-A850-707F8FAD91CF}" destId="{AE824A0F-A665-45F4-B885-9E573BF26534}" srcOrd="0" destOrd="0" presId="urn:microsoft.com/office/officeart/2005/8/layout/cycle1"/>
    <dgm:cxn modelId="{B732A5B3-71C6-48E3-9700-E042C188A377}" type="presOf" srcId="{7D1FE4B9-E7FA-44F1-9AC4-3C7DBE600DA6}" destId="{8B41A7DA-39A2-4EC4-9039-8C1033CB36E5}" srcOrd="0" destOrd="0" presId="urn:microsoft.com/office/officeart/2005/8/layout/cycle1"/>
    <dgm:cxn modelId="{C93E30B9-AD2F-44DE-A215-342F03F5BEAF}" type="presOf" srcId="{0FF2F341-65DD-4150-8CEE-2BB54BD27743}" destId="{BCCA0646-F15A-401B-AFC4-2A0EF2C107AB}" srcOrd="0" destOrd="0" presId="urn:microsoft.com/office/officeart/2005/8/layout/cycle1"/>
    <dgm:cxn modelId="{9F585BC9-BED8-4C6D-BC5D-7934B1DD62D9}" type="presOf" srcId="{29AB846E-6A2A-43C5-B8CA-CEF74428CC3E}" destId="{3307DD3B-1BDA-4E06-B438-4AC529AE5E6B}" srcOrd="0" destOrd="0" presId="urn:microsoft.com/office/officeart/2005/8/layout/cycle1"/>
    <dgm:cxn modelId="{7CE93CD1-8695-46A9-986D-6974098DC101}" srcId="{C0B3DF1F-65FD-488B-A850-707F8FAD91CF}" destId="{22E65E8D-DBDF-4FBA-9FBD-E693A57B863D}" srcOrd="1" destOrd="0" parTransId="{616AABAD-DB72-4094-B12F-FE258B41ED9C}" sibTransId="{745C7DA1-A480-4383-9611-F4C84ECFA4C3}"/>
    <dgm:cxn modelId="{FF39C8D5-67F8-439A-8C62-78981BA31419}" type="presOf" srcId="{BC5189FF-EC66-453E-83AB-4D01E74938F6}" destId="{9E80FAE2-D35C-41EF-B533-1DDC1E884AA9}" srcOrd="0" destOrd="0" presId="urn:microsoft.com/office/officeart/2005/8/layout/cycle1"/>
    <dgm:cxn modelId="{7FFCC5FE-E543-487C-A80A-0F1C540E49A1}" type="presOf" srcId="{85979893-6816-4B65-B543-C0770537CED6}" destId="{978F0890-A55B-47CE-93CB-B5CFD5D4A40C}" srcOrd="0" destOrd="0" presId="urn:microsoft.com/office/officeart/2005/8/layout/cycle1"/>
    <dgm:cxn modelId="{8707EEFF-E69E-4025-9960-3620A89CE019}" srcId="{C0B3DF1F-65FD-488B-A850-707F8FAD91CF}" destId="{85979893-6816-4B65-B543-C0770537CED6}" srcOrd="0" destOrd="0" parTransId="{89DDAD85-580B-45DF-9693-4F1604E32321}" sibTransId="{7D1FE4B9-E7FA-44F1-9AC4-3C7DBE600DA6}"/>
    <dgm:cxn modelId="{D643C29F-F32F-4388-8BB5-4A798C0558CC}" type="presParOf" srcId="{AE824A0F-A665-45F4-B885-9E573BF26534}" destId="{A2A33088-2E11-4513-8E5B-7A6CD4C0D2DB}" srcOrd="0" destOrd="0" presId="urn:microsoft.com/office/officeart/2005/8/layout/cycle1"/>
    <dgm:cxn modelId="{00212482-419F-4E71-BA69-75CCEA1264B8}" type="presParOf" srcId="{AE824A0F-A665-45F4-B885-9E573BF26534}" destId="{978F0890-A55B-47CE-93CB-B5CFD5D4A40C}" srcOrd="1" destOrd="0" presId="urn:microsoft.com/office/officeart/2005/8/layout/cycle1"/>
    <dgm:cxn modelId="{723FDC2C-AC95-4077-8A28-D69718EC9661}" type="presParOf" srcId="{AE824A0F-A665-45F4-B885-9E573BF26534}" destId="{8B41A7DA-39A2-4EC4-9039-8C1033CB36E5}" srcOrd="2" destOrd="0" presId="urn:microsoft.com/office/officeart/2005/8/layout/cycle1"/>
    <dgm:cxn modelId="{3816615C-9741-4762-9D8D-9ECC9085A325}" type="presParOf" srcId="{AE824A0F-A665-45F4-B885-9E573BF26534}" destId="{CBB0A747-C83F-413F-B8B9-A6024C16E26F}" srcOrd="3" destOrd="0" presId="urn:microsoft.com/office/officeart/2005/8/layout/cycle1"/>
    <dgm:cxn modelId="{1D347ADA-B58F-41F1-9EC5-396399215E20}" type="presParOf" srcId="{AE824A0F-A665-45F4-B885-9E573BF26534}" destId="{D6B9501E-0E8A-42DC-AAAB-D91EB742A47B}" srcOrd="4" destOrd="0" presId="urn:microsoft.com/office/officeart/2005/8/layout/cycle1"/>
    <dgm:cxn modelId="{4226E09E-D03C-4FEC-BBC1-7573234B94DA}" type="presParOf" srcId="{AE824A0F-A665-45F4-B885-9E573BF26534}" destId="{CF5E23CE-5423-4F71-9ADF-2852BCBE0AFE}" srcOrd="5" destOrd="0" presId="urn:microsoft.com/office/officeart/2005/8/layout/cycle1"/>
    <dgm:cxn modelId="{D227FCE0-9F9E-49AF-8E39-9B7277273338}" type="presParOf" srcId="{AE824A0F-A665-45F4-B885-9E573BF26534}" destId="{9E3C7A27-E1E7-46EC-906D-D56C9D9F0E0B}" srcOrd="6" destOrd="0" presId="urn:microsoft.com/office/officeart/2005/8/layout/cycle1"/>
    <dgm:cxn modelId="{D01AEBD7-A0AC-4703-A752-ED13B69B90C7}" type="presParOf" srcId="{AE824A0F-A665-45F4-B885-9E573BF26534}" destId="{3307DD3B-1BDA-4E06-B438-4AC529AE5E6B}" srcOrd="7" destOrd="0" presId="urn:microsoft.com/office/officeart/2005/8/layout/cycle1"/>
    <dgm:cxn modelId="{4A79808B-6175-46C5-9850-15D501B6A89D}" type="presParOf" srcId="{AE824A0F-A665-45F4-B885-9E573BF26534}" destId="{BCCA0646-F15A-401B-AFC4-2A0EF2C107AB}" srcOrd="8" destOrd="0" presId="urn:microsoft.com/office/officeart/2005/8/layout/cycle1"/>
    <dgm:cxn modelId="{4B34EBC3-6880-4DD2-8E5B-8DDDBC40CBD4}" type="presParOf" srcId="{AE824A0F-A665-45F4-B885-9E573BF26534}" destId="{0B9666C5-30E4-4C72-B347-DFBF3456ECED}" srcOrd="9" destOrd="0" presId="urn:microsoft.com/office/officeart/2005/8/layout/cycle1"/>
    <dgm:cxn modelId="{024ABA7E-A754-48C8-9753-BC216937D4E1}" type="presParOf" srcId="{AE824A0F-A665-45F4-B885-9E573BF26534}" destId="{8995D235-51A1-459D-A2B5-78D525E308EC}" srcOrd="10" destOrd="0" presId="urn:microsoft.com/office/officeart/2005/8/layout/cycle1"/>
    <dgm:cxn modelId="{694B610C-B7B4-40DD-B084-F6A12CDE1876}" type="presParOf" srcId="{AE824A0F-A665-45F4-B885-9E573BF26534}" destId="{9E80FAE2-D35C-41EF-B533-1DDC1E884AA9}" srcOrd="11" destOrd="0" presId="urn:microsoft.com/office/officeart/2005/8/layout/cycle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5F03D-9325-4C6D-83D6-D56478AE38FD}">
      <dsp:nvSpPr>
        <dsp:cNvPr id="0" name=""/>
        <dsp:cNvSpPr/>
      </dsp:nvSpPr>
      <dsp:spPr>
        <a:xfrm rot="5400000">
          <a:off x="-94803" y="95478"/>
          <a:ext cx="632026" cy="442418"/>
        </a:xfrm>
        <a:prstGeom prst="chevron">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FFFFFF"/>
              </a:solidFill>
              <a:latin typeface="Arial"/>
              <a:ea typeface="+mn-ea"/>
              <a:cs typeface="+mn-cs"/>
            </a:rPr>
            <a:t>1989</a:t>
          </a:r>
        </a:p>
      </dsp:txBody>
      <dsp:txXfrm rot="-5400000">
        <a:off x="1" y="221883"/>
        <a:ext cx="442418" cy="189608"/>
      </dsp:txXfrm>
    </dsp:sp>
    <dsp:sp modelId="{2DFB9E33-6DED-4EBB-B176-E0993F751C93}">
      <dsp:nvSpPr>
        <dsp:cNvPr id="0" name=""/>
        <dsp:cNvSpPr/>
      </dsp:nvSpPr>
      <dsp:spPr>
        <a:xfrm rot="5400000">
          <a:off x="2497063" y="-2053969"/>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a:ea typeface="+mn-ea"/>
              <a:cs typeface="+mn-cs"/>
            </a:rPr>
            <a:t> </a:t>
          </a:r>
          <a:r>
            <a:rPr lang="en-GB" sz="1000" b="1" kern="1200">
              <a:solidFill>
                <a:sysClr val="windowText" lastClr="000000">
                  <a:hueOff val="0"/>
                  <a:satOff val="0"/>
                  <a:lumOff val="0"/>
                  <a:alphaOff val="0"/>
                </a:sysClr>
              </a:solidFill>
              <a:latin typeface="Arial"/>
              <a:ea typeface="+mn-ea"/>
              <a:cs typeface="+mn-cs"/>
            </a:rPr>
            <a:t>USA</a:t>
          </a:r>
          <a:r>
            <a:rPr lang="en-GB" sz="1000" kern="1200">
              <a:solidFill>
                <a:sysClr val="windowText" lastClr="000000">
                  <a:hueOff val="0"/>
                  <a:satOff val="0"/>
                  <a:lumOff val="0"/>
                  <a:alphaOff val="0"/>
                </a:sysClr>
              </a:solidFill>
              <a:latin typeface="Arial"/>
              <a:ea typeface="+mn-ea"/>
              <a:cs typeface="+mn-cs"/>
            </a:rPr>
            <a:t> publish National Career Development Guidelines (NCDG), which were subsequently broadened and updated in 2003, 2004 &amp; 2007 </a:t>
          </a:r>
        </a:p>
      </dsp:txBody>
      <dsp:txXfrm rot="-5400000">
        <a:off x="442419" y="20729"/>
        <a:ext cx="4500052" cy="370709"/>
      </dsp:txXfrm>
    </dsp:sp>
    <dsp:sp modelId="{C63531CB-11DF-4819-B6C6-B243633E4F33}">
      <dsp:nvSpPr>
        <dsp:cNvPr id="0" name=""/>
        <dsp:cNvSpPr/>
      </dsp:nvSpPr>
      <dsp:spPr>
        <a:xfrm rot="5400000">
          <a:off x="-94803" y="560628"/>
          <a:ext cx="632026" cy="442418"/>
        </a:xfrm>
        <a:prstGeom prst="chevron">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FFFFFF"/>
              </a:solidFill>
              <a:latin typeface="Arial"/>
              <a:ea typeface="+mn-ea"/>
              <a:cs typeface="+mn-cs"/>
            </a:rPr>
            <a:t>1996</a:t>
          </a:r>
        </a:p>
      </dsp:txBody>
      <dsp:txXfrm rot="-5400000">
        <a:off x="1" y="687033"/>
        <a:ext cx="442418" cy="189608"/>
      </dsp:txXfrm>
    </dsp:sp>
    <dsp:sp modelId="{46AA658C-79C9-49C4-BAD1-813EE3EA1702}">
      <dsp:nvSpPr>
        <dsp:cNvPr id="0" name=""/>
        <dsp:cNvSpPr/>
      </dsp:nvSpPr>
      <dsp:spPr>
        <a:xfrm rot="5400000">
          <a:off x="2497063" y="-158882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a:ea typeface="+mn-ea"/>
              <a:cs typeface="+mn-cs"/>
            </a:rPr>
            <a:t> </a:t>
          </a:r>
          <a:r>
            <a:rPr lang="en-GB" sz="1000" b="1" kern="1200">
              <a:solidFill>
                <a:sysClr val="windowText" lastClr="000000">
                  <a:hueOff val="0"/>
                  <a:satOff val="0"/>
                  <a:lumOff val="0"/>
                  <a:alphaOff val="0"/>
                </a:sysClr>
              </a:solidFill>
              <a:latin typeface="Arial"/>
              <a:ea typeface="+mn-ea"/>
              <a:cs typeface="+mn-cs"/>
            </a:rPr>
            <a:t>Canada</a:t>
          </a:r>
          <a:r>
            <a:rPr lang="en-GB" sz="1000" kern="1200">
              <a:solidFill>
                <a:sysClr val="windowText" lastClr="000000">
                  <a:hueOff val="0"/>
                  <a:satOff val="0"/>
                  <a:lumOff val="0"/>
                  <a:alphaOff val="0"/>
                </a:sysClr>
              </a:solidFill>
              <a:latin typeface="Arial"/>
              <a:ea typeface="+mn-ea"/>
              <a:cs typeface="+mn-cs"/>
            </a:rPr>
            <a:t> publish Blueprint for Life/Work Designs</a:t>
          </a:r>
        </a:p>
      </dsp:txBody>
      <dsp:txXfrm rot="-5400000">
        <a:off x="442419" y="485878"/>
        <a:ext cx="4500052" cy="370709"/>
      </dsp:txXfrm>
    </dsp:sp>
    <dsp:sp modelId="{4B7B5D30-498A-486F-804A-A47E35D9C4A7}">
      <dsp:nvSpPr>
        <dsp:cNvPr id="0" name=""/>
        <dsp:cNvSpPr/>
      </dsp:nvSpPr>
      <dsp:spPr>
        <a:xfrm rot="5400000">
          <a:off x="-94803" y="1025778"/>
          <a:ext cx="632026" cy="442418"/>
        </a:xfrm>
        <a:prstGeom prst="chevron">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FFFFFF"/>
              </a:solidFill>
              <a:latin typeface="Arial"/>
              <a:ea typeface="+mn-ea"/>
              <a:cs typeface="+mn-cs"/>
            </a:rPr>
            <a:t>2010</a:t>
          </a:r>
        </a:p>
      </dsp:txBody>
      <dsp:txXfrm rot="-5400000">
        <a:off x="1" y="1152183"/>
        <a:ext cx="442418" cy="189608"/>
      </dsp:txXfrm>
    </dsp:sp>
    <dsp:sp modelId="{4B878CBB-216D-4FBE-AFD0-8B27C0E36B91}">
      <dsp:nvSpPr>
        <dsp:cNvPr id="0" name=""/>
        <dsp:cNvSpPr/>
      </dsp:nvSpPr>
      <dsp:spPr>
        <a:xfrm rot="5400000">
          <a:off x="2497063" y="-112367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a:ea typeface="+mn-ea"/>
              <a:cs typeface="+mn-cs"/>
            </a:rPr>
            <a:t> </a:t>
          </a:r>
          <a:r>
            <a:rPr lang="en-GB" sz="1000" b="1" kern="1200">
              <a:solidFill>
                <a:sysClr val="windowText" lastClr="000000">
                  <a:hueOff val="0"/>
                  <a:satOff val="0"/>
                  <a:lumOff val="0"/>
                  <a:alphaOff val="0"/>
                </a:sysClr>
              </a:solidFill>
              <a:latin typeface="Arial"/>
              <a:ea typeface="+mn-ea"/>
              <a:cs typeface="+mn-cs"/>
            </a:rPr>
            <a:t>Australian</a:t>
          </a:r>
          <a:r>
            <a:rPr lang="en-GB" sz="1000" kern="1200">
              <a:solidFill>
                <a:sysClr val="windowText" lastClr="000000">
                  <a:hueOff val="0"/>
                  <a:satOff val="0"/>
                  <a:lumOff val="0"/>
                  <a:alphaOff val="0"/>
                </a:sysClr>
              </a:solidFill>
              <a:latin typeface="Arial"/>
              <a:ea typeface="+mn-ea"/>
              <a:cs typeface="+mn-cs"/>
            </a:rPr>
            <a:t> Blueprint is published following an extensive period of research, development and testing / piloting</a:t>
          </a:r>
        </a:p>
      </dsp:txBody>
      <dsp:txXfrm rot="-5400000">
        <a:off x="442419" y="951028"/>
        <a:ext cx="4500052" cy="370709"/>
      </dsp:txXfrm>
    </dsp:sp>
    <dsp:sp modelId="{0C4EA848-7353-4B65-8471-1B082E4CF075}">
      <dsp:nvSpPr>
        <dsp:cNvPr id="0" name=""/>
        <dsp:cNvSpPr/>
      </dsp:nvSpPr>
      <dsp:spPr>
        <a:xfrm rot="5400000">
          <a:off x="-94803" y="1490927"/>
          <a:ext cx="632026" cy="442418"/>
        </a:xfrm>
        <a:prstGeom prst="chevron">
          <a:avLst/>
        </a:prstGeom>
        <a:solidFill>
          <a:schemeClr val="accent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rgbClr val="FFFFFF"/>
              </a:solidFill>
              <a:latin typeface="Arial"/>
              <a:ea typeface="+mn-ea"/>
              <a:cs typeface="+mn-cs"/>
            </a:rPr>
            <a:t>2012</a:t>
          </a:r>
        </a:p>
      </dsp:txBody>
      <dsp:txXfrm rot="-5400000">
        <a:off x="1" y="1617332"/>
        <a:ext cx="442418" cy="189608"/>
      </dsp:txXfrm>
    </dsp:sp>
    <dsp:sp modelId="{FBDABDD3-E3F8-4C39-8192-22729EE7D187}">
      <dsp:nvSpPr>
        <dsp:cNvPr id="0" name=""/>
        <dsp:cNvSpPr/>
      </dsp:nvSpPr>
      <dsp:spPr>
        <a:xfrm rot="5400000">
          <a:off x="2497063" y="-658520"/>
          <a:ext cx="410817" cy="4520106"/>
        </a:xfrm>
        <a:prstGeom prst="round2SameRect">
          <a:avLst/>
        </a:prstGeom>
        <a:solidFill>
          <a:srgbClr val="FFFFFF">
            <a:alpha val="90000"/>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Arial"/>
              <a:ea typeface="+mn-ea"/>
              <a:cs typeface="+mn-cs"/>
            </a:rPr>
            <a:t> </a:t>
          </a:r>
          <a:r>
            <a:rPr lang="en-GB" sz="1000" b="1" kern="1200">
              <a:solidFill>
                <a:sysClr val="windowText" lastClr="000000">
                  <a:hueOff val="0"/>
                  <a:satOff val="0"/>
                  <a:lumOff val="0"/>
                  <a:alphaOff val="0"/>
                </a:sysClr>
              </a:solidFill>
              <a:latin typeface="Arial"/>
              <a:ea typeface="+mn-ea"/>
              <a:cs typeface="+mn-cs"/>
            </a:rPr>
            <a:t>English </a:t>
          </a:r>
          <a:r>
            <a:rPr lang="en-GB" sz="1000" b="0" kern="1200">
              <a:solidFill>
                <a:sysClr val="windowText" lastClr="000000">
                  <a:hueOff val="0"/>
                  <a:satOff val="0"/>
                  <a:lumOff val="0"/>
                  <a:alphaOff val="0"/>
                </a:sysClr>
              </a:solidFill>
              <a:latin typeface="Arial"/>
              <a:ea typeface="+mn-ea"/>
              <a:cs typeface="+mn-cs"/>
            </a:rPr>
            <a:t>Blueprint for Careers is published</a:t>
          </a:r>
        </a:p>
        <a:p>
          <a:pPr marL="57150" lvl="1" indent="-57150" algn="l" defTabSz="444500">
            <a:lnSpc>
              <a:spcPct val="90000"/>
            </a:lnSpc>
            <a:spcBef>
              <a:spcPct val="0"/>
            </a:spcBef>
            <a:spcAft>
              <a:spcPct val="15000"/>
            </a:spcAft>
            <a:buChar char="•"/>
          </a:pPr>
          <a:r>
            <a:rPr lang="en-GB" sz="1000" b="0" kern="1200">
              <a:solidFill>
                <a:sysClr val="windowText" lastClr="000000">
                  <a:hueOff val="0"/>
                  <a:satOff val="0"/>
                  <a:lumOff val="0"/>
                  <a:alphaOff val="0"/>
                </a:sysClr>
              </a:solidFill>
              <a:latin typeface="Arial"/>
              <a:ea typeface="+mn-ea"/>
              <a:cs typeface="+mn-cs"/>
            </a:rPr>
            <a:t> </a:t>
          </a:r>
          <a:r>
            <a:rPr lang="en-GB" sz="1000" b="1" kern="1200">
              <a:solidFill>
                <a:sysClr val="windowText" lastClr="000000">
                  <a:hueOff val="0"/>
                  <a:satOff val="0"/>
                  <a:lumOff val="0"/>
                  <a:alphaOff val="0"/>
                </a:sysClr>
              </a:solidFill>
              <a:latin typeface="Arial"/>
              <a:ea typeface="+mn-ea"/>
              <a:cs typeface="+mn-cs"/>
            </a:rPr>
            <a:t>Scotland</a:t>
          </a:r>
          <a:r>
            <a:rPr lang="en-GB" sz="1000" b="0" kern="1200">
              <a:solidFill>
                <a:sysClr val="windowText" lastClr="000000">
                  <a:hueOff val="0"/>
                  <a:satOff val="0"/>
                  <a:lumOff val="0"/>
                  <a:alphaOff val="0"/>
                </a:sysClr>
              </a:solidFill>
              <a:latin typeface="Arial"/>
              <a:ea typeface="+mn-ea"/>
              <a:cs typeface="+mn-cs"/>
            </a:rPr>
            <a:t> publishes Career Management Skills Framework  </a:t>
          </a:r>
        </a:p>
      </dsp:txBody>
      <dsp:txXfrm rot="-5400000">
        <a:off x="442419" y="1416178"/>
        <a:ext cx="4500052" cy="3707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8F0890-A55B-47CE-93CB-B5CFD5D4A40C}">
      <dsp:nvSpPr>
        <dsp:cNvPr id="0" name=""/>
        <dsp:cNvSpPr/>
      </dsp:nvSpPr>
      <dsp:spPr>
        <a:xfrm>
          <a:off x="2310578" y="53398"/>
          <a:ext cx="845948" cy="845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rgbClr val="000000">
                  <a:lumMod val="65000"/>
                  <a:lumOff val="35000"/>
                </a:srgbClr>
              </a:solidFill>
              <a:latin typeface="Arial"/>
              <a:ea typeface="+mn-ea"/>
              <a:cs typeface="+mn-cs"/>
            </a:rPr>
            <a:t>1. Doing something</a:t>
          </a:r>
        </a:p>
      </dsp:txBody>
      <dsp:txXfrm>
        <a:off x="2310578" y="53398"/>
        <a:ext cx="845948" cy="845948"/>
      </dsp:txXfrm>
    </dsp:sp>
    <dsp:sp modelId="{8B41A7DA-39A2-4EC4-9039-8C1033CB36E5}">
      <dsp:nvSpPr>
        <dsp:cNvPr id="0" name=""/>
        <dsp:cNvSpPr/>
      </dsp:nvSpPr>
      <dsp:spPr>
        <a:xfrm>
          <a:off x="818990" y="-159"/>
          <a:ext cx="2391094" cy="2391094"/>
        </a:xfrm>
        <a:prstGeom prst="circularArrow">
          <a:avLst>
            <a:gd name="adj1" fmla="val 6899"/>
            <a:gd name="adj2" fmla="val 465103"/>
            <a:gd name="adj3" fmla="val 550462"/>
            <a:gd name="adj4" fmla="val 20584435"/>
            <a:gd name="adj5" fmla="val 8049"/>
          </a:avLst>
        </a:prstGeom>
        <a:solidFill>
          <a:srgbClr val="FFFFFF">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D6B9501E-0E8A-42DC-AAAB-D91EB742A47B}">
      <dsp:nvSpPr>
        <dsp:cNvPr id="0" name=""/>
        <dsp:cNvSpPr/>
      </dsp:nvSpPr>
      <dsp:spPr>
        <a:xfrm>
          <a:off x="2310578" y="1491428"/>
          <a:ext cx="845948" cy="845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rgbClr val="000000">
                  <a:lumMod val="65000"/>
                  <a:lumOff val="35000"/>
                </a:srgbClr>
              </a:solidFill>
              <a:latin typeface="Arial"/>
              <a:ea typeface="+mn-ea"/>
              <a:cs typeface="+mn-cs"/>
            </a:rPr>
            <a:t>2. Thinking about what you have done</a:t>
          </a:r>
        </a:p>
      </dsp:txBody>
      <dsp:txXfrm>
        <a:off x="2310578" y="1491428"/>
        <a:ext cx="845948" cy="845948"/>
      </dsp:txXfrm>
    </dsp:sp>
    <dsp:sp modelId="{CF5E23CE-5423-4F71-9ADF-2852BCBE0AFE}">
      <dsp:nvSpPr>
        <dsp:cNvPr id="0" name=""/>
        <dsp:cNvSpPr/>
      </dsp:nvSpPr>
      <dsp:spPr>
        <a:xfrm>
          <a:off x="818990" y="-159"/>
          <a:ext cx="2391094" cy="2391094"/>
        </a:xfrm>
        <a:prstGeom prst="circularArrow">
          <a:avLst>
            <a:gd name="adj1" fmla="val 6899"/>
            <a:gd name="adj2" fmla="val 465103"/>
            <a:gd name="adj3" fmla="val 5950462"/>
            <a:gd name="adj4" fmla="val 4384435"/>
            <a:gd name="adj5" fmla="val 8049"/>
          </a:avLst>
        </a:prstGeom>
        <a:solidFill>
          <a:srgbClr val="FFFFFF">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3307DD3B-1BDA-4E06-B438-4AC529AE5E6B}">
      <dsp:nvSpPr>
        <dsp:cNvPr id="0" name=""/>
        <dsp:cNvSpPr/>
      </dsp:nvSpPr>
      <dsp:spPr>
        <a:xfrm>
          <a:off x="872548" y="1491428"/>
          <a:ext cx="845948" cy="845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rgbClr val="000000">
                  <a:lumMod val="65000"/>
                  <a:lumOff val="35000"/>
                </a:srgbClr>
              </a:solidFill>
              <a:latin typeface="Arial"/>
              <a:ea typeface="+mn-ea"/>
              <a:cs typeface="+mn-cs"/>
            </a:rPr>
            <a:t>3. Trying to understand what happened</a:t>
          </a:r>
        </a:p>
      </dsp:txBody>
      <dsp:txXfrm>
        <a:off x="872548" y="1491428"/>
        <a:ext cx="845948" cy="845948"/>
      </dsp:txXfrm>
    </dsp:sp>
    <dsp:sp modelId="{BCCA0646-F15A-401B-AFC4-2A0EF2C107AB}">
      <dsp:nvSpPr>
        <dsp:cNvPr id="0" name=""/>
        <dsp:cNvSpPr/>
      </dsp:nvSpPr>
      <dsp:spPr>
        <a:xfrm>
          <a:off x="818990" y="-159"/>
          <a:ext cx="2391094" cy="2391094"/>
        </a:xfrm>
        <a:prstGeom prst="circularArrow">
          <a:avLst>
            <a:gd name="adj1" fmla="val 6899"/>
            <a:gd name="adj2" fmla="val 465103"/>
            <a:gd name="adj3" fmla="val 11350462"/>
            <a:gd name="adj4" fmla="val 9784435"/>
            <a:gd name="adj5" fmla="val 8049"/>
          </a:avLst>
        </a:prstGeom>
        <a:solidFill>
          <a:srgbClr val="FFFFFF">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8995D235-51A1-459D-A2B5-78D525E308EC}">
      <dsp:nvSpPr>
        <dsp:cNvPr id="0" name=""/>
        <dsp:cNvSpPr/>
      </dsp:nvSpPr>
      <dsp:spPr>
        <a:xfrm>
          <a:off x="872548" y="53398"/>
          <a:ext cx="845948" cy="845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rgbClr val="000000">
                  <a:lumMod val="65000"/>
                  <a:lumOff val="35000"/>
                </a:srgbClr>
              </a:solidFill>
              <a:latin typeface="Arial"/>
              <a:ea typeface="+mn-ea"/>
              <a:cs typeface="+mn-cs"/>
            </a:rPr>
            <a:t>4. Trying something new</a:t>
          </a:r>
        </a:p>
      </dsp:txBody>
      <dsp:txXfrm>
        <a:off x="872548" y="53398"/>
        <a:ext cx="845948" cy="845948"/>
      </dsp:txXfrm>
    </dsp:sp>
    <dsp:sp modelId="{9E80FAE2-D35C-41EF-B533-1DDC1E884AA9}">
      <dsp:nvSpPr>
        <dsp:cNvPr id="0" name=""/>
        <dsp:cNvSpPr/>
      </dsp:nvSpPr>
      <dsp:spPr>
        <a:xfrm>
          <a:off x="818990" y="-159"/>
          <a:ext cx="2391094" cy="2391094"/>
        </a:xfrm>
        <a:prstGeom prst="circularArrow">
          <a:avLst>
            <a:gd name="adj1" fmla="val 6899"/>
            <a:gd name="adj2" fmla="val 465103"/>
            <a:gd name="adj3" fmla="val 16750462"/>
            <a:gd name="adj4" fmla="val 15184435"/>
            <a:gd name="adj5" fmla="val 8049"/>
          </a:avLst>
        </a:prstGeom>
        <a:solidFill>
          <a:srgbClr val="FFFFFF">
            <a:hueOff val="0"/>
            <a:satOff val="0"/>
            <a:lumOff val="0"/>
            <a:alphaOff val="0"/>
          </a:srgb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9EDA6E6FE40578E6A131D3DA4F518"/>
        <w:category>
          <w:name w:val="General"/>
          <w:gallery w:val="placeholder"/>
        </w:category>
        <w:types>
          <w:type w:val="bbPlcHdr"/>
        </w:types>
        <w:behaviors>
          <w:behavior w:val="content"/>
        </w:behaviors>
        <w:guid w:val="{7ED3ADD2-DF9A-4285-9C99-DEE1B777D87E}"/>
      </w:docPartPr>
      <w:docPartBody>
        <w:p w:rsidR="00AE266D" w:rsidRDefault="00AE266D">
          <w:pPr>
            <w:pStyle w:val="A319EDA6E6FE40578E6A131D3DA4F518"/>
          </w:pPr>
          <w:r>
            <w:rPr>
              <w:rStyle w:val="PlaceholderText"/>
            </w:rPr>
            <w:t>Enter date</w:t>
          </w:r>
        </w:p>
      </w:docPartBody>
    </w:docPart>
    <w:docPart>
      <w:docPartPr>
        <w:name w:val="52278FB766794CD281091F3F1FC46270"/>
        <w:category>
          <w:name w:val="General"/>
          <w:gallery w:val="placeholder"/>
        </w:category>
        <w:types>
          <w:type w:val="bbPlcHdr"/>
        </w:types>
        <w:behaviors>
          <w:behavior w:val="content"/>
        </w:behaviors>
        <w:guid w:val="{6F401659-9F90-41BB-ABE1-158D2F07C38A}"/>
      </w:docPartPr>
      <w:docPartBody>
        <w:p w:rsidR="00AE266D" w:rsidRDefault="00AE266D">
          <w:pPr>
            <w:pStyle w:val="52278FB766794CD281091F3F1FC46270"/>
          </w:pPr>
          <w:r>
            <w:rPr>
              <w:rStyle w:val="PlaceholderText"/>
            </w:rPr>
            <w:t>Enter title</w:t>
          </w:r>
        </w:p>
      </w:docPartBody>
    </w:docPart>
    <w:docPart>
      <w:docPartPr>
        <w:name w:val="EAC5DDB793054560BDC6B9112CAF2ECE"/>
        <w:category>
          <w:name w:val="General"/>
          <w:gallery w:val="placeholder"/>
        </w:category>
        <w:types>
          <w:type w:val="bbPlcHdr"/>
        </w:types>
        <w:behaviors>
          <w:behavior w:val="content"/>
        </w:behaviors>
        <w:guid w:val="{EE9EA28D-8F07-43E2-9C72-F324B5114BD5}"/>
      </w:docPartPr>
      <w:docPartBody>
        <w:p w:rsidR="00AE266D" w:rsidRDefault="00AE266D">
          <w:pPr>
            <w:pStyle w:val="EAC5DDB793054560BDC6B9112CAF2ECE"/>
          </w:pPr>
          <w:r>
            <w:rPr>
              <w:rStyle w:val="PlaceholderText"/>
            </w:rPr>
            <w:t>Enter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vT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6D"/>
    <w:rsid w:val="00367A1F"/>
    <w:rsid w:val="00981BAD"/>
    <w:rsid w:val="00AE266D"/>
    <w:rsid w:val="00B02FFA"/>
    <w:rsid w:val="00CF6C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266D"/>
    <w:rPr>
      <w:color w:val="auto"/>
      <w:bdr w:val="none" w:sz="0" w:space="0" w:color="auto"/>
      <w:shd w:val="clear" w:color="auto" w:fill="C0C0C0"/>
    </w:rPr>
  </w:style>
  <w:style w:type="paragraph" w:customStyle="1" w:styleId="A319EDA6E6FE40578E6A131D3DA4F518">
    <w:name w:val="A319EDA6E6FE40578E6A131D3DA4F518"/>
  </w:style>
  <w:style w:type="paragraph" w:customStyle="1" w:styleId="52278FB766794CD281091F3F1FC46270">
    <w:name w:val="52278FB766794CD281091F3F1FC46270"/>
  </w:style>
  <w:style w:type="paragraph" w:customStyle="1" w:styleId="EAC5DDB793054560BDC6B9112CAF2ECE">
    <w:name w:val="EAC5DDB793054560BDC6B9112CAF2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QW 2020 Colours">
      <a:dk1>
        <a:srgbClr val="000000"/>
      </a:dk1>
      <a:lt1>
        <a:srgbClr val="1A1A1A"/>
      </a:lt1>
      <a:dk2>
        <a:srgbClr val="FFFFFF"/>
      </a:dk2>
      <a:lt2>
        <a:srgbClr val="EBEDEE"/>
      </a:lt2>
      <a:accent1>
        <a:srgbClr val="DA291C"/>
      </a:accent1>
      <a:accent2>
        <a:srgbClr val="9A3324"/>
      </a:accent2>
      <a:accent3>
        <a:srgbClr val="333F48"/>
      </a:accent3>
      <a:accent4>
        <a:srgbClr val="5B6770"/>
      </a:accent4>
      <a:accent5>
        <a:srgbClr val="9DA4A9"/>
      </a:accent5>
      <a:accent6>
        <a:srgbClr val="BDC2C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7439AAE0094EBE242BF9FDB57A80" ma:contentTypeVersion="3" ma:contentTypeDescription="Create a new document." ma:contentTypeScope="" ma:versionID="48e585c734be9628e509af418657d39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w14:paraId="75F56F2E" w14:textId="77777777" w:rsidR="00441491" w:rsidRPr="001F7565" w:rsidRDefault="00441491" w:rsidP="00A21D37"&gt;&lt;w:pPr&gt;&lt;w:pStyle w:val="wpTitle"/&gt;&lt;w:framePr w:wrap="around" w:vAnchor="page" w:hAnchor="page" w:x="738" w:y="625"/&gt;&lt;w:suppressOverlap/&gt;&lt;w:rPr&gt;&lt;w:sz w:val="36"/&gt;&lt;w:szCs w:val="36"/&gt;&lt;/w:rPr&gt;&lt;/w:pPr&gt;&lt;w:r w:rsidRPr="001F7565"&gt;&lt;w:rPr&gt;&lt;w:sz w:val="40"/&gt;&lt;w:szCs w:val="40"/&gt;&lt;/w:rPr&gt;&lt;w:t&gt;Maximising the Impact of Careers Services on Career Management Skills: A Review of the Literature&lt;/w:t&gt;&lt;/w:r&gt;&lt;/w:p&gt;&lt;w:sectPr w:rsidR="00441491" w:rsidRPr="001F7565"&gt;&lt;w:pgSz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w:ascii="Times New Roman" w:eastAsiaTheme="minorHAnsi" w:hAnsi="Times New Roman" w:cstheme="minorBidi"/&gt;&lt;w:sz w:val="24"/&gt;&lt;w:szCs w:val="24"/&gt;&lt;w:lang w:val="id-ID" w:eastAsia="en-US" w:bidi="ar-SA"/&gt;&lt;/w:rPr&gt;&lt;/w:rPrDefault&gt;&lt;w:pPrDefault&gt;&lt;w:pPr&gt;&lt;w:spacing w:line="276" w:lineRule="auto"/&gt;&lt;/w:pPr&gt;&lt;/w:pPrDefault&gt;&lt;/w:docDefaults&gt;&lt;w:style w:type="paragraph" w:default="1" w:styleId="Normal"&gt;&lt;w:name w:val="Normal"/&gt;&lt;w:uiPriority w:val="99"/&gt;&lt;w:qFormat/&gt;&lt;w:pPr&gt;&lt;w:spacing w:line="240" w:lineRule="auto"/&gt;&lt;/w:pPr&gt;&lt;w:rPr&gt;&lt;w:rFonts w:ascii="Cambria" w:hAnsi="Cambria"/&gt;&lt;w:sz w:val="22"/&gt;&lt;w:szCs w:val="22"/&gt;&lt;w:lang w:val="en-GB"/&gt;&lt;/w:rPr&gt;&lt;/w:style&gt;&lt;w:style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w:styleId="wpTitle"&gt;&lt;w:name w:val="wp Title"/&gt;&lt;w:basedOn w:val="Normal"/&gt;&lt;w:qFormat/&gt;&lt;w:pPr&gt;&lt;w:spacing w:after="400"/&gt;&lt;w:contextualSpacing/&gt;&lt;/w:pPr&gt;&lt;w:rPr&gt;&lt;w:rFonts w:ascii="Century Gothic" w:eastAsiaTheme="majorEastAsia" w:hAnsi="Century Gothic" w:cstheme="majorBidi"/&gt;&lt;w:b/&gt;&lt;w:color w:val="FFFFFF"/&gt;&lt;w:kern w:val="28"/&gt;&lt;w:sz w:val="52"/&gt;&lt;w:szCs w:val="56"/&gt;&lt;/w:rPr&gt;&lt;/w:style&gt;&lt;/w:styles&gt;&lt;/pkg:xmlData&gt;&lt;/pkg:part&gt;&lt;/pkg:package&gt;
</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44823-099E-47BC-AC75-F023F5E9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E7E326-66B7-4BC7-A342-516254ECC6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981C74-2018-4FD6-9017-F839A9B34CC2}">
  <ds:schemaRefs>
    <ds:schemaRef ds:uri="http://schemas.openxmlformats.org/officeDocument/2006/bibliography"/>
  </ds:schemaRefs>
</ds:datastoreItem>
</file>

<file path=customXml/itemProps4.xml><?xml version="1.0" encoding="utf-8"?>
<ds:datastoreItem xmlns:ds="http://schemas.openxmlformats.org/officeDocument/2006/customXml" ds:itemID="{8BB247F2-FFC0-4D80-B7B8-298498AD0A69}">
  <ds:schemaRefs/>
</ds:datastoreItem>
</file>

<file path=customXml/itemProps5.xml><?xml version="1.0" encoding="utf-8"?>
<ds:datastoreItem xmlns:ds="http://schemas.openxmlformats.org/officeDocument/2006/customXml" ds:itemID="{4E6B83AE-2521-45E4-BE5A-D5811555E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SQW Working Paper 2020.dotx</Template>
  <TotalTime>1</TotalTime>
  <Pages>23</Pages>
  <Words>9351</Words>
  <Characters>53305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Kaur-Mann</dc:creator>
  <cp:keywords/>
  <dc:description/>
  <cp:lastModifiedBy>Marian Morris</cp:lastModifiedBy>
  <cp:revision>2</cp:revision>
  <cp:lastPrinted>2020-02-07T18:24:00Z</cp:lastPrinted>
  <dcterms:created xsi:type="dcterms:W3CDTF">2022-05-17T12:13:00Z</dcterms:created>
  <dcterms:modified xsi:type="dcterms:W3CDTF">2022-05-17T12:13:00Z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Reference">
    <vt:lpwstr/>
  </property>
  <property fmtid="{D5CDD505-2E9C-101B-9397-08002B2CF9AE}" pid="4" name="ContentTypeId">
    <vt:lpwstr>0x01010069867439AAE0094EBE242BF9FDB57A80</vt:lpwstr>
  </property>
</Properties>
</file>