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6B94" w14:textId="77777777" w:rsidR="001C7D14" w:rsidRDefault="001C7D14" w:rsidP="001C7D14">
      <w:pPr>
        <w:pStyle w:val="Authornames"/>
        <w:rPr>
          <w:b/>
        </w:rPr>
      </w:pPr>
      <w:r w:rsidRPr="001D1FAA">
        <w:rPr>
          <w:b/>
          <w:highlight w:val="yellow"/>
        </w:rPr>
        <w:t>Article type: Article</w:t>
      </w:r>
    </w:p>
    <w:p w14:paraId="15FE81A6" w14:textId="77777777" w:rsidR="001C7D14" w:rsidRPr="001C7D14" w:rsidRDefault="001C7D14" w:rsidP="001C7D14">
      <w:pPr>
        <w:jc w:val="center"/>
      </w:pPr>
    </w:p>
    <w:p w14:paraId="7548F39A" w14:textId="08D36D50" w:rsidR="001C7D14" w:rsidRPr="001C7D14" w:rsidRDefault="001C7D14" w:rsidP="001C7D14">
      <w:pPr>
        <w:rPr>
          <w:b/>
          <w:sz w:val="40"/>
          <w:szCs w:val="40"/>
        </w:rPr>
      </w:pPr>
      <w:r w:rsidRPr="001C7D14">
        <w:rPr>
          <w:b/>
          <w:sz w:val="40"/>
          <w:szCs w:val="40"/>
        </w:rPr>
        <w:t>Dark Triad t</w:t>
      </w:r>
      <w:r>
        <w:rPr>
          <w:b/>
          <w:sz w:val="40"/>
          <w:szCs w:val="40"/>
        </w:rPr>
        <w:t>raits, engagement with learning</w:t>
      </w:r>
      <w:r w:rsidRPr="001C7D14">
        <w:rPr>
          <w:b/>
          <w:sz w:val="40"/>
          <w:szCs w:val="40"/>
        </w:rPr>
        <w:t xml:space="preserve"> and perceptions of employability</w:t>
      </w:r>
      <w:r>
        <w:rPr>
          <w:b/>
          <w:sz w:val="40"/>
          <w:szCs w:val="40"/>
        </w:rPr>
        <w:t xml:space="preserve"> </w:t>
      </w:r>
      <w:r w:rsidRPr="001C7D14">
        <w:rPr>
          <w:b/>
          <w:sz w:val="40"/>
          <w:szCs w:val="40"/>
        </w:rPr>
        <w:t>in undergraduate students</w:t>
      </w:r>
    </w:p>
    <w:p w14:paraId="3141795A" w14:textId="26030706" w:rsidR="001C7D14" w:rsidRDefault="001C7D14" w:rsidP="001C7D14">
      <w:pPr>
        <w:rPr>
          <w:b/>
        </w:rPr>
      </w:pPr>
      <w:r>
        <w:rPr>
          <w:b/>
        </w:rPr>
        <w:t>Author:</w:t>
      </w:r>
    </w:p>
    <w:p w14:paraId="5D314612" w14:textId="6231ED50" w:rsidR="001C7D14" w:rsidRDefault="001C7D14" w:rsidP="001C7D14">
      <w:pPr>
        <w:rPr>
          <w:b/>
        </w:rPr>
      </w:pPr>
      <w:r w:rsidRPr="001C7D14">
        <w:rPr>
          <w:b/>
        </w:rPr>
        <w:t>Robyn Mooney</w:t>
      </w:r>
    </w:p>
    <w:p w14:paraId="5F55E40C" w14:textId="17E2ACCB" w:rsidR="001C7D14" w:rsidRPr="001C7D14" w:rsidRDefault="001C7D14" w:rsidP="001C7D14">
      <w:r w:rsidRPr="001C7D14">
        <w:t>University of Derby, UK</w:t>
      </w:r>
    </w:p>
    <w:p w14:paraId="37D93B93" w14:textId="77777777" w:rsidR="001C7D14" w:rsidRDefault="001C7D14" w:rsidP="001C7D14"/>
    <w:p w14:paraId="6F1ED4CE" w14:textId="0923CBC9" w:rsidR="001C7D14" w:rsidRPr="001C7D14" w:rsidRDefault="001C7D14" w:rsidP="001C7D14">
      <w:pPr>
        <w:rPr>
          <w:b/>
        </w:rPr>
      </w:pPr>
      <w:r w:rsidRPr="001C7D14">
        <w:rPr>
          <w:b/>
        </w:rPr>
        <w:t>Corresponding author:</w:t>
      </w:r>
    </w:p>
    <w:p w14:paraId="3D4DA0A2" w14:textId="54708F2D" w:rsidR="001C7D14" w:rsidRDefault="001C7D14" w:rsidP="001C7D14">
      <w:r>
        <w:t>Robyn Mooney, University of Derby, Kedleston Rd, Derby DE22 1GB, UK. Email: robynkmooney@gmail.com</w:t>
      </w:r>
    </w:p>
    <w:p w14:paraId="306A0A6D" w14:textId="77777777" w:rsidR="001C7D14" w:rsidRDefault="001C7D14" w:rsidP="001C7D14"/>
    <w:p w14:paraId="7D318FE7" w14:textId="453D1042" w:rsidR="001C7D14" w:rsidRPr="001C7D14" w:rsidRDefault="001C7D14" w:rsidP="001C7D14">
      <w:pPr>
        <w:rPr>
          <w:b/>
        </w:rPr>
      </w:pPr>
      <w:r w:rsidRPr="001C7D14">
        <w:rPr>
          <w:b/>
        </w:rPr>
        <w:t>Abstract:</w:t>
      </w:r>
    </w:p>
    <w:p w14:paraId="0AB64439" w14:textId="0AC0B967" w:rsidR="001C7D14" w:rsidRPr="001C7D14" w:rsidRDefault="001C7D14" w:rsidP="001C7D14">
      <w:r w:rsidRPr="001C7D14">
        <w:t>Whilst student engagement with learning has been consistently linked to positive academic outcomes, there has been an increasing focus among higher education institutions on the importance of producing employable graduates. This study investigated whether individual differences in socially aversive personality traits predict differ</w:t>
      </w:r>
      <w:r w:rsidR="00900385">
        <w:t>ent types of student engagement,</w:t>
      </w:r>
      <w:r w:rsidRPr="001C7D14">
        <w:t xml:space="preserve"> students’</w:t>
      </w:r>
      <w:r w:rsidR="00900385">
        <w:t xml:space="preserve"> understanding of employability</w:t>
      </w:r>
      <w:r w:rsidRPr="001C7D14">
        <w:t xml:space="preserve"> or their attitudes towards this construct. Ninety-four undergraduate students completed the Short Dark Triad and questionnaires measuring engagement,</w:t>
      </w:r>
      <w:r w:rsidR="00900385">
        <w:t xml:space="preserve"> understanding of employability</w:t>
      </w:r>
      <w:r w:rsidRPr="001C7D14">
        <w:t xml:space="preserve"> and attitudes towards employability. Regression analyses revealed that narcissism positively predicts general and emotional engagement, whilst psychopathy negatively predicts general engagement. </w:t>
      </w:r>
      <w:r w:rsidRPr="001C7D14">
        <w:lastRenderedPageBreak/>
        <w:t>Narcissism positively predicts, and Machiavellianism negatively predicts, attitudes towards employability. Although no Dark Triad traits predicted understanding of</w:t>
      </w:r>
      <w:r w:rsidR="00900385">
        <w:t xml:space="preserve"> employability, students who were</w:t>
      </w:r>
      <w:r w:rsidRPr="001C7D14">
        <w:t xml:space="preserve"> highly engaged tended to better understand </w:t>
      </w:r>
      <w:r w:rsidR="00900385">
        <w:t xml:space="preserve">the concept. </w:t>
      </w:r>
      <w:r w:rsidRPr="001C7D14">
        <w:t xml:space="preserve">These findings can aid university educators by informing more individualised approaches to encouraging engagement and fostering employable skills and attributes in university students. </w:t>
      </w:r>
      <w:r w:rsidR="00900385">
        <w:t xml:space="preserve">The results are also discussed </w:t>
      </w:r>
      <w:r w:rsidRPr="001C7D14">
        <w:t>in the context of employability in higher education, with recommendations for improving student engagement and graduate employability outcomes.</w:t>
      </w:r>
    </w:p>
    <w:p w14:paraId="29C3B8F1" w14:textId="77777777" w:rsidR="001C7D14" w:rsidRPr="00900385" w:rsidRDefault="001C7D14" w:rsidP="001C7D14">
      <w:pPr>
        <w:rPr>
          <w:b/>
        </w:rPr>
      </w:pPr>
    </w:p>
    <w:p w14:paraId="59A5D5EE" w14:textId="77777777" w:rsidR="00900385" w:rsidRPr="00900385" w:rsidRDefault="001C7D14" w:rsidP="001C7D14">
      <w:pPr>
        <w:rPr>
          <w:b/>
        </w:rPr>
      </w:pPr>
      <w:r w:rsidRPr="00900385">
        <w:rPr>
          <w:b/>
        </w:rPr>
        <w:t>Keywords:</w:t>
      </w:r>
    </w:p>
    <w:p w14:paraId="6A519CC9" w14:textId="2F8B4B6F" w:rsidR="001C7D14" w:rsidRPr="001C7D14" w:rsidRDefault="00900385" w:rsidP="001C7D14">
      <w:r>
        <w:t>Employability, student engagement, personality</w:t>
      </w:r>
      <w:r w:rsidR="001C7D14" w:rsidRPr="001C7D14">
        <w:t>, Dark Triad</w:t>
      </w:r>
    </w:p>
    <w:p w14:paraId="0DD99E78" w14:textId="77777777" w:rsidR="00900385" w:rsidRDefault="00900385" w:rsidP="00F829E8">
      <w:pPr>
        <w:pStyle w:val="Newparagraph"/>
      </w:pPr>
    </w:p>
    <w:p w14:paraId="70A11D75" w14:textId="77777777" w:rsidR="00900385" w:rsidRDefault="00900385" w:rsidP="00F829E8">
      <w:pPr>
        <w:pStyle w:val="Newparagraph"/>
      </w:pPr>
    </w:p>
    <w:p w14:paraId="6FF416B9" w14:textId="77777777" w:rsidR="00900385" w:rsidRDefault="00900385" w:rsidP="00F829E8">
      <w:pPr>
        <w:pStyle w:val="Newparagraph"/>
      </w:pPr>
    </w:p>
    <w:p w14:paraId="08A09034" w14:textId="70563D46" w:rsidR="00942DEE" w:rsidRPr="001C7D14" w:rsidRDefault="00942DEE" w:rsidP="00900385">
      <w:pPr>
        <w:pStyle w:val="Newparagraph"/>
        <w:ind w:firstLine="0"/>
      </w:pPr>
      <w:r w:rsidRPr="001C7D14">
        <w:t>Learning begins with student engagement (Shulman, 2005</w:t>
      </w:r>
      <w:r w:rsidR="00AD4AA7" w:rsidRPr="001C7D14">
        <w:t>:</w:t>
      </w:r>
      <w:r w:rsidRPr="001C7D14">
        <w:t xml:space="preserve"> 38). Accordingly, recent endeavours to enhance teaching and learning in higher education (HE) have focused on the role of student engagement in producing positive academic outcomes (Qureshi et al., 2016). Meanwhile, researchers and policy-makers have placed increasing emphasis on the importance of employability in graduates (Davey </w:t>
      </w:r>
      <w:r w:rsidR="00AD4AA7" w:rsidRPr="001C7D14">
        <w:t>and</w:t>
      </w:r>
      <w:r w:rsidRPr="001C7D14">
        <w:t xml:space="preserve"> Tucker, </w:t>
      </w:r>
      <w:r w:rsidR="00172A5C">
        <w:t>2010), resulting in pressure on</w:t>
      </w:r>
      <w:r w:rsidRPr="001C7D14">
        <w:t xml:space="preserve"> higher education institutions (HEIs) to foster this essential attribute in their students. However, few studies have examined the role of individual differences in student engagement or how such differences affect students’ attitudes towards employability or how they understand the concept (Qureshi et al., 2016). Thus, the present study investigates whether individual differences in socially aversive personality traits predict differ</w:t>
      </w:r>
      <w:r w:rsidR="00172A5C">
        <w:t>ent types of student engagement,</w:t>
      </w:r>
      <w:r w:rsidRPr="001C7D14">
        <w:t xml:space="preserve"> students’</w:t>
      </w:r>
      <w:r w:rsidR="00172A5C">
        <w:t xml:space="preserve"> understanding of employability</w:t>
      </w:r>
      <w:r w:rsidRPr="001C7D14">
        <w:t xml:space="preserve"> or their attitudes towards this construct. </w:t>
      </w:r>
    </w:p>
    <w:p w14:paraId="4932F186" w14:textId="77777777" w:rsidR="00172A5C" w:rsidRDefault="00172A5C" w:rsidP="00172A5C">
      <w:pPr>
        <w:pStyle w:val="Heading2"/>
        <w:spacing w:before="0" w:after="0" w:line="480" w:lineRule="auto"/>
        <w:rPr>
          <w:rFonts w:cs="Times New Roman"/>
          <w:i w:val="0"/>
          <w:iCs w:val="0"/>
          <w:szCs w:val="24"/>
        </w:rPr>
      </w:pPr>
      <w:r>
        <w:rPr>
          <w:rFonts w:cs="Times New Roman"/>
          <w:i w:val="0"/>
          <w:iCs w:val="0"/>
          <w:szCs w:val="24"/>
        </w:rPr>
        <w:lastRenderedPageBreak/>
        <w:t>Student e</w:t>
      </w:r>
      <w:r w:rsidR="00942DEE" w:rsidRPr="001C7D14">
        <w:rPr>
          <w:rFonts w:cs="Times New Roman"/>
          <w:i w:val="0"/>
          <w:iCs w:val="0"/>
          <w:szCs w:val="24"/>
        </w:rPr>
        <w:t>ngagement</w:t>
      </w:r>
    </w:p>
    <w:p w14:paraId="3B236F05" w14:textId="62DEC6CE" w:rsidR="00942DEE" w:rsidRPr="00172A5C" w:rsidRDefault="00942DEE" w:rsidP="00172A5C">
      <w:pPr>
        <w:pStyle w:val="Heading2"/>
        <w:spacing w:before="0" w:after="0" w:line="480" w:lineRule="auto"/>
        <w:rPr>
          <w:rFonts w:cs="Times New Roman"/>
          <w:b w:val="0"/>
          <w:i w:val="0"/>
          <w:iCs w:val="0"/>
          <w:szCs w:val="24"/>
        </w:rPr>
      </w:pPr>
      <w:r w:rsidRPr="00172A5C">
        <w:rPr>
          <w:rFonts w:cs="Times New Roman"/>
          <w:b w:val="0"/>
          <w:i w:val="0"/>
        </w:rPr>
        <w:t>In recent years, UK HEIs have faced mounting governmental pressure from schemes such as the Teaching Excellence Framework (Gunn, 2018) and the UK Quality Code for Higher Education (Quality Assurance Agency for Higher Education, 2018) to improve student participation (Greenbank, 2006), retention (Gunn, 2018) and engagement in learning (Higher Education Academy, 2014). Engagement can be defined as ‘participation in educationally effective practices, both inside and outside the classroom, which leads to a range of measurable outcomes’ (</w:t>
      </w:r>
      <w:r w:rsidR="00BE23E6" w:rsidRPr="00BE23E6">
        <w:rPr>
          <w:rFonts w:cs="Times New Roman"/>
          <w:b w:val="0"/>
          <w:i w:val="0"/>
          <w:highlight w:val="yellow"/>
        </w:rPr>
        <w:t>Harper and Quaye, 2009, p. 2</w:t>
      </w:r>
      <w:r w:rsidR="00BE23E6">
        <w:rPr>
          <w:rFonts w:cs="Times New Roman"/>
          <w:b w:val="0"/>
          <w:i w:val="0"/>
          <w:highlight w:val="yellow"/>
        </w:rPr>
        <w:t>-3</w:t>
      </w:r>
      <w:commentRangeStart w:id="0"/>
      <w:commentRangeStart w:id="1"/>
      <w:commentRangeEnd w:id="1"/>
      <w:r w:rsidR="005B3DB5" w:rsidRPr="00BE23E6">
        <w:rPr>
          <w:rStyle w:val="CommentReference"/>
          <w:rFonts w:cs="Times New Roman"/>
          <w:b w:val="0"/>
          <w:bCs w:val="0"/>
          <w:i w:val="0"/>
          <w:iCs w:val="0"/>
          <w:highlight w:val="yellow"/>
        </w:rPr>
        <w:commentReference w:id="1"/>
      </w:r>
      <w:commentRangeEnd w:id="0"/>
      <w:r w:rsidR="00BE23E6" w:rsidRPr="00BE23E6">
        <w:rPr>
          <w:rStyle w:val="CommentReference"/>
          <w:rFonts w:cs="Times New Roman"/>
          <w:b w:val="0"/>
          <w:bCs w:val="0"/>
          <w:i w:val="0"/>
          <w:iCs w:val="0"/>
          <w:highlight w:val="yellow"/>
        </w:rPr>
        <w:commentReference w:id="0"/>
      </w:r>
      <w:r w:rsidRPr="00172A5C">
        <w:rPr>
          <w:rFonts w:cs="Times New Roman"/>
          <w:b w:val="0"/>
          <w:i w:val="0"/>
        </w:rPr>
        <w:t>). Indeed, studies have consistently demonstrated associations between student engagement and improv</w:t>
      </w:r>
      <w:r w:rsidR="005B3DB5">
        <w:rPr>
          <w:rFonts w:cs="Times New Roman"/>
          <w:b w:val="0"/>
          <w:i w:val="0"/>
        </w:rPr>
        <w:t>ements in cognitive development, psychosocial development, moral and ethical development, critical thinking skills, self-esteem,</w:t>
      </w:r>
      <w:r w:rsidRPr="00172A5C">
        <w:rPr>
          <w:rFonts w:cs="Times New Roman"/>
          <w:b w:val="0"/>
          <w:i w:val="0"/>
        </w:rPr>
        <w:t xml:space="preserve"> student satisfaction</w:t>
      </w:r>
      <w:r w:rsidR="005B3DB5">
        <w:rPr>
          <w:rFonts w:cs="Times New Roman"/>
          <w:b w:val="0"/>
          <w:i w:val="0"/>
        </w:rPr>
        <w:t>, persistence,</w:t>
      </w:r>
      <w:r w:rsidRPr="00172A5C">
        <w:rPr>
          <w:rFonts w:cs="Times New Roman"/>
          <w:b w:val="0"/>
          <w:i w:val="0"/>
        </w:rPr>
        <w:t xml:space="preserve"> practical competenc</w:t>
      </w:r>
      <w:r w:rsidR="005B3DB5">
        <w:rPr>
          <w:rFonts w:cs="Times New Roman"/>
          <w:b w:val="0"/>
          <w:i w:val="0"/>
        </w:rPr>
        <w:t>e</w:t>
      </w:r>
      <w:r w:rsidRPr="00172A5C">
        <w:rPr>
          <w:rFonts w:cs="Times New Roman"/>
          <w:b w:val="0"/>
          <w:i w:val="0"/>
        </w:rPr>
        <w:t xml:space="preserve"> and grade point average (see </w:t>
      </w:r>
      <w:proofErr w:type="spellStart"/>
      <w:r w:rsidRPr="00172A5C">
        <w:rPr>
          <w:rFonts w:cs="Times New Roman"/>
          <w:b w:val="0"/>
          <w:i w:val="0"/>
        </w:rPr>
        <w:t>Trowler</w:t>
      </w:r>
      <w:proofErr w:type="spellEnd"/>
      <w:r w:rsidRPr="00172A5C">
        <w:rPr>
          <w:rFonts w:cs="Times New Roman"/>
          <w:b w:val="0"/>
          <w:i w:val="0"/>
        </w:rPr>
        <w:t xml:space="preserve"> et al., 2010</w:t>
      </w:r>
      <w:r w:rsidR="005B3DB5">
        <w:rPr>
          <w:rFonts w:cs="Times New Roman"/>
          <w:b w:val="0"/>
          <w:i w:val="0"/>
        </w:rPr>
        <w:t>,</w:t>
      </w:r>
      <w:r w:rsidRPr="00172A5C">
        <w:rPr>
          <w:rFonts w:cs="Times New Roman"/>
          <w:b w:val="0"/>
          <w:i w:val="0"/>
        </w:rPr>
        <w:t xml:space="preserve"> for a review).</w:t>
      </w:r>
    </w:p>
    <w:p w14:paraId="5966F738" w14:textId="54F03C40" w:rsidR="00942DEE" w:rsidRPr="001C7D14" w:rsidRDefault="00942DEE" w:rsidP="00F829E8">
      <w:pPr>
        <w:pStyle w:val="Newparagraph"/>
      </w:pPr>
      <w:r w:rsidRPr="001C7D14">
        <w:t xml:space="preserve">Despite its prevalence in HE research and policy, the student engagement literature is characterised by a lack of consensus on how to define the term </w:t>
      </w:r>
      <w:r w:rsidRPr="005B3DB5">
        <w:t>(</w:t>
      </w:r>
      <w:r w:rsidR="00603B61" w:rsidRPr="005B3DB5">
        <w:t xml:space="preserve">Gibbs, 2014; </w:t>
      </w:r>
      <w:proofErr w:type="spellStart"/>
      <w:r w:rsidR="00603B61" w:rsidRPr="005B3DB5">
        <w:t>Groccia</w:t>
      </w:r>
      <w:proofErr w:type="spellEnd"/>
      <w:r w:rsidR="00603B61" w:rsidRPr="005B3DB5">
        <w:t xml:space="preserve">, 2018; </w:t>
      </w:r>
      <w:proofErr w:type="spellStart"/>
      <w:r w:rsidRPr="005B3DB5">
        <w:t>Trowler</w:t>
      </w:r>
      <w:proofErr w:type="spellEnd"/>
      <w:r w:rsidRPr="005B3DB5">
        <w:t xml:space="preserve"> et al., 2010). It has </w:t>
      </w:r>
      <w:r w:rsidRPr="001C7D14">
        <w:t>further been proposed that, rather than representing a unitary construct, student engagement involves several different dimensions (</w:t>
      </w:r>
      <w:proofErr w:type="spellStart"/>
      <w:r w:rsidRPr="001C7D14">
        <w:t>Trowler</w:t>
      </w:r>
      <w:proofErr w:type="spellEnd"/>
      <w:r w:rsidRPr="001C7D14">
        <w:t xml:space="preserve"> et al., 2010</w:t>
      </w:r>
      <w:r w:rsidR="00B96F90" w:rsidRPr="001C7D14">
        <w:t xml:space="preserve">; </w:t>
      </w:r>
      <w:proofErr w:type="spellStart"/>
      <w:r w:rsidR="00B96F90" w:rsidRPr="005B3DB5">
        <w:t>Trowler</w:t>
      </w:r>
      <w:proofErr w:type="spellEnd"/>
      <w:r w:rsidR="00B96F90" w:rsidRPr="005B3DB5">
        <w:t>, 2015</w:t>
      </w:r>
      <w:r w:rsidRPr="005B3DB5">
        <w:t>)</w:t>
      </w:r>
      <w:r w:rsidRPr="001C7D14">
        <w:t>. According to Fredricks</w:t>
      </w:r>
      <w:r w:rsidR="009E353B" w:rsidRPr="001C7D14">
        <w:t xml:space="preserve"> et al.</w:t>
      </w:r>
      <w:r w:rsidRPr="001C7D14">
        <w:t xml:space="preserve"> (2004) and </w:t>
      </w:r>
      <w:proofErr w:type="spellStart"/>
      <w:r w:rsidRPr="001C7D14">
        <w:t>Groccia</w:t>
      </w:r>
      <w:proofErr w:type="spellEnd"/>
      <w:r w:rsidRPr="001C7D14">
        <w:t xml:space="preserve"> (2018), successful learning requires the student to engage on behavioural, affective and cognitive levels. Behavioural engagement involves participation, effort and persistence from the student (</w:t>
      </w:r>
      <w:proofErr w:type="spellStart"/>
      <w:r w:rsidRPr="001C7D14">
        <w:t>Groccia</w:t>
      </w:r>
      <w:proofErr w:type="spellEnd"/>
      <w:r w:rsidRPr="001C7D14">
        <w:t>, 2018), who complies with norms such as lecture attendance and assignment completion (Fredricks et al., 2004) and does not display disruptive or negative behaviour in the classroom. Affective or emotional engagement, on the other hand, refers to active interest in learning that leads to high levels of motivation, enjoyment and commitment to the learning process. Lastly, cognitive engagement refers to mental effort in learning activities (</w:t>
      </w:r>
      <w:proofErr w:type="spellStart"/>
      <w:r w:rsidRPr="001C7D14">
        <w:t>Groccia</w:t>
      </w:r>
      <w:proofErr w:type="spellEnd"/>
      <w:r w:rsidRPr="001C7D14">
        <w:t xml:space="preserve">, 2018), and is said </w:t>
      </w:r>
      <w:r w:rsidRPr="001C7D14">
        <w:lastRenderedPageBreak/>
        <w:t>to be present when a student is invested in their learning and enjoys being intellectually challenged through their coursework.</w:t>
      </w:r>
    </w:p>
    <w:p w14:paraId="5E270877" w14:textId="4D96EB56" w:rsidR="00942DEE" w:rsidRPr="001C7D14" w:rsidRDefault="00942DEE" w:rsidP="00F829E8">
      <w:pPr>
        <w:pStyle w:val="Newparagraph"/>
      </w:pPr>
      <w:r w:rsidRPr="001C7D14">
        <w:t>Given the sheer scope of the construct</w:t>
      </w:r>
      <w:r w:rsidR="0036529F">
        <w:t xml:space="preserve">, there has been a multitude of strategies </w:t>
      </w:r>
      <w:r w:rsidRPr="001C7D14">
        <w:t>proposed for how educators, HEIs and policymakers can enhance levels of student engagement. The concept of student engagement is rooted in the constructivist perspective</w:t>
      </w:r>
      <w:r w:rsidR="0036529F">
        <w:t xml:space="preserve"> that learning is a process which</w:t>
      </w:r>
      <w:r w:rsidRPr="001C7D14">
        <w:t xml:space="preserve"> occurs through the student’s active participation in meaningful educational activities (Coates, 2005; Krause </w:t>
      </w:r>
      <w:r w:rsidR="00AD4AA7" w:rsidRPr="001C7D14">
        <w:t>and</w:t>
      </w:r>
      <w:r w:rsidRPr="001C7D14">
        <w:t xml:space="preserve"> Coates, 2008). Thus, in order for this kind of learning to occur, motivation is crucial (this notion is in line with the proposed emotional dimension of engagement). Although there is no one-size-fits-all approach when it comes to what motivates students to learn, a</w:t>
      </w:r>
      <w:r w:rsidR="0036529F">
        <w:t xml:space="preserve">ccording </w:t>
      </w:r>
      <w:proofErr w:type="spellStart"/>
      <w:r w:rsidR="0036529F">
        <w:t>Zepke</w:t>
      </w:r>
      <w:proofErr w:type="spellEnd"/>
      <w:r w:rsidR="0036529F">
        <w:t xml:space="preserve"> and Leach (2010)</w:t>
      </w:r>
      <w:r w:rsidRPr="001C7D14">
        <w:t xml:space="preserve"> self-belief in one’s abilities is essential. Students must also invest time and effort, interacting with their coursework on all levels of engagement.</w:t>
      </w:r>
    </w:p>
    <w:p w14:paraId="1A7CB75E" w14:textId="750DA457" w:rsidR="00942DEE" w:rsidRPr="001C7D14" w:rsidRDefault="00942DEE" w:rsidP="00F829E8">
      <w:pPr>
        <w:pStyle w:val="Newparagraph"/>
      </w:pPr>
      <w:r w:rsidRPr="001C7D14">
        <w:t>At the staff level, strategies for improving student engagement include creating a classroom environment that promotes active, deep learning (</w:t>
      </w:r>
      <w:proofErr w:type="spellStart"/>
      <w:r w:rsidRPr="001C7D14">
        <w:t>Trowler</w:t>
      </w:r>
      <w:proofErr w:type="spellEnd"/>
      <w:r w:rsidRPr="001C7D14">
        <w:t xml:space="preserve"> et al., 2010) and where students are encouraged to work both with others and autonomously (</w:t>
      </w:r>
      <w:proofErr w:type="spellStart"/>
      <w:r w:rsidRPr="001C7D14">
        <w:t>Zepke</w:t>
      </w:r>
      <w:proofErr w:type="spellEnd"/>
      <w:r w:rsidRPr="001C7D14">
        <w:t xml:space="preserve"> </w:t>
      </w:r>
      <w:r w:rsidR="00AD4AA7" w:rsidRPr="001C7D14">
        <w:t>and</w:t>
      </w:r>
      <w:r w:rsidRPr="001C7D14">
        <w:t xml:space="preserve"> Leach, 2010). Educators should aim to foster strong learning relationships, encourage collaboration, incorporate diverse perspectives and create learning experiences that challenge and enrich students’ abilities (</w:t>
      </w:r>
      <w:proofErr w:type="spellStart"/>
      <w:r w:rsidRPr="001C7D14">
        <w:t>Zepke</w:t>
      </w:r>
      <w:proofErr w:type="spellEnd"/>
      <w:r w:rsidRPr="001C7D14">
        <w:t xml:space="preserve"> </w:t>
      </w:r>
      <w:r w:rsidR="00AD4AA7" w:rsidRPr="001C7D14">
        <w:t>and</w:t>
      </w:r>
      <w:r w:rsidRPr="001C7D14">
        <w:t xml:space="preserve"> Leach, 2010). Meanwhile, HEIs should make efforts to listen and respond to the student voice and a</w:t>
      </w:r>
      <w:r w:rsidR="00B5364D">
        <w:t>dapt to their students’ diverse and</w:t>
      </w:r>
      <w:r w:rsidRPr="001C7D14">
        <w:t xml:space="preserve"> changing needs (</w:t>
      </w:r>
      <w:proofErr w:type="spellStart"/>
      <w:r w:rsidRPr="001C7D14">
        <w:t>Trowler</w:t>
      </w:r>
      <w:proofErr w:type="spellEnd"/>
      <w:r w:rsidRPr="001C7D14">
        <w:t xml:space="preserve"> et al., 2010). Furthermore, they must commit to institutional policies that a) value their teaching staff; b) facilitate students’ growth as active citizens with social and cultural capital (</w:t>
      </w:r>
      <w:proofErr w:type="spellStart"/>
      <w:r w:rsidRPr="001C7D14">
        <w:t>Zepke</w:t>
      </w:r>
      <w:proofErr w:type="spellEnd"/>
      <w:r w:rsidRPr="001C7D14">
        <w:t xml:space="preserve"> </w:t>
      </w:r>
      <w:r w:rsidR="00AD4AA7" w:rsidRPr="001C7D14">
        <w:t>and</w:t>
      </w:r>
      <w:r w:rsidRPr="001C7D14">
        <w:t xml:space="preserve"> Leach, 2010) and c) are welcoming to students from diverse backgrounds. At the same time, they must invest appropriately in a variety of support services to ensure</w:t>
      </w:r>
      <w:r w:rsidR="00B5364D">
        <w:t xml:space="preserve"> that</w:t>
      </w:r>
      <w:r w:rsidRPr="001C7D14">
        <w:t xml:space="preserve"> no student experiences barriers to engagement. </w:t>
      </w:r>
    </w:p>
    <w:p w14:paraId="3D934779" w14:textId="2145BDE6" w:rsidR="00942DEE" w:rsidRPr="001C7D14" w:rsidRDefault="00942DEE" w:rsidP="00F829E8">
      <w:pPr>
        <w:pStyle w:val="Newparagraph"/>
      </w:pPr>
      <w:r w:rsidRPr="001C7D14">
        <w:lastRenderedPageBreak/>
        <w:t>In additio</w:t>
      </w:r>
      <w:r w:rsidR="00B5364D">
        <w:t>n to the positive outcomes to which engagement can lead</w:t>
      </w:r>
      <w:r w:rsidRPr="001C7D14">
        <w:t xml:space="preserve">, personal attributes such as IQ (Furnham et al., 2009) and </w:t>
      </w:r>
      <w:r w:rsidR="00111767" w:rsidRPr="00B5364D">
        <w:t>thinking</w:t>
      </w:r>
      <w:r w:rsidRPr="00B5364D">
        <w:t xml:space="preserve"> style </w:t>
      </w:r>
      <w:r w:rsidRPr="001C7D14">
        <w:t xml:space="preserve">(Zhang </w:t>
      </w:r>
      <w:r w:rsidR="00AD4AA7" w:rsidRPr="001C7D14">
        <w:t>and</w:t>
      </w:r>
      <w:r w:rsidRPr="001C7D14">
        <w:t xml:space="preserve"> Huang, 2001) have been associated with this construct. It is therefore important to consider the role of individual differences when attempting to improve a student’s level of engagement (Qureshi et al., 2016), as the effectiveness of engagement strategies or activities may differ across students (</w:t>
      </w:r>
      <w:proofErr w:type="spellStart"/>
      <w:r w:rsidRPr="001C7D14">
        <w:t>Kuh</w:t>
      </w:r>
      <w:proofErr w:type="spellEnd"/>
      <w:r w:rsidRPr="001C7D14">
        <w:t xml:space="preserve"> et al., 2008). The present study therefore investigates the influence </w:t>
      </w:r>
      <w:r w:rsidR="00B5364D">
        <w:t xml:space="preserve">that </w:t>
      </w:r>
      <w:r w:rsidRPr="001C7D14">
        <w:t>personality traits may have on students’ levels of general, behavioural, cognitive and emotional engagement.</w:t>
      </w:r>
    </w:p>
    <w:p w14:paraId="0B92E904" w14:textId="77777777" w:rsidR="00B5364D" w:rsidRDefault="00B5364D" w:rsidP="00F829E8">
      <w:pPr>
        <w:pStyle w:val="Heading2"/>
        <w:spacing w:before="0" w:after="0" w:line="480" w:lineRule="auto"/>
        <w:rPr>
          <w:rFonts w:cs="Times New Roman"/>
          <w:i w:val="0"/>
          <w:iCs w:val="0"/>
          <w:szCs w:val="24"/>
        </w:rPr>
      </w:pPr>
    </w:p>
    <w:p w14:paraId="5629BAE2" w14:textId="77777777" w:rsidR="00942DEE" w:rsidRPr="001C7D14" w:rsidRDefault="00942DEE" w:rsidP="00F829E8">
      <w:pPr>
        <w:pStyle w:val="Heading2"/>
        <w:spacing w:before="0" w:after="0" w:line="480" w:lineRule="auto"/>
        <w:rPr>
          <w:rFonts w:cs="Times New Roman"/>
          <w:i w:val="0"/>
          <w:iCs w:val="0"/>
          <w:szCs w:val="24"/>
        </w:rPr>
      </w:pPr>
      <w:r w:rsidRPr="001C7D14">
        <w:rPr>
          <w:rFonts w:cs="Times New Roman"/>
          <w:i w:val="0"/>
          <w:iCs w:val="0"/>
          <w:szCs w:val="24"/>
        </w:rPr>
        <w:t>Employability</w:t>
      </w:r>
    </w:p>
    <w:p w14:paraId="19F34659" w14:textId="3DEDD800" w:rsidR="00942DEE" w:rsidRPr="001C7D14" w:rsidRDefault="00942DEE" w:rsidP="00B5364D">
      <w:pPr>
        <w:pStyle w:val="Paragraph"/>
        <w:spacing w:before="0"/>
      </w:pPr>
      <w:r w:rsidRPr="001C7D14">
        <w:t xml:space="preserve">Over time, there has been a focused effort among governments and HEIs to improve participation rates in HE (Davey </w:t>
      </w:r>
      <w:r w:rsidR="00AD4AA7" w:rsidRPr="001C7D14">
        <w:t>and</w:t>
      </w:r>
      <w:r w:rsidRPr="001C7D14">
        <w:t xml:space="preserve"> Tucker, 2010). Consequently, participation has proliferated in recent decades, with enrolment more than doubling </w:t>
      </w:r>
      <w:r w:rsidR="000A2D4A" w:rsidRPr="000A2D4A">
        <w:rPr>
          <w:highlight w:val="yellow"/>
        </w:rPr>
        <w:t>in the UK</w:t>
      </w:r>
      <w:r w:rsidR="000A2D4A">
        <w:t xml:space="preserve"> </w:t>
      </w:r>
      <w:r w:rsidRPr="001C7D14">
        <w:t xml:space="preserve">between 1991 and 2013 (Tymon, 2013). </w:t>
      </w:r>
      <w:r w:rsidR="008F6F8C" w:rsidRPr="00B5364D">
        <w:t>Accordingly, t</w:t>
      </w:r>
      <w:r w:rsidR="00184F38" w:rsidRPr="00B5364D">
        <w:t>he Department for Education (2021) estimates</w:t>
      </w:r>
      <w:r w:rsidRPr="00B5364D">
        <w:t xml:space="preserve"> that </w:t>
      </w:r>
      <w:r w:rsidR="00184F38" w:rsidRPr="00B5364D">
        <w:t>53.3</w:t>
      </w:r>
      <w:r w:rsidRPr="00B5364D">
        <w:t xml:space="preserve">% of young people in the UK will </w:t>
      </w:r>
      <w:r w:rsidR="00B5364D">
        <w:t xml:space="preserve">have </w:t>
      </w:r>
      <w:r w:rsidRPr="00B5364D">
        <w:t>participate</w:t>
      </w:r>
      <w:r w:rsidR="00B5364D">
        <w:t>d</w:t>
      </w:r>
      <w:r w:rsidRPr="00B5364D">
        <w:t xml:space="preserve"> in higher education by the age of 30. </w:t>
      </w:r>
      <w:r w:rsidRPr="001C7D14">
        <w:t>However, the purpose of this push for widened participation has shifted from a recognition that education</w:t>
      </w:r>
      <w:r w:rsidR="00B5364D">
        <w:t xml:space="preserve"> is valuable in and of itself</w:t>
      </w:r>
      <w:r w:rsidRPr="001C7D14">
        <w:t xml:space="preserve"> to regarding higher education as a means through which to increase the social and economic benefits that derive from an educated populace (Barnett, 2009; Glover et al., 2002). </w:t>
      </w:r>
      <w:r w:rsidR="000D5E10" w:rsidRPr="001C7D14">
        <w:t>Hence</w:t>
      </w:r>
      <w:r w:rsidRPr="001C7D14">
        <w:t>, the expectations of students, HEIs, employers and governments have shifted in line with a changing economic and social context, resulting in mounting emphasis on the notion of employability as an essential graduate attribute</w:t>
      </w:r>
      <w:r w:rsidR="00DB128B" w:rsidRPr="001C7D14">
        <w:t xml:space="preserve"> </w:t>
      </w:r>
      <w:r w:rsidR="00DB128B" w:rsidRPr="00B5364D">
        <w:t>(</w:t>
      </w:r>
      <w:proofErr w:type="spellStart"/>
      <w:r w:rsidR="00DB128B" w:rsidRPr="00B5364D">
        <w:t>Artess</w:t>
      </w:r>
      <w:proofErr w:type="spellEnd"/>
      <w:r w:rsidR="00DB128B" w:rsidRPr="00B5364D">
        <w:t xml:space="preserve"> et al., 2017; </w:t>
      </w:r>
      <w:proofErr w:type="spellStart"/>
      <w:r w:rsidR="00DB128B" w:rsidRPr="00B5364D">
        <w:t>Trowler</w:t>
      </w:r>
      <w:proofErr w:type="spellEnd"/>
      <w:r w:rsidR="00DB128B" w:rsidRPr="00B5364D">
        <w:t xml:space="preserve"> et al., 2019)</w:t>
      </w:r>
      <w:r w:rsidRPr="00B5364D">
        <w:t>.</w:t>
      </w:r>
      <w:r w:rsidR="009E353B" w:rsidRPr="00B5364D">
        <w:t xml:space="preserve"> </w:t>
      </w:r>
    </w:p>
    <w:p w14:paraId="24DE7A6F" w14:textId="6AE8A69D" w:rsidR="00942DEE" w:rsidRPr="001C7D14" w:rsidRDefault="00942DEE" w:rsidP="00F829E8">
      <w:pPr>
        <w:pStyle w:val="Newparagraph"/>
      </w:pPr>
      <w:r w:rsidRPr="001C7D14">
        <w:t xml:space="preserve">In the 1990s, swift changes in the economy and labour market led to a recognition that HEIs needed to adapt (Dearing, 1997) their curricula to ensure </w:t>
      </w:r>
      <w:r w:rsidR="00C4317F">
        <w:t>that graduates were</w:t>
      </w:r>
      <w:r w:rsidRPr="001C7D14">
        <w:t xml:space="preserve"> equipped with skills that </w:t>
      </w:r>
      <w:r w:rsidR="00C4317F">
        <w:t xml:space="preserve">would </w:t>
      </w:r>
      <w:r w:rsidRPr="001C7D14">
        <w:t xml:space="preserve">lead to gainful employment (Davey </w:t>
      </w:r>
      <w:r w:rsidR="00AD4AA7" w:rsidRPr="001C7D14">
        <w:t>and</w:t>
      </w:r>
      <w:r w:rsidRPr="001C7D14">
        <w:t xml:space="preserve"> Tucker, 2010). </w:t>
      </w:r>
      <w:r w:rsidRPr="001C7D14">
        <w:lastRenderedPageBreak/>
        <w:t>Consequently, employability concerns are central to HEIs’ current remit in the UK. Employability has become one of the core metrics on which higher education outcomes are measured (Department for Education, 2020a; 2020b) and the quality of institutions (</w:t>
      </w:r>
      <w:proofErr w:type="spellStart"/>
      <w:r w:rsidRPr="001C7D14">
        <w:t>Forstenzer</w:t>
      </w:r>
      <w:proofErr w:type="spellEnd"/>
      <w:r w:rsidRPr="001C7D14">
        <w:t>, 2018) are judged. As a result, 10 years after graduation, approximately 82% of UK undergraduates (Department for Education, 2020a) and 76-81% of postgraduates (Department for Education, 2020b) have engaged in further study, sustained employment or both. However, the recent sharp economic downturn that has occurred as a consequence of the COVID-19 pandemic suggests that the labour market will become even more competitive for new gradu</w:t>
      </w:r>
      <w:r w:rsidR="00C4317F">
        <w:t>ates who are entering it</w:t>
      </w:r>
      <w:r w:rsidRPr="001C7D14">
        <w:t xml:space="preserve"> in the midst of a historic recession. </w:t>
      </w:r>
    </w:p>
    <w:p w14:paraId="060BAD59" w14:textId="1B4DF17A" w:rsidR="00942DEE" w:rsidRPr="001C7D14" w:rsidRDefault="00942DEE" w:rsidP="00F829E8">
      <w:pPr>
        <w:pStyle w:val="Newparagraph"/>
      </w:pPr>
      <w:r w:rsidRPr="001C7D14">
        <w:t>Like engagement, employability has been defined in a multitude of ways, as it can be interpreted differently by students, HEIs, employers and policymakers. Employability has been described as</w:t>
      </w:r>
      <w:r w:rsidR="00C35765">
        <w:t xml:space="preserve"> an</w:t>
      </w:r>
      <w:r w:rsidRPr="001C7D14">
        <w:t xml:space="preserve"> ‘enhanced capacity to secure employment’ (Glover et al., 2002, p. 294) and as ‘a set of achieveme</w:t>
      </w:r>
      <w:r w:rsidR="00C35765">
        <w:t xml:space="preserve">nts – </w:t>
      </w:r>
      <w:r w:rsidRPr="001C7D14">
        <w:t>skills, underst</w:t>
      </w:r>
      <w:r w:rsidR="00C35765">
        <w:t xml:space="preserve">andings and personal attributes – </w:t>
      </w:r>
      <w:r w:rsidRPr="001C7D14">
        <w:t xml:space="preserve">that make graduates more likely to gain employment and be successful in their chosen occupations, which benefits themselves, the workforce, the community and the economy’ (Yorke </w:t>
      </w:r>
      <w:r w:rsidR="00AD4AA7" w:rsidRPr="001C7D14">
        <w:t>and</w:t>
      </w:r>
      <w:r w:rsidRPr="001C7D14">
        <w:t xml:space="preserve"> Knight, 2004, p. 8). The latter definition is two-pronged: it incorporates both employment and the ability to acquire it. In this regard, Yorke and Knight (2004) highlight the interests of both the student (skills, ability to achieve personal success) and the government and wider society (a populace who are in gainful employment). Employability can therefore be conceptualised as encompassing both macro-level and micro-level outcomes. </w:t>
      </w:r>
    </w:p>
    <w:p w14:paraId="58AE761A" w14:textId="55762EB6" w:rsidR="000D6409" w:rsidRPr="00C35765" w:rsidRDefault="00942DEE" w:rsidP="00F829E8">
      <w:pPr>
        <w:pStyle w:val="Paragraph"/>
        <w:spacing w:before="0"/>
        <w:ind w:firstLine="720"/>
      </w:pPr>
      <w:r w:rsidRPr="001C7D14">
        <w:t xml:space="preserve">HEIs have become increasingly aware of their responsibility to produce employable graduates (Davey </w:t>
      </w:r>
      <w:r w:rsidR="00AD4AA7" w:rsidRPr="001C7D14">
        <w:t>and</w:t>
      </w:r>
      <w:r w:rsidRPr="001C7D14">
        <w:t xml:space="preserve"> Tucker, 2010). Indeed, </w:t>
      </w:r>
      <w:r w:rsidR="00C35765">
        <w:t xml:space="preserve">the </w:t>
      </w:r>
      <w:r w:rsidRPr="001C7D14">
        <w:t>employability of a cohort is said to be one of the major indicators of an HEI’s quality (Senior et al., 2014; Tymon, 2013), and it is believed that employability is largely determined by education</w:t>
      </w:r>
      <w:r w:rsidR="000D5E10" w:rsidRPr="001C7D14">
        <w:t xml:space="preserve"> (Donald et al., 2018)</w:t>
      </w:r>
      <w:r w:rsidRPr="001C7D14">
        <w:t xml:space="preserve">. </w:t>
      </w:r>
      <w:r w:rsidR="000D6409" w:rsidRPr="00C35765">
        <w:t xml:space="preserve">According to </w:t>
      </w:r>
      <w:proofErr w:type="spellStart"/>
      <w:r w:rsidR="000D6409" w:rsidRPr="00C35765">
        <w:t>Artess</w:t>
      </w:r>
      <w:proofErr w:type="spellEnd"/>
      <w:r w:rsidR="000D6409" w:rsidRPr="00C35765">
        <w:t xml:space="preserve"> et al. (2017), a focus on employability may even be conceptualised as a </w:t>
      </w:r>
      <w:r w:rsidR="000D6409" w:rsidRPr="00C35765">
        <w:lastRenderedPageBreak/>
        <w:t xml:space="preserve">moral duty for HEIs, given that students invest in a university degree with the expectation that it will result in better career opportunities and their overall success. </w:t>
      </w:r>
      <w:r w:rsidRPr="00C35765">
        <w:t>Thus, in addit</w:t>
      </w:r>
      <w:r w:rsidRPr="001C7D14">
        <w:t xml:space="preserve">ion to discipline-specific knowledge (Glover et al., 2002; Harris-Reeves </w:t>
      </w:r>
      <w:r w:rsidR="00AD4AA7" w:rsidRPr="001C7D14">
        <w:t>and</w:t>
      </w:r>
      <w:r w:rsidRPr="001C7D14">
        <w:t xml:space="preserve"> Mahoney, 2017), HEIs now prioritise cultivating key transferable skills in their students and developing work-based experience opportunities for them to engage in (Senior et al., 2014; </w:t>
      </w:r>
      <w:proofErr w:type="spellStart"/>
      <w:r w:rsidRPr="001C7D14">
        <w:t>Zajacova</w:t>
      </w:r>
      <w:proofErr w:type="spellEnd"/>
      <w:r w:rsidRPr="001C7D14">
        <w:t xml:space="preserve"> et al., 2019). Accordingly, employability is embedded i</w:t>
      </w:r>
      <w:r w:rsidR="00C35765">
        <w:t>n their approaches to curricula</w:t>
      </w:r>
      <w:r w:rsidRPr="001C7D14">
        <w:t>, teaching and assessment.</w:t>
      </w:r>
      <w:r w:rsidR="000D6409" w:rsidRPr="001C7D14">
        <w:t xml:space="preserve"> </w:t>
      </w:r>
      <w:r w:rsidR="000D6409" w:rsidRPr="00C35765">
        <w:t xml:space="preserve">Moreover, there is recognition that stakeholders in every corner of the HEI system have roles to play in the integration of employability in the university structure and ethos (Dalrymple et al., 2021). In this way, employability is emphasised as a critical aspect of HEI culture, </w:t>
      </w:r>
      <w:r w:rsidR="00C35765">
        <w:t>with university staff, students</w:t>
      </w:r>
      <w:r w:rsidR="000D6409" w:rsidRPr="00C35765">
        <w:t xml:space="preserve"> and employers all </w:t>
      </w:r>
      <w:r w:rsidR="006E63A2" w:rsidRPr="00C35765">
        <w:t>contributing to</w:t>
      </w:r>
      <w:r w:rsidR="000D6409" w:rsidRPr="00C35765">
        <w:t xml:space="preserve"> this process. </w:t>
      </w:r>
    </w:p>
    <w:p w14:paraId="432B41BD" w14:textId="79441CBF" w:rsidR="00942DEE" w:rsidRPr="001C7D14" w:rsidRDefault="00942DEE" w:rsidP="00F829E8">
      <w:pPr>
        <w:pStyle w:val="Newparagraph"/>
      </w:pPr>
      <w:r w:rsidRPr="001C7D14">
        <w:t>As participation in higher education has increased, so too have employers’ expectations of graduates (</w:t>
      </w:r>
      <w:proofErr w:type="spellStart"/>
      <w:r w:rsidRPr="001C7D14">
        <w:t>Zajacova</w:t>
      </w:r>
      <w:proofErr w:type="spellEnd"/>
      <w:r w:rsidRPr="001C7D14">
        <w:t xml:space="preserve"> et al., 2019). Employers (Tymon, 2013) and students (Donald et al., 2018) recognise that, for a graduate seeking employment, a degree no longer serves to differentiate or elevate one’s application. Graduates are aware of the competitiveness of the labour market (Donald et al., 2018</w:t>
      </w:r>
      <w:r w:rsidR="006E63A2" w:rsidRPr="001C7D14">
        <w:t xml:space="preserve">; </w:t>
      </w:r>
      <w:proofErr w:type="spellStart"/>
      <w:r w:rsidR="006E63A2" w:rsidRPr="00AF2EF7">
        <w:t>Fotiadou</w:t>
      </w:r>
      <w:proofErr w:type="spellEnd"/>
      <w:r w:rsidR="006E63A2" w:rsidRPr="00AF2EF7">
        <w:t>, 2020</w:t>
      </w:r>
      <w:r w:rsidRPr="00AF2EF7">
        <w:t>)</w:t>
      </w:r>
      <w:r w:rsidRPr="001C7D14">
        <w:t xml:space="preserve"> and that personal attributes and skills have become crucial to their career success (Tymon, 2013). However, students also</w:t>
      </w:r>
      <w:r w:rsidR="006E63A2" w:rsidRPr="001C7D14">
        <w:t xml:space="preserve"> tend to</w:t>
      </w:r>
      <w:r w:rsidRPr="001C7D14">
        <w:t xml:space="preserve"> believe that their degree classification will automatically lead to employment in that field; as a result, they often fail to engage in extra-curricular activities that are designed to enhance their employability (Greenbank, 2015). Consequently, research consistently demonstrates that graduates are lacking the skills employers require (</w:t>
      </w:r>
      <w:proofErr w:type="spellStart"/>
      <w:r w:rsidR="006E63A2" w:rsidRPr="00AF2EF7">
        <w:t>Fotiadou</w:t>
      </w:r>
      <w:proofErr w:type="spellEnd"/>
      <w:r w:rsidR="006E63A2" w:rsidRPr="00AF2EF7">
        <w:t>, 2020</w:t>
      </w:r>
      <w:r w:rsidR="006E63A2" w:rsidRPr="001C7D14">
        <w:t xml:space="preserve">; </w:t>
      </w:r>
      <w:r w:rsidRPr="001C7D14">
        <w:t xml:space="preserve">Succi </w:t>
      </w:r>
      <w:r w:rsidR="00AD4AA7" w:rsidRPr="001C7D14">
        <w:t>and</w:t>
      </w:r>
      <w:r w:rsidRPr="001C7D14">
        <w:t xml:space="preserve"> </w:t>
      </w:r>
      <w:proofErr w:type="spellStart"/>
      <w:r w:rsidRPr="001C7D14">
        <w:t>Canovi</w:t>
      </w:r>
      <w:proofErr w:type="spellEnd"/>
      <w:r w:rsidRPr="001C7D14">
        <w:t>, 2019). For example, 54% of UK employers report encountering an abundance of highly qualified graduate applicants, but their lack of soft/transferable skills result</w:t>
      </w:r>
      <w:r w:rsidR="00AF2EF7">
        <w:t>s</w:t>
      </w:r>
      <w:r w:rsidRPr="001C7D14">
        <w:t xml:space="preserve"> in continued job vacancies (Llewellyn Smith, 2015). Not surprisingly, it has subsequently been found that e</w:t>
      </w:r>
      <w:r w:rsidR="00AF2EF7">
        <w:t>mployers and students disagree i</w:t>
      </w:r>
      <w:r w:rsidRPr="001C7D14">
        <w:t xml:space="preserve">n their perceptions of which soft skills are most important (Succi </w:t>
      </w:r>
      <w:r w:rsidR="00AD4AA7" w:rsidRPr="001C7D14">
        <w:t>and</w:t>
      </w:r>
      <w:r w:rsidRPr="001C7D14">
        <w:t xml:space="preserve"> </w:t>
      </w:r>
      <w:proofErr w:type="spellStart"/>
      <w:r w:rsidRPr="001C7D14">
        <w:t>Canovi</w:t>
      </w:r>
      <w:proofErr w:type="spellEnd"/>
      <w:r w:rsidRPr="001C7D14">
        <w:t xml:space="preserve">, 2019), with employers emphasising </w:t>
      </w:r>
      <w:r w:rsidR="00AF2EF7">
        <w:lastRenderedPageBreak/>
        <w:t>professional ethics, adaptability to change, creativity and innovation,</w:t>
      </w:r>
      <w:r w:rsidRPr="001C7D14">
        <w:t xml:space="preserve"> and teamwork, whilst students rank conflict management skills and strong professional networks as more important.</w:t>
      </w:r>
    </w:p>
    <w:p w14:paraId="6D85D99B" w14:textId="7604B45F" w:rsidR="00942DEE" w:rsidRPr="001C7D14" w:rsidRDefault="00942DEE" w:rsidP="00F829E8">
      <w:pPr>
        <w:pStyle w:val="Newparagraph"/>
      </w:pPr>
      <w:r w:rsidRPr="001C7D14">
        <w:t xml:space="preserve">It is therefore evident that educators must help bridge the gap between students’ understanding of employability and the actual soft skills sought by employers. Furthermore, previous research has established that when </w:t>
      </w:r>
      <w:r w:rsidR="00AF2EF7">
        <w:t>a student values their learning</w:t>
      </w:r>
      <w:r w:rsidRPr="001C7D14">
        <w:t xml:space="preserve"> the skills they acquire transfer more successfully to other domains (Bransford </w:t>
      </w:r>
      <w:r w:rsidR="00AD4AA7" w:rsidRPr="001C7D14">
        <w:t>and</w:t>
      </w:r>
      <w:r w:rsidRPr="001C7D14">
        <w:t xml:space="preserve"> Schwartz, 1999). This highlights the important role that a student’s attitude or commitment towards employability may play in the successful development of this essential graduate outcome. Taken together, these findings indicate that students’ level of engagement may be linked to their understanding of and attitudes towards employability. The pre</w:t>
      </w:r>
      <w:r w:rsidR="00AF2EF7">
        <w:t>sent study seeks to determine whether</w:t>
      </w:r>
      <w:r w:rsidRPr="001C7D14">
        <w:t xml:space="preserve"> these factors, which are theoretically linked to positive graduate outcomes, may differ in accordance with individual differences in personality.</w:t>
      </w:r>
    </w:p>
    <w:p w14:paraId="42FA095E" w14:textId="695FEE21" w:rsidR="00942DEE" w:rsidRPr="001C7D14" w:rsidRDefault="00AF2EF7" w:rsidP="00F829E8">
      <w:pPr>
        <w:pStyle w:val="Heading2"/>
        <w:spacing w:before="0" w:after="0" w:line="480" w:lineRule="auto"/>
        <w:rPr>
          <w:rFonts w:cs="Times New Roman"/>
          <w:i w:val="0"/>
          <w:iCs w:val="0"/>
          <w:szCs w:val="24"/>
        </w:rPr>
      </w:pPr>
      <w:r>
        <w:rPr>
          <w:rFonts w:cs="Times New Roman"/>
          <w:i w:val="0"/>
          <w:iCs w:val="0"/>
          <w:szCs w:val="24"/>
        </w:rPr>
        <w:t>Personality t</w:t>
      </w:r>
      <w:r w:rsidR="00942DEE" w:rsidRPr="001C7D14">
        <w:rPr>
          <w:rFonts w:cs="Times New Roman"/>
          <w:i w:val="0"/>
          <w:iCs w:val="0"/>
          <w:szCs w:val="24"/>
        </w:rPr>
        <w:t>raits</w:t>
      </w:r>
    </w:p>
    <w:p w14:paraId="0D4630F2" w14:textId="609E9A8C" w:rsidR="00942DEE" w:rsidRPr="001C7D14" w:rsidRDefault="00942DEE" w:rsidP="00AF2EF7">
      <w:pPr>
        <w:pStyle w:val="Paragraph"/>
        <w:spacing w:before="0"/>
      </w:pPr>
      <w:r w:rsidRPr="001C7D14">
        <w:t xml:space="preserve">It has been suggested that HEIs should be responsible for developing proactive personality traits in their students (Villar </w:t>
      </w:r>
      <w:r w:rsidR="00AD4AA7" w:rsidRPr="001C7D14">
        <w:t>and</w:t>
      </w:r>
      <w:r w:rsidRPr="001C7D14">
        <w:t xml:space="preserve"> </w:t>
      </w:r>
      <w:proofErr w:type="spellStart"/>
      <w:r w:rsidRPr="001C7D14">
        <w:t>Albertin</w:t>
      </w:r>
      <w:proofErr w:type="spellEnd"/>
      <w:r w:rsidRPr="001C7D14">
        <w:t>, 2010) as one of the personal attributes that may aid their career success. These traits include taking personal responsibility for their learning and actively investing effort in their education (Tymon, 2013). However, although it has been established that personality traits predict academic achievement (e.g., Chamorro-</w:t>
      </w:r>
      <w:proofErr w:type="spellStart"/>
      <w:r w:rsidRPr="001C7D14">
        <w:t>Premuzic</w:t>
      </w:r>
      <w:proofErr w:type="spellEnd"/>
      <w:r w:rsidRPr="001C7D14">
        <w:t xml:space="preserve"> </w:t>
      </w:r>
      <w:r w:rsidR="00AD4AA7" w:rsidRPr="001C7D14">
        <w:t>and</w:t>
      </w:r>
      <w:r w:rsidRPr="001C7D14">
        <w:t xml:space="preserve"> Furnham, 2003; Jensen, 2015; </w:t>
      </w:r>
      <w:proofErr w:type="spellStart"/>
      <w:r w:rsidRPr="001C7D14">
        <w:t>Khatibi</w:t>
      </w:r>
      <w:proofErr w:type="spellEnd"/>
      <w:r w:rsidRPr="001C7D14">
        <w:t xml:space="preserve"> </w:t>
      </w:r>
      <w:r w:rsidR="00AD4AA7" w:rsidRPr="001C7D14">
        <w:t>and</w:t>
      </w:r>
      <w:r w:rsidRPr="001C7D14">
        <w:t xml:space="preserve"> </w:t>
      </w:r>
      <w:proofErr w:type="spellStart"/>
      <w:r w:rsidRPr="001C7D14">
        <w:t>Khormaei</w:t>
      </w:r>
      <w:proofErr w:type="spellEnd"/>
      <w:r w:rsidRPr="001C7D14">
        <w:t>, 2016), little attention has been paid in the literature to the specific role personality may play in a student’s engagement with their learning (whether in relation to discipline-specific information, transferable skills or work-based knowledge), or how individual differences in personality may impact how students understand or regard the notion of employability.</w:t>
      </w:r>
    </w:p>
    <w:p w14:paraId="58D06690" w14:textId="2D5EDE5D" w:rsidR="00942DEE" w:rsidRPr="001C7D14" w:rsidRDefault="00942DEE" w:rsidP="00F829E8">
      <w:pPr>
        <w:pStyle w:val="Newparagraph"/>
      </w:pPr>
      <w:r w:rsidRPr="001C7D14">
        <w:lastRenderedPageBreak/>
        <w:t xml:space="preserve">One previous study (Qureshi et al., 2016) has examined the role of Five-Factor model (FFM; McCrae </w:t>
      </w:r>
      <w:r w:rsidR="00AD4AA7" w:rsidRPr="001C7D14">
        <w:t>and</w:t>
      </w:r>
      <w:r w:rsidRPr="001C7D14">
        <w:t xml:space="preserve"> Costa, 1987) personality traits on students’ levels of engagement and their understanding of and attitudes towards employability. It was found that agreeableness positively predicted all four levels of student engagement (general, cognitive, behavioural and emotional), whilst conscientiousness predicted general, cognitive and behavioural engagement. Extraversion predicted general and behavioural engagement, and openness predicted behavioural engagement. Collectively, these results indicate that agreeableness and conscientiousness are particularly influential on an individual’s engagement with their learning. Meanwhile, agreeableness was positively predictive of </w:t>
      </w:r>
      <w:r w:rsidR="00AF2EF7">
        <w:t xml:space="preserve">an </w:t>
      </w:r>
      <w:r w:rsidR="006F2F07">
        <w:t>understanding of employability</w:t>
      </w:r>
      <w:r w:rsidRPr="001C7D14">
        <w:t xml:space="preserve"> and neuroticism was negatively predictive of attitudes towards this construct.</w:t>
      </w:r>
    </w:p>
    <w:p w14:paraId="4DFB9A6C" w14:textId="77777777" w:rsidR="00942DEE" w:rsidRPr="001C7D14" w:rsidRDefault="00942DEE" w:rsidP="00F829E8">
      <w:pPr>
        <w:pStyle w:val="Newparagraph"/>
      </w:pPr>
      <w:r w:rsidRPr="001C7D14">
        <w:t>Another study (</w:t>
      </w:r>
      <w:proofErr w:type="spellStart"/>
      <w:r w:rsidRPr="001C7D14">
        <w:t>Neneh</w:t>
      </w:r>
      <w:proofErr w:type="spellEnd"/>
      <w:r w:rsidRPr="001C7D14">
        <w:t>, 2019) examined relationships between FFM traits and perceived employability, defined as ‘the individual’s perception of his or her possibilities of obtaining and maintaining employment’ (</w:t>
      </w:r>
      <w:proofErr w:type="spellStart"/>
      <w:r w:rsidRPr="001C7D14">
        <w:t>Vanhercke</w:t>
      </w:r>
      <w:proofErr w:type="spellEnd"/>
      <w:r w:rsidRPr="001C7D14">
        <w:t xml:space="preserve"> et al., 2014, p. 594). Perceived employability combines two essential elements: a student’s understanding of and belief in their competencies, and a proactive attitude towards work in general. In </w:t>
      </w:r>
      <w:proofErr w:type="spellStart"/>
      <w:r w:rsidRPr="001C7D14">
        <w:t>Neneh’s</w:t>
      </w:r>
      <w:proofErr w:type="spellEnd"/>
      <w:r w:rsidRPr="001C7D14">
        <w:t xml:space="preserve"> (2019) study, agreeableness, conscientiousness and openness to experience were positively associated with this construct. </w:t>
      </w:r>
    </w:p>
    <w:p w14:paraId="48600198" w14:textId="6AAE1B45" w:rsidR="00942DEE" w:rsidRPr="001C7D14" w:rsidRDefault="00942DEE" w:rsidP="00F829E8">
      <w:pPr>
        <w:pStyle w:val="Newparagraph"/>
      </w:pPr>
      <w:r w:rsidRPr="001C7D14">
        <w:t>The results of these previous studies indicate that the prosocial traits of agreeableness and conscientiousness are particularly influential on an individual’s engagement with their learning, their perceived employability and their attitudes towards employability. However, no studies to date have investigated the impact of maladaptive personality traits, such as the Dark Triad (</w:t>
      </w:r>
      <w:proofErr w:type="spellStart"/>
      <w:r w:rsidRPr="001C7D14">
        <w:t>Paulhus</w:t>
      </w:r>
      <w:proofErr w:type="spellEnd"/>
      <w:r w:rsidRPr="001C7D14">
        <w:t xml:space="preserve"> </w:t>
      </w:r>
      <w:r w:rsidR="00AD4AA7" w:rsidRPr="001C7D14">
        <w:t>and</w:t>
      </w:r>
      <w:r w:rsidRPr="001C7D14">
        <w:t xml:space="preserve"> Williams, 2002), on these factors. </w:t>
      </w:r>
    </w:p>
    <w:p w14:paraId="2629EE53" w14:textId="648250F5" w:rsidR="00942DEE" w:rsidRPr="001C7D14" w:rsidRDefault="00942DEE" w:rsidP="00F829E8">
      <w:pPr>
        <w:pStyle w:val="Newparagraph"/>
      </w:pPr>
      <w:r w:rsidRPr="001C7D14">
        <w:t xml:space="preserve">The Dark Triad (DT) is a model of three socially aversive personality traits: Machiavellianism, subclinical psychopathy and subclinical narcissism. Machiavellianism, deriving from the works of Machiavelli and first conceptualised by Christie and Geis (1970), </w:t>
      </w:r>
      <w:r w:rsidRPr="001C7D14">
        <w:lastRenderedPageBreak/>
        <w:t xml:space="preserve">is characterised by a cold and manipulative interpersonal </w:t>
      </w:r>
      <w:r w:rsidR="006F2F07" w:rsidRPr="001C7D14">
        <w:t>demeanour</w:t>
      </w:r>
      <w:r w:rsidRPr="001C7D14">
        <w:t xml:space="preserve"> (</w:t>
      </w:r>
      <w:proofErr w:type="spellStart"/>
      <w:r w:rsidRPr="001C7D14">
        <w:t>Paulhus</w:t>
      </w:r>
      <w:proofErr w:type="spellEnd"/>
      <w:r w:rsidRPr="001C7D14">
        <w:t xml:space="preserve"> </w:t>
      </w:r>
      <w:r w:rsidR="00AD4AA7" w:rsidRPr="001C7D14">
        <w:t>and</w:t>
      </w:r>
      <w:r w:rsidRPr="001C7D14">
        <w:t xml:space="preserve"> Williams, 2002). Individuals who score high on this construct have a cynical world</w:t>
      </w:r>
      <w:r w:rsidR="006F2F07">
        <w:t xml:space="preserve"> </w:t>
      </w:r>
      <w:r w:rsidRPr="001C7D14">
        <w:t xml:space="preserve">view (Jones </w:t>
      </w:r>
      <w:r w:rsidR="00AD4AA7" w:rsidRPr="001C7D14">
        <w:t>and</w:t>
      </w:r>
      <w:r w:rsidRPr="001C7D14">
        <w:t xml:space="preserve"> </w:t>
      </w:r>
      <w:proofErr w:type="spellStart"/>
      <w:r w:rsidRPr="001C7D14">
        <w:t>Paulhus</w:t>
      </w:r>
      <w:proofErr w:type="spellEnd"/>
      <w:r w:rsidRPr="001C7D14">
        <w:t xml:space="preserve">, 2013) and tend to demonstrate difficulty </w:t>
      </w:r>
      <w:r w:rsidR="006F2F07">
        <w:t xml:space="preserve">in </w:t>
      </w:r>
      <w:r w:rsidRPr="001C7D14">
        <w:t>getting along with others (</w:t>
      </w:r>
      <w:proofErr w:type="spellStart"/>
      <w:r w:rsidRPr="001C7D14">
        <w:t>Dowgwillo</w:t>
      </w:r>
      <w:proofErr w:type="spellEnd"/>
      <w:r w:rsidRPr="001C7D14">
        <w:t xml:space="preserve"> </w:t>
      </w:r>
      <w:r w:rsidR="00AD4AA7" w:rsidRPr="001C7D14">
        <w:t>and</w:t>
      </w:r>
      <w:r w:rsidRPr="001C7D14">
        <w:t xml:space="preserve"> Pincus, 2017). They are strategic and calculating, skilled at planning and cultivating a positive reputation. Subclinical psychopathy, meanwhile, is associated with impulsivity, thrill-seeking behaviour and low levels of anxiety and affectivity (</w:t>
      </w:r>
      <w:proofErr w:type="spellStart"/>
      <w:r w:rsidRPr="001C7D14">
        <w:t>Paulhus</w:t>
      </w:r>
      <w:proofErr w:type="spellEnd"/>
      <w:r w:rsidRPr="001C7D14">
        <w:t xml:space="preserve"> </w:t>
      </w:r>
      <w:r w:rsidR="00AD4AA7" w:rsidRPr="001C7D14">
        <w:t>and</w:t>
      </w:r>
      <w:r w:rsidRPr="001C7D14">
        <w:t xml:space="preserve"> Williams, 2002). Individuals who score high on this trait tend to be mistrusting and demonstrate an inability to care about the wants and needs of other people (</w:t>
      </w:r>
      <w:proofErr w:type="spellStart"/>
      <w:r w:rsidRPr="001C7D14">
        <w:t>Dowgwillo</w:t>
      </w:r>
      <w:proofErr w:type="spellEnd"/>
      <w:r w:rsidRPr="001C7D14">
        <w:t xml:space="preserve"> </w:t>
      </w:r>
      <w:r w:rsidR="00AD4AA7" w:rsidRPr="001C7D14">
        <w:t>and</w:t>
      </w:r>
      <w:r w:rsidRPr="001C7D14">
        <w:t xml:space="preserve"> Pincus, 2017). They focus on short-term gains, even if those gains jeopardise their long-term interests (Jones </w:t>
      </w:r>
      <w:r w:rsidR="00AD4AA7" w:rsidRPr="001C7D14">
        <w:t>and</w:t>
      </w:r>
      <w:r w:rsidRPr="001C7D14">
        <w:t xml:space="preserve"> </w:t>
      </w:r>
      <w:proofErr w:type="spellStart"/>
      <w:r w:rsidRPr="001C7D14">
        <w:t>Paulhus</w:t>
      </w:r>
      <w:proofErr w:type="spellEnd"/>
      <w:r w:rsidRPr="001C7D14">
        <w:t>, 2013). Finally, subclinical or ‘normal’ (</w:t>
      </w:r>
      <w:proofErr w:type="spellStart"/>
      <w:r w:rsidRPr="001C7D14">
        <w:t>Paulhus</w:t>
      </w:r>
      <w:proofErr w:type="spellEnd"/>
      <w:r w:rsidRPr="001C7D14">
        <w:t xml:space="preserve"> </w:t>
      </w:r>
      <w:r w:rsidR="00AD4AA7" w:rsidRPr="001C7D14">
        <w:t>and</w:t>
      </w:r>
      <w:r w:rsidRPr="001C7D14">
        <w:t xml:space="preserve"> Williams, 2002, p. 557) narcissism refers to such attributes as entitlement, superiority, grandiosity and interpersonal dominance (</w:t>
      </w:r>
      <w:proofErr w:type="spellStart"/>
      <w:r w:rsidRPr="001C7D14">
        <w:t>Paulhus</w:t>
      </w:r>
      <w:proofErr w:type="spellEnd"/>
      <w:r w:rsidRPr="001C7D14">
        <w:t xml:space="preserve"> </w:t>
      </w:r>
      <w:r w:rsidR="00AD4AA7" w:rsidRPr="001C7D14">
        <w:t>and</w:t>
      </w:r>
      <w:r w:rsidRPr="001C7D14">
        <w:t xml:space="preserve"> Williams, 2002). The behaviour of individuals who score high on narcissism is generally driven by the goal of reinforcing one’s ego. </w:t>
      </w:r>
    </w:p>
    <w:p w14:paraId="31A8B248" w14:textId="570AFF13" w:rsidR="00942DEE" w:rsidRPr="001C7D14" w:rsidRDefault="00942DEE" w:rsidP="00F829E8">
      <w:pPr>
        <w:pStyle w:val="Newparagraph"/>
      </w:pPr>
      <w:r w:rsidRPr="001C7D14">
        <w:t>Whilst these three personality traits are theoretically distinct, they share some core elements</w:t>
      </w:r>
      <w:r w:rsidR="000A2D4A" w:rsidRPr="000A2D4A">
        <w:rPr>
          <w:highlight w:val="yellow"/>
        </w:rPr>
        <w:t>, including</w:t>
      </w:r>
      <w:commentRangeStart w:id="2"/>
      <w:commentRangeStart w:id="3"/>
      <w:commentRangeEnd w:id="3"/>
      <w:r w:rsidR="006F2F07" w:rsidRPr="000A2D4A">
        <w:rPr>
          <w:rStyle w:val="CommentReference"/>
          <w:highlight w:val="yellow"/>
        </w:rPr>
        <w:commentReference w:id="3"/>
      </w:r>
      <w:commentRangeEnd w:id="2"/>
      <w:r w:rsidR="000A2D4A" w:rsidRPr="000A2D4A">
        <w:rPr>
          <w:rStyle w:val="CommentReference"/>
          <w:highlight w:val="yellow"/>
        </w:rPr>
        <w:commentReference w:id="2"/>
      </w:r>
      <w:r w:rsidRPr="001C7D14">
        <w:t xml:space="preserve"> behaviour driven by self-promotion (</w:t>
      </w:r>
      <w:proofErr w:type="spellStart"/>
      <w:r w:rsidRPr="001C7D14">
        <w:t>Paulhus</w:t>
      </w:r>
      <w:proofErr w:type="spellEnd"/>
      <w:r w:rsidRPr="001C7D14">
        <w:t xml:space="preserve"> </w:t>
      </w:r>
      <w:r w:rsidR="00AD4AA7" w:rsidRPr="001C7D14">
        <w:t>and</w:t>
      </w:r>
      <w:r w:rsidRPr="001C7D14">
        <w:t xml:space="preserve"> Williams, 2002), affective callousness and a lack of empathy (Jones </w:t>
      </w:r>
      <w:r w:rsidR="00AD4AA7" w:rsidRPr="001C7D14">
        <w:t>and</w:t>
      </w:r>
      <w:r w:rsidRPr="001C7D14">
        <w:t xml:space="preserve"> Figueredo, 2013). The three traits correlate positively with one another (</w:t>
      </w:r>
      <w:proofErr w:type="spellStart"/>
      <w:r w:rsidRPr="001C7D14">
        <w:t>Paulhus</w:t>
      </w:r>
      <w:proofErr w:type="spellEnd"/>
      <w:r w:rsidRPr="001C7D14">
        <w:t xml:space="preserve"> </w:t>
      </w:r>
      <w:r w:rsidR="00AD4AA7" w:rsidRPr="001C7D14">
        <w:t>and</w:t>
      </w:r>
      <w:r w:rsidRPr="001C7D14">
        <w:t xml:space="preserve"> Williams, 2002; Glenn </w:t>
      </w:r>
      <w:r w:rsidR="00AD4AA7" w:rsidRPr="001C7D14">
        <w:t>and</w:t>
      </w:r>
      <w:r w:rsidRPr="001C7D14">
        <w:t xml:space="preserve"> </w:t>
      </w:r>
      <w:proofErr w:type="spellStart"/>
      <w:r w:rsidRPr="001C7D14">
        <w:t>Sellbom</w:t>
      </w:r>
      <w:proofErr w:type="spellEnd"/>
      <w:r w:rsidRPr="001C7D14">
        <w:t xml:space="preserve">, 2015). When compared to the FFM traits, all three DT traits are negatively associated with agreeableness, and psychopathy and Machiavellianism are both negatively linked to conscientiousness. Given the results of Qureshi et al. (2016) and </w:t>
      </w:r>
      <w:proofErr w:type="spellStart"/>
      <w:r w:rsidRPr="001C7D14">
        <w:t>Neneh</w:t>
      </w:r>
      <w:proofErr w:type="spellEnd"/>
      <w:r w:rsidRPr="001C7D14">
        <w:t xml:space="preserve"> (2019), these correlations suggest that DT traits may cause differences in individual students’ levels of engagement as well as their understanding of and attitudes towards employability.</w:t>
      </w:r>
    </w:p>
    <w:p w14:paraId="2FCC3C9D" w14:textId="38161C5F" w:rsidR="00942DEE" w:rsidRPr="001C7D14" w:rsidRDefault="00942DEE" w:rsidP="00F829E8">
      <w:pPr>
        <w:pStyle w:val="Newparagraph"/>
      </w:pPr>
      <w:r w:rsidRPr="001C7D14">
        <w:t xml:space="preserve">This notion is further supported by observed associations between DT traits and other academic and related outcomes. For instance, aspects of psychopathy and narcissism have been positively linked with avoidance procrastination behaviours (Lyons </w:t>
      </w:r>
      <w:r w:rsidR="00AD4AA7" w:rsidRPr="001C7D14">
        <w:t>and</w:t>
      </w:r>
      <w:r w:rsidRPr="001C7D14">
        <w:t xml:space="preserve"> Rice, 2014)</w:t>
      </w:r>
      <w:r w:rsidR="003E6115" w:rsidRPr="001C7D14">
        <w:t xml:space="preserve">, </w:t>
      </w:r>
      <w:r w:rsidR="003E6115" w:rsidRPr="006D3B97">
        <w:lastRenderedPageBreak/>
        <w:t>and high scores on Machiavellianism have been associated with more instances of academic misconduct (</w:t>
      </w:r>
      <w:proofErr w:type="spellStart"/>
      <w:r w:rsidR="003E6115" w:rsidRPr="006D3B97">
        <w:t>Veríssimo</w:t>
      </w:r>
      <w:proofErr w:type="spellEnd"/>
      <w:r w:rsidR="003E6115" w:rsidRPr="006D3B97">
        <w:t xml:space="preserve"> et al., 2022)</w:t>
      </w:r>
      <w:r w:rsidRPr="006D3B97">
        <w:t xml:space="preserve">. </w:t>
      </w:r>
      <w:r w:rsidRPr="001C7D14">
        <w:t xml:space="preserve">Meanwhile, narcissism and Machiavellianism have both been positively associated with academic entitlement in university students (Turnipseed </w:t>
      </w:r>
      <w:r w:rsidR="00AD4AA7" w:rsidRPr="001C7D14">
        <w:t>and</w:t>
      </w:r>
      <w:r w:rsidRPr="001C7D14">
        <w:t xml:space="preserve"> Cohen, 2015). Similarly, university students who score high on Machiavellianism perceive distracting or disruptive classroom behaviours that undermine learning (known as academic incivility) as both appropriate and commonplace (Turnipseed </w:t>
      </w:r>
      <w:r w:rsidR="00AD4AA7" w:rsidRPr="001C7D14">
        <w:t>and</w:t>
      </w:r>
      <w:r w:rsidRPr="001C7D14">
        <w:t xml:space="preserve"> </w:t>
      </w:r>
      <w:proofErr w:type="spellStart"/>
      <w:r w:rsidRPr="001C7D14">
        <w:t>Landay</w:t>
      </w:r>
      <w:proofErr w:type="spellEnd"/>
      <w:r w:rsidRPr="001C7D14">
        <w:t>, 2018). Both academic entitlement and incivility are likely to compromise engagement with learning.</w:t>
      </w:r>
    </w:p>
    <w:p w14:paraId="493E1F50" w14:textId="1093414B" w:rsidR="00942DEE" w:rsidRPr="001C7D14" w:rsidRDefault="00942DEE" w:rsidP="00F829E8">
      <w:pPr>
        <w:pStyle w:val="Newparagraph"/>
      </w:pPr>
      <w:r w:rsidRPr="001C7D14">
        <w:t xml:space="preserve">Finally, all three DT traits have been found to predict </w:t>
      </w:r>
      <w:r w:rsidR="006D3B97">
        <w:t>an orientation</w:t>
      </w:r>
      <w:r w:rsidRPr="001C7D14">
        <w:t xml:space="preserve"> towards achievement and power, with Machiavellianism being most strongly linked to achievement and narcissism most closely associated with power (</w:t>
      </w:r>
      <w:proofErr w:type="spellStart"/>
      <w:r w:rsidRPr="001C7D14">
        <w:t>Kajonius</w:t>
      </w:r>
      <w:proofErr w:type="spellEnd"/>
      <w:r w:rsidRPr="001C7D14">
        <w:t xml:space="preserve"> et al., 2015). These findings suggest that DT traits may enhance students’ attitudes towards employability, as those who score high on these traits are likely to be strongly driven towards achieving their career goals.</w:t>
      </w:r>
    </w:p>
    <w:p w14:paraId="7C3C9669" w14:textId="77777777" w:rsidR="006D3B97" w:rsidRDefault="006D3B97" w:rsidP="00F829E8">
      <w:pPr>
        <w:pStyle w:val="Heading2"/>
        <w:spacing w:before="0" w:after="0" w:line="480" w:lineRule="auto"/>
        <w:rPr>
          <w:rFonts w:cs="Times New Roman"/>
          <w:i w:val="0"/>
          <w:iCs w:val="0"/>
          <w:szCs w:val="24"/>
        </w:rPr>
      </w:pPr>
    </w:p>
    <w:p w14:paraId="6F441674" w14:textId="67F06398" w:rsidR="00942DEE" w:rsidRPr="001C7D14" w:rsidRDefault="00942DEE" w:rsidP="00F829E8">
      <w:pPr>
        <w:pStyle w:val="Heading2"/>
        <w:spacing w:before="0" w:after="0" w:line="480" w:lineRule="auto"/>
        <w:rPr>
          <w:rFonts w:cs="Times New Roman"/>
          <w:i w:val="0"/>
          <w:iCs w:val="0"/>
          <w:szCs w:val="24"/>
        </w:rPr>
      </w:pPr>
      <w:r w:rsidRPr="001C7D14">
        <w:rPr>
          <w:rFonts w:cs="Times New Roman"/>
          <w:i w:val="0"/>
          <w:iCs w:val="0"/>
          <w:szCs w:val="24"/>
        </w:rPr>
        <w:t xml:space="preserve">The </w:t>
      </w:r>
      <w:r w:rsidR="006D3B97" w:rsidRPr="001C7D14">
        <w:rPr>
          <w:rFonts w:cs="Times New Roman"/>
          <w:i w:val="0"/>
          <w:iCs w:val="0"/>
          <w:szCs w:val="24"/>
        </w:rPr>
        <w:t>present study</w:t>
      </w:r>
    </w:p>
    <w:p w14:paraId="4EB7B66F" w14:textId="77777777" w:rsidR="00AB78F0" w:rsidRDefault="00AB78F0" w:rsidP="00AB78F0">
      <w:pPr>
        <w:pStyle w:val="Paragraph"/>
        <w:spacing w:before="0"/>
      </w:pPr>
      <w:r>
        <w:t xml:space="preserve">This </w:t>
      </w:r>
      <w:r w:rsidR="00942DEE" w:rsidRPr="001C7D14">
        <w:t>study investigates whether Dark Triad (</w:t>
      </w:r>
      <w:proofErr w:type="spellStart"/>
      <w:r w:rsidR="00942DEE" w:rsidRPr="001C7D14">
        <w:t>Paulhus</w:t>
      </w:r>
      <w:proofErr w:type="spellEnd"/>
      <w:r w:rsidR="00942DEE" w:rsidRPr="001C7D14">
        <w:t xml:space="preserve"> </w:t>
      </w:r>
      <w:r w:rsidR="00AD4AA7" w:rsidRPr="001C7D14">
        <w:t>and</w:t>
      </w:r>
      <w:r w:rsidR="00942DEE" w:rsidRPr="001C7D14">
        <w:t xml:space="preserve"> Williams, 2002) personality traits predict undergraduate students’ engagement with learning and their understanding of and attitudes towards employability. Accordingly, three research questions are posed:</w:t>
      </w:r>
    </w:p>
    <w:p w14:paraId="1455752F" w14:textId="77777777" w:rsidR="00AB78F0" w:rsidRPr="00AB78F0" w:rsidRDefault="00AB78F0" w:rsidP="00AB78F0">
      <w:pPr>
        <w:pStyle w:val="Newparagraph"/>
      </w:pPr>
    </w:p>
    <w:p w14:paraId="642569BC" w14:textId="77777777" w:rsidR="00AB78F0" w:rsidRDefault="00942DEE" w:rsidP="00AB78F0">
      <w:pPr>
        <w:pStyle w:val="Paragraph"/>
        <w:numPr>
          <w:ilvl w:val="0"/>
          <w:numId w:val="31"/>
        </w:numPr>
        <w:spacing w:before="0"/>
      </w:pPr>
      <w:r w:rsidRPr="001C7D14">
        <w:t>Do Dark Triad traits predict levels of (a) general, (b) cognitive, (c) behavioural and (d) emotional engagement with learning in undergraduate students?</w:t>
      </w:r>
    </w:p>
    <w:p w14:paraId="4C6CCBC9" w14:textId="0A564EF5" w:rsidR="00942DEE" w:rsidRPr="001C7D14" w:rsidRDefault="00942DEE" w:rsidP="00AB78F0">
      <w:pPr>
        <w:pStyle w:val="Paragraph"/>
        <w:numPr>
          <w:ilvl w:val="0"/>
          <w:numId w:val="31"/>
        </w:numPr>
        <w:spacing w:before="0"/>
      </w:pPr>
      <w:r w:rsidRPr="001C7D14">
        <w:t>Do Dark Triad traits predict undergraduate students’ understanding of employability?</w:t>
      </w:r>
    </w:p>
    <w:p w14:paraId="04D2B278" w14:textId="2C1FBD09" w:rsidR="00942DEE" w:rsidRDefault="00942DEE" w:rsidP="00AB78F0">
      <w:pPr>
        <w:pStyle w:val="Paragraph"/>
        <w:numPr>
          <w:ilvl w:val="0"/>
          <w:numId w:val="31"/>
        </w:numPr>
        <w:spacing w:before="0"/>
      </w:pPr>
      <w:r w:rsidRPr="001C7D14">
        <w:t>Do Dark Triad traits predict undergraduate students’ attitudes towards employability?</w:t>
      </w:r>
    </w:p>
    <w:p w14:paraId="2D7D3D27" w14:textId="77777777" w:rsidR="00AB78F0" w:rsidRPr="00AB78F0" w:rsidRDefault="00AB78F0" w:rsidP="00AB78F0">
      <w:pPr>
        <w:pStyle w:val="Newparagraph"/>
      </w:pPr>
    </w:p>
    <w:p w14:paraId="22154DE8" w14:textId="4113D9EB" w:rsidR="00942DEE" w:rsidRPr="001C7D14" w:rsidRDefault="00942DEE" w:rsidP="00F829E8">
      <w:pPr>
        <w:pStyle w:val="Newparagraph"/>
      </w:pPr>
      <w:r w:rsidRPr="001C7D14">
        <w:t xml:space="preserve">It is hypothesised (H1) that DT traits will negatively predict all four levels of engagement (Qureshi et al., 2016) and (H2) that DT traits will negatively predict </w:t>
      </w:r>
      <w:r w:rsidRPr="001C7D14">
        <w:lastRenderedPageBreak/>
        <w:t>understanding of employability (</w:t>
      </w:r>
      <w:proofErr w:type="spellStart"/>
      <w:r w:rsidRPr="001C7D14">
        <w:t>Neneh</w:t>
      </w:r>
      <w:proofErr w:type="spellEnd"/>
      <w:r w:rsidRPr="001C7D14">
        <w:t>, 2019). Lastly, it is predicted (H3) that DT traits will positively predict attitudes towards employability (</w:t>
      </w:r>
      <w:proofErr w:type="spellStart"/>
      <w:r w:rsidRPr="001C7D14">
        <w:t>Kajonius</w:t>
      </w:r>
      <w:proofErr w:type="spellEnd"/>
      <w:r w:rsidRPr="001C7D14">
        <w:t xml:space="preserve"> et al., 2015).</w:t>
      </w:r>
    </w:p>
    <w:p w14:paraId="389FDA09" w14:textId="77777777" w:rsidR="00AB78F0" w:rsidRDefault="00AB78F0" w:rsidP="00F829E8">
      <w:pPr>
        <w:pStyle w:val="Heading2"/>
        <w:spacing w:before="0" w:after="0" w:line="480" w:lineRule="auto"/>
        <w:jc w:val="center"/>
        <w:rPr>
          <w:rFonts w:cs="Times New Roman"/>
          <w:i w:val="0"/>
          <w:iCs w:val="0"/>
          <w:szCs w:val="24"/>
        </w:rPr>
      </w:pPr>
    </w:p>
    <w:p w14:paraId="265A8C7B" w14:textId="1D84402B" w:rsidR="00942DEE" w:rsidRPr="001C7D14" w:rsidRDefault="00942DEE" w:rsidP="00AB78F0">
      <w:pPr>
        <w:pStyle w:val="Heading2"/>
        <w:spacing w:before="0" w:after="0" w:line="480" w:lineRule="auto"/>
        <w:rPr>
          <w:rFonts w:cs="Times New Roman"/>
          <w:i w:val="0"/>
          <w:iCs w:val="0"/>
          <w:szCs w:val="24"/>
        </w:rPr>
      </w:pPr>
      <w:r w:rsidRPr="001C7D14">
        <w:rPr>
          <w:rFonts w:cs="Times New Roman"/>
          <w:i w:val="0"/>
          <w:iCs w:val="0"/>
          <w:szCs w:val="24"/>
        </w:rPr>
        <w:t>Method</w:t>
      </w:r>
    </w:p>
    <w:p w14:paraId="7ACC244B" w14:textId="3D7854F3" w:rsidR="00942DEE" w:rsidRPr="00AB78F0" w:rsidRDefault="00942DEE" w:rsidP="00F829E8">
      <w:pPr>
        <w:pStyle w:val="Heading2"/>
        <w:spacing w:before="0" w:after="0" w:line="480" w:lineRule="auto"/>
        <w:rPr>
          <w:rFonts w:cs="Times New Roman"/>
          <w:b w:val="0"/>
          <w:iCs w:val="0"/>
          <w:szCs w:val="24"/>
        </w:rPr>
      </w:pPr>
      <w:r w:rsidRPr="00AB78F0">
        <w:rPr>
          <w:rFonts w:cs="Times New Roman"/>
          <w:b w:val="0"/>
          <w:iCs w:val="0"/>
          <w:szCs w:val="24"/>
        </w:rPr>
        <w:t>Participants</w:t>
      </w:r>
    </w:p>
    <w:p w14:paraId="04995ABE" w14:textId="77777777" w:rsidR="00942DEE" w:rsidRPr="001C7D14" w:rsidRDefault="00942DEE" w:rsidP="00AB78F0">
      <w:pPr>
        <w:pStyle w:val="Paragraph"/>
        <w:spacing w:before="0"/>
      </w:pPr>
      <w:r w:rsidRPr="001C7D14">
        <w:t>Participants were recruited from a university in the Northwest of England. The final sample comprised 94 psychology undergraduates, of whom 87 (92.6%) were female and seven (7.4%) were male. Participants ranged in age from 18 to 55 (M = 19.45, SD = 4.16). The vast majority (95.7%) were British.</w:t>
      </w:r>
    </w:p>
    <w:p w14:paraId="6C4AE8D8" w14:textId="77777777" w:rsidR="00A04A8E" w:rsidRDefault="00A04A8E" w:rsidP="00F829E8">
      <w:pPr>
        <w:pStyle w:val="Heading2"/>
        <w:spacing w:before="0" w:after="0" w:line="480" w:lineRule="auto"/>
        <w:rPr>
          <w:rFonts w:cs="Times New Roman"/>
          <w:b w:val="0"/>
          <w:iCs w:val="0"/>
          <w:szCs w:val="24"/>
        </w:rPr>
      </w:pPr>
    </w:p>
    <w:p w14:paraId="0A3AEA7E" w14:textId="10B84225" w:rsidR="00942DEE" w:rsidRPr="00AB78F0" w:rsidRDefault="00942DEE" w:rsidP="00F829E8">
      <w:pPr>
        <w:pStyle w:val="Heading2"/>
        <w:spacing w:before="0" w:after="0" w:line="480" w:lineRule="auto"/>
        <w:rPr>
          <w:rFonts w:cs="Times New Roman"/>
          <w:b w:val="0"/>
          <w:iCs w:val="0"/>
          <w:szCs w:val="24"/>
        </w:rPr>
      </w:pPr>
      <w:r w:rsidRPr="00AB78F0">
        <w:rPr>
          <w:rFonts w:cs="Times New Roman"/>
          <w:b w:val="0"/>
          <w:iCs w:val="0"/>
          <w:szCs w:val="24"/>
        </w:rPr>
        <w:t>Materials</w:t>
      </w:r>
    </w:p>
    <w:p w14:paraId="41D3EDE1" w14:textId="442C0001" w:rsidR="00942DEE" w:rsidRPr="001C7D14" w:rsidRDefault="00942DEE" w:rsidP="00AB78F0">
      <w:pPr>
        <w:keepNext/>
        <w:ind w:right="567"/>
        <w:contextualSpacing/>
        <w:outlineLvl w:val="2"/>
        <w:rPr>
          <w:bCs/>
          <w:iCs/>
        </w:rPr>
      </w:pPr>
      <w:r w:rsidRPr="00AB78F0">
        <w:rPr>
          <w:i/>
        </w:rPr>
        <w:t>Engagement</w:t>
      </w:r>
      <w:r w:rsidR="00AB78F0">
        <w:t xml:space="preserve">. </w:t>
      </w:r>
      <w:r w:rsidRPr="001C7D14">
        <w:rPr>
          <w:bCs/>
          <w:iCs/>
        </w:rPr>
        <w:t>To measure</w:t>
      </w:r>
      <w:r w:rsidR="007572B1" w:rsidRPr="00A04A8E">
        <w:rPr>
          <w:bCs/>
          <w:iCs/>
        </w:rPr>
        <w:t xml:space="preserve"> students’</w:t>
      </w:r>
      <w:r w:rsidRPr="00A04A8E">
        <w:rPr>
          <w:bCs/>
          <w:iCs/>
        </w:rPr>
        <w:t xml:space="preserve"> </w:t>
      </w:r>
      <w:r w:rsidRPr="001C7D14">
        <w:rPr>
          <w:bCs/>
          <w:iCs/>
        </w:rPr>
        <w:t xml:space="preserve">engagement with learning, the Student Engagement Questionnaire (SEQ; Qureshi et al., 2016) was used. The SEQ was adapted from the Cognitive Engagement Scale (Mazer, 2012) and the Engagement versus Disaffection with Learning Scale (Skinner et al., 2008). Question wording was adapted where necessary in order to assess participants’ engagement across all their </w:t>
      </w:r>
      <w:r w:rsidR="007572B1" w:rsidRPr="00A04A8E">
        <w:rPr>
          <w:bCs/>
          <w:iCs/>
        </w:rPr>
        <w:t xml:space="preserve">university </w:t>
      </w:r>
      <w:r w:rsidRPr="001C7D14">
        <w:rPr>
          <w:bCs/>
          <w:iCs/>
        </w:rPr>
        <w:t>modules, rather than their engagement with a specific module. Eighteen items are included in the questionnaire, yielding a metric of general engagement with learning</w:t>
      </w:r>
      <w:r w:rsidR="007572B1" w:rsidRPr="001C7D14">
        <w:rPr>
          <w:bCs/>
          <w:iCs/>
        </w:rPr>
        <w:t xml:space="preserve"> </w:t>
      </w:r>
      <w:r w:rsidR="007572B1" w:rsidRPr="00A04A8E">
        <w:rPr>
          <w:bCs/>
          <w:iCs/>
        </w:rPr>
        <w:t>in academic contexts</w:t>
      </w:r>
      <w:r w:rsidRPr="00A04A8E">
        <w:rPr>
          <w:bCs/>
          <w:iCs/>
        </w:rPr>
        <w:t>.</w:t>
      </w:r>
      <w:r w:rsidRPr="001C7D14">
        <w:rPr>
          <w:bCs/>
          <w:iCs/>
        </w:rPr>
        <w:t xml:space="preserve"> However, questions are also divided among three subscales measuring cognitive, behavioural and emotional engagement. </w:t>
      </w:r>
    </w:p>
    <w:p w14:paraId="7A59B48A" w14:textId="40A6B183" w:rsidR="00942DEE" w:rsidRPr="001C7D14" w:rsidRDefault="00942DEE" w:rsidP="00F829E8">
      <w:pPr>
        <w:keepNext/>
        <w:ind w:right="567"/>
        <w:contextualSpacing/>
        <w:outlineLvl w:val="2"/>
        <w:rPr>
          <w:bCs/>
          <w:iCs/>
        </w:rPr>
      </w:pPr>
      <w:r w:rsidRPr="001C7D14">
        <w:rPr>
          <w:bCs/>
          <w:iCs/>
        </w:rPr>
        <w:tab/>
      </w:r>
      <w:r w:rsidR="00A04A8E">
        <w:rPr>
          <w:bCs/>
          <w:iCs/>
        </w:rPr>
        <w:t>The i</w:t>
      </w:r>
      <w:r w:rsidRPr="001C7D14">
        <w:rPr>
          <w:bCs/>
          <w:iCs/>
        </w:rPr>
        <w:t xml:space="preserve">nternal consistency of the questionnaire was assessed using Cronbach’s alpha. For the subscales, results ranged from α = </w:t>
      </w:r>
      <w:r w:rsidR="00A04A8E">
        <w:rPr>
          <w:bCs/>
          <w:iCs/>
        </w:rPr>
        <w:t>0</w:t>
      </w:r>
      <w:r w:rsidRPr="001C7D14">
        <w:rPr>
          <w:bCs/>
          <w:iCs/>
        </w:rPr>
        <w:t xml:space="preserve">.51 to α = </w:t>
      </w:r>
      <w:r w:rsidR="00A04A8E">
        <w:rPr>
          <w:bCs/>
          <w:iCs/>
        </w:rPr>
        <w:t>0</w:t>
      </w:r>
      <w:r w:rsidRPr="001C7D14">
        <w:rPr>
          <w:bCs/>
          <w:iCs/>
        </w:rPr>
        <w:t xml:space="preserve">.66, indicating poor-to-questionable degrees of reliability. However, the overall scale yielded a high level of internal consistency, α = </w:t>
      </w:r>
      <w:r w:rsidR="00A04A8E">
        <w:rPr>
          <w:bCs/>
          <w:iCs/>
        </w:rPr>
        <w:t>0</w:t>
      </w:r>
      <w:r w:rsidRPr="001C7D14">
        <w:rPr>
          <w:bCs/>
          <w:iCs/>
        </w:rPr>
        <w:t>.80. Furthermore, as the questionnaire has demonstrated high reliability across all scales in previous research (Qureshi et al., 2016), it is regarded as</w:t>
      </w:r>
      <w:r w:rsidR="00211F86" w:rsidRPr="001C7D14">
        <w:rPr>
          <w:bCs/>
          <w:iCs/>
        </w:rPr>
        <w:t xml:space="preserve"> a </w:t>
      </w:r>
      <w:r w:rsidR="00EA4AD6" w:rsidRPr="001C7D14">
        <w:rPr>
          <w:bCs/>
          <w:iCs/>
        </w:rPr>
        <w:lastRenderedPageBreak/>
        <w:t xml:space="preserve">sufficiently </w:t>
      </w:r>
      <w:r w:rsidRPr="001C7D14">
        <w:rPr>
          <w:bCs/>
          <w:iCs/>
        </w:rPr>
        <w:t>reliable instrument with which to measure student engagement with learning.</w:t>
      </w:r>
    </w:p>
    <w:p w14:paraId="6708F988" w14:textId="77777777" w:rsidR="00AB78F0" w:rsidRDefault="00AB78F0" w:rsidP="00F829E8">
      <w:pPr>
        <w:keepNext/>
        <w:ind w:right="567"/>
        <w:contextualSpacing/>
        <w:outlineLvl w:val="2"/>
        <w:rPr>
          <w:b/>
          <w:i/>
        </w:rPr>
      </w:pPr>
    </w:p>
    <w:p w14:paraId="0C2BC29D" w14:textId="6E2634EE" w:rsidR="00942DEE" w:rsidRPr="001C7D14" w:rsidRDefault="00AB78F0" w:rsidP="00AB78F0">
      <w:pPr>
        <w:keepNext/>
        <w:ind w:right="567"/>
        <w:contextualSpacing/>
        <w:outlineLvl w:val="2"/>
        <w:rPr>
          <w:bCs/>
          <w:iCs/>
        </w:rPr>
      </w:pPr>
      <w:r w:rsidRPr="00AB78F0">
        <w:rPr>
          <w:i/>
        </w:rPr>
        <w:t>Understanding of e</w:t>
      </w:r>
      <w:r w:rsidR="00942DEE" w:rsidRPr="00AB78F0">
        <w:rPr>
          <w:i/>
        </w:rPr>
        <w:t>mployability</w:t>
      </w:r>
      <w:r>
        <w:t xml:space="preserve">. </w:t>
      </w:r>
      <w:r w:rsidR="00942DEE" w:rsidRPr="001C7D14">
        <w:rPr>
          <w:bCs/>
          <w:iCs/>
        </w:rPr>
        <w:t xml:space="preserve">To measure students’ understanding of employability, a 23-item questionnaire (Qureshi et al., 2016) was used, incorporating items such as ‘I think employability skills classes are an important aspect of </w:t>
      </w:r>
      <w:r w:rsidR="00832979" w:rsidRPr="001C7D14">
        <w:rPr>
          <w:bCs/>
          <w:iCs/>
        </w:rPr>
        <w:t>university le</w:t>
      </w:r>
      <w:r w:rsidR="00942DEE" w:rsidRPr="001C7D14">
        <w:rPr>
          <w:bCs/>
          <w:iCs/>
        </w:rPr>
        <w:t>arning’. Responses were measured using a 7-point Likert scale, with 12 items reverse-scored. This measure demonstrated high internal c</w:t>
      </w:r>
      <w:r w:rsidR="00832979">
        <w:rPr>
          <w:bCs/>
          <w:iCs/>
        </w:rPr>
        <w:t>onsistency in the present study</w:t>
      </w:r>
      <w:r w:rsidR="00942DEE" w:rsidRPr="001C7D14">
        <w:rPr>
          <w:bCs/>
          <w:iCs/>
        </w:rPr>
        <w:t xml:space="preserve"> </w:t>
      </w:r>
      <w:r w:rsidR="00832979">
        <w:rPr>
          <w:bCs/>
          <w:iCs/>
        </w:rPr>
        <w:t>(</w:t>
      </w:r>
      <w:r w:rsidR="00942DEE" w:rsidRPr="001C7D14">
        <w:rPr>
          <w:bCs/>
          <w:iCs/>
        </w:rPr>
        <w:t xml:space="preserve">α = </w:t>
      </w:r>
      <w:r w:rsidR="00832979">
        <w:rPr>
          <w:bCs/>
          <w:iCs/>
        </w:rPr>
        <w:t>0</w:t>
      </w:r>
      <w:r w:rsidR="00942DEE" w:rsidRPr="001C7D14">
        <w:rPr>
          <w:bCs/>
          <w:iCs/>
        </w:rPr>
        <w:t>.77</w:t>
      </w:r>
      <w:r w:rsidR="00832979">
        <w:rPr>
          <w:bCs/>
          <w:iCs/>
        </w:rPr>
        <w:t>)</w:t>
      </w:r>
      <w:r w:rsidR="00942DEE" w:rsidRPr="001C7D14">
        <w:rPr>
          <w:bCs/>
          <w:iCs/>
        </w:rPr>
        <w:t>.</w:t>
      </w:r>
    </w:p>
    <w:p w14:paraId="4CAB7F94" w14:textId="77777777" w:rsidR="00AB78F0" w:rsidRDefault="00AB78F0" w:rsidP="00F829E8">
      <w:pPr>
        <w:keepNext/>
        <w:ind w:right="567"/>
        <w:contextualSpacing/>
        <w:outlineLvl w:val="2"/>
        <w:rPr>
          <w:b/>
          <w:i/>
        </w:rPr>
      </w:pPr>
    </w:p>
    <w:p w14:paraId="73806B7D" w14:textId="5485D502" w:rsidR="00942DEE" w:rsidRPr="001C7D14" w:rsidRDefault="00942DEE" w:rsidP="00AB78F0">
      <w:pPr>
        <w:keepNext/>
        <w:ind w:right="567"/>
        <w:contextualSpacing/>
        <w:outlineLvl w:val="2"/>
        <w:rPr>
          <w:bCs/>
          <w:iCs/>
        </w:rPr>
      </w:pPr>
      <w:r w:rsidRPr="00AB78F0">
        <w:rPr>
          <w:i/>
        </w:rPr>
        <w:t>Attitudes</w:t>
      </w:r>
      <w:r w:rsidRPr="001C7D14">
        <w:rPr>
          <w:b/>
          <w:i/>
        </w:rPr>
        <w:t xml:space="preserve"> </w:t>
      </w:r>
      <w:r w:rsidR="00AB78F0" w:rsidRPr="00AB78F0">
        <w:rPr>
          <w:i/>
        </w:rPr>
        <w:t>towards employability</w:t>
      </w:r>
      <w:r w:rsidR="00AB78F0">
        <w:t xml:space="preserve">. </w:t>
      </w:r>
      <w:r w:rsidRPr="001C7D14">
        <w:rPr>
          <w:bCs/>
          <w:iCs/>
        </w:rPr>
        <w:t>Students’ attitudes towards employability were measured using a 15-item questionnaire (Qureshi et al., 2016), with items such as ‘Employability is a very important part of my learning’. Responses were measured using a 7-point Likert scale, with seven items being reverse-scored. Cronbach’s alpha indicated a questionable degree of internal consis</w:t>
      </w:r>
      <w:r w:rsidR="00832979">
        <w:rPr>
          <w:bCs/>
          <w:iCs/>
        </w:rPr>
        <w:t>tency with the present dataset (</w:t>
      </w:r>
      <w:r w:rsidRPr="001C7D14">
        <w:rPr>
          <w:bCs/>
          <w:iCs/>
        </w:rPr>
        <w:t xml:space="preserve">α = </w:t>
      </w:r>
      <w:r w:rsidR="00832979">
        <w:rPr>
          <w:bCs/>
          <w:iCs/>
        </w:rPr>
        <w:t>0</w:t>
      </w:r>
      <w:r w:rsidRPr="001C7D14">
        <w:rPr>
          <w:bCs/>
          <w:iCs/>
        </w:rPr>
        <w:t>.65</w:t>
      </w:r>
      <w:r w:rsidR="00832979">
        <w:rPr>
          <w:bCs/>
          <w:iCs/>
        </w:rPr>
        <w:t>)</w:t>
      </w:r>
      <w:r w:rsidRPr="001C7D14">
        <w:rPr>
          <w:bCs/>
          <w:iCs/>
        </w:rPr>
        <w:t xml:space="preserve">. However, in Qureshi </w:t>
      </w:r>
      <w:r w:rsidR="00832979">
        <w:rPr>
          <w:bCs/>
          <w:iCs/>
        </w:rPr>
        <w:t>et al.’s</w:t>
      </w:r>
      <w:r w:rsidRPr="001C7D14">
        <w:rPr>
          <w:bCs/>
          <w:iCs/>
        </w:rPr>
        <w:t xml:space="preserve"> (2016) study, this instrument demonstrated strong reliability (α = </w:t>
      </w:r>
      <w:r w:rsidR="00832979">
        <w:rPr>
          <w:bCs/>
          <w:iCs/>
        </w:rPr>
        <w:t>0</w:t>
      </w:r>
      <w:r w:rsidRPr="001C7D14">
        <w:rPr>
          <w:bCs/>
          <w:iCs/>
        </w:rPr>
        <w:t>.84), suggesting that it is a reliable measure of attitudes towards employability.</w:t>
      </w:r>
    </w:p>
    <w:p w14:paraId="404AEDD8" w14:textId="77777777" w:rsidR="00AB78F0" w:rsidRDefault="00AB78F0" w:rsidP="00F829E8">
      <w:pPr>
        <w:keepNext/>
        <w:ind w:right="567"/>
        <w:contextualSpacing/>
        <w:outlineLvl w:val="2"/>
        <w:rPr>
          <w:b/>
          <w:i/>
        </w:rPr>
      </w:pPr>
    </w:p>
    <w:p w14:paraId="00799C9D" w14:textId="78727C63" w:rsidR="00942DEE" w:rsidRPr="001C7D14" w:rsidRDefault="00942DEE" w:rsidP="00AB78F0">
      <w:pPr>
        <w:keepNext/>
        <w:ind w:right="567"/>
        <w:contextualSpacing/>
        <w:outlineLvl w:val="2"/>
        <w:rPr>
          <w:bCs/>
          <w:iCs/>
        </w:rPr>
      </w:pPr>
      <w:r w:rsidRPr="00AB78F0">
        <w:rPr>
          <w:i/>
        </w:rPr>
        <w:t>Dark Triad</w:t>
      </w:r>
      <w:r w:rsidR="00AB78F0">
        <w:t xml:space="preserve">. </w:t>
      </w:r>
      <w:r w:rsidRPr="001C7D14">
        <w:rPr>
          <w:bCs/>
          <w:iCs/>
        </w:rPr>
        <w:t xml:space="preserve">The Short Dark Triad (SD3; Jones </w:t>
      </w:r>
      <w:r w:rsidR="00AD4AA7" w:rsidRPr="001C7D14">
        <w:rPr>
          <w:bCs/>
          <w:iCs/>
        </w:rPr>
        <w:t>and</w:t>
      </w:r>
      <w:r w:rsidRPr="001C7D14">
        <w:rPr>
          <w:bCs/>
          <w:iCs/>
        </w:rPr>
        <w:t xml:space="preserve"> </w:t>
      </w:r>
      <w:proofErr w:type="spellStart"/>
      <w:r w:rsidRPr="001C7D14">
        <w:rPr>
          <w:bCs/>
          <w:iCs/>
        </w:rPr>
        <w:t>Paulhus</w:t>
      </w:r>
      <w:proofErr w:type="spellEnd"/>
      <w:r w:rsidRPr="001C7D14">
        <w:rPr>
          <w:bCs/>
          <w:iCs/>
        </w:rPr>
        <w:t xml:space="preserve">, 2014) was used to measure the DT personality traits. This 27-item questionnaire contains three subscales (one for each DT trait), each with nine items. Responses were measured on a 7-point Likert scale and five items were reverse-scored. The SD3 demonstrates strong convergent validity with longer measures of Machiavellianism (Mach-IV; Christie </w:t>
      </w:r>
      <w:r w:rsidR="00AD4AA7" w:rsidRPr="001C7D14">
        <w:rPr>
          <w:bCs/>
          <w:iCs/>
        </w:rPr>
        <w:t>and</w:t>
      </w:r>
      <w:r w:rsidRPr="001C7D14">
        <w:rPr>
          <w:bCs/>
          <w:iCs/>
        </w:rPr>
        <w:t xml:space="preserve"> Geis, 1970), narcissism (Narcissistic Personality Inventory; </w:t>
      </w:r>
      <w:proofErr w:type="spellStart"/>
      <w:r w:rsidRPr="001C7D14">
        <w:rPr>
          <w:bCs/>
          <w:iCs/>
        </w:rPr>
        <w:t>Raskin</w:t>
      </w:r>
      <w:proofErr w:type="spellEnd"/>
      <w:r w:rsidRPr="001C7D14">
        <w:rPr>
          <w:bCs/>
          <w:iCs/>
        </w:rPr>
        <w:t xml:space="preserve"> </w:t>
      </w:r>
      <w:r w:rsidR="00AD4AA7" w:rsidRPr="001C7D14">
        <w:rPr>
          <w:bCs/>
          <w:iCs/>
        </w:rPr>
        <w:t>and</w:t>
      </w:r>
      <w:r w:rsidRPr="001C7D14">
        <w:rPr>
          <w:bCs/>
          <w:iCs/>
        </w:rPr>
        <w:t xml:space="preserve"> Hall, 1979), and psychopathy (Self-Report Psychopathy-III; </w:t>
      </w:r>
      <w:proofErr w:type="spellStart"/>
      <w:r w:rsidRPr="001C7D14">
        <w:rPr>
          <w:bCs/>
          <w:iCs/>
        </w:rPr>
        <w:t>Paulhus</w:t>
      </w:r>
      <w:proofErr w:type="spellEnd"/>
      <w:r w:rsidRPr="001C7D14">
        <w:rPr>
          <w:bCs/>
          <w:iCs/>
        </w:rPr>
        <w:t xml:space="preserve"> et al., 2009), as well as robust </w:t>
      </w:r>
      <w:r w:rsidRPr="001C7D14">
        <w:rPr>
          <w:bCs/>
          <w:iCs/>
        </w:rPr>
        <w:lastRenderedPageBreak/>
        <w:t xml:space="preserve">incremental and discriminant validity (Maples et al., 2014). In this study, all subscales demonstrated sufficient internal consistency, ranging from α = </w:t>
      </w:r>
      <w:r w:rsidR="00832979">
        <w:rPr>
          <w:bCs/>
          <w:iCs/>
        </w:rPr>
        <w:t>0</w:t>
      </w:r>
      <w:r w:rsidRPr="001C7D14">
        <w:rPr>
          <w:bCs/>
          <w:iCs/>
        </w:rPr>
        <w:t xml:space="preserve">.70 to α = </w:t>
      </w:r>
      <w:r w:rsidR="00832979">
        <w:rPr>
          <w:bCs/>
          <w:iCs/>
        </w:rPr>
        <w:t>0</w:t>
      </w:r>
      <w:r w:rsidRPr="001C7D14">
        <w:rPr>
          <w:bCs/>
          <w:iCs/>
        </w:rPr>
        <w:t>.77.</w:t>
      </w:r>
    </w:p>
    <w:p w14:paraId="38CF4D55" w14:textId="77777777" w:rsidR="00AB78F0" w:rsidRDefault="00AB78F0" w:rsidP="00F829E8">
      <w:pPr>
        <w:pStyle w:val="Heading2"/>
        <w:spacing w:before="0" w:after="0" w:line="480" w:lineRule="auto"/>
        <w:rPr>
          <w:rFonts w:cs="Times New Roman"/>
          <w:b w:val="0"/>
          <w:iCs w:val="0"/>
          <w:szCs w:val="24"/>
        </w:rPr>
      </w:pPr>
    </w:p>
    <w:p w14:paraId="5479F13A" w14:textId="57F5C025" w:rsidR="00942DEE" w:rsidRPr="00AB78F0" w:rsidRDefault="00942DEE" w:rsidP="00F829E8">
      <w:pPr>
        <w:pStyle w:val="Heading2"/>
        <w:spacing w:before="0" w:after="0" w:line="480" w:lineRule="auto"/>
        <w:rPr>
          <w:rFonts w:cs="Times New Roman"/>
          <w:b w:val="0"/>
          <w:iCs w:val="0"/>
          <w:szCs w:val="24"/>
        </w:rPr>
      </w:pPr>
      <w:r w:rsidRPr="00AB78F0">
        <w:rPr>
          <w:rFonts w:cs="Times New Roman"/>
          <w:b w:val="0"/>
          <w:iCs w:val="0"/>
          <w:szCs w:val="24"/>
        </w:rPr>
        <w:t>Procedure</w:t>
      </w:r>
    </w:p>
    <w:p w14:paraId="65280EC4" w14:textId="371D7E45" w:rsidR="00942DEE" w:rsidRPr="001C7D14" w:rsidRDefault="00942DEE" w:rsidP="00832979">
      <w:pPr>
        <w:keepNext/>
        <w:ind w:right="567"/>
        <w:contextualSpacing/>
        <w:outlineLvl w:val="2"/>
        <w:rPr>
          <w:bCs/>
          <w:iCs/>
        </w:rPr>
      </w:pPr>
      <w:r w:rsidRPr="001C7D14">
        <w:rPr>
          <w:bCs/>
          <w:iCs/>
        </w:rPr>
        <w:t>Ethical approval was obtained from the university’s Centre for Teaching and Learning Research Ethical Approval Panel. Participants were then recrui</w:t>
      </w:r>
      <w:r w:rsidR="00B116B8">
        <w:rPr>
          <w:bCs/>
          <w:iCs/>
        </w:rPr>
        <w:t>ted via flyers posted on campus</w:t>
      </w:r>
      <w:r w:rsidRPr="001C7D14">
        <w:rPr>
          <w:bCs/>
          <w:iCs/>
        </w:rPr>
        <w:t xml:space="preserve"> and data were collected online using Qualtrics software. Students signed up to take part in the study through the SONA study recruitment platform, and were subsequently directed</w:t>
      </w:r>
      <w:r w:rsidR="00B116B8">
        <w:rPr>
          <w:bCs/>
          <w:iCs/>
        </w:rPr>
        <w:t xml:space="preserve"> to complete the questionnaires </w:t>
      </w:r>
      <w:r w:rsidRPr="001C7D14">
        <w:rPr>
          <w:bCs/>
          <w:iCs/>
        </w:rPr>
        <w:t xml:space="preserve">online. Questions were presented in random order. On average, the </w:t>
      </w:r>
      <w:r w:rsidR="000A2D4A" w:rsidRPr="000A2D4A">
        <w:rPr>
          <w:bCs/>
          <w:iCs/>
          <w:highlight w:val="yellow"/>
        </w:rPr>
        <w:t>questionnaires</w:t>
      </w:r>
      <w:r w:rsidRPr="001C7D14">
        <w:rPr>
          <w:bCs/>
          <w:iCs/>
        </w:rPr>
        <w:t xml:space="preserve"> took approximately 15 minutes to complete. Students received course credit in exchange for their participation.</w:t>
      </w:r>
    </w:p>
    <w:p w14:paraId="42C0F01B" w14:textId="77777777" w:rsidR="00B116B8" w:rsidRDefault="00B116B8" w:rsidP="00F829E8">
      <w:pPr>
        <w:keepNext/>
        <w:ind w:right="567"/>
        <w:contextualSpacing/>
        <w:jc w:val="center"/>
        <w:outlineLvl w:val="2"/>
        <w:rPr>
          <w:b/>
          <w:iCs/>
        </w:rPr>
      </w:pPr>
    </w:p>
    <w:p w14:paraId="4CCB728F" w14:textId="697B1835" w:rsidR="00942DEE" w:rsidRPr="001C7D14" w:rsidRDefault="00942DEE" w:rsidP="00B116B8">
      <w:pPr>
        <w:keepNext/>
        <w:ind w:right="567"/>
        <w:contextualSpacing/>
        <w:outlineLvl w:val="2"/>
        <w:rPr>
          <w:b/>
          <w:iCs/>
        </w:rPr>
      </w:pPr>
      <w:r w:rsidRPr="001C7D14">
        <w:rPr>
          <w:b/>
          <w:iCs/>
        </w:rPr>
        <w:t>Results</w:t>
      </w:r>
    </w:p>
    <w:p w14:paraId="33F6AD5E" w14:textId="25F6886D" w:rsidR="00942DEE" w:rsidRDefault="00942DEE" w:rsidP="00B116B8">
      <w:pPr>
        <w:rPr>
          <w:lang w:val="en-CA" w:eastAsia="en-US"/>
        </w:rPr>
      </w:pPr>
      <w:r w:rsidRPr="001C7D14">
        <w:rPr>
          <w:lang w:val="en-CA" w:eastAsia="en-US"/>
        </w:rPr>
        <w:t>After confirming that the data met all necessary assumptions, a series of m</w:t>
      </w:r>
      <w:r w:rsidR="009109C9">
        <w:rPr>
          <w:lang w:val="en-CA" w:eastAsia="en-US"/>
        </w:rPr>
        <w:t>ultiple regression analyses was</w:t>
      </w:r>
      <w:r w:rsidRPr="001C7D14">
        <w:rPr>
          <w:lang w:val="en-CA" w:eastAsia="en-US"/>
        </w:rPr>
        <w:t xml:space="preserve"> conducted to assess whether DT traits predicted each of the outcome variables. Correlations between va</w:t>
      </w:r>
      <w:r w:rsidR="009109C9">
        <w:rPr>
          <w:lang w:val="en-CA" w:eastAsia="en-US"/>
        </w:rPr>
        <w:t>riables are provided in Table 1</w:t>
      </w:r>
      <w:r w:rsidRPr="001C7D14">
        <w:rPr>
          <w:lang w:val="en-CA" w:eastAsia="en-US"/>
        </w:rPr>
        <w:t xml:space="preserve"> and regression results are summarised in Table 2. </w:t>
      </w:r>
    </w:p>
    <w:p w14:paraId="7DDC8F44" w14:textId="77777777" w:rsidR="009109C9" w:rsidRDefault="009109C9" w:rsidP="00B116B8">
      <w:pPr>
        <w:rPr>
          <w:lang w:val="en-CA" w:eastAsia="en-US"/>
        </w:rPr>
      </w:pPr>
    </w:p>
    <w:p w14:paraId="11712376" w14:textId="3D63D8B7" w:rsidR="009109C9" w:rsidRPr="001C7D14" w:rsidRDefault="009109C9" w:rsidP="00B116B8">
      <w:pPr>
        <w:rPr>
          <w:lang w:val="en-CA" w:eastAsia="en-US"/>
        </w:rPr>
      </w:pPr>
      <w:r w:rsidRPr="009109C9">
        <w:rPr>
          <w:highlight w:val="yellow"/>
          <w:lang w:val="en-CA" w:eastAsia="en-US"/>
        </w:rPr>
        <w:t>Tables 1 and 2 about here</w:t>
      </w:r>
    </w:p>
    <w:p w14:paraId="5714AC50" w14:textId="77777777" w:rsidR="00B116B8" w:rsidRDefault="00B116B8" w:rsidP="00F829E8">
      <w:pPr>
        <w:rPr>
          <w:b/>
          <w:bCs/>
          <w:lang w:val="en-CA" w:eastAsia="en-US"/>
        </w:rPr>
      </w:pPr>
    </w:p>
    <w:p w14:paraId="1965CBB0" w14:textId="577EE858" w:rsidR="00942DEE" w:rsidRPr="00B116B8" w:rsidRDefault="00AD396A" w:rsidP="00F829E8">
      <w:pPr>
        <w:rPr>
          <w:bCs/>
          <w:i/>
          <w:lang w:val="en-CA" w:eastAsia="en-US"/>
        </w:rPr>
      </w:pPr>
      <w:r>
        <w:rPr>
          <w:bCs/>
          <w:i/>
          <w:lang w:val="en-CA" w:eastAsia="en-US"/>
        </w:rPr>
        <w:t>General e</w:t>
      </w:r>
      <w:r w:rsidR="00942DEE" w:rsidRPr="00B116B8">
        <w:rPr>
          <w:bCs/>
          <w:i/>
          <w:lang w:val="en-CA" w:eastAsia="en-US"/>
        </w:rPr>
        <w:t>ngagement</w:t>
      </w:r>
    </w:p>
    <w:p w14:paraId="7143DEEC" w14:textId="082FCD03" w:rsidR="00942DEE" w:rsidRPr="001C7D14" w:rsidRDefault="00942DEE" w:rsidP="00AD396A">
      <w:pPr>
        <w:rPr>
          <w:lang w:val="en-CA" w:eastAsia="en-US"/>
        </w:rPr>
      </w:pPr>
      <w:r w:rsidRPr="001C7D14">
        <w:rPr>
          <w:lang w:val="en-CA" w:eastAsia="en-US"/>
        </w:rPr>
        <w:t>A multiple re</w:t>
      </w:r>
      <w:r w:rsidR="00AD396A">
        <w:rPr>
          <w:lang w:val="en-CA" w:eastAsia="en-US"/>
        </w:rPr>
        <w:t>gression was run to determine whether</w:t>
      </w:r>
      <w:r w:rsidRPr="001C7D14">
        <w:rPr>
          <w:lang w:val="en-CA" w:eastAsia="en-US"/>
        </w:rPr>
        <w:t xml:space="preserve"> DT traits predict general engagement with lear</w:t>
      </w:r>
      <w:r w:rsidR="00AD396A">
        <w:rPr>
          <w:lang w:val="en-CA" w:eastAsia="en-US"/>
        </w:rPr>
        <w:t>ning. The model was significant:</w:t>
      </w:r>
      <w:r w:rsidRPr="001C7D14">
        <w:rPr>
          <w:lang w:val="en-CA" w:eastAsia="en-US"/>
        </w:rPr>
        <w:t xml:space="preserve"> </w:t>
      </w:r>
      <w:r w:rsidRPr="001C7D14">
        <w:rPr>
          <w:i/>
          <w:iCs/>
          <w:lang w:val="en-CA" w:eastAsia="en-US"/>
        </w:rPr>
        <w:t>F</w:t>
      </w:r>
      <w:r w:rsidRPr="001C7D14">
        <w:rPr>
          <w:lang w:val="en-CA" w:eastAsia="en-US"/>
        </w:rPr>
        <w:t xml:space="preserve">(3, 88) = 3.968, </w:t>
      </w:r>
      <w:r w:rsidRPr="001C7D14">
        <w:rPr>
          <w:i/>
          <w:iCs/>
          <w:lang w:val="en-CA" w:eastAsia="en-US"/>
        </w:rPr>
        <w:t>p</w:t>
      </w:r>
      <w:r w:rsidRPr="001C7D14">
        <w:rPr>
          <w:lang w:val="en-CA" w:eastAsia="en-US"/>
        </w:rPr>
        <w:t xml:space="preserve"> = </w:t>
      </w:r>
      <w:r w:rsidR="00AD396A">
        <w:rPr>
          <w:lang w:val="en-CA" w:eastAsia="en-US"/>
        </w:rPr>
        <w:t>0</w:t>
      </w:r>
      <w:r w:rsidRPr="001C7D14">
        <w:rPr>
          <w:lang w:val="en-CA" w:eastAsia="en-US"/>
        </w:rPr>
        <w:t xml:space="preserve">.01, adj. </w:t>
      </w:r>
      <w:r w:rsidRPr="001C7D14">
        <w:rPr>
          <w:i/>
          <w:iCs/>
          <w:lang w:val="en-CA" w:eastAsia="en-US"/>
        </w:rPr>
        <w:t>R</w:t>
      </w:r>
      <w:r w:rsidRPr="001C7D14">
        <w:rPr>
          <w:i/>
          <w:iCs/>
          <w:vertAlign w:val="superscript"/>
          <w:lang w:val="en-CA" w:eastAsia="en-US"/>
        </w:rPr>
        <w:t>2</w:t>
      </w:r>
      <w:r w:rsidRPr="001C7D14">
        <w:rPr>
          <w:lang w:val="en-CA" w:eastAsia="en-US"/>
        </w:rPr>
        <w:t xml:space="preserve"> = </w:t>
      </w:r>
      <w:r w:rsidR="00AD396A">
        <w:rPr>
          <w:lang w:val="en-CA" w:eastAsia="en-US"/>
        </w:rPr>
        <w:t>0</w:t>
      </w:r>
      <w:r w:rsidRPr="001C7D14">
        <w:rPr>
          <w:lang w:val="en-CA" w:eastAsia="en-US"/>
        </w:rPr>
        <w:t xml:space="preserve">.09. Increases in narcissism (β = 0.30, </w:t>
      </w:r>
      <w:r w:rsidRPr="001C7D14">
        <w:rPr>
          <w:i/>
          <w:iCs/>
          <w:lang w:val="en-CA" w:eastAsia="en-US"/>
        </w:rPr>
        <w:t>p</w:t>
      </w:r>
      <w:r w:rsidRPr="001C7D14">
        <w:rPr>
          <w:lang w:val="en-CA" w:eastAsia="en-US"/>
        </w:rPr>
        <w:t xml:space="preserve"> &lt; 0.01) and</w:t>
      </w:r>
      <w:r w:rsidR="00AD396A">
        <w:rPr>
          <w:lang w:val="en-CA" w:eastAsia="en-US"/>
        </w:rPr>
        <w:t xml:space="preserve"> decreases in psychopathy (β = –</w:t>
      </w:r>
      <w:r w:rsidRPr="001C7D14">
        <w:rPr>
          <w:lang w:val="en-CA" w:eastAsia="en-US"/>
        </w:rPr>
        <w:t xml:space="preserve">0.25, </w:t>
      </w:r>
      <w:r w:rsidRPr="001C7D14">
        <w:rPr>
          <w:i/>
          <w:iCs/>
          <w:lang w:val="en-CA" w:eastAsia="en-US"/>
        </w:rPr>
        <w:t>p</w:t>
      </w:r>
      <w:r w:rsidRPr="001C7D14">
        <w:rPr>
          <w:lang w:val="en-CA" w:eastAsia="en-US"/>
        </w:rPr>
        <w:t xml:space="preserve"> &lt; 0.05) were </w:t>
      </w:r>
      <w:r w:rsidRPr="001C7D14">
        <w:rPr>
          <w:lang w:val="en-CA" w:eastAsia="en-US"/>
        </w:rPr>
        <w:lastRenderedPageBreak/>
        <w:t xml:space="preserve">both associated with increased general engagement. Machiavellianism (β = 0.27, </w:t>
      </w:r>
      <w:r w:rsidRPr="001C7D14">
        <w:rPr>
          <w:i/>
          <w:iCs/>
          <w:lang w:val="en-CA" w:eastAsia="en-US"/>
        </w:rPr>
        <w:t>p</w:t>
      </w:r>
      <w:r w:rsidRPr="001C7D14">
        <w:rPr>
          <w:lang w:val="en-CA" w:eastAsia="en-US"/>
        </w:rPr>
        <w:t xml:space="preserve"> &gt; 0.05) did not predict general engagement. </w:t>
      </w:r>
    </w:p>
    <w:p w14:paraId="2CD8A2CA" w14:textId="77777777" w:rsidR="00AD396A" w:rsidRDefault="00AD396A" w:rsidP="00F829E8">
      <w:pPr>
        <w:rPr>
          <w:bCs/>
          <w:i/>
          <w:lang w:val="en-CA" w:eastAsia="en-US"/>
        </w:rPr>
      </w:pPr>
    </w:p>
    <w:p w14:paraId="53CC0895" w14:textId="61BAAC05" w:rsidR="00942DEE" w:rsidRPr="00B116B8" w:rsidRDefault="00AD396A" w:rsidP="00F829E8">
      <w:pPr>
        <w:rPr>
          <w:bCs/>
          <w:i/>
          <w:lang w:val="en-CA" w:eastAsia="en-US"/>
        </w:rPr>
      </w:pPr>
      <w:r>
        <w:rPr>
          <w:bCs/>
          <w:i/>
          <w:lang w:val="en-CA" w:eastAsia="en-US"/>
        </w:rPr>
        <w:t>Cognitive e</w:t>
      </w:r>
      <w:r w:rsidR="00942DEE" w:rsidRPr="00B116B8">
        <w:rPr>
          <w:bCs/>
          <w:i/>
          <w:lang w:val="en-CA" w:eastAsia="en-US"/>
        </w:rPr>
        <w:t>ngagement</w:t>
      </w:r>
    </w:p>
    <w:p w14:paraId="23FBBA00" w14:textId="2A618E6F" w:rsidR="00F829E8" w:rsidRPr="001C7D14" w:rsidRDefault="00942DEE" w:rsidP="00CA6035">
      <w:pPr>
        <w:rPr>
          <w:lang w:val="en-CA" w:eastAsia="en-US"/>
        </w:rPr>
      </w:pPr>
      <w:r w:rsidRPr="001C7D14">
        <w:rPr>
          <w:lang w:val="en-CA" w:eastAsia="en-US"/>
        </w:rPr>
        <w:t>A multiple regression was run to determi</w:t>
      </w:r>
      <w:r w:rsidR="00CA6035">
        <w:rPr>
          <w:lang w:val="en-CA" w:eastAsia="en-US"/>
        </w:rPr>
        <w:t>ne whether</w:t>
      </w:r>
      <w:r w:rsidRPr="001C7D14">
        <w:rPr>
          <w:lang w:val="en-CA" w:eastAsia="en-US"/>
        </w:rPr>
        <w:t xml:space="preserve"> DT traits predict cognitive engage</w:t>
      </w:r>
      <w:r w:rsidR="00CA6035">
        <w:rPr>
          <w:lang w:val="en-CA" w:eastAsia="en-US"/>
        </w:rPr>
        <w:t>ment. The model was significant:</w:t>
      </w:r>
      <w:r w:rsidRPr="001C7D14">
        <w:rPr>
          <w:lang w:val="en-CA" w:eastAsia="en-US"/>
        </w:rPr>
        <w:t xml:space="preserve"> </w:t>
      </w:r>
      <w:r w:rsidRPr="001C7D14">
        <w:rPr>
          <w:i/>
          <w:iCs/>
          <w:lang w:val="en-CA" w:eastAsia="en-US"/>
        </w:rPr>
        <w:t>F</w:t>
      </w:r>
      <w:r w:rsidRPr="001C7D14">
        <w:rPr>
          <w:lang w:val="en-CA" w:eastAsia="en-US"/>
        </w:rPr>
        <w:t xml:space="preserve">(3, 88) = 2.911, </w:t>
      </w:r>
      <w:r w:rsidRPr="001C7D14">
        <w:rPr>
          <w:i/>
          <w:iCs/>
          <w:lang w:val="en-CA" w:eastAsia="en-US"/>
        </w:rPr>
        <w:t>p</w:t>
      </w:r>
      <w:r w:rsidRPr="001C7D14">
        <w:rPr>
          <w:lang w:val="en-CA" w:eastAsia="en-US"/>
        </w:rPr>
        <w:t xml:space="preserve"> &lt; </w:t>
      </w:r>
      <w:r w:rsidR="00CA6035">
        <w:rPr>
          <w:lang w:val="en-CA" w:eastAsia="en-US"/>
        </w:rPr>
        <w:t>0</w:t>
      </w:r>
      <w:r w:rsidRPr="001C7D14">
        <w:rPr>
          <w:lang w:val="en-CA" w:eastAsia="en-US"/>
        </w:rPr>
        <w:t xml:space="preserve">.05, adj. </w:t>
      </w:r>
      <w:r w:rsidRPr="001C7D14">
        <w:rPr>
          <w:i/>
          <w:iCs/>
          <w:lang w:val="en-CA" w:eastAsia="en-US"/>
        </w:rPr>
        <w:t>R</w:t>
      </w:r>
      <w:r w:rsidRPr="001C7D14">
        <w:rPr>
          <w:i/>
          <w:iCs/>
          <w:vertAlign w:val="superscript"/>
          <w:lang w:val="en-CA" w:eastAsia="en-US"/>
        </w:rPr>
        <w:t>2</w:t>
      </w:r>
      <w:r w:rsidRPr="001C7D14">
        <w:rPr>
          <w:lang w:val="en-CA" w:eastAsia="en-US"/>
        </w:rPr>
        <w:t xml:space="preserve"> = </w:t>
      </w:r>
      <w:r w:rsidR="00CA6035">
        <w:rPr>
          <w:lang w:val="en-CA" w:eastAsia="en-US"/>
        </w:rPr>
        <w:t>0</w:t>
      </w:r>
      <w:r w:rsidRPr="001C7D14">
        <w:rPr>
          <w:lang w:val="en-CA" w:eastAsia="en-US"/>
        </w:rPr>
        <w:t>.06. However, none of the individual predictors reached significanc</w:t>
      </w:r>
      <w:r w:rsidR="00CA6035">
        <w:rPr>
          <w:lang w:val="en-CA" w:eastAsia="en-US"/>
        </w:rPr>
        <w:t>e; thus, Machiavellianism (β = –</w:t>
      </w:r>
      <w:r w:rsidRPr="001C7D14">
        <w:rPr>
          <w:lang w:val="en-CA" w:eastAsia="en-US"/>
        </w:rPr>
        <w:t xml:space="preserve">0.14, </w:t>
      </w:r>
      <w:r w:rsidRPr="001C7D14">
        <w:rPr>
          <w:i/>
          <w:iCs/>
          <w:lang w:val="en-CA" w:eastAsia="en-US"/>
        </w:rPr>
        <w:t>p</w:t>
      </w:r>
      <w:r w:rsidRPr="001C7D14">
        <w:rPr>
          <w:lang w:val="en-CA" w:eastAsia="en-US"/>
        </w:rPr>
        <w:t xml:space="preserve"> &gt; 0.05), narcissism (β = 0.21, </w:t>
      </w:r>
      <w:r w:rsidRPr="001C7D14">
        <w:rPr>
          <w:i/>
          <w:iCs/>
          <w:lang w:val="en-CA" w:eastAsia="en-US"/>
        </w:rPr>
        <w:t>p</w:t>
      </w:r>
      <w:r w:rsidRPr="001C7D14">
        <w:rPr>
          <w:lang w:val="en-CA" w:eastAsia="en-US"/>
        </w:rPr>
        <w:t xml:space="preserve"> &gt; 0.05</w:t>
      </w:r>
      <w:r w:rsidR="00CA6035">
        <w:rPr>
          <w:lang w:val="en-CA" w:eastAsia="en-US"/>
        </w:rPr>
        <w:t>) and psychopathy (β = –</w:t>
      </w:r>
      <w:r w:rsidRPr="001C7D14">
        <w:rPr>
          <w:lang w:val="en-CA" w:eastAsia="en-US"/>
        </w:rPr>
        <w:t xml:space="preserve">0.22, </w:t>
      </w:r>
      <w:r w:rsidRPr="001C7D14">
        <w:rPr>
          <w:i/>
          <w:iCs/>
          <w:lang w:val="en-CA" w:eastAsia="en-US"/>
        </w:rPr>
        <w:t>p</w:t>
      </w:r>
      <w:r w:rsidRPr="001C7D14">
        <w:rPr>
          <w:lang w:val="en-CA" w:eastAsia="en-US"/>
        </w:rPr>
        <w:t xml:space="preserve"> &gt; 0.05) were not associated with increased cognitive engagement.</w:t>
      </w:r>
    </w:p>
    <w:p w14:paraId="7BA20E6A" w14:textId="77777777" w:rsidR="00CA6035" w:rsidRDefault="00CA6035" w:rsidP="00F829E8">
      <w:pPr>
        <w:rPr>
          <w:bCs/>
          <w:i/>
          <w:lang w:val="en-CA" w:eastAsia="en-US"/>
        </w:rPr>
      </w:pPr>
    </w:p>
    <w:p w14:paraId="017BD36C" w14:textId="65132351" w:rsidR="00EA4AD6" w:rsidRPr="00B116B8" w:rsidRDefault="00CA6035" w:rsidP="00F829E8">
      <w:pPr>
        <w:rPr>
          <w:bCs/>
          <w:i/>
          <w:lang w:val="en-CA" w:eastAsia="en-US"/>
        </w:rPr>
      </w:pPr>
      <w:r>
        <w:rPr>
          <w:bCs/>
          <w:i/>
          <w:lang w:val="en-CA" w:eastAsia="en-US"/>
        </w:rPr>
        <w:t>Behavioural e</w:t>
      </w:r>
      <w:r w:rsidR="00EA4AD6" w:rsidRPr="00B116B8">
        <w:rPr>
          <w:bCs/>
          <w:i/>
          <w:lang w:val="en-CA" w:eastAsia="en-US"/>
        </w:rPr>
        <w:t>ngagement</w:t>
      </w:r>
    </w:p>
    <w:p w14:paraId="066A8EBC" w14:textId="6CC3A8E0" w:rsidR="00EA4AD6" w:rsidRPr="001C7D14" w:rsidRDefault="00EA4AD6" w:rsidP="00CA6035">
      <w:pPr>
        <w:rPr>
          <w:lang w:val="en-CA" w:eastAsia="en-US"/>
        </w:rPr>
      </w:pPr>
      <w:r w:rsidRPr="001C7D14">
        <w:rPr>
          <w:lang w:val="en-CA" w:eastAsia="en-US"/>
        </w:rPr>
        <w:t>A multiple re</w:t>
      </w:r>
      <w:r w:rsidR="00CA6035">
        <w:rPr>
          <w:lang w:val="en-CA" w:eastAsia="en-US"/>
        </w:rPr>
        <w:t>gression was run to determine whether</w:t>
      </w:r>
      <w:r w:rsidRPr="001C7D14">
        <w:rPr>
          <w:lang w:val="en-CA" w:eastAsia="en-US"/>
        </w:rPr>
        <w:t xml:space="preserve"> DT traits predict behavioural engagement</w:t>
      </w:r>
      <w:r w:rsidR="00CA6035">
        <w:rPr>
          <w:lang w:val="en-CA" w:eastAsia="en-US"/>
        </w:rPr>
        <w:t>. The model was not significant:</w:t>
      </w:r>
      <w:r w:rsidRPr="001C7D14">
        <w:rPr>
          <w:lang w:val="en-CA" w:eastAsia="en-US"/>
        </w:rPr>
        <w:t xml:space="preserve"> </w:t>
      </w:r>
      <w:r w:rsidRPr="001C7D14">
        <w:rPr>
          <w:i/>
          <w:iCs/>
          <w:lang w:val="en-CA" w:eastAsia="en-US"/>
        </w:rPr>
        <w:t>F</w:t>
      </w:r>
      <w:r w:rsidRPr="001C7D14">
        <w:rPr>
          <w:lang w:val="en-CA" w:eastAsia="en-US"/>
        </w:rPr>
        <w:t xml:space="preserve">(3, 89) = 2.348, </w:t>
      </w:r>
      <w:r w:rsidRPr="001C7D14">
        <w:rPr>
          <w:i/>
          <w:iCs/>
          <w:lang w:val="en-CA" w:eastAsia="en-US"/>
        </w:rPr>
        <w:t>p</w:t>
      </w:r>
      <w:r w:rsidRPr="001C7D14">
        <w:rPr>
          <w:lang w:val="en-CA" w:eastAsia="en-US"/>
        </w:rPr>
        <w:t xml:space="preserve"> &gt; </w:t>
      </w:r>
      <w:r w:rsidR="00CA6035">
        <w:rPr>
          <w:lang w:val="en-CA" w:eastAsia="en-US"/>
        </w:rPr>
        <w:t>0</w:t>
      </w:r>
      <w:r w:rsidRPr="001C7D14">
        <w:rPr>
          <w:lang w:val="en-CA" w:eastAsia="en-US"/>
        </w:rPr>
        <w:t>.05. However, increases in narcissism were associated with incr</w:t>
      </w:r>
      <w:r w:rsidR="00CA6035">
        <w:rPr>
          <w:lang w:val="en-CA" w:eastAsia="en-US"/>
        </w:rPr>
        <w:t>eases in behavioural engagement:</w:t>
      </w:r>
      <w:r w:rsidRPr="001C7D14">
        <w:rPr>
          <w:lang w:val="en-CA" w:eastAsia="en-US"/>
        </w:rPr>
        <w:t xml:space="preserve"> β = 0.25, </w:t>
      </w:r>
      <w:r w:rsidRPr="001C7D14">
        <w:rPr>
          <w:i/>
          <w:iCs/>
          <w:lang w:val="en-CA" w:eastAsia="en-US"/>
        </w:rPr>
        <w:t>p</w:t>
      </w:r>
      <w:r w:rsidRPr="001C7D14">
        <w:rPr>
          <w:lang w:val="en-CA" w:eastAsia="en-US"/>
        </w:rPr>
        <w:t xml:space="preserve"> &lt; 0.05. Consequently, a linear regression was conducted to assess whether narcissism is independently predictive of behavioural engagement. The resu</w:t>
      </w:r>
      <w:r w:rsidR="00CA6035">
        <w:rPr>
          <w:lang w:val="en-CA" w:eastAsia="en-US"/>
        </w:rPr>
        <w:t>lting model was non-significant:</w:t>
      </w:r>
      <w:r w:rsidRPr="001C7D14">
        <w:rPr>
          <w:lang w:val="en-CA" w:eastAsia="en-US"/>
        </w:rPr>
        <w:t xml:space="preserve"> </w:t>
      </w:r>
      <w:r w:rsidRPr="001C7D14">
        <w:rPr>
          <w:i/>
          <w:iCs/>
          <w:lang w:val="en-CA" w:eastAsia="en-US"/>
        </w:rPr>
        <w:t>F</w:t>
      </w:r>
      <w:r w:rsidRPr="001C7D14">
        <w:rPr>
          <w:lang w:val="en-CA" w:eastAsia="en-US"/>
        </w:rPr>
        <w:t xml:space="preserve">(1, 92) = 1.818, </w:t>
      </w:r>
      <w:r w:rsidRPr="001C7D14">
        <w:rPr>
          <w:i/>
          <w:iCs/>
          <w:lang w:val="en-CA" w:eastAsia="en-US"/>
        </w:rPr>
        <w:t>p</w:t>
      </w:r>
      <w:r w:rsidRPr="001C7D14">
        <w:rPr>
          <w:lang w:val="en-CA" w:eastAsia="en-US"/>
        </w:rPr>
        <w:t xml:space="preserve"> &gt; </w:t>
      </w:r>
      <w:r w:rsidR="00CA6035">
        <w:rPr>
          <w:lang w:val="en-CA" w:eastAsia="en-US"/>
        </w:rPr>
        <w:t>0</w:t>
      </w:r>
      <w:r w:rsidRPr="001C7D14">
        <w:rPr>
          <w:lang w:val="en-CA" w:eastAsia="en-US"/>
        </w:rPr>
        <w:t>.05. Thus, none of the DT traits predicted behavioural engagement.</w:t>
      </w:r>
    </w:p>
    <w:p w14:paraId="29328533" w14:textId="77777777" w:rsidR="00CA6035" w:rsidRDefault="00CA6035" w:rsidP="00F829E8">
      <w:pPr>
        <w:rPr>
          <w:bCs/>
          <w:i/>
          <w:lang w:val="en-CA" w:eastAsia="en-US"/>
        </w:rPr>
      </w:pPr>
    </w:p>
    <w:p w14:paraId="23F59E4B" w14:textId="588FC3B0" w:rsidR="00942DEE" w:rsidRPr="00B116B8" w:rsidRDefault="00CA6035" w:rsidP="00F829E8">
      <w:pPr>
        <w:rPr>
          <w:bCs/>
          <w:i/>
          <w:lang w:val="en-CA" w:eastAsia="en-US"/>
        </w:rPr>
      </w:pPr>
      <w:r>
        <w:rPr>
          <w:bCs/>
          <w:i/>
          <w:lang w:val="en-CA" w:eastAsia="en-US"/>
        </w:rPr>
        <w:t>Emotional e</w:t>
      </w:r>
      <w:r w:rsidR="00942DEE" w:rsidRPr="00B116B8">
        <w:rPr>
          <w:bCs/>
          <w:i/>
          <w:lang w:val="en-CA" w:eastAsia="en-US"/>
        </w:rPr>
        <w:t>ngagement</w:t>
      </w:r>
    </w:p>
    <w:p w14:paraId="20C67B24" w14:textId="611D8BE9" w:rsidR="00942DEE" w:rsidRPr="001C7D14" w:rsidRDefault="00942DEE" w:rsidP="00CA6035">
      <w:pPr>
        <w:rPr>
          <w:lang w:val="en-CA" w:eastAsia="en-US"/>
        </w:rPr>
      </w:pPr>
      <w:r w:rsidRPr="001C7D14">
        <w:rPr>
          <w:lang w:val="en-CA" w:eastAsia="en-US"/>
        </w:rPr>
        <w:t>A multiple regressi</w:t>
      </w:r>
      <w:r w:rsidR="00CA6035">
        <w:rPr>
          <w:lang w:val="en-CA" w:eastAsia="en-US"/>
        </w:rPr>
        <w:t>on was conducted to determine whether</w:t>
      </w:r>
      <w:r w:rsidRPr="001C7D14">
        <w:rPr>
          <w:lang w:val="en-CA" w:eastAsia="en-US"/>
        </w:rPr>
        <w:t xml:space="preserve"> DT traits predict emotional engagement. The r</w:t>
      </w:r>
      <w:r w:rsidR="00CA6035">
        <w:rPr>
          <w:lang w:val="en-CA" w:eastAsia="en-US"/>
        </w:rPr>
        <w:t>egression model was significant:</w:t>
      </w:r>
      <w:r w:rsidRPr="001C7D14">
        <w:rPr>
          <w:lang w:val="en-CA" w:eastAsia="en-US"/>
        </w:rPr>
        <w:t xml:space="preserve"> </w:t>
      </w:r>
      <w:r w:rsidRPr="001C7D14">
        <w:rPr>
          <w:i/>
          <w:iCs/>
          <w:lang w:val="en-CA" w:eastAsia="en-US"/>
        </w:rPr>
        <w:t>F</w:t>
      </w:r>
      <w:r w:rsidRPr="001C7D14">
        <w:rPr>
          <w:lang w:val="en-CA" w:eastAsia="en-US"/>
        </w:rPr>
        <w:t xml:space="preserve">(3, 89) = 3.029, </w:t>
      </w:r>
      <w:r w:rsidRPr="001C7D14">
        <w:rPr>
          <w:i/>
          <w:iCs/>
          <w:lang w:val="en-CA" w:eastAsia="en-US"/>
        </w:rPr>
        <w:t>p</w:t>
      </w:r>
      <w:r w:rsidRPr="001C7D14">
        <w:rPr>
          <w:lang w:val="en-CA" w:eastAsia="en-US"/>
        </w:rPr>
        <w:t xml:space="preserve"> &lt; </w:t>
      </w:r>
      <w:r w:rsidR="00CA6035">
        <w:rPr>
          <w:lang w:val="en-CA" w:eastAsia="en-US"/>
        </w:rPr>
        <w:t>0</w:t>
      </w:r>
      <w:r w:rsidRPr="001C7D14">
        <w:rPr>
          <w:lang w:val="en-CA" w:eastAsia="en-US"/>
        </w:rPr>
        <w:t xml:space="preserve">.05, adj. </w:t>
      </w:r>
      <w:r w:rsidRPr="001C7D14">
        <w:rPr>
          <w:i/>
          <w:iCs/>
          <w:lang w:val="en-CA" w:eastAsia="en-US"/>
        </w:rPr>
        <w:t>R</w:t>
      </w:r>
      <w:r w:rsidRPr="001C7D14">
        <w:rPr>
          <w:i/>
          <w:iCs/>
          <w:vertAlign w:val="superscript"/>
          <w:lang w:val="en-CA" w:eastAsia="en-US"/>
        </w:rPr>
        <w:t>2</w:t>
      </w:r>
      <w:r w:rsidRPr="001C7D14">
        <w:rPr>
          <w:lang w:val="en-CA" w:eastAsia="en-US"/>
        </w:rPr>
        <w:t xml:space="preserve"> = </w:t>
      </w:r>
      <w:r w:rsidR="00CA6035">
        <w:rPr>
          <w:lang w:val="en-CA" w:eastAsia="en-US"/>
        </w:rPr>
        <w:t>0</w:t>
      </w:r>
      <w:r w:rsidRPr="001C7D14">
        <w:rPr>
          <w:lang w:val="en-CA" w:eastAsia="en-US"/>
        </w:rPr>
        <w:t xml:space="preserve">.06. Increases in narcissism (β = 0.31, </w:t>
      </w:r>
      <w:r w:rsidRPr="001C7D14">
        <w:rPr>
          <w:i/>
          <w:iCs/>
          <w:lang w:val="en-CA" w:eastAsia="en-US"/>
        </w:rPr>
        <w:t>p</w:t>
      </w:r>
      <w:r w:rsidRPr="001C7D14">
        <w:rPr>
          <w:lang w:val="en-CA" w:eastAsia="en-US"/>
        </w:rPr>
        <w:t xml:space="preserve"> &lt; 0.01) were associated with increased emotional eng</w:t>
      </w:r>
      <w:r w:rsidR="00CA6035">
        <w:rPr>
          <w:lang w:val="en-CA" w:eastAsia="en-US"/>
        </w:rPr>
        <w:t>agement. Machiavellianism (β = –</w:t>
      </w:r>
      <w:r w:rsidRPr="001C7D14">
        <w:rPr>
          <w:lang w:val="en-CA" w:eastAsia="en-US"/>
        </w:rPr>
        <w:t xml:space="preserve">0.40, </w:t>
      </w:r>
      <w:r w:rsidRPr="001C7D14">
        <w:rPr>
          <w:i/>
          <w:iCs/>
          <w:lang w:val="en-CA" w:eastAsia="en-US"/>
        </w:rPr>
        <w:t>p</w:t>
      </w:r>
      <w:r w:rsidR="00CA6035">
        <w:rPr>
          <w:lang w:val="en-CA" w:eastAsia="en-US"/>
        </w:rPr>
        <w:t xml:space="preserve"> &gt; 0.05) and psychopathy (β = –</w:t>
      </w:r>
      <w:r w:rsidRPr="001C7D14">
        <w:rPr>
          <w:lang w:val="en-CA" w:eastAsia="en-US"/>
        </w:rPr>
        <w:t xml:space="preserve">0.17, </w:t>
      </w:r>
      <w:r w:rsidRPr="001C7D14">
        <w:rPr>
          <w:i/>
          <w:iCs/>
          <w:lang w:val="en-CA" w:eastAsia="en-US"/>
        </w:rPr>
        <w:t>p</w:t>
      </w:r>
      <w:r w:rsidRPr="001C7D14">
        <w:rPr>
          <w:lang w:val="en-CA" w:eastAsia="en-US"/>
        </w:rPr>
        <w:t xml:space="preserve"> &gt; 0.05) did not predict emotional engagement. </w:t>
      </w:r>
    </w:p>
    <w:p w14:paraId="796ECA06" w14:textId="58B02EB7" w:rsidR="00942DEE" w:rsidRPr="00B116B8" w:rsidRDefault="00CA6035" w:rsidP="00F829E8">
      <w:pPr>
        <w:rPr>
          <w:bCs/>
          <w:i/>
          <w:lang w:val="en-CA" w:eastAsia="en-US"/>
        </w:rPr>
      </w:pPr>
      <w:r>
        <w:rPr>
          <w:bCs/>
          <w:i/>
          <w:lang w:val="en-CA" w:eastAsia="en-US"/>
        </w:rPr>
        <w:lastRenderedPageBreak/>
        <w:t>Understanding of e</w:t>
      </w:r>
      <w:r w:rsidR="00942DEE" w:rsidRPr="00B116B8">
        <w:rPr>
          <w:bCs/>
          <w:i/>
          <w:lang w:val="en-CA" w:eastAsia="en-US"/>
        </w:rPr>
        <w:t>mployability</w:t>
      </w:r>
    </w:p>
    <w:p w14:paraId="2A493FFE" w14:textId="04BF8654" w:rsidR="00942DEE" w:rsidRDefault="00942DEE" w:rsidP="00CA6035">
      <w:pPr>
        <w:rPr>
          <w:lang w:val="en-CA" w:eastAsia="en-US"/>
        </w:rPr>
      </w:pPr>
      <w:r w:rsidRPr="001C7D14">
        <w:rPr>
          <w:lang w:val="en-CA" w:eastAsia="en-US"/>
        </w:rPr>
        <w:t>A multiple re</w:t>
      </w:r>
      <w:r w:rsidR="00D908B0">
        <w:rPr>
          <w:lang w:val="en-CA" w:eastAsia="en-US"/>
        </w:rPr>
        <w:t>gression was run to determine whether</w:t>
      </w:r>
      <w:r w:rsidRPr="001C7D14">
        <w:rPr>
          <w:lang w:val="en-CA" w:eastAsia="en-US"/>
        </w:rPr>
        <w:t xml:space="preserve"> DT traits predict understanding of employability</w:t>
      </w:r>
      <w:r w:rsidR="00D908B0">
        <w:rPr>
          <w:lang w:val="en-CA" w:eastAsia="en-US"/>
        </w:rPr>
        <w:t>. The model was non-significant:</w:t>
      </w:r>
      <w:r w:rsidRPr="001C7D14">
        <w:rPr>
          <w:lang w:val="en-CA" w:eastAsia="en-US"/>
        </w:rPr>
        <w:t xml:space="preserve"> </w:t>
      </w:r>
      <w:r w:rsidRPr="001C7D14">
        <w:rPr>
          <w:i/>
          <w:iCs/>
          <w:lang w:val="en-CA" w:eastAsia="en-US"/>
        </w:rPr>
        <w:t>F</w:t>
      </w:r>
      <w:r w:rsidRPr="001C7D14">
        <w:rPr>
          <w:lang w:val="en-CA" w:eastAsia="en-US"/>
        </w:rPr>
        <w:t xml:space="preserve">(3, 89) = 2.051, </w:t>
      </w:r>
      <w:r w:rsidRPr="001C7D14">
        <w:rPr>
          <w:i/>
          <w:iCs/>
          <w:lang w:val="en-CA" w:eastAsia="en-US"/>
        </w:rPr>
        <w:t>p</w:t>
      </w:r>
      <w:r w:rsidRPr="001C7D14">
        <w:rPr>
          <w:lang w:val="en-CA" w:eastAsia="en-US"/>
        </w:rPr>
        <w:t xml:space="preserve"> &gt; </w:t>
      </w:r>
      <w:r w:rsidR="00D908B0">
        <w:rPr>
          <w:lang w:val="en-CA" w:eastAsia="en-US"/>
        </w:rPr>
        <w:t>0</w:t>
      </w:r>
      <w:r w:rsidRPr="001C7D14">
        <w:rPr>
          <w:lang w:val="en-CA" w:eastAsia="en-US"/>
        </w:rPr>
        <w:t xml:space="preserve">.05. However, increases in narcissism were associated </w:t>
      </w:r>
      <w:r w:rsidR="00D908B0">
        <w:rPr>
          <w:lang w:val="en-CA" w:eastAsia="en-US"/>
        </w:rPr>
        <w:t>with increases in understanding:</w:t>
      </w:r>
      <w:r w:rsidRPr="001C7D14">
        <w:rPr>
          <w:lang w:val="en-CA" w:eastAsia="en-US"/>
        </w:rPr>
        <w:t xml:space="preserve"> β = 0.23, </w:t>
      </w:r>
      <w:r w:rsidRPr="001C7D14">
        <w:rPr>
          <w:i/>
          <w:iCs/>
          <w:lang w:val="en-CA" w:eastAsia="en-US"/>
        </w:rPr>
        <w:t>p</w:t>
      </w:r>
      <w:r w:rsidRPr="001C7D14">
        <w:rPr>
          <w:lang w:val="en-CA" w:eastAsia="en-US"/>
        </w:rPr>
        <w:t xml:space="preserve"> &lt; 0.05. Consequently, a linear regression was conducted to assess whether narcissism is independently predictive of understanding of employability. The resu</w:t>
      </w:r>
      <w:r w:rsidR="00EC4771">
        <w:rPr>
          <w:lang w:val="en-CA" w:eastAsia="en-US"/>
        </w:rPr>
        <w:t>lting model was non-significant:</w:t>
      </w:r>
      <w:r w:rsidRPr="001C7D14">
        <w:rPr>
          <w:lang w:val="en-CA" w:eastAsia="en-US"/>
        </w:rPr>
        <w:t xml:space="preserve"> </w:t>
      </w:r>
      <w:r w:rsidRPr="001C7D14">
        <w:rPr>
          <w:i/>
          <w:iCs/>
          <w:lang w:val="en-CA" w:eastAsia="en-US"/>
        </w:rPr>
        <w:t>F</w:t>
      </w:r>
      <w:r w:rsidRPr="001C7D14">
        <w:rPr>
          <w:lang w:val="en-CA" w:eastAsia="en-US"/>
        </w:rPr>
        <w:t xml:space="preserve">(1, 92) = 1.873, </w:t>
      </w:r>
      <w:r w:rsidRPr="001C7D14">
        <w:rPr>
          <w:i/>
          <w:iCs/>
          <w:lang w:val="en-CA" w:eastAsia="en-US"/>
        </w:rPr>
        <w:t>p</w:t>
      </w:r>
      <w:r w:rsidRPr="001C7D14">
        <w:rPr>
          <w:lang w:val="en-CA" w:eastAsia="en-US"/>
        </w:rPr>
        <w:t xml:space="preserve"> &gt; </w:t>
      </w:r>
      <w:r w:rsidR="00EC4771">
        <w:rPr>
          <w:lang w:val="en-CA" w:eastAsia="en-US"/>
        </w:rPr>
        <w:t>0</w:t>
      </w:r>
      <w:r w:rsidRPr="001C7D14">
        <w:rPr>
          <w:lang w:val="en-CA" w:eastAsia="en-US"/>
        </w:rPr>
        <w:t>.05. Thus, none of the DT traits predicted understanding of employability.</w:t>
      </w:r>
    </w:p>
    <w:p w14:paraId="429105A1" w14:textId="77777777" w:rsidR="00EC4771" w:rsidRPr="001C7D14" w:rsidRDefault="00EC4771" w:rsidP="00CA6035">
      <w:pPr>
        <w:rPr>
          <w:lang w:val="en-CA" w:eastAsia="en-US"/>
        </w:rPr>
      </w:pPr>
    </w:p>
    <w:p w14:paraId="5728B7D5" w14:textId="034F1169" w:rsidR="00942DEE" w:rsidRPr="00B116B8" w:rsidRDefault="00942DEE" w:rsidP="00F829E8">
      <w:pPr>
        <w:rPr>
          <w:bCs/>
          <w:i/>
          <w:lang w:val="en-CA" w:eastAsia="en-US"/>
        </w:rPr>
      </w:pPr>
      <w:r w:rsidRPr="00B116B8">
        <w:rPr>
          <w:bCs/>
          <w:i/>
          <w:lang w:val="en-CA" w:eastAsia="en-US"/>
        </w:rPr>
        <w:t xml:space="preserve">Attitudes </w:t>
      </w:r>
      <w:r w:rsidR="00EC4771" w:rsidRPr="00B116B8">
        <w:rPr>
          <w:bCs/>
          <w:i/>
          <w:lang w:val="en-CA" w:eastAsia="en-US"/>
        </w:rPr>
        <w:t>towards employability</w:t>
      </w:r>
    </w:p>
    <w:p w14:paraId="502147EF" w14:textId="1C394F7C" w:rsidR="00942DEE" w:rsidRPr="001C7D14" w:rsidRDefault="00942DEE" w:rsidP="00EC4771">
      <w:pPr>
        <w:rPr>
          <w:lang w:val="en-CA" w:eastAsia="en-US"/>
        </w:rPr>
      </w:pPr>
      <w:r w:rsidRPr="001C7D14">
        <w:rPr>
          <w:lang w:val="en-CA" w:eastAsia="en-US"/>
        </w:rPr>
        <w:t>A multiple regressi</w:t>
      </w:r>
      <w:r w:rsidR="00EC4771">
        <w:rPr>
          <w:lang w:val="en-CA" w:eastAsia="en-US"/>
        </w:rPr>
        <w:t>on was conducted to determine whether</w:t>
      </w:r>
      <w:r w:rsidRPr="001C7D14">
        <w:rPr>
          <w:lang w:val="en-CA" w:eastAsia="en-US"/>
        </w:rPr>
        <w:t xml:space="preserve"> DT traits predict attitudes towards employabi</w:t>
      </w:r>
      <w:r w:rsidR="00EC4771">
        <w:rPr>
          <w:lang w:val="en-CA" w:eastAsia="en-US"/>
        </w:rPr>
        <w:t>lity. The model was significant:</w:t>
      </w:r>
      <w:r w:rsidRPr="001C7D14">
        <w:rPr>
          <w:lang w:val="en-CA" w:eastAsia="en-US"/>
        </w:rPr>
        <w:t xml:space="preserve"> </w:t>
      </w:r>
      <w:r w:rsidRPr="001C7D14">
        <w:rPr>
          <w:i/>
          <w:iCs/>
          <w:lang w:val="en-CA" w:eastAsia="en-US"/>
        </w:rPr>
        <w:t>F</w:t>
      </w:r>
      <w:r w:rsidRPr="001C7D14">
        <w:rPr>
          <w:lang w:val="en-CA" w:eastAsia="en-US"/>
        </w:rPr>
        <w:t xml:space="preserve">(3, 89) = 4.826, </w:t>
      </w:r>
      <w:r w:rsidRPr="001C7D14">
        <w:rPr>
          <w:i/>
          <w:iCs/>
          <w:lang w:val="en-CA" w:eastAsia="en-US"/>
        </w:rPr>
        <w:t>p</w:t>
      </w:r>
      <w:r w:rsidRPr="001C7D14">
        <w:rPr>
          <w:lang w:val="en-CA" w:eastAsia="en-US"/>
        </w:rPr>
        <w:t xml:space="preserve"> &lt; </w:t>
      </w:r>
      <w:r w:rsidR="00EC4771">
        <w:rPr>
          <w:lang w:val="en-CA" w:eastAsia="en-US"/>
        </w:rPr>
        <w:t>0</w:t>
      </w:r>
      <w:r w:rsidRPr="001C7D14">
        <w:rPr>
          <w:lang w:val="en-CA" w:eastAsia="en-US"/>
        </w:rPr>
        <w:t xml:space="preserve">.01, adj. </w:t>
      </w:r>
      <w:r w:rsidRPr="001C7D14">
        <w:rPr>
          <w:i/>
          <w:iCs/>
          <w:lang w:val="en-CA" w:eastAsia="en-US"/>
        </w:rPr>
        <w:t>R</w:t>
      </w:r>
      <w:r w:rsidRPr="001C7D14">
        <w:rPr>
          <w:i/>
          <w:iCs/>
          <w:vertAlign w:val="superscript"/>
          <w:lang w:val="en-CA" w:eastAsia="en-US"/>
        </w:rPr>
        <w:t>2</w:t>
      </w:r>
      <w:r w:rsidRPr="001C7D14">
        <w:rPr>
          <w:lang w:val="en-CA" w:eastAsia="en-US"/>
        </w:rPr>
        <w:t xml:space="preserve"> = </w:t>
      </w:r>
      <w:r w:rsidR="00EC4771">
        <w:rPr>
          <w:lang w:val="en-CA" w:eastAsia="en-US"/>
        </w:rPr>
        <w:t>0</w:t>
      </w:r>
      <w:r w:rsidRPr="001C7D14">
        <w:rPr>
          <w:lang w:val="en-CA" w:eastAsia="en-US"/>
        </w:rPr>
        <w:t xml:space="preserve">.11. Increases in  narcissism (β = 0.28, </w:t>
      </w:r>
      <w:r w:rsidRPr="001C7D14">
        <w:rPr>
          <w:i/>
          <w:iCs/>
          <w:lang w:val="en-CA" w:eastAsia="en-US"/>
        </w:rPr>
        <w:t>p</w:t>
      </w:r>
      <w:r w:rsidRPr="001C7D14">
        <w:rPr>
          <w:lang w:val="en-CA" w:eastAsia="en-US"/>
        </w:rPr>
        <w:t xml:space="preserve"> = 0.01) and decreases in Machiavellianism (β = </w:t>
      </w:r>
      <w:r w:rsidR="00EC4771">
        <w:rPr>
          <w:lang w:val="en-CA" w:eastAsia="en-US"/>
        </w:rPr>
        <w:t>–</w:t>
      </w:r>
      <w:r w:rsidRPr="001C7D14">
        <w:rPr>
          <w:lang w:val="en-CA" w:eastAsia="en-US"/>
        </w:rPr>
        <w:t xml:space="preserve">0.23, </w:t>
      </w:r>
      <w:r w:rsidRPr="001C7D14">
        <w:rPr>
          <w:i/>
          <w:iCs/>
          <w:lang w:val="en-CA" w:eastAsia="en-US"/>
        </w:rPr>
        <w:t>p</w:t>
      </w:r>
      <w:r w:rsidRPr="001C7D14">
        <w:rPr>
          <w:lang w:val="en-CA" w:eastAsia="en-US"/>
        </w:rPr>
        <w:t xml:space="preserve"> &lt; 0.05) were both associated with more positive attitudes towards emplo</w:t>
      </w:r>
      <w:r w:rsidR="00EC4771">
        <w:rPr>
          <w:lang w:val="en-CA" w:eastAsia="en-US"/>
        </w:rPr>
        <w:t>yability, but psychopathy (β = –</w:t>
      </w:r>
      <w:r w:rsidRPr="001C7D14">
        <w:rPr>
          <w:lang w:val="en-CA" w:eastAsia="en-US"/>
        </w:rPr>
        <w:t xml:space="preserve">0.21, </w:t>
      </w:r>
      <w:r w:rsidRPr="001C7D14">
        <w:rPr>
          <w:i/>
          <w:iCs/>
          <w:lang w:val="en-CA" w:eastAsia="en-US"/>
        </w:rPr>
        <w:t>p</w:t>
      </w:r>
      <w:r w:rsidRPr="001C7D14">
        <w:rPr>
          <w:lang w:val="en-CA" w:eastAsia="en-US"/>
        </w:rPr>
        <w:t xml:space="preserve"> &gt; 0.05) was not. </w:t>
      </w:r>
    </w:p>
    <w:p w14:paraId="5DAB1299" w14:textId="77777777" w:rsidR="00EC4771" w:rsidRDefault="00EC4771" w:rsidP="00F829E8">
      <w:pPr>
        <w:jc w:val="center"/>
        <w:rPr>
          <w:b/>
          <w:bCs/>
          <w:lang w:val="en-CA" w:eastAsia="en-US"/>
        </w:rPr>
      </w:pPr>
    </w:p>
    <w:p w14:paraId="27D188B2" w14:textId="36869E93" w:rsidR="00942DEE" w:rsidRPr="001C7D14" w:rsidRDefault="00942DEE" w:rsidP="00EC4771">
      <w:pPr>
        <w:rPr>
          <w:b/>
          <w:bCs/>
          <w:lang w:val="en-CA" w:eastAsia="en-US"/>
        </w:rPr>
      </w:pPr>
      <w:r w:rsidRPr="001C7D14">
        <w:rPr>
          <w:b/>
          <w:bCs/>
          <w:lang w:val="en-CA" w:eastAsia="en-US"/>
        </w:rPr>
        <w:t>Discussion</w:t>
      </w:r>
    </w:p>
    <w:p w14:paraId="2C75EB95" w14:textId="00F55DCA" w:rsidR="00942DEE" w:rsidRPr="001C7D14" w:rsidRDefault="00942DEE" w:rsidP="00EC4771">
      <w:pPr>
        <w:rPr>
          <w:lang w:val="en-CA" w:eastAsia="en-US"/>
        </w:rPr>
      </w:pPr>
      <w:r w:rsidRPr="001C7D14">
        <w:rPr>
          <w:lang w:val="en-CA" w:eastAsia="en-US"/>
        </w:rPr>
        <w:t>Despite the well-documented associations between personality traits and positive academic outcomes (e.g., Chamorro-</w:t>
      </w:r>
      <w:proofErr w:type="spellStart"/>
      <w:r w:rsidRPr="001C7D14">
        <w:rPr>
          <w:lang w:val="en-CA" w:eastAsia="en-US"/>
        </w:rPr>
        <w:t>Premuzic</w:t>
      </w:r>
      <w:proofErr w:type="spellEnd"/>
      <w:r w:rsidRPr="001C7D14">
        <w:rPr>
          <w:lang w:val="en-CA" w:eastAsia="en-US"/>
        </w:rPr>
        <w:t xml:space="preserve"> </w:t>
      </w:r>
      <w:r w:rsidR="00AD4AA7" w:rsidRPr="001C7D14">
        <w:rPr>
          <w:lang w:val="en-CA" w:eastAsia="en-US"/>
        </w:rPr>
        <w:t>and</w:t>
      </w:r>
      <w:r w:rsidRPr="001C7D14">
        <w:rPr>
          <w:lang w:val="en-CA" w:eastAsia="en-US"/>
        </w:rPr>
        <w:t xml:space="preserve"> Furnham, 2003; Jensen, 2015; </w:t>
      </w:r>
      <w:proofErr w:type="spellStart"/>
      <w:r w:rsidRPr="001C7D14">
        <w:rPr>
          <w:lang w:val="en-CA" w:eastAsia="en-US"/>
        </w:rPr>
        <w:t>Khatibi</w:t>
      </w:r>
      <w:proofErr w:type="spellEnd"/>
      <w:r w:rsidRPr="001C7D14">
        <w:rPr>
          <w:lang w:val="en-CA" w:eastAsia="en-US"/>
        </w:rPr>
        <w:t xml:space="preserve"> </w:t>
      </w:r>
      <w:r w:rsidR="00AD4AA7" w:rsidRPr="001C7D14">
        <w:rPr>
          <w:lang w:val="en-CA" w:eastAsia="en-US"/>
        </w:rPr>
        <w:t>and</w:t>
      </w:r>
      <w:r w:rsidRPr="001C7D14">
        <w:rPr>
          <w:lang w:val="en-CA" w:eastAsia="en-US"/>
        </w:rPr>
        <w:t xml:space="preserve"> </w:t>
      </w:r>
      <w:proofErr w:type="spellStart"/>
      <w:r w:rsidRPr="001C7D14">
        <w:rPr>
          <w:lang w:val="en-CA" w:eastAsia="en-US"/>
        </w:rPr>
        <w:t>Khormaei</w:t>
      </w:r>
      <w:proofErr w:type="spellEnd"/>
      <w:r w:rsidRPr="001C7D14">
        <w:rPr>
          <w:lang w:val="en-CA" w:eastAsia="en-US"/>
        </w:rPr>
        <w:t xml:space="preserve">, 2016), existing research tends to utilise the FFM of prosocial traits when investigating the impact of personality on engagement or students’ approaches to employability. Thus, the aim of this study was to ascertain whether socially aversive personality traits (the Dark Triad; </w:t>
      </w:r>
      <w:proofErr w:type="spellStart"/>
      <w:r w:rsidRPr="001C7D14">
        <w:rPr>
          <w:lang w:val="en-CA" w:eastAsia="en-US"/>
        </w:rPr>
        <w:t>Paulhus</w:t>
      </w:r>
      <w:proofErr w:type="spellEnd"/>
      <w:r w:rsidRPr="001C7D14">
        <w:rPr>
          <w:lang w:val="en-CA" w:eastAsia="en-US"/>
        </w:rPr>
        <w:t xml:space="preserve"> </w:t>
      </w:r>
      <w:r w:rsidR="00AD4AA7" w:rsidRPr="001C7D14">
        <w:rPr>
          <w:lang w:val="en-CA" w:eastAsia="en-US"/>
        </w:rPr>
        <w:t>and</w:t>
      </w:r>
      <w:r w:rsidRPr="001C7D14">
        <w:rPr>
          <w:lang w:val="en-CA" w:eastAsia="en-US"/>
        </w:rPr>
        <w:t xml:space="preserve"> Williams, 2002) predict different levels of student</w:t>
      </w:r>
      <w:r w:rsidR="00712D98">
        <w:rPr>
          <w:lang w:val="en-CA" w:eastAsia="en-US"/>
        </w:rPr>
        <w:t>s’</w:t>
      </w:r>
      <w:r w:rsidRPr="001C7D14">
        <w:rPr>
          <w:lang w:val="en-CA" w:eastAsia="en-US"/>
        </w:rPr>
        <w:t xml:space="preserve"> engagement</w:t>
      </w:r>
      <w:r w:rsidR="007572B1" w:rsidRPr="001C7D14">
        <w:rPr>
          <w:lang w:val="en-CA" w:eastAsia="en-US"/>
        </w:rPr>
        <w:t xml:space="preserve"> </w:t>
      </w:r>
      <w:r w:rsidR="007A325E" w:rsidRPr="00712D98">
        <w:rPr>
          <w:lang w:val="en-CA" w:eastAsia="en-US"/>
        </w:rPr>
        <w:t>with their modules</w:t>
      </w:r>
      <w:r w:rsidRPr="00712D98">
        <w:rPr>
          <w:lang w:val="en-CA" w:eastAsia="en-US"/>
        </w:rPr>
        <w:t xml:space="preserve">; </w:t>
      </w:r>
      <w:r w:rsidRPr="001C7D14">
        <w:rPr>
          <w:lang w:val="en-CA" w:eastAsia="en-US"/>
        </w:rPr>
        <w:t>students’ understanding of employability; or students’ attitudes towards employability.</w:t>
      </w:r>
    </w:p>
    <w:p w14:paraId="42DB8194" w14:textId="77777777" w:rsidR="00942DEE" w:rsidRPr="001C7D14" w:rsidRDefault="00942DEE" w:rsidP="00F829E8">
      <w:pPr>
        <w:ind w:firstLine="720"/>
        <w:rPr>
          <w:lang w:val="en-CA" w:eastAsia="en-US"/>
        </w:rPr>
      </w:pPr>
      <w:r w:rsidRPr="001C7D14">
        <w:rPr>
          <w:lang w:val="en-CA" w:eastAsia="en-US"/>
        </w:rPr>
        <w:lastRenderedPageBreak/>
        <w:t>Following Qureshi and colleagues (2016), it was hypothesised (H1) that the three DT traits would predict lower levels of all types of engagement. This hypothesis was only partially supported, with psychopathy negatively predicting general engagement. Pearson’s correlations indicated that psychopathy was also negatively associated with cognitive engagement; thus, psychopathy may be linked in some way to lower levels of cognitive engagement. However, unlike the relationship between psychopathy and general engagement, this trait cannot be said to be causally related to cognitive engagement. Meanwhile, narcissism was found to be positively predictive of both general and emotional engagement, contradicting what was predicted in H1. Lastly, Machiavellianism was not found to predict any level of student engagement in this study.</w:t>
      </w:r>
    </w:p>
    <w:p w14:paraId="7A06EB6B" w14:textId="2510F947" w:rsidR="00942DEE" w:rsidRPr="001C7D14" w:rsidRDefault="00942DEE" w:rsidP="00F829E8">
      <w:pPr>
        <w:ind w:firstLine="720"/>
        <w:rPr>
          <w:lang w:val="en-CA" w:eastAsia="en-US"/>
        </w:rPr>
      </w:pPr>
      <w:r w:rsidRPr="001C7D14">
        <w:rPr>
          <w:lang w:val="en-CA" w:eastAsia="en-US"/>
        </w:rPr>
        <w:t>It was further hypothesised (H2) that DT traits would negatively predict students’ understanding of employability (</w:t>
      </w:r>
      <w:proofErr w:type="spellStart"/>
      <w:r w:rsidRPr="001C7D14">
        <w:rPr>
          <w:lang w:val="en-CA" w:eastAsia="en-US"/>
        </w:rPr>
        <w:t>Neneh</w:t>
      </w:r>
      <w:proofErr w:type="spellEnd"/>
      <w:r w:rsidRPr="001C7D14">
        <w:rPr>
          <w:lang w:val="en-CA" w:eastAsia="en-US"/>
        </w:rPr>
        <w:t>, 2019). This was not supported by the study’s results, as n</w:t>
      </w:r>
      <w:r w:rsidR="00712D98">
        <w:rPr>
          <w:lang w:val="en-CA" w:eastAsia="en-US"/>
        </w:rPr>
        <w:t xml:space="preserve">either psychopathy, narcissism </w:t>
      </w:r>
      <w:r w:rsidRPr="001C7D14">
        <w:rPr>
          <w:lang w:val="en-CA" w:eastAsia="en-US"/>
        </w:rPr>
        <w:t>nor Machiavellianism were predictive of this construct. Finally, the prediction (H3) that DT traits would positively predict attitudes towards employability (</w:t>
      </w:r>
      <w:proofErr w:type="spellStart"/>
      <w:r w:rsidRPr="001C7D14">
        <w:rPr>
          <w:lang w:val="en-CA" w:eastAsia="en-US"/>
        </w:rPr>
        <w:t>Kajonius</w:t>
      </w:r>
      <w:proofErr w:type="spellEnd"/>
      <w:r w:rsidRPr="001C7D14">
        <w:rPr>
          <w:lang w:val="en-CA" w:eastAsia="en-US"/>
        </w:rPr>
        <w:t xml:space="preserve"> et al., 2015) was partially supported. Narcissism positively predicted attitudes, but Machiavellianism was negatively predictive of attitudes towards employability. Psychopathy did not predict this construct.</w:t>
      </w:r>
    </w:p>
    <w:p w14:paraId="76827435" w14:textId="44F3B03F" w:rsidR="00942DEE" w:rsidRPr="001C7D14" w:rsidRDefault="00942DEE" w:rsidP="00F829E8">
      <w:pPr>
        <w:ind w:firstLine="720"/>
        <w:rPr>
          <w:lang w:val="en-CA" w:eastAsia="en-US"/>
        </w:rPr>
      </w:pPr>
      <w:r w:rsidRPr="001C7D14">
        <w:rPr>
          <w:lang w:val="en-CA" w:eastAsia="en-US"/>
        </w:rPr>
        <w:t>Taken together, it appears that subclinical narcissism is positively predictive of general and emotional engagement, as well as attitudes towards employability. Meanwhile, high scores on psychopathy predict lower levels of general engagement</w:t>
      </w:r>
      <w:r w:rsidR="007A325E" w:rsidRPr="00712D98">
        <w:rPr>
          <w:lang w:val="en-CA" w:eastAsia="en-US"/>
        </w:rPr>
        <w:t xml:space="preserve"> with learning</w:t>
      </w:r>
      <w:r w:rsidRPr="00712D98">
        <w:rPr>
          <w:lang w:val="en-CA" w:eastAsia="en-US"/>
        </w:rPr>
        <w:t>,</w:t>
      </w:r>
      <w:r w:rsidRPr="001C7D14">
        <w:rPr>
          <w:lang w:val="en-CA" w:eastAsia="en-US"/>
        </w:rPr>
        <w:t xml:space="preserve"> and scoring high on Machiavellianism is predictive of holding less positive attitudes towards employability. </w:t>
      </w:r>
    </w:p>
    <w:p w14:paraId="24A5307E" w14:textId="31577C77" w:rsidR="004A0F18" w:rsidRPr="001C7D14" w:rsidRDefault="00942DEE" w:rsidP="00F829E8">
      <w:pPr>
        <w:ind w:firstLine="720"/>
        <w:rPr>
          <w:lang w:val="en-CA" w:eastAsia="en-US"/>
        </w:rPr>
      </w:pPr>
      <w:r w:rsidRPr="001C7D14">
        <w:rPr>
          <w:lang w:val="en-CA" w:eastAsia="en-US"/>
        </w:rPr>
        <w:t xml:space="preserve">It is also worth noting that all types of engagement (general, behavioural, emotional </w:t>
      </w:r>
      <w:r w:rsidR="00712D98">
        <w:rPr>
          <w:lang w:val="en-CA" w:eastAsia="en-US"/>
        </w:rPr>
        <w:t xml:space="preserve">and cognitive) yielded moderate to </w:t>
      </w:r>
      <w:r w:rsidRPr="001C7D14">
        <w:rPr>
          <w:lang w:val="en-CA" w:eastAsia="en-US"/>
        </w:rPr>
        <w:t xml:space="preserve">high positive correlations with one another (Table 1), and both understanding of employability and attitudes towards employability were positively </w:t>
      </w:r>
      <w:r w:rsidRPr="001C7D14">
        <w:rPr>
          <w:lang w:val="en-CA" w:eastAsia="en-US"/>
        </w:rPr>
        <w:lastRenderedPageBreak/>
        <w:t>correlated with general, cognitive and emotional engagement. This illustrates that</w:t>
      </w:r>
      <w:r w:rsidR="00712D98">
        <w:rPr>
          <w:lang w:val="en-CA" w:eastAsia="en-US"/>
        </w:rPr>
        <w:t>,</w:t>
      </w:r>
      <w:r w:rsidRPr="001C7D14">
        <w:rPr>
          <w:lang w:val="en-CA" w:eastAsia="en-US"/>
        </w:rPr>
        <w:t xml:space="preserve"> althoug</w:t>
      </w:r>
      <w:r w:rsidR="00712D98">
        <w:rPr>
          <w:lang w:val="en-CA" w:eastAsia="en-US"/>
        </w:rPr>
        <w:t>h student engagement is a multi</w:t>
      </w:r>
      <w:r w:rsidRPr="001C7D14">
        <w:rPr>
          <w:lang w:val="en-CA" w:eastAsia="en-US"/>
        </w:rPr>
        <w:t xml:space="preserve">faceted construct, it is unlikely that a student will exhibit high levels of one type of engagement without also being strongly engaged on the other dimensions. Moreover, students who demonstrate high levels of engagement tend to understand the concept of employability and hold positive attitudes towards it; the only exception is for behavioural engagement, which was not linked to employability in this study. This pattern indicates that students who are engaged on general, emotional and cognitive levels with their learning are likely to simultaneously engage with the concept of employability and believe in its value. However, this link disappears if the student is only engaged behaviourally, whereby they complete their tasks and attend classes as required, but fail to do the deeper work of engaging with course material on emotional or cognitive levels. </w:t>
      </w:r>
      <w:r w:rsidR="00FA2FA0" w:rsidRPr="001C7D14">
        <w:rPr>
          <w:lang w:val="en-CA" w:eastAsia="en-US"/>
        </w:rPr>
        <w:t xml:space="preserve">This pattern illustrates the necessity of fostering holistic engagement in students, whereby behavioural, cognitive and affective engagement are all targeted in the curricula and mode of delivery. </w:t>
      </w:r>
    </w:p>
    <w:p w14:paraId="05B11DB4" w14:textId="49CCACFB" w:rsidR="00942DEE" w:rsidRPr="008A109C" w:rsidRDefault="00FA2FA0" w:rsidP="00F829E8">
      <w:pPr>
        <w:ind w:firstLine="720"/>
        <w:rPr>
          <w:lang w:val="en-CA" w:eastAsia="en-US"/>
        </w:rPr>
      </w:pPr>
      <w:r w:rsidRPr="008A109C">
        <w:rPr>
          <w:lang w:val="en-CA" w:eastAsia="en-US"/>
        </w:rPr>
        <w:t xml:space="preserve">Furthermore, research by </w:t>
      </w:r>
      <w:proofErr w:type="spellStart"/>
      <w:r w:rsidRPr="008A109C">
        <w:rPr>
          <w:lang w:val="en-CA" w:eastAsia="en-US"/>
        </w:rPr>
        <w:t>Trowler</w:t>
      </w:r>
      <w:proofErr w:type="spellEnd"/>
      <w:r w:rsidRPr="008A109C">
        <w:rPr>
          <w:lang w:val="en-CA" w:eastAsia="en-US"/>
        </w:rPr>
        <w:t xml:space="preserve"> (2015) built on the tripartite model of engagement presented by </w:t>
      </w:r>
      <w:proofErr w:type="spellStart"/>
      <w:r w:rsidRPr="008A109C">
        <w:rPr>
          <w:lang w:val="en-CA" w:eastAsia="en-US"/>
        </w:rPr>
        <w:t>Frederiks</w:t>
      </w:r>
      <w:proofErr w:type="spellEnd"/>
      <w:r w:rsidRPr="008A109C">
        <w:rPr>
          <w:lang w:val="en-CA" w:eastAsia="en-US"/>
        </w:rPr>
        <w:t xml:space="preserve"> et al. (2004) suggesting that</w:t>
      </w:r>
      <w:r w:rsidR="00744895">
        <w:rPr>
          <w:lang w:val="en-CA" w:eastAsia="en-US"/>
        </w:rPr>
        <w:t xml:space="preserve">, </w:t>
      </w:r>
      <w:r w:rsidRPr="008A109C">
        <w:rPr>
          <w:lang w:val="en-CA" w:eastAsia="en-US"/>
        </w:rPr>
        <w:t xml:space="preserve">although these three types of engagement adequately represent </w:t>
      </w:r>
      <w:r w:rsidR="009B5C8E" w:rsidRPr="008A109C">
        <w:rPr>
          <w:lang w:val="en-CA" w:eastAsia="en-US"/>
        </w:rPr>
        <w:t xml:space="preserve">the type of learning that is </w:t>
      </w:r>
      <w:r w:rsidR="00744895">
        <w:rPr>
          <w:lang w:val="en-CA" w:eastAsia="en-US"/>
        </w:rPr>
        <w:t>effected</w:t>
      </w:r>
      <w:r w:rsidR="009B5C8E" w:rsidRPr="008A109C">
        <w:rPr>
          <w:lang w:val="en-CA" w:eastAsia="en-US"/>
        </w:rPr>
        <w:t xml:space="preserve"> in further education (college), several additional facets of engagement can be considered to differentiate students’ experiences of learning in higher education. These facets are critical</w:t>
      </w:r>
      <w:r w:rsidR="004A0F18" w:rsidRPr="008A109C">
        <w:rPr>
          <w:lang w:val="en-CA" w:eastAsia="en-US"/>
        </w:rPr>
        <w:t xml:space="preserve"> (the student’s orientation to authority)</w:t>
      </w:r>
      <w:r w:rsidR="009B5C8E" w:rsidRPr="008A109C">
        <w:rPr>
          <w:lang w:val="en-CA" w:eastAsia="en-US"/>
        </w:rPr>
        <w:t>, political</w:t>
      </w:r>
      <w:r w:rsidR="004A0F18" w:rsidRPr="008A109C">
        <w:rPr>
          <w:lang w:val="en-CA" w:eastAsia="en-US"/>
        </w:rPr>
        <w:t xml:space="preserve"> (the student’s agency)</w:t>
      </w:r>
      <w:r w:rsidR="009B5C8E" w:rsidRPr="008A109C">
        <w:rPr>
          <w:lang w:val="en-CA" w:eastAsia="en-US"/>
        </w:rPr>
        <w:t xml:space="preserve"> and socio-cultural</w:t>
      </w:r>
      <w:r w:rsidR="004A0F18" w:rsidRPr="008A109C">
        <w:rPr>
          <w:lang w:val="en-CA" w:eastAsia="en-US"/>
        </w:rPr>
        <w:t xml:space="preserve"> engagement (the student’s relationship to structures, systems and processes)</w:t>
      </w:r>
      <w:r w:rsidR="009B5C8E" w:rsidRPr="008A109C">
        <w:rPr>
          <w:lang w:val="en-CA" w:eastAsia="en-US"/>
        </w:rPr>
        <w:t xml:space="preserve">. According to </w:t>
      </w:r>
      <w:proofErr w:type="spellStart"/>
      <w:r w:rsidR="009B5C8E" w:rsidRPr="008A109C">
        <w:rPr>
          <w:lang w:val="en-CA" w:eastAsia="en-US"/>
        </w:rPr>
        <w:t>Trowler</w:t>
      </w:r>
      <w:proofErr w:type="spellEnd"/>
      <w:r w:rsidR="009B5C8E" w:rsidRPr="008A109C">
        <w:rPr>
          <w:lang w:val="en-CA" w:eastAsia="en-US"/>
        </w:rPr>
        <w:t xml:space="preserve"> et al. (2021), this expanded, more nuanced model of student engagement better captures the student experience in higher education, and </w:t>
      </w:r>
      <w:r w:rsidR="004A0F18" w:rsidRPr="008A109C">
        <w:rPr>
          <w:lang w:val="en-CA" w:eastAsia="en-US"/>
        </w:rPr>
        <w:t xml:space="preserve">it is important to acknowledge that </w:t>
      </w:r>
      <w:r w:rsidR="000470E1" w:rsidRPr="008A109C">
        <w:rPr>
          <w:lang w:val="en-CA" w:eastAsia="en-US"/>
        </w:rPr>
        <w:t xml:space="preserve">their </w:t>
      </w:r>
      <w:r w:rsidR="004A0F18" w:rsidRPr="008A109C">
        <w:rPr>
          <w:lang w:val="en-CA" w:eastAsia="en-US"/>
        </w:rPr>
        <w:t xml:space="preserve">engagement </w:t>
      </w:r>
      <w:r w:rsidR="000470E1" w:rsidRPr="008A109C">
        <w:rPr>
          <w:lang w:val="en-CA" w:eastAsia="en-US"/>
        </w:rPr>
        <w:t>will be</w:t>
      </w:r>
      <w:r w:rsidR="004A0F18" w:rsidRPr="008A109C">
        <w:rPr>
          <w:lang w:val="en-CA" w:eastAsia="en-US"/>
        </w:rPr>
        <w:t xml:space="preserve"> fluid and multifaceted</w:t>
      </w:r>
      <w:r w:rsidR="000470E1" w:rsidRPr="008A109C">
        <w:rPr>
          <w:lang w:val="en-CA" w:eastAsia="en-US"/>
        </w:rPr>
        <w:t>. Thus, all types of engagement must be targeted by HEIs, with the understanding that not all types will be achieved at all times (</w:t>
      </w:r>
      <w:proofErr w:type="spellStart"/>
      <w:r w:rsidR="000470E1" w:rsidRPr="008A109C">
        <w:rPr>
          <w:lang w:val="en-CA" w:eastAsia="en-US"/>
        </w:rPr>
        <w:t>Trowler</w:t>
      </w:r>
      <w:proofErr w:type="spellEnd"/>
      <w:r w:rsidR="000470E1" w:rsidRPr="008A109C">
        <w:rPr>
          <w:lang w:val="en-CA" w:eastAsia="en-US"/>
        </w:rPr>
        <w:t xml:space="preserve"> et al., 2021), but this is </w:t>
      </w:r>
      <w:r w:rsidR="000470E1" w:rsidRPr="008A109C">
        <w:rPr>
          <w:lang w:val="en-CA" w:eastAsia="en-US"/>
        </w:rPr>
        <w:lastRenderedPageBreak/>
        <w:t>part of the student’s journey through higher education as they become graduate workers and citizens (</w:t>
      </w:r>
      <w:proofErr w:type="spellStart"/>
      <w:r w:rsidR="000470E1" w:rsidRPr="008A109C">
        <w:rPr>
          <w:lang w:val="en-CA" w:eastAsia="en-US"/>
        </w:rPr>
        <w:t>Artess</w:t>
      </w:r>
      <w:proofErr w:type="spellEnd"/>
      <w:r w:rsidR="000470E1" w:rsidRPr="008A109C">
        <w:rPr>
          <w:lang w:val="en-CA" w:eastAsia="en-US"/>
        </w:rPr>
        <w:t xml:space="preserve"> et al., 2017).</w:t>
      </w:r>
    </w:p>
    <w:p w14:paraId="04766EC2" w14:textId="74925BF2" w:rsidR="00FD5A28" w:rsidRPr="00744895" w:rsidRDefault="00942DEE" w:rsidP="00F829E8">
      <w:pPr>
        <w:ind w:firstLine="720"/>
        <w:rPr>
          <w:lang w:val="en-CA" w:eastAsia="en-US"/>
        </w:rPr>
      </w:pPr>
      <w:r w:rsidRPr="001C7D14">
        <w:rPr>
          <w:lang w:val="en-CA" w:eastAsia="en-US"/>
        </w:rPr>
        <w:t xml:space="preserve">Although it was </w:t>
      </w:r>
      <w:r w:rsidR="000470E1" w:rsidRPr="001C7D14">
        <w:rPr>
          <w:lang w:val="en-CA" w:eastAsia="en-US"/>
        </w:rPr>
        <w:t>not predicted that</w:t>
      </w:r>
      <w:r w:rsidRPr="001C7D14">
        <w:rPr>
          <w:lang w:val="en-CA" w:eastAsia="en-US"/>
        </w:rPr>
        <w:t xml:space="preserve"> narcissism</w:t>
      </w:r>
      <w:r w:rsidR="000470E1" w:rsidRPr="001C7D14">
        <w:rPr>
          <w:lang w:val="en-CA" w:eastAsia="en-US"/>
        </w:rPr>
        <w:t xml:space="preserve"> would</w:t>
      </w:r>
      <w:r w:rsidRPr="001C7D14">
        <w:rPr>
          <w:lang w:val="en-CA" w:eastAsia="en-US"/>
        </w:rPr>
        <w:t xml:space="preserve"> positively predict general and emotional engagement, this finding may be explained by the aforementioned associations between this trait and academic entitlement (Turnipseed </w:t>
      </w:r>
      <w:r w:rsidR="00AD4AA7" w:rsidRPr="001C7D14">
        <w:rPr>
          <w:lang w:val="en-CA" w:eastAsia="en-US"/>
        </w:rPr>
        <w:t>and</w:t>
      </w:r>
      <w:r w:rsidRPr="001C7D14">
        <w:rPr>
          <w:lang w:val="en-CA" w:eastAsia="en-US"/>
        </w:rPr>
        <w:t xml:space="preserve"> Cohen, 2015) and power (</w:t>
      </w:r>
      <w:proofErr w:type="spellStart"/>
      <w:r w:rsidRPr="001C7D14">
        <w:rPr>
          <w:lang w:val="en-CA" w:eastAsia="en-US"/>
        </w:rPr>
        <w:t>Kajonius</w:t>
      </w:r>
      <w:proofErr w:type="spellEnd"/>
      <w:r w:rsidRPr="001C7D14">
        <w:rPr>
          <w:lang w:val="en-CA" w:eastAsia="en-US"/>
        </w:rPr>
        <w:t xml:space="preserve"> et al., 2015). For instance, students who score high on narcissism are likely to have </w:t>
      </w:r>
      <w:r w:rsidR="00744895">
        <w:rPr>
          <w:lang w:val="en-CA" w:eastAsia="en-US"/>
        </w:rPr>
        <w:t xml:space="preserve">a </w:t>
      </w:r>
      <w:r w:rsidRPr="001C7D14">
        <w:rPr>
          <w:lang w:val="en-CA" w:eastAsia="en-US"/>
        </w:rPr>
        <w:t xml:space="preserve">strong motivation for career success, requiring some degree of engagement with </w:t>
      </w:r>
      <w:r w:rsidR="00744895">
        <w:rPr>
          <w:lang w:val="en-CA" w:eastAsia="en-US"/>
        </w:rPr>
        <w:t>their</w:t>
      </w:r>
      <w:r w:rsidRPr="001C7D14">
        <w:rPr>
          <w:lang w:val="en-CA" w:eastAsia="en-US"/>
        </w:rPr>
        <w:t xml:space="preserve"> studies. However, because they feel entitled to high grades with little effort, they may deem it unnecessary to engage with course material or activities on a behavioural or cognitive level, believing that they can and should succeed academically without exerting this effort. Nonetheless, this proposition does not explain why this study did not find negative </w:t>
      </w:r>
      <w:r w:rsidR="000470E1" w:rsidRPr="001C7D14">
        <w:rPr>
          <w:lang w:val="en-CA" w:eastAsia="en-US"/>
        </w:rPr>
        <w:t xml:space="preserve">causal </w:t>
      </w:r>
      <w:r w:rsidRPr="001C7D14">
        <w:rPr>
          <w:lang w:val="en-CA" w:eastAsia="en-US"/>
        </w:rPr>
        <w:t>relationships between narcissism and behavioural or cognitive engagement</w:t>
      </w:r>
      <w:r w:rsidR="00744895">
        <w:rPr>
          <w:lang w:val="en-CA" w:eastAsia="en-US"/>
        </w:rPr>
        <w:t>,</w:t>
      </w:r>
      <w:r w:rsidRPr="001C7D14">
        <w:rPr>
          <w:lang w:val="en-CA" w:eastAsia="en-US"/>
        </w:rPr>
        <w:t xml:space="preserve"> between psychopathy and cognitive, behavioural</w:t>
      </w:r>
      <w:r w:rsidR="00744895">
        <w:rPr>
          <w:lang w:val="en-CA" w:eastAsia="en-US"/>
        </w:rPr>
        <w:t xml:space="preserve"> </w:t>
      </w:r>
      <w:r w:rsidRPr="001C7D14">
        <w:rPr>
          <w:lang w:val="en-CA" w:eastAsia="en-US"/>
        </w:rPr>
        <w:t>or emotional engagement</w:t>
      </w:r>
      <w:r w:rsidR="00744895">
        <w:rPr>
          <w:lang w:val="en-CA" w:eastAsia="en-US"/>
        </w:rPr>
        <w:t>,</w:t>
      </w:r>
      <w:r w:rsidRPr="001C7D14">
        <w:rPr>
          <w:lang w:val="en-CA" w:eastAsia="en-US"/>
        </w:rPr>
        <w:t xml:space="preserve"> or between Machiavellianism and any level of engagement.</w:t>
      </w:r>
      <w:r w:rsidR="000470E1" w:rsidRPr="001C7D14">
        <w:rPr>
          <w:lang w:val="en-CA" w:eastAsia="en-US"/>
        </w:rPr>
        <w:t xml:space="preserve"> </w:t>
      </w:r>
      <w:r w:rsidR="009F4301" w:rsidRPr="00744895">
        <w:rPr>
          <w:lang w:val="en-CA" w:eastAsia="en-US"/>
        </w:rPr>
        <w:t xml:space="preserve">However, perhaps the lack of negative relationships between these traits and various types of engagement can be explained by the </w:t>
      </w:r>
      <w:r w:rsidR="00FD5A28" w:rsidRPr="00744895">
        <w:rPr>
          <w:lang w:val="en-CA" w:eastAsia="en-US"/>
        </w:rPr>
        <w:t xml:space="preserve">fact that employability is increasingly embedded in the curricula. </w:t>
      </w:r>
      <w:r w:rsidR="001703CB" w:rsidRPr="00744895">
        <w:rPr>
          <w:lang w:val="en-CA" w:eastAsia="en-US"/>
        </w:rPr>
        <w:t xml:space="preserve">It is emphasised in the literature that today’s university students are acutely aware of the competitiveness of the job market (Chan, 2012; </w:t>
      </w:r>
      <w:proofErr w:type="spellStart"/>
      <w:r w:rsidR="001703CB" w:rsidRPr="00744895">
        <w:rPr>
          <w:lang w:val="en-CA" w:eastAsia="en-US"/>
        </w:rPr>
        <w:t>Fotiadou</w:t>
      </w:r>
      <w:proofErr w:type="spellEnd"/>
      <w:r w:rsidR="001703CB" w:rsidRPr="00744895">
        <w:rPr>
          <w:lang w:val="en-CA" w:eastAsia="en-US"/>
        </w:rPr>
        <w:t>, 2020), and that their participation in higher education is often largely motivated by the desire to make themselves more employable (</w:t>
      </w:r>
      <w:proofErr w:type="spellStart"/>
      <w:r w:rsidR="001703CB" w:rsidRPr="00744895">
        <w:rPr>
          <w:lang w:val="en-CA" w:eastAsia="en-US"/>
        </w:rPr>
        <w:t>Artess</w:t>
      </w:r>
      <w:proofErr w:type="spellEnd"/>
      <w:r w:rsidR="001703CB" w:rsidRPr="00744895">
        <w:rPr>
          <w:lang w:val="en-CA" w:eastAsia="en-US"/>
        </w:rPr>
        <w:t xml:space="preserve"> et al., 2017; </w:t>
      </w:r>
      <w:proofErr w:type="spellStart"/>
      <w:r w:rsidR="001703CB" w:rsidRPr="00744895">
        <w:rPr>
          <w:lang w:val="en-CA" w:eastAsia="en-US"/>
        </w:rPr>
        <w:t>Trowler</w:t>
      </w:r>
      <w:proofErr w:type="spellEnd"/>
      <w:r w:rsidR="001703CB" w:rsidRPr="00744895">
        <w:rPr>
          <w:lang w:val="en-CA" w:eastAsia="en-US"/>
        </w:rPr>
        <w:t xml:space="preserve"> et al., 2019). </w:t>
      </w:r>
      <w:r w:rsidR="004D0957" w:rsidRPr="00744895">
        <w:rPr>
          <w:lang w:val="en-CA" w:eastAsia="en-US"/>
        </w:rPr>
        <w:t xml:space="preserve">In this way, ‘student success’ can no longer be measured in a purely academic sense, as graduate outcomes are increasingly linked to their acquisition of gainful employment and their ability to succeed in a competitive job market. </w:t>
      </w:r>
      <w:r w:rsidR="00285182" w:rsidRPr="00744895">
        <w:rPr>
          <w:lang w:val="en-CA" w:eastAsia="en-US"/>
        </w:rPr>
        <w:t xml:space="preserve">Given that employability is increasingly integrated into course materials and assessments, success in one’s modules cannot be easily separated from success in the obtainment of employable skills, as the two concepts are intrinsically linked. </w:t>
      </w:r>
      <w:r w:rsidR="004D0957" w:rsidRPr="00744895">
        <w:rPr>
          <w:lang w:val="en-CA" w:eastAsia="en-US"/>
        </w:rPr>
        <w:t xml:space="preserve">Thus, given the strong </w:t>
      </w:r>
      <w:r w:rsidR="00285182" w:rsidRPr="00744895">
        <w:rPr>
          <w:lang w:val="en-CA" w:eastAsia="en-US"/>
        </w:rPr>
        <w:t>associations</w:t>
      </w:r>
      <w:r w:rsidR="004D0957" w:rsidRPr="00744895">
        <w:rPr>
          <w:lang w:val="en-CA" w:eastAsia="en-US"/>
        </w:rPr>
        <w:t xml:space="preserve"> </w:t>
      </w:r>
      <w:r w:rsidR="004D0957" w:rsidRPr="00744895">
        <w:rPr>
          <w:lang w:val="en-CA" w:eastAsia="en-US"/>
        </w:rPr>
        <w:lastRenderedPageBreak/>
        <w:t xml:space="preserve">between DT traits and orientations towards achievement and power </w:t>
      </w:r>
      <w:r w:rsidR="00EB2E20" w:rsidRPr="00744895">
        <w:rPr>
          <w:lang w:val="en-CA" w:eastAsia="en-US"/>
        </w:rPr>
        <w:t xml:space="preserve">highlighted by </w:t>
      </w:r>
      <w:proofErr w:type="spellStart"/>
      <w:r w:rsidR="004D0957" w:rsidRPr="00744895">
        <w:rPr>
          <w:lang w:val="en-CA" w:eastAsia="en-US"/>
        </w:rPr>
        <w:t>Kajonius</w:t>
      </w:r>
      <w:proofErr w:type="spellEnd"/>
      <w:r w:rsidR="004D0957" w:rsidRPr="00744895">
        <w:rPr>
          <w:lang w:val="en-CA" w:eastAsia="en-US"/>
        </w:rPr>
        <w:t xml:space="preserve"> et al.</w:t>
      </w:r>
      <w:r w:rsidR="00EB2E20" w:rsidRPr="00744895">
        <w:rPr>
          <w:lang w:val="en-CA" w:eastAsia="en-US"/>
        </w:rPr>
        <w:t xml:space="preserve"> (</w:t>
      </w:r>
      <w:r w:rsidR="004D0957" w:rsidRPr="00744895">
        <w:rPr>
          <w:lang w:val="en-CA" w:eastAsia="en-US"/>
        </w:rPr>
        <w:t xml:space="preserve">2015), </w:t>
      </w:r>
      <w:r w:rsidR="0091400B" w:rsidRPr="00744895">
        <w:rPr>
          <w:lang w:val="en-CA" w:eastAsia="en-US"/>
        </w:rPr>
        <w:t>students high on these traits may in fact thrive on this ideology of competition in modern HEIs. As a result, high-DT students may have harnessed this awareness of the competitive job market, understanding that</w:t>
      </w:r>
      <w:r w:rsidR="00744895">
        <w:rPr>
          <w:lang w:val="en-CA" w:eastAsia="en-US"/>
        </w:rPr>
        <w:t xml:space="preserve">, </w:t>
      </w:r>
      <w:r w:rsidR="0091400B" w:rsidRPr="00744895">
        <w:rPr>
          <w:lang w:val="en-CA" w:eastAsia="en-US"/>
        </w:rPr>
        <w:t xml:space="preserve">in order to achieve their career goals, they must engage with their modules. </w:t>
      </w:r>
      <w:r w:rsidR="00EB2E20" w:rsidRPr="00744895">
        <w:rPr>
          <w:lang w:val="en-CA" w:eastAsia="en-US"/>
        </w:rPr>
        <w:t xml:space="preserve">This would explain why engagement was not consistently negatively linked with the DT traits in this study. </w:t>
      </w:r>
    </w:p>
    <w:p w14:paraId="38452695" w14:textId="50CA7819" w:rsidR="00942DEE" w:rsidRPr="001C7D14" w:rsidRDefault="00942DEE" w:rsidP="00F829E8">
      <w:pPr>
        <w:rPr>
          <w:b/>
          <w:bCs/>
          <w:lang w:val="en-CA" w:eastAsia="en-US"/>
        </w:rPr>
      </w:pPr>
      <w:r w:rsidRPr="001C7D14">
        <w:rPr>
          <w:b/>
          <w:bCs/>
          <w:lang w:val="en-CA" w:eastAsia="en-US"/>
        </w:rPr>
        <w:t>Implications</w:t>
      </w:r>
    </w:p>
    <w:p w14:paraId="4FE5EF14" w14:textId="1B1BC3AA" w:rsidR="00942DEE" w:rsidRPr="001C7D14" w:rsidRDefault="00942DEE" w:rsidP="00EF5FF0">
      <w:pPr>
        <w:rPr>
          <w:lang w:val="en-CA" w:eastAsia="en-US"/>
        </w:rPr>
      </w:pPr>
      <w:r w:rsidRPr="001C7D14">
        <w:rPr>
          <w:lang w:val="en-CA" w:eastAsia="en-US"/>
        </w:rPr>
        <w:t>The results of this study demonstrate that</w:t>
      </w:r>
      <w:r w:rsidR="00EF5FF0">
        <w:rPr>
          <w:lang w:val="en-CA" w:eastAsia="en-US"/>
        </w:rPr>
        <w:t xml:space="preserve"> </w:t>
      </w:r>
      <w:r w:rsidRPr="001C7D14">
        <w:rPr>
          <w:lang w:val="en-CA" w:eastAsia="en-US"/>
        </w:rPr>
        <w:t xml:space="preserve">when a student is engaged with their learning on one level they are likely to engage on the other levels as well. Furthermore, students who are highly engaged with their studies tend to better understand employability, an essential graduate attribute (Davey </w:t>
      </w:r>
      <w:r w:rsidR="00AD4AA7" w:rsidRPr="001C7D14">
        <w:rPr>
          <w:lang w:val="en-CA" w:eastAsia="en-US"/>
        </w:rPr>
        <w:t>and</w:t>
      </w:r>
      <w:r w:rsidRPr="001C7D14">
        <w:rPr>
          <w:lang w:val="en-CA" w:eastAsia="en-US"/>
        </w:rPr>
        <w:t xml:space="preserve"> Tucker, 2010; </w:t>
      </w:r>
      <w:proofErr w:type="spellStart"/>
      <w:r w:rsidRPr="001C7D14">
        <w:rPr>
          <w:lang w:val="en-CA" w:eastAsia="en-US"/>
        </w:rPr>
        <w:t>Zajacova</w:t>
      </w:r>
      <w:proofErr w:type="spellEnd"/>
      <w:r w:rsidRPr="001C7D14">
        <w:rPr>
          <w:lang w:val="en-CA" w:eastAsia="en-US"/>
        </w:rPr>
        <w:t xml:space="preserve"> et al., 2019) and to regard it more positively. To this end, university teaching staff have a responsibility to deliver </w:t>
      </w:r>
      <w:r w:rsidR="00EF5FF0">
        <w:rPr>
          <w:lang w:val="en-CA" w:eastAsia="en-US"/>
        </w:rPr>
        <w:t xml:space="preserve">the </w:t>
      </w:r>
      <w:r w:rsidRPr="001C7D14">
        <w:rPr>
          <w:lang w:val="en-CA" w:eastAsia="en-US"/>
        </w:rPr>
        <w:t xml:space="preserve">curriculum in a manner that positions students for success </w:t>
      </w:r>
      <w:r w:rsidR="00EF5FF0">
        <w:rPr>
          <w:lang w:val="en-CA" w:eastAsia="en-US"/>
        </w:rPr>
        <w:t>in</w:t>
      </w:r>
      <w:r w:rsidRPr="001C7D14">
        <w:rPr>
          <w:lang w:val="en-CA" w:eastAsia="en-US"/>
        </w:rPr>
        <w:t xml:space="preserve"> achieving the required learning outcomes. Thus, fostering high levels of engagement in undergraduate students is crucially important for both subject-level learning and students’ broader development as employable citizens who possess the necessary skills to achieve their career goals. </w:t>
      </w:r>
    </w:p>
    <w:p w14:paraId="4311C103" w14:textId="68AE837F" w:rsidR="00942DEE" w:rsidRPr="001C7D14" w:rsidRDefault="00942DEE" w:rsidP="00F829E8">
      <w:pPr>
        <w:ind w:firstLine="720"/>
        <w:rPr>
          <w:lang w:val="en-CA" w:eastAsia="en-US"/>
        </w:rPr>
      </w:pPr>
      <w:r w:rsidRPr="001C7D14">
        <w:rPr>
          <w:lang w:val="en-CA" w:eastAsia="en-US"/>
        </w:rPr>
        <w:t>This study, in conjunction with Qureshi et al.’s (2016) findings regarding FFM trait differences in students, has highlighted that individual differences can impact students’ engagement with their learning. Tentatively, th</w:t>
      </w:r>
      <w:r w:rsidR="006F2546">
        <w:rPr>
          <w:lang w:val="en-CA" w:eastAsia="en-US"/>
        </w:rPr>
        <w:t xml:space="preserve">e </w:t>
      </w:r>
      <w:r w:rsidRPr="001C7D14">
        <w:rPr>
          <w:lang w:val="en-CA" w:eastAsia="en-US"/>
        </w:rPr>
        <w:t xml:space="preserve">results indicate that students who are high in narcissistic traits are more likely to engage with their learning and hold positive attitudes towards employability, whilst students who are high in psychopathic traits may be less likely to engage with their learning, and those who are high </w:t>
      </w:r>
      <w:r w:rsidR="006F2546">
        <w:rPr>
          <w:lang w:val="en-CA" w:eastAsia="en-US"/>
        </w:rPr>
        <w:t>i</w:t>
      </w:r>
      <w:r w:rsidRPr="001C7D14">
        <w:rPr>
          <w:lang w:val="en-CA" w:eastAsia="en-US"/>
        </w:rPr>
        <w:t xml:space="preserve">n Machiavellianism may hold more negative attitudes towards employability. Educators should therefore endeavour to consider ways they can adapt their teaching approaches to better engage students for whom the status quo is ineffective. In the case of students who exhibit high levels of socially aversive </w:t>
      </w:r>
      <w:r w:rsidRPr="001C7D14">
        <w:rPr>
          <w:lang w:val="en-CA" w:eastAsia="en-US"/>
        </w:rPr>
        <w:lastRenderedPageBreak/>
        <w:t xml:space="preserve">personality traits, this may involve appealing to their logical, goal-driven or egotistical tendencies. For example, activities that involve self-promotion or competition between students are likely to appeal to individuals who score high on Dark Triad traits, as are activities </w:t>
      </w:r>
      <w:r w:rsidR="007E6D8D">
        <w:rPr>
          <w:lang w:val="en-CA" w:eastAsia="en-US"/>
        </w:rPr>
        <w:t>that</w:t>
      </w:r>
      <w:r w:rsidRPr="001C7D14">
        <w:rPr>
          <w:lang w:val="en-CA" w:eastAsia="en-US"/>
        </w:rPr>
        <w:t xml:space="preserve"> are transparently, explicitly conducive to helping them obtain their desired career. In the case of professional degrees (e.g., nursing, teaching), assignments and activities are often inherently linked to career development; for example, work-based learning such as industry placements or internships are frequently integrated as compulsory components of professional degree programmes. However, for students on non-professional degree programmes, the real-world applicability and purposes of assigned tasks are not always readily apparent. For students who possess high levels of socially aversive traits, these links may need to be made more explicit in order to foster adequate levels of engagement.</w:t>
      </w:r>
      <w:r w:rsidR="00EB2E20" w:rsidRPr="001C7D14">
        <w:rPr>
          <w:lang w:val="en-CA" w:eastAsia="en-US"/>
        </w:rPr>
        <w:t xml:space="preserve"> </w:t>
      </w:r>
    </w:p>
    <w:p w14:paraId="1B265567" w14:textId="3C70F88D" w:rsidR="00942DEE" w:rsidRPr="007E6D8D" w:rsidRDefault="00942DEE" w:rsidP="00F829E8">
      <w:pPr>
        <w:ind w:firstLine="720"/>
        <w:rPr>
          <w:lang w:val="en-CA" w:eastAsia="en-US"/>
        </w:rPr>
      </w:pPr>
      <w:r w:rsidRPr="001C7D14">
        <w:rPr>
          <w:lang w:val="en-CA" w:eastAsia="en-US"/>
        </w:rPr>
        <w:t xml:space="preserve">This study has highlighted that students who are engaged </w:t>
      </w:r>
      <w:r w:rsidR="007E6D8D" w:rsidRPr="001C7D14">
        <w:rPr>
          <w:lang w:val="en-CA" w:eastAsia="en-US"/>
        </w:rPr>
        <w:t xml:space="preserve">only </w:t>
      </w:r>
      <w:r w:rsidRPr="001C7D14">
        <w:rPr>
          <w:lang w:val="en-CA" w:eastAsia="en-US"/>
        </w:rPr>
        <w:t xml:space="preserve">on a behavioural level do not tend to fully understand employability, nor do they regard it positively. However, students who are high in DT traits are characteristically disengaged emotionally (Jones </w:t>
      </w:r>
      <w:r w:rsidR="00AD4AA7" w:rsidRPr="001C7D14">
        <w:rPr>
          <w:lang w:val="en-CA" w:eastAsia="en-US"/>
        </w:rPr>
        <w:t>and</w:t>
      </w:r>
      <w:r w:rsidRPr="001C7D14">
        <w:rPr>
          <w:lang w:val="en-CA" w:eastAsia="en-US"/>
        </w:rPr>
        <w:t xml:space="preserve"> </w:t>
      </w:r>
      <w:proofErr w:type="spellStart"/>
      <w:r w:rsidRPr="001C7D14">
        <w:rPr>
          <w:lang w:val="en-CA" w:eastAsia="en-US"/>
        </w:rPr>
        <w:t>Paulhus</w:t>
      </w:r>
      <w:proofErr w:type="spellEnd"/>
      <w:r w:rsidRPr="001C7D14">
        <w:rPr>
          <w:lang w:val="en-CA" w:eastAsia="en-US"/>
        </w:rPr>
        <w:t xml:space="preserve">, 2013; </w:t>
      </w:r>
      <w:proofErr w:type="spellStart"/>
      <w:r w:rsidRPr="001C7D14">
        <w:rPr>
          <w:lang w:val="en-CA" w:eastAsia="en-US"/>
        </w:rPr>
        <w:t>Paulhus</w:t>
      </w:r>
      <w:proofErr w:type="spellEnd"/>
      <w:r w:rsidRPr="001C7D14">
        <w:rPr>
          <w:lang w:val="en-CA" w:eastAsia="en-US"/>
        </w:rPr>
        <w:t xml:space="preserve"> </w:t>
      </w:r>
      <w:r w:rsidR="00AD4AA7" w:rsidRPr="001C7D14">
        <w:rPr>
          <w:lang w:val="en-CA" w:eastAsia="en-US"/>
        </w:rPr>
        <w:t>and</w:t>
      </w:r>
      <w:r w:rsidRPr="001C7D14">
        <w:rPr>
          <w:lang w:val="en-CA" w:eastAsia="en-US"/>
        </w:rPr>
        <w:t xml:space="preserve"> Williams, 2002)</w:t>
      </w:r>
      <w:r w:rsidR="007E6D8D">
        <w:rPr>
          <w:lang w:val="en-CA" w:eastAsia="en-US"/>
        </w:rPr>
        <w:t>,</w:t>
      </w:r>
      <w:r w:rsidRPr="001C7D14">
        <w:rPr>
          <w:lang w:val="en-CA" w:eastAsia="en-US"/>
        </w:rPr>
        <w:t xml:space="preserve"> regardless of situational context. Thus, appeals to enhance emotional engagement may not be the most effective route through which to foster overall engagement in these students. Consequently, on the basis of individual differences in personality traits, it is crucial that university educators aim to encourage all four levels of engagement, as students will naturally vary on which type is most effective for their personal academic success.</w:t>
      </w:r>
      <w:r w:rsidR="00EB2E20" w:rsidRPr="001C7D14">
        <w:rPr>
          <w:lang w:val="en-CA" w:eastAsia="en-US"/>
        </w:rPr>
        <w:t xml:space="preserve"> </w:t>
      </w:r>
      <w:r w:rsidR="00EB2E20" w:rsidRPr="007E6D8D">
        <w:rPr>
          <w:lang w:val="en-CA" w:eastAsia="en-US"/>
        </w:rPr>
        <w:t xml:space="preserve">However, recent work by </w:t>
      </w:r>
      <w:proofErr w:type="spellStart"/>
      <w:r w:rsidR="00EB2E20" w:rsidRPr="007E6D8D">
        <w:rPr>
          <w:lang w:val="en-CA" w:eastAsia="en-US"/>
        </w:rPr>
        <w:t>Trowler</w:t>
      </w:r>
      <w:proofErr w:type="spellEnd"/>
      <w:r w:rsidR="00EB2E20" w:rsidRPr="007E6D8D">
        <w:rPr>
          <w:lang w:val="en-CA" w:eastAsia="en-US"/>
        </w:rPr>
        <w:t xml:space="preserve"> (2015) and </w:t>
      </w:r>
      <w:proofErr w:type="spellStart"/>
      <w:r w:rsidR="00EB2E20" w:rsidRPr="007E6D8D">
        <w:rPr>
          <w:lang w:val="en-CA" w:eastAsia="en-US"/>
        </w:rPr>
        <w:t>Trowler</w:t>
      </w:r>
      <w:proofErr w:type="spellEnd"/>
      <w:r w:rsidR="00EB2E20" w:rsidRPr="007E6D8D">
        <w:rPr>
          <w:lang w:val="en-CA" w:eastAsia="en-US"/>
        </w:rPr>
        <w:t xml:space="preserve"> et al. (2021) highlights the need to look beyond these four levels of engagement in a higher education context, and to include the three additional facets of critical, political and socio-cultural engagement. </w:t>
      </w:r>
      <w:r w:rsidR="007A011F" w:rsidRPr="007E6D8D">
        <w:rPr>
          <w:lang w:val="en-CA" w:eastAsia="en-US"/>
        </w:rPr>
        <w:t xml:space="preserve">Future studies should therefore endeavour to incorporate these types of engagement in their research, examining how the seven types interact and under which conditions students are most likely to thrive in achieving them. It is particularly important to </w:t>
      </w:r>
      <w:r w:rsidR="007A011F" w:rsidRPr="007E6D8D">
        <w:rPr>
          <w:lang w:val="en-CA" w:eastAsia="en-US"/>
        </w:rPr>
        <w:lastRenderedPageBreak/>
        <w:t xml:space="preserve">scrutinize the roles of the three additional facets that differentiate higher education from further education, as they may hold unique explanatory power when investigating how to encourage university students’ engagement with their learning. According to </w:t>
      </w:r>
      <w:proofErr w:type="spellStart"/>
      <w:r w:rsidR="007A011F" w:rsidRPr="007E6D8D">
        <w:rPr>
          <w:lang w:val="en-CA" w:eastAsia="en-US"/>
        </w:rPr>
        <w:t>Trowler</w:t>
      </w:r>
      <w:proofErr w:type="spellEnd"/>
      <w:r w:rsidR="007A011F" w:rsidRPr="007E6D8D">
        <w:rPr>
          <w:lang w:val="en-CA" w:eastAsia="en-US"/>
        </w:rPr>
        <w:t xml:space="preserve"> et al. (2021), critical engagement may be enhanced by encouraging greater depth of reflection in students; political engagement may be improved by facilitating autonomy; and socio-cultural engagement may be underpinned by fostering student belonging among their peers</w:t>
      </w:r>
      <w:r w:rsidR="009D56EB" w:rsidRPr="007E6D8D">
        <w:rPr>
          <w:lang w:val="en-CA" w:eastAsia="en-US"/>
        </w:rPr>
        <w:t xml:space="preserve">, teachers and within the university community itself. HEIs have a responsibility to ensure </w:t>
      </w:r>
      <w:r w:rsidR="007E6D8D">
        <w:rPr>
          <w:lang w:val="en-CA" w:eastAsia="en-US"/>
        </w:rPr>
        <w:t xml:space="preserve">that </w:t>
      </w:r>
      <w:r w:rsidR="009D56EB" w:rsidRPr="007E6D8D">
        <w:rPr>
          <w:lang w:val="en-CA" w:eastAsia="en-US"/>
        </w:rPr>
        <w:t>these avenues are addressed</w:t>
      </w:r>
      <w:r w:rsidR="007E6D8D">
        <w:rPr>
          <w:lang w:val="en-CA" w:eastAsia="en-US"/>
        </w:rPr>
        <w:t xml:space="preserve"> </w:t>
      </w:r>
      <w:r w:rsidR="009D56EB" w:rsidRPr="007E6D8D">
        <w:rPr>
          <w:lang w:val="en-CA" w:eastAsia="en-US"/>
        </w:rPr>
        <w:t xml:space="preserve">in curricula and </w:t>
      </w:r>
      <w:r w:rsidR="007E6D8D">
        <w:rPr>
          <w:lang w:val="en-CA" w:eastAsia="en-US"/>
        </w:rPr>
        <w:t xml:space="preserve">in </w:t>
      </w:r>
      <w:r w:rsidR="009D56EB" w:rsidRPr="007E6D8D">
        <w:rPr>
          <w:lang w:val="en-CA" w:eastAsia="en-US"/>
        </w:rPr>
        <w:t xml:space="preserve">the university culture as a whole, in order to bridge the gaps between students’ motivation and their ability to succeed in university and in their future careers. </w:t>
      </w:r>
    </w:p>
    <w:p w14:paraId="677F46F2" w14:textId="77777777" w:rsidR="007E6D8D" w:rsidRDefault="007E6D8D" w:rsidP="00F829E8">
      <w:pPr>
        <w:rPr>
          <w:b/>
          <w:bCs/>
          <w:lang w:val="en-CA" w:eastAsia="en-US"/>
        </w:rPr>
      </w:pPr>
    </w:p>
    <w:p w14:paraId="28A70492" w14:textId="54FC20B3" w:rsidR="00942DEE" w:rsidRPr="001C7D14" w:rsidRDefault="00942DEE" w:rsidP="00F829E8">
      <w:pPr>
        <w:rPr>
          <w:b/>
          <w:bCs/>
          <w:lang w:val="en-CA" w:eastAsia="en-US"/>
        </w:rPr>
      </w:pPr>
      <w:r w:rsidRPr="001C7D14">
        <w:rPr>
          <w:b/>
          <w:bCs/>
          <w:lang w:val="en-CA" w:eastAsia="en-US"/>
        </w:rPr>
        <w:t>Limitations</w:t>
      </w:r>
    </w:p>
    <w:p w14:paraId="2A6718B3" w14:textId="1ACAE30F" w:rsidR="00942DEE" w:rsidRPr="001C7D14" w:rsidRDefault="00942DEE" w:rsidP="007E6D8D">
      <w:pPr>
        <w:rPr>
          <w:lang w:val="en-CA" w:eastAsia="en-US"/>
        </w:rPr>
      </w:pPr>
      <w:r w:rsidRPr="001C7D14">
        <w:rPr>
          <w:lang w:val="en-CA" w:eastAsia="en-US"/>
        </w:rPr>
        <w:t>The current research holds some</w:t>
      </w:r>
      <w:r w:rsidR="004D4763" w:rsidRPr="001C7D14">
        <w:rPr>
          <w:lang w:val="en-CA" w:eastAsia="en-US"/>
        </w:rPr>
        <w:t xml:space="preserve"> </w:t>
      </w:r>
      <w:r w:rsidR="004D4763" w:rsidRPr="007E6D8D">
        <w:rPr>
          <w:lang w:val="en-CA" w:eastAsia="en-US"/>
        </w:rPr>
        <w:t>key</w:t>
      </w:r>
      <w:r w:rsidRPr="007E6D8D">
        <w:rPr>
          <w:lang w:val="en-CA" w:eastAsia="en-US"/>
        </w:rPr>
        <w:t xml:space="preserve"> </w:t>
      </w:r>
      <w:r w:rsidRPr="001C7D14">
        <w:rPr>
          <w:lang w:val="en-CA" w:eastAsia="en-US"/>
        </w:rPr>
        <w:t xml:space="preserve">limitations that may explain why so few of the hypothesised relationships were observed in the data. First, the vast majority (92.6%) of the sample identified as female. </w:t>
      </w:r>
      <w:r w:rsidR="001A3222" w:rsidRPr="001C7D14">
        <w:rPr>
          <w:lang w:val="en-CA" w:eastAsia="en-US"/>
        </w:rPr>
        <w:t>Although this is not ideal, it is representative of the typical gender distribution of psychology undergraduates, from which the sample was taken. However, i</w:t>
      </w:r>
      <w:r w:rsidRPr="001C7D14">
        <w:rPr>
          <w:lang w:val="en-CA" w:eastAsia="en-US"/>
        </w:rPr>
        <w:t>t has been well-documented in the DT literature (see Furnham et al</w:t>
      </w:r>
      <w:r w:rsidRPr="001C7D14">
        <w:rPr>
          <w:i/>
          <w:iCs/>
          <w:lang w:val="en-CA" w:eastAsia="en-US"/>
        </w:rPr>
        <w:t>.</w:t>
      </w:r>
      <w:r w:rsidRPr="001C7D14">
        <w:rPr>
          <w:lang w:val="en-CA" w:eastAsia="en-US"/>
        </w:rPr>
        <w:t>, 2013</w:t>
      </w:r>
      <w:r w:rsidR="007E6D8D">
        <w:rPr>
          <w:lang w:val="en-CA" w:eastAsia="en-US"/>
        </w:rPr>
        <w:t>,</w:t>
      </w:r>
      <w:r w:rsidRPr="001C7D14">
        <w:rPr>
          <w:lang w:val="en-CA" w:eastAsia="en-US"/>
        </w:rPr>
        <w:t xml:space="preserve"> for a review) that females consistently score lower on these traits than do males. Second, the sample was even more homogenous with regard to academic discipline, with 100% of participants being psychology students. Previous research indicates that individuals who major in psychology tend to score lower on these traits than students in other academic disciplines. One study (Mooney, 2019) observed that psychology students score lower than business students on all three traits, whilst another (Vedel </w:t>
      </w:r>
      <w:r w:rsidR="00AD4AA7" w:rsidRPr="001C7D14">
        <w:rPr>
          <w:lang w:val="en-CA" w:eastAsia="en-US"/>
        </w:rPr>
        <w:t>and</w:t>
      </w:r>
      <w:r w:rsidRPr="001C7D14">
        <w:rPr>
          <w:lang w:val="en-CA" w:eastAsia="en-US"/>
        </w:rPr>
        <w:t xml:space="preserve"> Thomsen, 2017) confirmed that psychology students score lower on narcissism and Machiavellianism than business students, and lower than law and political science students on all DT traits. Overall, these </w:t>
      </w:r>
      <w:r w:rsidRPr="001C7D14">
        <w:rPr>
          <w:lang w:val="en-CA" w:eastAsia="en-US"/>
        </w:rPr>
        <w:lastRenderedPageBreak/>
        <w:t>findings suggest that female psychology students may score particularly low on DT traits; this homogeneity may have resulted in an elevated risk of Type II error</w:t>
      </w:r>
      <w:r w:rsidR="009D56EB" w:rsidRPr="001C7D14">
        <w:rPr>
          <w:lang w:val="en-CA" w:eastAsia="en-US"/>
        </w:rPr>
        <w:t xml:space="preserve">, </w:t>
      </w:r>
      <w:r w:rsidR="009D56EB" w:rsidRPr="007E6D8D">
        <w:rPr>
          <w:lang w:val="en-CA" w:eastAsia="en-US"/>
        </w:rPr>
        <w:t>or floor effects regarding the sample’s distribution of DT traits</w:t>
      </w:r>
      <w:r w:rsidRPr="007E6D8D">
        <w:rPr>
          <w:lang w:val="en-CA" w:eastAsia="en-US"/>
        </w:rPr>
        <w:t>.</w:t>
      </w:r>
      <w:r w:rsidRPr="001C7D14">
        <w:rPr>
          <w:lang w:val="en-CA" w:eastAsia="en-US"/>
        </w:rPr>
        <w:t xml:space="preserve"> This highlights a need for future studies to incorporate students of other genders and majors when attempting to further investigate relationships between DT traits and academic outcomes</w:t>
      </w:r>
      <w:r w:rsidRPr="007E6D8D">
        <w:rPr>
          <w:lang w:val="en-CA" w:eastAsia="en-US"/>
        </w:rPr>
        <w:t xml:space="preserve">. </w:t>
      </w:r>
      <w:r w:rsidR="009B685C" w:rsidRPr="007E6D8D">
        <w:rPr>
          <w:lang w:val="en-CA" w:eastAsia="en-US"/>
        </w:rPr>
        <w:t xml:space="preserve">For instance, it would be beneficial to explore whether business students or those on professional programmes have a qualitatively different understanding of employability </w:t>
      </w:r>
      <w:r w:rsidR="007E6D8D">
        <w:rPr>
          <w:lang w:val="en-CA" w:eastAsia="en-US"/>
        </w:rPr>
        <w:t>from</w:t>
      </w:r>
      <w:r w:rsidR="009B685C" w:rsidRPr="007E6D8D">
        <w:rPr>
          <w:lang w:val="en-CA" w:eastAsia="en-US"/>
        </w:rPr>
        <w:t xml:space="preserve"> students on other programmes that do not translate as directly </w:t>
      </w:r>
      <w:r w:rsidR="007E6D8D">
        <w:rPr>
          <w:lang w:val="en-CA" w:eastAsia="en-US"/>
        </w:rPr>
        <w:t>in</w:t>
      </w:r>
      <w:r w:rsidR="009B685C" w:rsidRPr="007E6D8D">
        <w:rPr>
          <w:lang w:val="en-CA" w:eastAsia="en-US"/>
        </w:rPr>
        <w:t>to a specific career path, such as psychology or history, and how the relationships between their engagement and their attitudes towards and understanding of employability may vary compared to the current study.</w:t>
      </w:r>
      <w:r w:rsidR="009B685C" w:rsidRPr="001C7D14">
        <w:rPr>
          <w:lang w:val="en-CA" w:eastAsia="en-US"/>
        </w:rPr>
        <w:t xml:space="preserve"> </w:t>
      </w:r>
      <w:r w:rsidRPr="001C7D14">
        <w:rPr>
          <w:lang w:val="en-CA" w:eastAsia="en-US"/>
        </w:rPr>
        <w:t xml:space="preserve">It would also be useful to examine these relationships in students of other nationalities, as cultural differences may impact patterns in personality traits (e.g., </w:t>
      </w:r>
      <w:proofErr w:type="spellStart"/>
      <w:r w:rsidRPr="001C7D14">
        <w:rPr>
          <w:lang w:val="en-CA" w:eastAsia="en-US"/>
        </w:rPr>
        <w:t>Jonason</w:t>
      </w:r>
      <w:proofErr w:type="spellEnd"/>
      <w:r w:rsidRPr="001C7D14">
        <w:rPr>
          <w:lang w:val="en-CA" w:eastAsia="en-US"/>
        </w:rPr>
        <w:t xml:space="preserve"> et al., 2017).</w:t>
      </w:r>
    </w:p>
    <w:p w14:paraId="502B65B1" w14:textId="30CCB6B2" w:rsidR="00942DEE" w:rsidRPr="005265DC" w:rsidRDefault="00942DEE" w:rsidP="00F829E8">
      <w:pPr>
        <w:ind w:firstLine="720"/>
        <w:rPr>
          <w:lang w:val="en-CA" w:eastAsia="en-US"/>
        </w:rPr>
      </w:pPr>
      <w:r w:rsidRPr="001C7D14">
        <w:rPr>
          <w:lang w:val="en-CA" w:eastAsia="en-US"/>
        </w:rPr>
        <w:t xml:space="preserve">Finally, the materials used to measure student engagement, understanding of employability and attitudes towards employability (Qureshi et al., 2016) in this study have not yet been widely validated, nor have their psychometric properties been established. Consequently, measurement issues may have impacted the study’s results, particularly given the subthreshold internal consistency observed in the Student Engagement Questionnaire. The emotional engagement scale comprises just four items, and the behavioural engagement scale only has five; these scales may therefore be insufficient to accurately capture these constructs. In addition, wording was altered on Student Engagement Questionnaire in order to ensure that questions were asking about students’ engagement with their modules </w:t>
      </w:r>
      <w:r w:rsidRPr="001C7D14">
        <w:rPr>
          <w:i/>
          <w:iCs/>
          <w:lang w:val="en-CA" w:eastAsia="en-US"/>
        </w:rPr>
        <w:t>in general</w:t>
      </w:r>
      <w:r w:rsidRPr="001C7D14">
        <w:rPr>
          <w:lang w:val="en-CA" w:eastAsia="en-US"/>
        </w:rPr>
        <w:t xml:space="preserve">, rather than with one specific module. This may have resulted in confusion for participants, who may feel highly engaged on modules </w:t>
      </w:r>
      <w:r w:rsidR="005265DC">
        <w:rPr>
          <w:lang w:val="en-CA" w:eastAsia="en-US"/>
        </w:rPr>
        <w:t xml:space="preserve">in which </w:t>
      </w:r>
      <w:r w:rsidRPr="001C7D14">
        <w:rPr>
          <w:lang w:val="en-CA" w:eastAsia="en-US"/>
        </w:rPr>
        <w:t xml:space="preserve">they are genuinely interested but who exhibit lower levels of engagement on modules they deem less interesting. In some cases, this contradiction may </w:t>
      </w:r>
      <w:r w:rsidR="005265DC">
        <w:rPr>
          <w:lang w:val="en-CA" w:eastAsia="en-US"/>
        </w:rPr>
        <w:t xml:space="preserve">have </w:t>
      </w:r>
      <w:r w:rsidRPr="001C7D14">
        <w:rPr>
          <w:lang w:val="en-CA" w:eastAsia="en-US"/>
        </w:rPr>
        <w:t xml:space="preserve">prevented the questionnaire from accurately capturing the </w:t>
      </w:r>
      <w:r w:rsidRPr="001C7D14">
        <w:rPr>
          <w:lang w:val="en-CA" w:eastAsia="en-US"/>
        </w:rPr>
        <w:lastRenderedPageBreak/>
        <w:t>student’s overall level of engagement at university. Hence, future research should seek to validate these measures further in order to establish their psychometric robustness for measuring the variables of interest.</w:t>
      </w:r>
      <w:r w:rsidR="00900692" w:rsidRPr="001C7D14">
        <w:rPr>
          <w:lang w:val="en-CA" w:eastAsia="en-US"/>
        </w:rPr>
        <w:t xml:space="preserve"> </w:t>
      </w:r>
      <w:r w:rsidR="00900692" w:rsidRPr="005265DC">
        <w:rPr>
          <w:lang w:val="en-CA" w:eastAsia="en-US"/>
        </w:rPr>
        <w:t>Furthermore,</w:t>
      </w:r>
      <w:r w:rsidR="004D4763" w:rsidRPr="005265DC">
        <w:rPr>
          <w:lang w:val="en-CA" w:eastAsia="en-US"/>
        </w:rPr>
        <w:t xml:space="preserve"> given the recommendations of </w:t>
      </w:r>
      <w:proofErr w:type="spellStart"/>
      <w:r w:rsidR="004D4763" w:rsidRPr="005265DC">
        <w:rPr>
          <w:lang w:val="en-CA" w:eastAsia="en-US"/>
        </w:rPr>
        <w:t>Trowler</w:t>
      </w:r>
      <w:proofErr w:type="spellEnd"/>
      <w:r w:rsidR="004D4763" w:rsidRPr="005265DC">
        <w:rPr>
          <w:lang w:val="en-CA" w:eastAsia="en-US"/>
        </w:rPr>
        <w:t xml:space="preserve"> (2015) and </w:t>
      </w:r>
      <w:proofErr w:type="spellStart"/>
      <w:r w:rsidR="004D4763" w:rsidRPr="005265DC">
        <w:rPr>
          <w:lang w:val="en-CA" w:eastAsia="en-US"/>
        </w:rPr>
        <w:t>Trowler</w:t>
      </w:r>
      <w:proofErr w:type="spellEnd"/>
      <w:r w:rsidR="004D4763" w:rsidRPr="005265DC">
        <w:rPr>
          <w:lang w:val="en-CA" w:eastAsia="en-US"/>
        </w:rPr>
        <w:t xml:space="preserve"> et al. (2021),</w:t>
      </w:r>
      <w:r w:rsidR="00900692" w:rsidRPr="005265DC">
        <w:rPr>
          <w:lang w:val="en-CA" w:eastAsia="en-US"/>
        </w:rPr>
        <w:t xml:space="preserve"> the Student Engagement Questionnaire should also be expanded to include the three additional facets of engagement </w:t>
      </w:r>
      <w:r w:rsidR="004D4763" w:rsidRPr="005265DC">
        <w:rPr>
          <w:lang w:val="en-CA" w:eastAsia="en-US"/>
        </w:rPr>
        <w:t>discussed above</w:t>
      </w:r>
      <w:r w:rsidR="00900692" w:rsidRPr="005265DC">
        <w:rPr>
          <w:lang w:val="en-CA" w:eastAsia="en-US"/>
        </w:rPr>
        <w:t>.</w:t>
      </w:r>
      <w:r w:rsidR="004D4763" w:rsidRPr="005265DC">
        <w:rPr>
          <w:lang w:val="en-CA" w:eastAsia="en-US"/>
        </w:rPr>
        <w:t xml:space="preserve"> The incorporation of these other facets is believed to represent a best-practice approach to investigating engagement in higher education, as the previous model by </w:t>
      </w:r>
      <w:proofErr w:type="spellStart"/>
      <w:r w:rsidR="004D4763" w:rsidRPr="005265DC">
        <w:rPr>
          <w:lang w:val="en-CA" w:eastAsia="en-US"/>
        </w:rPr>
        <w:t>Frederiks</w:t>
      </w:r>
      <w:proofErr w:type="spellEnd"/>
      <w:r w:rsidR="004D4763" w:rsidRPr="005265DC">
        <w:rPr>
          <w:lang w:val="en-CA" w:eastAsia="en-US"/>
        </w:rPr>
        <w:t xml:space="preserve"> et al. (2004) has been suggested to better capture the student experience in further education (</w:t>
      </w:r>
      <w:proofErr w:type="spellStart"/>
      <w:r w:rsidR="004D4763" w:rsidRPr="005265DC">
        <w:rPr>
          <w:lang w:val="en-CA" w:eastAsia="en-US"/>
        </w:rPr>
        <w:t>Trowler</w:t>
      </w:r>
      <w:proofErr w:type="spellEnd"/>
      <w:r w:rsidR="004D4763" w:rsidRPr="005265DC">
        <w:rPr>
          <w:lang w:val="en-CA" w:eastAsia="en-US"/>
        </w:rPr>
        <w:t xml:space="preserve"> et al., 2021), rendering it inappropriate for use in higher education settings. Future research can therefore improve greatly on the current study by taking a more current approach to its conceptualisation of student engagement in higher education.</w:t>
      </w:r>
    </w:p>
    <w:p w14:paraId="1192F065" w14:textId="77777777" w:rsidR="005265DC" w:rsidRDefault="005265DC" w:rsidP="00F829E8">
      <w:pPr>
        <w:rPr>
          <w:b/>
          <w:bCs/>
          <w:lang w:val="en-CA" w:eastAsia="en-US"/>
        </w:rPr>
      </w:pPr>
    </w:p>
    <w:p w14:paraId="2BE908E6" w14:textId="6E5447DA" w:rsidR="00942DEE" w:rsidRPr="001C7D14" w:rsidRDefault="00942DEE" w:rsidP="00F829E8">
      <w:pPr>
        <w:rPr>
          <w:b/>
          <w:bCs/>
          <w:lang w:val="en-CA" w:eastAsia="en-US"/>
        </w:rPr>
      </w:pPr>
      <w:r w:rsidRPr="001C7D14">
        <w:rPr>
          <w:b/>
          <w:bCs/>
          <w:lang w:val="en-CA" w:eastAsia="en-US"/>
        </w:rPr>
        <w:t xml:space="preserve">Conclusion and </w:t>
      </w:r>
      <w:r w:rsidR="005265DC">
        <w:rPr>
          <w:b/>
          <w:bCs/>
          <w:lang w:val="en-CA" w:eastAsia="en-US"/>
        </w:rPr>
        <w:t>r</w:t>
      </w:r>
      <w:r w:rsidRPr="001C7D14">
        <w:rPr>
          <w:b/>
          <w:bCs/>
          <w:lang w:val="en-CA" w:eastAsia="en-US"/>
        </w:rPr>
        <w:t>ecommendations</w:t>
      </w:r>
    </w:p>
    <w:p w14:paraId="260731FA" w14:textId="2D067378" w:rsidR="00942DEE" w:rsidRPr="005265DC" w:rsidRDefault="00942DEE" w:rsidP="005265DC">
      <w:pPr>
        <w:rPr>
          <w:lang w:val="en-CA" w:eastAsia="en-US"/>
        </w:rPr>
      </w:pPr>
      <w:r w:rsidRPr="001C7D14">
        <w:rPr>
          <w:lang w:val="en-CA" w:eastAsia="en-US"/>
        </w:rPr>
        <w:t>This study has highlighted some of the ways in which individual differences in DT personality traits may influence the manner and degree to which different students engage with their learning or perceive the notion of employability. Although th</w:t>
      </w:r>
      <w:r w:rsidR="005265DC">
        <w:rPr>
          <w:lang w:val="en-CA" w:eastAsia="en-US"/>
        </w:rPr>
        <w:t>e</w:t>
      </w:r>
      <w:r w:rsidRPr="001C7D14">
        <w:rPr>
          <w:lang w:val="en-CA" w:eastAsia="en-US"/>
        </w:rPr>
        <w:t xml:space="preserve"> study h</w:t>
      </w:r>
      <w:r w:rsidR="005265DC">
        <w:rPr>
          <w:lang w:val="en-CA" w:eastAsia="en-US"/>
        </w:rPr>
        <w:t>a</w:t>
      </w:r>
      <w:r w:rsidRPr="001C7D14">
        <w:rPr>
          <w:lang w:val="en-CA" w:eastAsia="en-US"/>
        </w:rPr>
        <w:t xml:space="preserve">s some limitations that justify a need for further research, it can be tentatively concluded that students who are high in narcissistic traits are more engaged and hold more positive attitudes towards employability whilst less favorable attitudes are held by individuals who score high on Machiavellianism. Meanwhile, students who are high in psychopathic traits may be less likely to engage with their learning. Together, these findings underscore the necessity of tailoring teaching approaches to appeal to that which motivates students (e.g., power, achievement; </w:t>
      </w:r>
      <w:proofErr w:type="spellStart"/>
      <w:r w:rsidRPr="001C7D14">
        <w:rPr>
          <w:lang w:val="en-CA" w:eastAsia="en-US"/>
        </w:rPr>
        <w:t>Kajonius</w:t>
      </w:r>
      <w:proofErr w:type="spellEnd"/>
      <w:r w:rsidRPr="001C7D14">
        <w:rPr>
          <w:lang w:val="en-CA" w:eastAsia="en-US"/>
        </w:rPr>
        <w:t xml:space="preserve"> et al., 2015) who are high on these traits. Accordingly, university educators should diversify their approaches to fostering student engagement in a reflection of the varied traits and drives exhibited by different students. Likewise, to facilitate student </w:t>
      </w:r>
      <w:r w:rsidRPr="001C7D14">
        <w:rPr>
          <w:lang w:val="en-CA" w:eastAsia="en-US"/>
        </w:rPr>
        <w:lastRenderedPageBreak/>
        <w:t xml:space="preserve">engagement with employability, HEIs should prioritise offering work-based learning opportunities to all students, not just those enrolled in professional degree programmes, with </w:t>
      </w:r>
      <w:r w:rsidR="005265DC">
        <w:rPr>
          <w:lang w:val="en-CA" w:eastAsia="en-US"/>
        </w:rPr>
        <w:t>the</w:t>
      </w:r>
      <w:r w:rsidRPr="001C7D14">
        <w:rPr>
          <w:lang w:val="en-CA" w:eastAsia="en-US"/>
        </w:rPr>
        <w:t xml:space="preserve"> long-term goal of integrating such experiences as compulsory degree components. </w:t>
      </w:r>
      <w:r w:rsidR="009B685C" w:rsidRPr="005265DC">
        <w:rPr>
          <w:lang w:val="en-CA" w:eastAsia="en-US"/>
        </w:rPr>
        <w:t xml:space="preserve">According to </w:t>
      </w:r>
      <w:proofErr w:type="spellStart"/>
      <w:r w:rsidR="009B685C" w:rsidRPr="005265DC">
        <w:rPr>
          <w:lang w:val="en-CA" w:eastAsia="en-US"/>
        </w:rPr>
        <w:t>Durazzi</w:t>
      </w:r>
      <w:proofErr w:type="spellEnd"/>
      <w:r w:rsidR="009B685C" w:rsidRPr="005265DC">
        <w:rPr>
          <w:lang w:val="en-CA" w:eastAsia="en-US"/>
        </w:rPr>
        <w:t xml:space="preserve"> (2021), </w:t>
      </w:r>
      <w:r w:rsidR="00024DBD" w:rsidRPr="005265DC">
        <w:rPr>
          <w:lang w:val="en-CA" w:eastAsia="en-US"/>
        </w:rPr>
        <w:t xml:space="preserve">the employability agendas of HEIs in England are </w:t>
      </w:r>
      <w:r w:rsidR="00087268">
        <w:rPr>
          <w:lang w:val="en-CA" w:eastAsia="en-US"/>
        </w:rPr>
        <w:t xml:space="preserve">more </w:t>
      </w:r>
      <w:r w:rsidR="00024DBD" w:rsidRPr="005265DC">
        <w:rPr>
          <w:lang w:val="en-CA" w:eastAsia="en-US"/>
        </w:rPr>
        <w:t>driven</w:t>
      </w:r>
      <w:r w:rsidR="00087268">
        <w:rPr>
          <w:lang w:val="en-CA" w:eastAsia="en-US"/>
        </w:rPr>
        <w:t xml:space="preserve"> </w:t>
      </w:r>
      <w:r w:rsidR="00024DBD" w:rsidRPr="005265DC">
        <w:rPr>
          <w:lang w:val="en-CA" w:eastAsia="en-US"/>
        </w:rPr>
        <w:t>by the needs of the higher education market than they are aligned with the needs of the labour market. HEIs should therefore work in partnership with employers to ensure that the employability and skills initiatives embedded in the HEI structure and curricula accurately reflect the needs of the labour market their graduates will be entering. As employability is increasingly emphasised in higher education, it is clear that HEIs should not operate independently of the labour market</w:t>
      </w:r>
      <w:r w:rsidR="001F616E" w:rsidRPr="005265DC">
        <w:rPr>
          <w:lang w:val="en-CA" w:eastAsia="en-US"/>
        </w:rPr>
        <w:t>, nor should they neglect the wealth of insight that industry can provide. R</w:t>
      </w:r>
      <w:r w:rsidR="00024DBD" w:rsidRPr="005265DC">
        <w:rPr>
          <w:lang w:val="en-CA" w:eastAsia="en-US"/>
        </w:rPr>
        <w:t>esearch and practice</w:t>
      </w:r>
      <w:r w:rsidR="001F616E" w:rsidRPr="005265DC">
        <w:rPr>
          <w:lang w:val="en-CA" w:eastAsia="en-US"/>
        </w:rPr>
        <w:t xml:space="preserve"> in HEIs</w:t>
      </w:r>
      <w:r w:rsidR="00024DBD" w:rsidRPr="005265DC">
        <w:rPr>
          <w:lang w:val="en-CA" w:eastAsia="en-US"/>
        </w:rPr>
        <w:t xml:space="preserve"> should </w:t>
      </w:r>
      <w:r w:rsidR="001F616E" w:rsidRPr="005265DC">
        <w:rPr>
          <w:lang w:val="en-CA" w:eastAsia="en-US"/>
        </w:rPr>
        <w:t xml:space="preserve">therefore </w:t>
      </w:r>
      <w:r w:rsidR="00024DBD" w:rsidRPr="005265DC">
        <w:rPr>
          <w:lang w:val="en-CA" w:eastAsia="en-US"/>
        </w:rPr>
        <w:t xml:space="preserve">prioritise partnerships with industry to </w:t>
      </w:r>
      <w:r w:rsidR="001F616E" w:rsidRPr="005265DC">
        <w:rPr>
          <w:lang w:val="en-CA" w:eastAsia="en-US"/>
        </w:rPr>
        <w:t>ensure students’</w:t>
      </w:r>
      <w:r w:rsidR="00024DBD" w:rsidRPr="005265DC">
        <w:rPr>
          <w:lang w:val="en-CA" w:eastAsia="en-US"/>
        </w:rPr>
        <w:t xml:space="preserve"> seamless transitions </w:t>
      </w:r>
      <w:r w:rsidR="001F616E" w:rsidRPr="005265DC">
        <w:rPr>
          <w:lang w:val="en-CA" w:eastAsia="en-US"/>
        </w:rPr>
        <w:t>to</w:t>
      </w:r>
      <w:r w:rsidR="00024DBD" w:rsidRPr="005265DC">
        <w:rPr>
          <w:lang w:val="en-CA" w:eastAsia="en-US"/>
        </w:rPr>
        <w:t xml:space="preserve"> </w:t>
      </w:r>
      <w:r w:rsidR="001F616E" w:rsidRPr="005265DC">
        <w:rPr>
          <w:lang w:val="en-CA" w:eastAsia="en-US"/>
        </w:rPr>
        <w:t xml:space="preserve">graduate citizens whose skills meet the needs of their future employers. </w:t>
      </w:r>
    </w:p>
    <w:p w14:paraId="5246DA65" w14:textId="77777777" w:rsidR="00087268" w:rsidRDefault="00087268" w:rsidP="00F829E8">
      <w:pPr>
        <w:jc w:val="center"/>
        <w:rPr>
          <w:b/>
          <w:bCs/>
          <w:lang w:val="en-CA" w:eastAsia="en-US"/>
        </w:rPr>
      </w:pPr>
    </w:p>
    <w:p w14:paraId="12D0BECA" w14:textId="77777777" w:rsidR="00087268" w:rsidRDefault="00942DEE" w:rsidP="00087268">
      <w:pPr>
        <w:rPr>
          <w:b/>
          <w:bCs/>
          <w:lang w:val="en-CA" w:eastAsia="en-US"/>
        </w:rPr>
      </w:pPr>
      <w:r w:rsidRPr="001C7D14">
        <w:rPr>
          <w:b/>
          <w:bCs/>
          <w:lang w:val="en-CA" w:eastAsia="en-US"/>
        </w:rPr>
        <w:t>Acknowledgements</w:t>
      </w:r>
    </w:p>
    <w:p w14:paraId="01EF06D4" w14:textId="11295544" w:rsidR="00211F86" w:rsidRPr="00087268" w:rsidRDefault="00211F86" w:rsidP="00087268">
      <w:pPr>
        <w:rPr>
          <w:b/>
          <w:bCs/>
          <w:lang w:val="en-CA" w:eastAsia="en-US"/>
        </w:rPr>
      </w:pPr>
      <w:r w:rsidRPr="001C7D14">
        <w:rPr>
          <w:lang w:val="en-CA" w:eastAsia="en-US"/>
        </w:rPr>
        <w:t>The author would like to thank</w:t>
      </w:r>
      <w:r w:rsidR="000A2D4A">
        <w:rPr>
          <w:lang w:val="en-CA" w:eastAsia="en-US"/>
        </w:rPr>
        <w:t xml:space="preserve"> </w:t>
      </w:r>
      <w:r w:rsidR="000A2D4A" w:rsidRPr="000A2D4A">
        <w:rPr>
          <w:highlight w:val="yellow"/>
          <w:lang w:val="en-CA" w:eastAsia="en-US"/>
        </w:rPr>
        <w:t>Helena Knapton</w:t>
      </w:r>
      <w:r w:rsidRPr="001C7D14">
        <w:rPr>
          <w:lang w:val="en-CA" w:eastAsia="en-US"/>
        </w:rPr>
        <w:t xml:space="preserve"> for her invaluable feedback on this research project.</w:t>
      </w:r>
    </w:p>
    <w:p w14:paraId="630175AF" w14:textId="77777777" w:rsidR="00087268" w:rsidRDefault="00087268" w:rsidP="00087268">
      <w:pPr>
        <w:rPr>
          <w:b/>
          <w:bCs/>
          <w:lang w:val="en-CA" w:eastAsia="en-US"/>
        </w:rPr>
      </w:pPr>
    </w:p>
    <w:p w14:paraId="7CE43EA5" w14:textId="1E8803AB" w:rsidR="00942DEE" w:rsidRPr="001C7D14" w:rsidRDefault="00942DEE" w:rsidP="00087268">
      <w:pPr>
        <w:rPr>
          <w:b/>
          <w:bCs/>
          <w:lang w:val="en-CA" w:eastAsia="en-US"/>
        </w:rPr>
      </w:pPr>
      <w:r w:rsidRPr="001C7D14">
        <w:rPr>
          <w:b/>
          <w:bCs/>
          <w:lang w:val="en-CA" w:eastAsia="en-US"/>
        </w:rPr>
        <w:t xml:space="preserve">Ethical </w:t>
      </w:r>
      <w:r w:rsidR="00087268">
        <w:rPr>
          <w:b/>
          <w:bCs/>
          <w:lang w:val="en-CA" w:eastAsia="en-US"/>
        </w:rPr>
        <w:t>c</w:t>
      </w:r>
      <w:r w:rsidRPr="001C7D14">
        <w:rPr>
          <w:b/>
          <w:bCs/>
          <w:lang w:val="en-CA" w:eastAsia="en-US"/>
        </w:rPr>
        <w:t>onsiderations</w:t>
      </w:r>
    </w:p>
    <w:p w14:paraId="5B44435D" w14:textId="77777777" w:rsidR="00942DEE" w:rsidRPr="001C7D14" w:rsidRDefault="00942DEE" w:rsidP="00087268">
      <w:pPr>
        <w:rPr>
          <w:lang w:val="en-CA" w:eastAsia="en-US"/>
        </w:rPr>
      </w:pPr>
      <w:r w:rsidRPr="001C7D14">
        <w:rPr>
          <w:lang w:val="en-CA" w:eastAsia="en-US"/>
        </w:rPr>
        <w:t xml:space="preserve">In designing this study, appropriate consideration was given to potential ethical issues. Ethical approval was obtained from the university’s Centre for Teaching and Learning Research Ethical Approval Panel. The study was conducted in an online environment in order to minimise physical barriers to participation, such as having to travel to campus to complete the questionnaires in person. Participants were also appropriately compensated with course credit for their contribution to this research. Finally, the topic itself was chosen for its direct </w:t>
      </w:r>
      <w:r w:rsidRPr="001C7D14">
        <w:rPr>
          <w:lang w:val="en-CA" w:eastAsia="en-US"/>
        </w:rPr>
        <w:lastRenderedPageBreak/>
        <w:t>relevance to improving the university experience and its associated outcomes for its participants and the wider undergraduate population in the UK.</w:t>
      </w:r>
    </w:p>
    <w:p w14:paraId="0A72BFCC" w14:textId="77777777" w:rsidR="00B544D0" w:rsidRDefault="00B544D0" w:rsidP="00F829E8">
      <w:pPr>
        <w:jc w:val="center"/>
        <w:rPr>
          <w:b/>
          <w:bCs/>
          <w:lang w:val="en-CA" w:eastAsia="en-US"/>
        </w:rPr>
      </w:pPr>
    </w:p>
    <w:p w14:paraId="7C3AC3F6" w14:textId="6063C2EA" w:rsidR="00942DEE" w:rsidRPr="001C7D14" w:rsidRDefault="00942DEE" w:rsidP="00F829E8">
      <w:pPr>
        <w:rPr>
          <w:b/>
          <w:bCs/>
          <w:lang w:val="en-CA" w:eastAsia="en-US"/>
        </w:rPr>
      </w:pPr>
      <w:r w:rsidRPr="001C7D14">
        <w:rPr>
          <w:b/>
          <w:bCs/>
          <w:lang w:val="en-CA" w:eastAsia="en-US"/>
        </w:rPr>
        <w:t xml:space="preserve">Data </w:t>
      </w:r>
      <w:r w:rsidR="00B544D0" w:rsidRPr="001C7D14">
        <w:rPr>
          <w:b/>
          <w:bCs/>
          <w:lang w:val="en-CA" w:eastAsia="en-US"/>
        </w:rPr>
        <w:t>availability statement</w:t>
      </w:r>
    </w:p>
    <w:p w14:paraId="10935FD3" w14:textId="325C2F2B" w:rsidR="00211F86" w:rsidRPr="001C7D14" w:rsidRDefault="00211F86" w:rsidP="00B544D0">
      <w:pPr>
        <w:rPr>
          <w:lang w:val="en-CA" w:eastAsia="en-US"/>
        </w:rPr>
      </w:pPr>
      <w:r w:rsidRPr="001C7D14">
        <w:rPr>
          <w:lang w:val="en-CA" w:eastAsia="en-US"/>
        </w:rPr>
        <w:t xml:space="preserve">The data that support the findings of this study are openly available in Open Science Framework at </w:t>
      </w:r>
      <w:r w:rsidR="000A2D4A" w:rsidRPr="000A2D4A">
        <w:rPr>
          <w:highlight w:val="yellow"/>
          <w:lang w:val="en-CA" w:eastAsia="en-US"/>
        </w:rPr>
        <w:t>https://osf.io/hkzj3/</w:t>
      </w:r>
      <w:r w:rsidRPr="000A2D4A">
        <w:rPr>
          <w:highlight w:val="yellow"/>
          <w:lang w:val="en-CA" w:eastAsia="en-US"/>
        </w:rPr>
        <w:t>.</w:t>
      </w:r>
    </w:p>
    <w:p w14:paraId="4B985D40" w14:textId="719F3368" w:rsidR="00942DEE" w:rsidRPr="001C7D14" w:rsidRDefault="00942DEE" w:rsidP="00F829E8">
      <w:pPr>
        <w:rPr>
          <w:b/>
          <w:bCs/>
          <w:lang w:val="en-CA" w:eastAsia="en-US"/>
        </w:rPr>
      </w:pPr>
      <w:r w:rsidRPr="001C7D14">
        <w:rPr>
          <w:b/>
          <w:bCs/>
          <w:lang w:val="en-CA" w:eastAsia="en-US"/>
        </w:rPr>
        <w:t xml:space="preserve">Conflict of Interest </w:t>
      </w:r>
    </w:p>
    <w:p w14:paraId="648ADD0E" w14:textId="49B58A4F" w:rsidR="00211F86" w:rsidRPr="001C7D14" w:rsidRDefault="00942DEE" w:rsidP="00B544D0">
      <w:pPr>
        <w:rPr>
          <w:lang w:val="en-CA" w:eastAsia="en-US"/>
        </w:rPr>
      </w:pPr>
      <w:r w:rsidRPr="001C7D14">
        <w:rPr>
          <w:lang w:val="en-CA" w:eastAsia="en-US"/>
        </w:rPr>
        <w:t>There are no conflicts of interest to report.</w:t>
      </w:r>
    </w:p>
    <w:p w14:paraId="5487CB58" w14:textId="77777777" w:rsidR="00211F86" w:rsidRPr="001C7D14" w:rsidRDefault="00211F86" w:rsidP="00F829E8">
      <w:pPr>
        <w:rPr>
          <w:lang w:val="en-CA" w:eastAsia="en-US"/>
        </w:rPr>
      </w:pPr>
      <w:r w:rsidRPr="001C7D14">
        <w:rPr>
          <w:lang w:val="en-CA" w:eastAsia="en-US"/>
        </w:rPr>
        <w:br w:type="page"/>
      </w:r>
    </w:p>
    <w:p w14:paraId="3E4F484A" w14:textId="1F727D34" w:rsidR="00942DEE" w:rsidRPr="00D804AB" w:rsidRDefault="00942DEE" w:rsidP="00D804AB">
      <w:pPr>
        <w:rPr>
          <w:b/>
          <w:bCs/>
          <w:lang w:val="en-CA" w:eastAsia="en-US"/>
        </w:rPr>
      </w:pPr>
      <w:r w:rsidRPr="00D804AB">
        <w:rPr>
          <w:b/>
          <w:bCs/>
          <w:lang w:val="en-CA" w:eastAsia="en-US"/>
        </w:rPr>
        <w:lastRenderedPageBreak/>
        <w:t>References</w:t>
      </w:r>
    </w:p>
    <w:p w14:paraId="1A308C76" w14:textId="6E5BAD30" w:rsidR="004370B0" w:rsidRPr="001C7D14" w:rsidRDefault="004370B0" w:rsidP="00F829E8">
      <w:pPr>
        <w:rPr>
          <w:lang w:val="en-CA" w:eastAsia="en-US"/>
        </w:rPr>
      </w:pPr>
      <w:proofErr w:type="spellStart"/>
      <w:r w:rsidRPr="001C7D14">
        <w:rPr>
          <w:lang w:val="en-CA" w:eastAsia="en-US"/>
        </w:rPr>
        <w:t>Artess</w:t>
      </w:r>
      <w:proofErr w:type="spellEnd"/>
      <w:r w:rsidRPr="001C7D14">
        <w:rPr>
          <w:lang w:val="en-CA" w:eastAsia="en-US"/>
        </w:rPr>
        <w:t xml:space="preserve"> J, </w:t>
      </w:r>
      <w:proofErr w:type="spellStart"/>
      <w:r w:rsidRPr="001C7D14">
        <w:rPr>
          <w:lang w:val="en-CA" w:eastAsia="en-US"/>
        </w:rPr>
        <w:t>Mellors-Bourne</w:t>
      </w:r>
      <w:proofErr w:type="spellEnd"/>
      <w:r w:rsidRPr="001C7D14">
        <w:rPr>
          <w:lang w:val="en-CA" w:eastAsia="en-US"/>
        </w:rPr>
        <w:t xml:space="preserve"> R and Hooley T (2017) </w:t>
      </w:r>
      <w:r w:rsidRPr="001C7D14">
        <w:rPr>
          <w:i/>
          <w:iCs/>
          <w:lang w:val="en-CA" w:eastAsia="en-US"/>
        </w:rPr>
        <w:t xml:space="preserve">Employability: A review of the </w:t>
      </w:r>
      <w:r w:rsidR="00A454B7" w:rsidRPr="001C7D14">
        <w:rPr>
          <w:i/>
          <w:iCs/>
          <w:lang w:val="en-CA" w:eastAsia="en-US"/>
        </w:rPr>
        <w:tab/>
      </w:r>
      <w:r w:rsidRPr="001C7D14">
        <w:rPr>
          <w:i/>
          <w:iCs/>
          <w:lang w:val="en-CA" w:eastAsia="en-US"/>
        </w:rPr>
        <w:t>literature 2012 to 2016</w:t>
      </w:r>
      <w:r w:rsidRPr="001C7D14">
        <w:rPr>
          <w:lang w:val="en-CA" w:eastAsia="en-US"/>
        </w:rPr>
        <w:t xml:space="preserve">. Report for Advance HE. Available at </w:t>
      </w:r>
      <w:r w:rsidR="00A454B7" w:rsidRPr="001C7D14">
        <w:rPr>
          <w:lang w:val="en-CA" w:eastAsia="en-US"/>
        </w:rPr>
        <w:tab/>
        <w:t>https://www.advance-he.ac.uk/knowledge-hub/employability-review-literature-</w:t>
      </w:r>
      <w:r w:rsidRPr="001C7D14">
        <w:rPr>
          <w:lang w:val="en-CA" w:eastAsia="en-US"/>
        </w:rPr>
        <w:t>2012-2016</w:t>
      </w:r>
    </w:p>
    <w:p w14:paraId="02950F6F" w14:textId="4E100D1D" w:rsidR="00942DEE" w:rsidRPr="001C7D14" w:rsidRDefault="00942DEE" w:rsidP="00F829E8">
      <w:pPr>
        <w:rPr>
          <w:lang w:val="en-CA" w:eastAsia="en-US"/>
        </w:rPr>
      </w:pPr>
      <w:r w:rsidRPr="001C7D14">
        <w:rPr>
          <w:lang w:val="en-CA" w:eastAsia="en-US"/>
        </w:rPr>
        <w:t>Barnett R (2009) Knowing and becoming in the higher education curriculum</w:t>
      </w:r>
      <w:r w:rsidRPr="001C7D14">
        <w:rPr>
          <w:i/>
          <w:iCs/>
          <w:lang w:val="en-CA" w:eastAsia="en-US"/>
        </w:rPr>
        <w:t xml:space="preserve">. Studies in Higher Education </w:t>
      </w:r>
      <w:r w:rsidRPr="001C7D14">
        <w:rPr>
          <w:lang w:val="en-CA" w:eastAsia="en-US"/>
        </w:rPr>
        <w:t>34(4)</w:t>
      </w:r>
      <w:r w:rsidR="00656DDA" w:rsidRPr="001C7D14">
        <w:rPr>
          <w:lang w:val="en-CA" w:eastAsia="en-US"/>
        </w:rPr>
        <w:t>:</w:t>
      </w:r>
      <w:r w:rsidRPr="001C7D14">
        <w:rPr>
          <w:lang w:val="en-CA" w:eastAsia="en-US"/>
        </w:rPr>
        <w:t xml:space="preserve"> 429-440. </w:t>
      </w:r>
    </w:p>
    <w:p w14:paraId="2B7DD2EB" w14:textId="58D3E2FB" w:rsidR="00942DEE" w:rsidRPr="001C7D14" w:rsidRDefault="00942DEE" w:rsidP="00F829E8">
      <w:pPr>
        <w:rPr>
          <w:lang w:val="en-CA" w:eastAsia="en-US"/>
        </w:rPr>
      </w:pPr>
      <w:r w:rsidRPr="001C7D14">
        <w:rPr>
          <w:lang w:val="en-CA" w:eastAsia="en-US"/>
        </w:rPr>
        <w:t xml:space="preserve">Bransford J </w:t>
      </w:r>
      <w:r w:rsidR="00656DDA" w:rsidRPr="001C7D14">
        <w:rPr>
          <w:lang w:val="en-CA" w:eastAsia="en-US"/>
        </w:rPr>
        <w:t>and</w:t>
      </w:r>
      <w:r w:rsidRPr="001C7D14">
        <w:rPr>
          <w:lang w:val="en-CA" w:eastAsia="en-US"/>
        </w:rPr>
        <w:t xml:space="preserve"> Schwartz D (1999) Rethinking transfer: A simple proposal with multiple</w:t>
      </w:r>
      <w:r w:rsidR="00656DDA" w:rsidRPr="001C7D14">
        <w:rPr>
          <w:lang w:val="en-CA" w:eastAsia="en-US"/>
        </w:rPr>
        <w:t xml:space="preserve"> </w:t>
      </w:r>
      <w:r w:rsidRPr="001C7D14">
        <w:rPr>
          <w:lang w:val="en-CA" w:eastAsia="en-US"/>
        </w:rPr>
        <w:t xml:space="preserve">implications. </w:t>
      </w:r>
      <w:r w:rsidRPr="001C7D14">
        <w:rPr>
          <w:i/>
          <w:iCs/>
          <w:lang w:val="en-CA" w:eastAsia="en-US"/>
        </w:rPr>
        <w:t xml:space="preserve">Review of Research in Education </w:t>
      </w:r>
      <w:r w:rsidRPr="001C7D14">
        <w:rPr>
          <w:lang w:val="en-CA" w:eastAsia="en-US"/>
        </w:rPr>
        <w:t>24</w:t>
      </w:r>
      <w:r w:rsidR="00656DDA" w:rsidRPr="001C7D14">
        <w:rPr>
          <w:lang w:val="en-CA" w:eastAsia="en-US"/>
        </w:rPr>
        <w:t>:</w:t>
      </w:r>
      <w:r w:rsidRPr="001C7D14">
        <w:rPr>
          <w:lang w:val="en-CA" w:eastAsia="en-US"/>
        </w:rPr>
        <w:t xml:space="preserve"> 61-100. </w:t>
      </w:r>
    </w:p>
    <w:p w14:paraId="151140B1" w14:textId="65A64271" w:rsidR="00942DEE" w:rsidRPr="001C7D14" w:rsidRDefault="00942DEE" w:rsidP="00F829E8">
      <w:pPr>
        <w:rPr>
          <w:lang w:val="en-CA" w:eastAsia="en-US"/>
        </w:rPr>
      </w:pPr>
      <w:r w:rsidRPr="001C7D14">
        <w:rPr>
          <w:lang w:val="en-CA" w:eastAsia="en-US"/>
        </w:rPr>
        <w:t>Chamorro-</w:t>
      </w:r>
      <w:proofErr w:type="spellStart"/>
      <w:r w:rsidRPr="001C7D14">
        <w:rPr>
          <w:lang w:val="en-CA" w:eastAsia="en-US"/>
        </w:rPr>
        <w:t>Premuzic</w:t>
      </w:r>
      <w:proofErr w:type="spellEnd"/>
      <w:r w:rsidRPr="001C7D14">
        <w:rPr>
          <w:lang w:val="en-CA" w:eastAsia="en-US"/>
        </w:rPr>
        <w:t xml:space="preserve"> T </w:t>
      </w:r>
      <w:r w:rsidR="00656DDA" w:rsidRPr="001C7D14">
        <w:rPr>
          <w:lang w:val="en-CA" w:eastAsia="en-US"/>
        </w:rPr>
        <w:t>and</w:t>
      </w:r>
      <w:r w:rsidRPr="001C7D14">
        <w:rPr>
          <w:lang w:val="en-CA" w:eastAsia="en-US"/>
        </w:rPr>
        <w:t xml:space="preserve"> Furnham A (2003) Personality predicts academic</w:t>
      </w:r>
      <w:r w:rsidR="00B544D0">
        <w:rPr>
          <w:lang w:val="en-CA" w:eastAsia="en-US"/>
        </w:rPr>
        <w:t xml:space="preserve"> </w:t>
      </w:r>
      <w:r w:rsidRPr="001C7D14">
        <w:rPr>
          <w:lang w:val="en-CA" w:eastAsia="en-US"/>
        </w:rPr>
        <w:t>performance: Evidence</w:t>
      </w:r>
      <w:r w:rsidR="00A454B7" w:rsidRPr="001C7D14">
        <w:rPr>
          <w:lang w:val="en-CA" w:eastAsia="en-US"/>
        </w:rPr>
        <w:t xml:space="preserve"> </w:t>
      </w:r>
      <w:r w:rsidRPr="001C7D14">
        <w:rPr>
          <w:lang w:val="en-CA" w:eastAsia="en-US"/>
        </w:rPr>
        <w:t xml:space="preserve">from two longitudinal university samples. </w:t>
      </w:r>
      <w:r w:rsidRPr="001C7D14">
        <w:rPr>
          <w:i/>
          <w:iCs/>
          <w:lang w:val="en-CA" w:eastAsia="en-US"/>
        </w:rPr>
        <w:t xml:space="preserve">Journal of Research in Personality </w:t>
      </w:r>
      <w:r w:rsidRPr="001C7D14">
        <w:rPr>
          <w:lang w:val="en-CA" w:eastAsia="en-US"/>
        </w:rPr>
        <w:t>37(2003)</w:t>
      </w:r>
      <w:r w:rsidR="00656DDA" w:rsidRPr="001C7D14">
        <w:rPr>
          <w:lang w:val="en-CA" w:eastAsia="en-US"/>
        </w:rPr>
        <w:t>:</w:t>
      </w:r>
      <w:r w:rsidRPr="001C7D14">
        <w:rPr>
          <w:lang w:val="en-CA" w:eastAsia="en-US"/>
        </w:rPr>
        <w:t xml:space="preserve"> 319-338. </w:t>
      </w:r>
    </w:p>
    <w:p w14:paraId="67B7BB4F" w14:textId="364FCD4E" w:rsidR="007A4122" w:rsidRPr="001C7D14" w:rsidRDefault="007A4122" w:rsidP="00F829E8">
      <w:pPr>
        <w:rPr>
          <w:lang w:val="en-CA" w:eastAsia="en-US"/>
        </w:rPr>
      </w:pPr>
      <w:r w:rsidRPr="001C7D14">
        <w:rPr>
          <w:lang w:val="en-CA" w:eastAsia="en-US"/>
        </w:rPr>
        <w:t xml:space="preserve">Chan WK (2012) Employability does not necessarily lead to competitiveness. </w:t>
      </w:r>
      <w:r w:rsidRPr="001C7D14">
        <w:rPr>
          <w:i/>
          <w:iCs/>
          <w:lang w:val="en-CA" w:eastAsia="en-US"/>
        </w:rPr>
        <w:t>Chinese Education &amp;</w:t>
      </w:r>
      <w:r w:rsidR="00A454B7" w:rsidRPr="001C7D14">
        <w:rPr>
          <w:i/>
          <w:iCs/>
          <w:lang w:val="en-CA" w:eastAsia="en-US"/>
        </w:rPr>
        <w:t xml:space="preserve"> </w:t>
      </w:r>
      <w:r w:rsidRPr="001C7D14">
        <w:rPr>
          <w:i/>
          <w:iCs/>
          <w:lang w:val="en-CA" w:eastAsia="en-US"/>
        </w:rPr>
        <w:t>Society</w:t>
      </w:r>
      <w:r w:rsidRPr="001C7D14">
        <w:rPr>
          <w:lang w:val="en-CA" w:eastAsia="en-US"/>
        </w:rPr>
        <w:t xml:space="preserve"> 45(2): 21-37.</w:t>
      </w:r>
    </w:p>
    <w:p w14:paraId="51EB7D13" w14:textId="09C30DD2" w:rsidR="00942DEE" w:rsidRPr="001C7D14" w:rsidRDefault="00942DEE" w:rsidP="00F829E8">
      <w:pPr>
        <w:rPr>
          <w:lang w:val="en-CA" w:eastAsia="en-US"/>
        </w:rPr>
      </w:pPr>
      <w:r w:rsidRPr="001C7D14">
        <w:rPr>
          <w:lang w:val="en-CA" w:eastAsia="en-US"/>
        </w:rPr>
        <w:t xml:space="preserve">Christie R </w:t>
      </w:r>
      <w:r w:rsidR="00656DDA" w:rsidRPr="001C7D14">
        <w:rPr>
          <w:lang w:val="en-CA" w:eastAsia="en-US"/>
        </w:rPr>
        <w:t>and</w:t>
      </w:r>
      <w:r w:rsidRPr="001C7D14">
        <w:rPr>
          <w:lang w:val="en-CA" w:eastAsia="en-US"/>
        </w:rPr>
        <w:t xml:space="preserve"> Geis F (1970) </w:t>
      </w:r>
      <w:r w:rsidRPr="001C7D14">
        <w:rPr>
          <w:i/>
          <w:iCs/>
          <w:lang w:val="en-CA" w:eastAsia="en-US"/>
        </w:rPr>
        <w:t>Studies in Machiavellianism</w:t>
      </w:r>
      <w:r w:rsidRPr="001C7D14">
        <w:rPr>
          <w:lang w:val="en-CA" w:eastAsia="en-US"/>
        </w:rPr>
        <w:t>. Academic Press.</w:t>
      </w:r>
      <w:r w:rsidRPr="001C7D14">
        <w:rPr>
          <w:lang w:val="en-CA" w:eastAsia="en-US"/>
        </w:rPr>
        <w:tab/>
      </w:r>
    </w:p>
    <w:p w14:paraId="522A1346" w14:textId="5259B63D" w:rsidR="00942DEE" w:rsidRPr="001C7D14" w:rsidRDefault="00942DEE" w:rsidP="00F829E8">
      <w:pPr>
        <w:rPr>
          <w:lang w:val="en-CA" w:eastAsia="en-US"/>
        </w:rPr>
      </w:pPr>
      <w:r w:rsidRPr="001C7D14">
        <w:rPr>
          <w:lang w:val="en-CA" w:eastAsia="en-US"/>
        </w:rPr>
        <w:t>Coates H (2005) The value of student engagement for higher education quality assurance.</w:t>
      </w:r>
      <w:r w:rsidR="00B544D0">
        <w:rPr>
          <w:lang w:val="en-CA" w:eastAsia="en-US"/>
        </w:rPr>
        <w:t xml:space="preserve"> </w:t>
      </w:r>
      <w:r w:rsidRPr="001C7D14">
        <w:rPr>
          <w:i/>
          <w:iCs/>
          <w:lang w:val="en-CA" w:eastAsia="en-US"/>
        </w:rPr>
        <w:t xml:space="preserve">Quality in Higher Education </w:t>
      </w:r>
      <w:r w:rsidRPr="001C7D14">
        <w:rPr>
          <w:lang w:val="en-CA" w:eastAsia="en-US"/>
        </w:rPr>
        <w:t>11(1)</w:t>
      </w:r>
      <w:r w:rsidR="00656DDA" w:rsidRPr="001C7D14">
        <w:rPr>
          <w:lang w:val="en-CA" w:eastAsia="en-US"/>
        </w:rPr>
        <w:t>:</w:t>
      </w:r>
      <w:r w:rsidRPr="001C7D14">
        <w:rPr>
          <w:lang w:val="en-CA" w:eastAsia="en-US"/>
        </w:rPr>
        <w:t xml:space="preserve"> 25-36. </w:t>
      </w:r>
    </w:p>
    <w:p w14:paraId="7907EC28" w14:textId="7A597BB6" w:rsidR="0024778F" w:rsidRPr="001C7D14" w:rsidRDefault="0024778F" w:rsidP="00F829E8">
      <w:pPr>
        <w:rPr>
          <w:lang w:val="en-CA" w:eastAsia="en-US"/>
        </w:rPr>
      </w:pPr>
      <w:r w:rsidRPr="001C7D14">
        <w:rPr>
          <w:lang w:val="en-CA" w:eastAsia="en-US"/>
        </w:rPr>
        <w:t xml:space="preserve">Dalrymple R, Macrae A, Pal M and Shipman S (2021) </w:t>
      </w:r>
      <w:r w:rsidRPr="001C7D14">
        <w:rPr>
          <w:i/>
          <w:iCs/>
          <w:lang w:val="en-CA" w:eastAsia="en-US"/>
        </w:rPr>
        <w:t>Employability: A review of the</w:t>
      </w:r>
      <w:r w:rsidR="00B544D0">
        <w:rPr>
          <w:i/>
          <w:iCs/>
          <w:lang w:val="en-CA" w:eastAsia="en-US"/>
        </w:rPr>
        <w:t xml:space="preserve"> </w:t>
      </w:r>
      <w:r w:rsidRPr="001C7D14">
        <w:rPr>
          <w:i/>
          <w:iCs/>
          <w:lang w:val="en-CA" w:eastAsia="en-US"/>
        </w:rPr>
        <w:t>literature 2016-2021</w:t>
      </w:r>
      <w:r w:rsidRPr="001C7D14">
        <w:rPr>
          <w:lang w:val="en-CA" w:eastAsia="en-US"/>
        </w:rPr>
        <w:t xml:space="preserve">. </w:t>
      </w:r>
      <w:r w:rsidR="004370B0" w:rsidRPr="001C7D14">
        <w:rPr>
          <w:lang w:val="en-CA" w:eastAsia="en-US"/>
        </w:rPr>
        <w:t xml:space="preserve">Report for </w:t>
      </w:r>
      <w:r w:rsidRPr="001C7D14">
        <w:rPr>
          <w:lang w:val="en-CA" w:eastAsia="en-US"/>
        </w:rPr>
        <w:t>Advance HE.</w:t>
      </w:r>
      <w:r w:rsidR="004370B0" w:rsidRPr="001C7D14">
        <w:rPr>
          <w:lang w:val="en-CA" w:eastAsia="en-US"/>
        </w:rPr>
        <w:t xml:space="preserve"> Available at: </w:t>
      </w:r>
      <w:r w:rsidR="00A454B7" w:rsidRPr="001C7D14">
        <w:rPr>
          <w:lang w:val="en-CA" w:eastAsia="en-US"/>
        </w:rPr>
        <w:t>https://www.advance-he.ac.uk/knowledge-hub/employability-review-literature-</w:t>
      </w:r>
      <w:r w:rsidR="004370B0" w:rsidRPr="001C7D14">
        <w:rPr>
          <w:lang w:val="en-CA" w:eastAsia="en-US"/>
        </w:rPr>
        <w:t>2016-2021</w:t>
      </w:r>
    </w:p>
    <w:p w14:paraId="3332484F" w14:textId="5599FA48" w:rsidR="00942DEE" w:rsidRPr="001C7D14" w:rsidRDefault="00942DEE" w:rsidP="00F829E8">
      <w:pPr>
        <w:rPr>
          <w:lang w:val="en-CA" w:eastAsia="en-US"/>
        </w:rPr>
      </w:pPr>
      <w:r w:rsidRPr="001C7D14">
        <w:rPr>
          <w:lang w:val="en-CA" w:eastAsia="en-US"/>
        </w:rPr>
        <w:t xml:space="preserve">Davey A </w:t>
      </w:r>
      <w:r w:rsidR="00656DDA" w:rsidRPr="001C7D14">
        <w:rPr>
          <w:lang w:val="en-CA" w:eastAsia="en-US"/>
        </w:rPr>
        <w:t>and</w:t>
      </w:r>
      <w:r w:rsidRPr="001C7D14">
        <w:rPr>
          <w:lang w:val="en-CA" w:eastAsia="en-US"/>
        </w:rPr>
        <w:t xml:space="preserve"> Tucker LK (2010) Enhancing higher education students’ employability and career</w:t>
      </w:r>
      <w:r w:rsidR="00A454B7" w:rsidRPr="001C7D14">
        <w:rPr>
          <w:lang w:val="en-CA" w:eastAsia="en-US"/>
        </w:rPr>
        <w:t xml:space="preserve"> </w:t>
      </w:r>
      <w:r w:rsidRPr="001C7D14">
        <w:rPr>
          <w:lang w:val="en-CA" w:eastAsia="en-US"/>
        </w:rPr>
        <w:t xml:space="preserve">management: A library service approach. </w:t>
      </w:r>
      <w:r w:rsidRPr="001C7D14">
        <w:rPr>
          <w:i/>
          <w:iCs/>
          <w:lang w:val="en-CA" w:eastAsia="en-US"/>
        </w:rPr>
        <w:t xml:space="preserve">Library Review </w:t>
      </w:r>
      <w:r w:rsidR="00656DDA" w:rsidRPr="001C7D14">
        <w:rPr>
          <w:lang w:val="en-CA" w:eastAsia="en-US"/>
        </w:rPr>
        <w:t>59</w:t>
      </w:r>
      <w:r w:rsidRPr="001C7D14">
        <w:rPr>
          <w:lang w:val="en-CA" w:eastAsia="en-US"/>
        </w:rPr>
        <w:t>(6)</w:t>
      </w:r>
      <w:r w:rsidR="00656DDA" w:rsidRPr="001C7D14">
        <w:rPr>
          <w:lang w:val="en-CA" w:eastAsia="en-US"/>
        </w:rPr>
        <w:t>:</w:t>
      </w:r>
      <w:r w:rsidRPr="001C7D14">
        <w:rPr>
          <w:lang w:val="en-CA" w:eastAsia="en-US"/>
        </w:rPr>
        <w:t xml:space="preserve"> 445-454. </w:t>
      </w:r>
    </w:p>
    <w:p w14:paraId="2B0CDD69" w14:textId="47B665FA" w:rsidR="00942DEE" w:rsidRPr="001C7D14" w:rsidRDefault="00942DEE" w:rsidP="00F829E8">
      <w:pPr>
        <w:rPr>
          <w:lang w:val="en-CA" w:eastAsia="en-US"/>
        </w:rPr>
      </w:pPr>
      <w:r w:rsidRPr="001C7D14">
        <w:rPr>
          <w:lang w:val="en-CA" w:eastAsia="en-US"/>
        </w:rPr>
        <w:t xml:space="preserve">Dearing R (1997) </w:t>
      </w:r>
      <w:r w:rsidRPr="001C7D14">
        <w:rPr>
          <w:i/>
          <w:iCs/>
          <w:lang w:val="en-CA" w:eastAsia="en-US"/>
        </w:rPr>
        <w:t>The Dearing Report: Higher education in the learning society</w:t>
      </w:r>
      <w:r w:rsidRPr="001C7D14">
        <w:rPr>
          <w:lang w:val="en-CA" w:eastAsia="en-US"/>
        </w:rPr>
        <w:t>. Her</w:t>
      </w:r>
      <w:r w:rsidR="00B544D0">
        <w:rPr>
          <w:lang w:val="en-CA" w:eastAsia="en-US"/>
        </w:rPr>
        <w:t xml:space="preserve"> </w:t>
      </w:r>
      <w:r w:rsidRPr="001C7D14">
        <w:rPr>
          <w:lang w:val="en-CA" w:eastAsia="en-US"/>
        </w:rPr>
        <w:t xml:space="preserve">Majesty's Stationery Office. </w:t>
      </w:r>
    </w:p>
    <w:p w14:paraId="5F9F561E" w14:textId="7A29B332" w:rsidR="00942DEE" w:rsidRPr="001C7D14" w:rsidRDefault="00942DEE" w:rsidP="00F829E8">
      <w:pPr>
        <w:rPr>
          <w:lang w:val="en-CA" w:eastAsia="en-US"/>
        </w:rPr>
      </w:pPr>
      <w:r w:rsidRPr="001C7D14">
        <w:rPr>
          <w:lang w:val="en-CA" w:eastAsia="en-US"/>
        </w:rPr>
        <w:t xml:space="preserve">Department for Education (2020) </w:t>
      </w:r>
      <w:r w:rsidRPr="001C7D14">
        <w:rPr>
          <w:i/>
          <w:iCs/>
          <w:lang w:val="en-CA" w:eastAsia="en-US"/>
        </w:rPr>
        <w:t>Graduate outcomes (LEO): Employment and earnings</w:t>
      </w:r>
      <w:r w:rsidR="00656DDA" w:rsidRPr="001C7D14">
        <w:rPr>
          <w:i/>
          <w:iCs/>
          <w:lang w:val="en-CA" w:eastAsia="en-US"/>
        </w:rPr>
        <w:t xml:space="preserve"> </w:t>
      </w:r>
      <w:r w:rsidRPr="001C7D14">
        <w:rPr>
          <w:i/>
          <w:iCs/>
          <w:lang w:val="en-CA" w:eastAsia="en-US"/>
        </w:rPr>
        <w:t xml:space="preserve">outcomes of higher education graduates by subject studied and graduate characteristics in </w:t>
      </w:r>
      <w:r w:rsidRPr="001C7D14">
        <w:rPr>
          <w:i/>
          <w:iCs/>
          <w:lang w:val="en-CA" w:eastAsia="en-US"/>
        </w:rPr>
        <w:lastRenderedPageBreak/>
        <w:t>2017/18.</w:t>
      </w:r>
      <w:r w:rsidR="00D01494" w:rsidRPr="001C7D14">
        <w:rPr>
          <w:i/>
          <w:iCs/>
          <w:lang w:val="en-CA" w:eastAsia="en-US"/>
        </w:rPr>
        <w:t xml:space="preserve"> </w:t>
      </w:r>
      <w:r w:rsidR="00184F38" w:rsidRPr="001C7D14">
        <w:rPr>
          <w:lang w:val="en-CA" w:eastAsia="en-US"/>
        </w:rPr>
        <w:t>A</w:t>
      </w:r>
      <w:r w:rsidR="00656DDA" w:rsidRPr="001C7D14">
        <w:rPr>
          <w:lang w:val="en-CA" w:eastAsia="en-US"/>
        </w:rPr>
        <w:t>vailable at:</w:t>
      </w:r>
      <w:r w:rsidR="00B544D0">
        <w:rPr>
          <w:lang w:val="en-CA" w:eastAsia="en-US"/>
        </w:rPr>
        <w:t xml:space="preserve"> </w:t>
      </w:r>
      <w:r w:rsidR="00A226C1">
        <w:rPr>
          <w:lang w:val="en-CA" w:eastAsia="en-US"/>
        </w:rPr>
        <w:t>h</w:t>
      </w:r>
      <w:r w:rsidR="00A454B7" w:rsidRPr="001C7D14">
        <w:rPr>
          <w:lang w:val="en-CA" w:eastAsia="en-US"/>
        </w:rPr>
        <w:t>ttps://assets.publishing.service.gov.uk/government/uploads/system/uploads/</w:t>
      </w:r>
      <w:r w:rsidR="00D01494" w:rsidRPr="001C7D14">
        <w:rPr>
          <w:lang w:val="en-CA" w:eastAsia="en-US"/>
        </w:rPr>
        <w:t>attachment_dat</w:t>
      </w:r>
      <w:r w:rsidRPr="001C7D14">
        <w:rPr>
          <w:lang w:val="en-CA" w:eastAsia="en-US"/>
        </w:rPr>
        <w:t>a/file/874410/2020_03_HE_LEO_main_text.pdf</w:t>
      </w:r>
    </w:p>
    <w:p w14:paraId="7EB7A379" w14:textId="64C41B37" w:rsidR="00942DEE" w:rsidRPr="001C7D14" w:rsidRDefault="00942DEE" w:rsidP="00F829E8">
      <w:pPr>
        <w:rPr>
          <w:lang w:val="en-CA" w:eastAsia="en-US"/>
        </w:rPr>
      </w:pPr>
      <w:r w:rsidRPr="001C7D14">
        <w:rPr>
          <w:lang w:val="en-CA" w:eastAsia="en-US"/>
        </w:rPr>
        <w:t xml:space="preserve">Department for Education (2020) </w:t>
      </w:r>
      <w:r w:rsidRPr="001C7D14">
        <w:rPr>
          <w:i/>
          <w:iCs/>
          <w:lang w:val="en-CA" w:eastAsia="en-US"/>
        </w:rPr>
        <w:t>Graduate outcomes (LEO): Postgraduate outcomes.</w:t>
      </w:r>
      <w:r w:rsidRPr="001C7D14">
        <w:rPr>
          <w:lang w:val="en-CA" w:eastAsia="en-US"/>
        </w:rPr>
        <w:t xml:space="preserve"> </w:t>
      </w:r>
      <w:r w:rsidR="00656DDA" w:rsidRPr="001C7D14">
        <w:rPr>
          <w:lang w:val="en-CA" w:eastAsia="en-US"/>
        </w:rPr>
        <w:t>Available at:</w:t>
      </w:r>
      <w:r w:rsidR="00A454B7" w:rsidRPr="001C7D14">
        <w:rPr>
          <w:lang w:val="en-CA" w:eastAsia="en-US"/>
        </w:rPr>
        <w:t xml:space="preserve"> https://explore-education-</w:t>
      </w:r>
      <w:r w:rsidR="00D01494" w:rsidRPr="001C7D14">
        <w:rPr>
          <w:lang w:val="en-CA" w:eastAsia="en-US"/>
        </w:rPr>
        <w:t>statistics.service.gov.uk/find-statistics/graduate-outcomes-leo-</w:t>
      </w:r>
      <w:r w:rsidRPr="001C7D14">
        <w:rPr>
          <w:lang w:val="en-CA" w:eastAsia="en-US"/>
        </w:rPr>
        <w:t>postgraduate-outcomes</w:t>
      </w:r>
    </w:p>
    <w:p w14:paraId="40B851B5" w14:textId="18414CFF" w:rsidR="00EA4AD6" w:rsidRPr="001C7D14" w:rsidRDefault="008F6F8C" w:rsidP="00F829E8">
      <w:pPr>
        <w:rPr>
          <w:lang w:val="en-CA" w:eastAsia="en-US"/>
        </w:rPr>
      </w:pPr>
      <w:r w:rsidRPr="001C7D14">
        <w:rPr>
          <w:lang w:val="en-CA" w:eastAsia="en-US"/>
        </w:rPr>
        <w:t xml:space="preserve">Department for Education (2021) </w:t>
      </w:r>
      <w:r w:rsidRPr="001C7D14">
        <w:rPr>
          <w:i/>
          <w:iCs/>
          <w:lang w:val="en-CA" w:eastAsia="en-US"/>
        </w:rPr>
        <w:t>Participation measures in higher education: Academic year 2019/20.</w:t>
      </w:r>
      <w:r w:rsidRPr="001C7D14">
        <w:rPr>
          <w:lang w:val="en-CA" w:eastAsia="en-US"/>
        </w:rPr>
        <w:t xml:space="preserve"> Available at: </w:t>
      </w:r>
      <w:r w:rsidR="00A454B7" w:rsidRPr="001C7D14">
        <w:rPr>
          <w:lang w:val="en-CA" w:eastAsia="en-US"/>
        </w:rPr>
        <w:t>https://explore-education-</w:t>
      </w:r>
      <w:r w:rsidRPr="001C7D14">
        <w:rPr>
          <w:lang w:val="en-CA" w:eastAsia="en-US"/>
        </w:rPr>
        <w:t>statistics.service.gov.uk/find-statistics/participation-measures-in-higher-education/2019-20</w:t>
      </w:r>
    </w:p>
    <w:p w14:paraId="66074C58" w14:textId="1C338823" w:rsidR="00942DEE" w:rsidRPr="001C7D14" w:rsidRDefault="00942DEE" w:rsidP="00F829E8">
      <w:pPr>
        <w:rPr>
          <w:lang w:val="en-CA" w:eastAsia="en-US"/>
        </w:rPr>
      </w:pPr>
      <w:r w:rsidRPr="001C7D14">
        <w:rPr>
          <w:lang w:val="en-CA" w:eastAsia="en-US"/>
        </w:rPr>
        <w:t>Donald WE</w:t>
      </w:r>
      <w:r w:rsidR="00656DDA" w:rsidRPr="001C7D14">
        <w:rPr>
          <w:lang w:val="en-CA" w:eastAsia="en-US"/>
        </w:rPr>
        <w:t>,</w:t>
      </w:r>
      <w:r w:rsidRPr="001C7D14">
        <w:rPr>
          <w:lang w:val="en-CA" w:eastAsia="en-US"/>
        </w:rPr>
        <w:t xml:space="preserve"> Ashleigh MJ </w:t>
      </w:r>
      <w:r w:rsidR="00656DDA" w:rsidRPr="001C7D14">
        <w:rPr>
          <w:lang w:val="en-CA" w:eastAsia="en-US"/>
        </w:rPr>
        <w:t>and</w:t>
      </w:r>
      <w:r w:rsidRPr="001C7D14">
        <w:rPr>
          <w:lang w:val="en-CA" w:eastAsia="en-US"/>
        </w:rPr>
        <w:t xml:space="preserve"> Baruch Y (2018) Students’ perceptions of education and employability. </w:t>
      </w:r>
      <w:r w:rsidRPr="001C7D14">
        <w:rPr>
          <w:i/>
          <w:iCs/>
          <w:lang w:val="en-CA" w:eastAsia="en-US"/>
        </w:rPr>
        <w:t xml:space="preserve">Career Development International </w:t>
      </w:r>
      <w:r w:rsidRPr="001C7D14">
        <w:rPr>
          <w:lang w:val="en-CA" w:eastAsia="en-US"/>
        </w:rPr>
        <w:t>23(5)</w:t>
      </w:r>
      <w:r w:rsidR="00656DDA" w:rsidRPr="001C7D14">
        <w:rPr>
          <w:lang w:val="en-CA" w:eastAsia="en-US"/>
        </w:rPr>
        <w:t>:</w:t>
      </w:r>
      <w:r w:rsidRPr="001C7D14">
        <w:rPr>
          <w:lang w:val="en-CA" w:eastAsia="en-US"/>
        </w:rPr>
        <w:t xml:space="preserve"> 513-540. </w:t>
      </w:r>
    </w:p>
    <w:p w14:paraId="4108C1AE" w14:textId="7FFA74B6" w:rsidR="00942DEE" w:rsidRPr="001C7D14" w:rsidRDefault="00942DEE" w:rsidP="00F829E8">
      <w:pPr>
        <w:rPr>
          <w:lang w:val="en-CA" w:eastAsia="en-US"/>
        </w:rPr>
      </w:pPr>
      <w:proofErr w:type="spellStart"/>
      <w:r w:rsidRPr="001C7D14">
        <w:rPr>
          <w:lang w:val="en-CA" w:eastAsia="en-US"/>
        </w:rPr>
        <w:t>Dowgwillo</w:t>
      </w:r>
      <w:proofErr w:type="spellEnd"/>
      <w:r w:rsidRPr="001C7D14">
        <w:rPr>
          <w:lang w:val="en-CA" w:eastAsia="en-US"/>
        </w:rPr>
        <w:t xml:space="preserve"> EA </w:t>
      </w:r>
      <w:r w:rsidR="00656DDA" w:rsidRPr="001C7D14">
        <w:rPr>
          <w:lang w:val="en-CA" w:eastAsia="en-US"/>
        </w:rPr>
        <w:t>and</w:t>
      </w:r>
      <w:r w:rsidRPr="001C7D14">
        <w:rPr>
          <w:lang w:val="en-CA" w:eastAsia="en-US"/>
        </w:rPr>
        <w:t xml:space="preserve"> Pincus AL (2017) Differentiating Dark Triad traits within and</w:t>
      </w:r>
      <w:r w:rsidR="00A454B7" w:rsidRPr="001C7D14">
        <w:rPr>
          <w:lang w:val="en-CA" w:eastAsia="en-US"/>
        </w:rPr>
        <w:tab/>
      </w:r>
      <w:r w:rsidRPr="001C7D14">
        <w:rPr>
          <w:lang w:val="en-CA" w:eastAsia="en-US"/>
        </w:rPr>
        <w:t xml:space="preserve">across interpersonal circumplex surfaces. </w:t>
      </w:r>
      <w:r w:rsidRPr="001C7D14">
        <w:rPr>
          <w:i/>
          <w:iCs/>
          <w:lang w:val="en-CA" w:eastAsia="en-US"/>
        </w:rPr>
        <w:t xml:space="preserve">Assessment </w:t>
      </w:r>
      <w:r w:rsidRPr="001C7D14">
        <w:rPr>
          <w:lang w:val="en-CA" w:eastAsia="en-US"/>
        </w:rPr>
        <w:t>24(1)</w:t>
      </w:r>
      <w:r w:rsidR="00583670" w:rsidRPr="001C7D14">
        <w:rPr>
          <w:lang w:val="en-CA" w:eastAsia="en-US"/>
        </w:rPr>
        <w:t>:</w:t>
      </w:r>
      <w:r w:rsidRPr="001C7D14">
        <w:rPr>
          <w:lang w:val="en-CA" w:eastAsia="en-US"/>
        </w:rPr>
        <w:t xml:space="preserve"> 24-44. </w:t>
      </w:r>
    </w:p>
    <w:p w14:paraId="72DA2B57" w14:textId="62E8F7A4" w:rsidR="00756E9D" w:rsidRPr="001C7D14" w:rsidRDefault="00756E9D" w:rsidP="00F829E8">
      <w:pPr>
        <w:rPr>
          <w:lang w:val="en-CA" w:eastAsia="en-US"/>
        </w:rPr>
      </w:pPr>
      <w:proofErr w:type="spellStart"/>
      <w:r w:rsidRPr="001C7D14">
        <w:rPr>
          <w:lang w:val="en-CA" w:eastAsia="en-US"/>
        </w:rPr>
        <w:t>Durazzi</w:t>
      </w:r>
      <w:proofErr w:type="spellEnd"/>
      <w:r w:rsidRPr="001C7D14">
        <w:rPr>
          <w:lang w:val="en-CA" w:eastAsia="en-US"/>
        </w:rPr>
        <w:t xml:space="preserve"> N (2021) Opening universities’ doors for business? Marketization, the search for</w:t>
      </w:r>
      <w:r w:rsidR="00A454B7" w:rsidRPr="001C7D14">
        <w:rPr>
          <w:lang w:val="en-CA" w:eastAsia="en-US"/>
        </w:rPr>
        <w:t xml:space="preserve"> </w:t>
      </w:r>
      <w:r w:rsidRPr="001C7D14">
        <w:rPr>
          <w:lang w:val="en-CA" w:eastAsia="en-US"/>
        </w:rPr>
        <w:t xml:space="preserve">differentiation and employability in England. </w:t>
      </w:r>
      <w:r w:rsidRPr="001C7D14">
        <w:rPr>
          <w:i/>
          <w:iCs/>
          <w:lang w:val="en-CA" w:eastAsia="en-US"/>
        </w:rPr>
        <w:t>Journal of Social Policy</w:t>
      </w:r>
      <w:r w:rsidRPr="001C7D14">
        <w:rPr>
          <w:lang w:val="en-CA" w:eastAsia="en-US"/>
        </w:rPr>
        <w:t xml:space="preserve"> 50(2): 386-405.</w:t>
      </w:r>
    </w:p>
    <w:p w14:paraId="07FB17C4" w14:textId="211599AD" w:rsidR="00942DEE" w:rsidRPr="001C7D14" w:rsidRDefault="00942DEE" w:rsidP="00F829E8">
      <w:pPr>
        <w:rPr>
          <w:lang w:val="en-CA" w:eastAsia="en-US"/>
        </w:rPr>
      </w:pPr>
      <w:proofErr w:type="spellStart"/>
      <w:r w:rsidRPr="001C7D14">
        <w:rPr>
          <w:lang w:val="en-CA" w:eastAsia="en-US"/>
        </w:rPr>
        <w:t>Farsides</w:t>
      </w:r>
      <w:proofErr w:type="spellEnd"/>
      <w:r w:rsidRPr="001C7D14">
        <w:rPr>
          <w:lang w:val="en-CA" w:eastAsia="en-US"/>
        </w:rPr>
        <w:t xml:space="preserve"> T </w:t>
      </w:r>
      <w:r w:rsidR="00656DDA" w:rsidRPr="001C7D14">
        <w:rPr>
          <w:lang w:val="en-CA" w:eastAsia="en-US"/>
        </w:rPr>
        <w:t>and</w:t>
      </w:r>
      <w:r w:rsidRPr="001C7D14">
        <w:rPr>
          <w:lang w:val="en-CA" w:eastAsia="en-US"/>
        </w:rPr>
        <w:t xml:space="preserve"> Woodfield R (2006) Individual and gender differences in ‘good’ and</w:t>
      </w:r>
      <w:r w:rsidR="00B544D0">
        <w:rPr>
          <w:lang w:val="en-CA" w:eastAsia="en-US"/>
        </w:rPr>
        <w:t xml:space="preserve"> </w:t>
      </w:r>
      <w:r w:rsidRPr="001C7D14">
        <w:rPr>
          <w:lang w:val="en-CA" w:eastAsia="en-US"/>
        </w:rPr>
        <w:t>‘first</w:t>
      </w:r>
      <w:r w:rsidR="00583670" w:rsidRPr="001C7D14">
        <w:rPr>
          <w:lang w:val="en-CA" w:eastAsia="en-US"/>
        </w:rPr>
        <w:t xml:space="preserve"> </w:t>
      </w:r>
      <w:proofErr w:type="spellStart"/>
      <w:r w:rsidRPr="001C7D14">
        <w:rPr>
          <w:lang w:val="en-CA" w:eastAsia="en-US"/>
        </w:rPr>
        <w:t>class’</w:t>
      </w:r>
      <w:proofErr w:type="spellEnd"/>
      <w:r w:rsidRPr="001C7D14">
        <w:rPr>
          <w:lang w:val="en-CA" w:eastAsia="en-US"/>
        </w:rPr>
        <w:t xml:space="preserve"> undergraduate degree performance. </w:t>
      </w:r>
      <w:r w:rsidRPr="001C7D14">
        <w:rPr>
          <w:i/>
          <w:iCs/>
          <w:lang w:val="en-CA" w:eastAsia="en-US"/>
        </w:rPr>
        <w:t xml:space="preserve">British Journal of Psychology </w:t>
      </w:r>
      <w:r w:rsidRPr="001C7D14">
        <w:rPr>
          <w:lang w:val="en-CA" w:eastAsia="en-US"/>
        </w:rPr>
        <w:t>98(3)</w:t>
      </w:r>
      <w:r w:rsidR="00583670" w:rsidRPr="001C7D14">
        <w:rPr>
          <w:lang w:val="en-CA" w:eastAsia="en-US"/>
        </w:rPr>
        <w:t>:</w:t>
      </w:r>
      <w:r w:rsidR="00B544D0">
        <w:rPr>
          <w:lang w:val="en-CA" w:eastAsia="en-US"/>
        </w:rPr>
        <w:t xml:space="preserve"> </w:t>
      </w:r>
      <w:r w:rsidRPr="001C7D14">
        <w:rPr>
          <w:lang w:val="en-CA" w:eastAsia="en-US"/>
        </w:rPr>
        <w:t xml:space="preserve">467-483. </w:t>
      </w:r>
      <w:r w:rsidR="00EA4AD6" w:rsidRPr="001C7D14">
        <w:rPr>
          <w:lang w:val="en-CA" w:eastAsia="en-US"/>
        </w:rPr>
        <w:tab/>
      </w:r>
    </w:p>
    <w:p w14:paraId="2CD7D57D" w14:textId="4707E01C" w:rsidR="007A4122" w:rsidRPr="001C7D14" w:rsidRDefault="007A4122" w:rsidP="00F829E8">
      <w:pPr>
        <w:rPr>
          <w:lang w:val="en-CA" w:eastAsia="en-US"/>
        </w:rPr>
      </w:pPr>
      <w:proofErr w:type="spellStart"/>
      <w:r w:rsidRPr="001C7D14">
        <w:rPr>
          <w:lang w:val="en-CA" w:eastAsia="en-US"/>
        </w:rPr>
        <w:t>Fotiadou</w:t>
      </w:r>
      <w:proofErr w:type="spellEnd"/>
      <w:r w:rsidRPr="001C7D14">
        <w:rPr>
          <w:lang w:val="en-CA" w:eastAsia="en-US"/>
        </w:rPr>
        <w:t xml:space="preserve"> M (2020) Denaturalising the discourse of competition in the graduate job market and the notion of employability: A corpus-based study of UK university websites. </w:t>
      </w:r>
      <w:r w:rsidRPr="001C7D14">
        <w:rPr>
          <w:i/>
          <w:iCs/>
          <w:lang w:val="en-CA" w:eastAsia="en-US"/>
        </w:rPr>
        <w:t>Critical Discourse Studies</w:t>
      </w:r>
      <w:r w:rsidRPr="001C7D14">
        <w:rPr>
          <w:lang w:val="en-CA" w:eastAsia="en-US"/>
        </w:rPr>
        <w:t xml:space="preserve"> 17(3): 260-291.</w:t>
      </w:r>
    </w:p>
    <w:p w14:paraId="46CB6EBA" w14:textId="142D61C0" w:rsidR="00942DEE" w:rsidRPr="001C7D14" w:rsidRDefault="00942DEE" w:rsidP="00F829E8">
      <w:pPr>
        <w:rPr>
          <w:lang w:val="en-CA" w:eastAsia="en-US"/>
        </w:rPr>
      </w:pPr>
      <w:proofErr w:type="spellStart"/>
      <w:r w:rsidRPr="001C7D14">
        <w:rPr>
          <w:lang w:val="en-CA" w:eastAsia="en-US"/>
        </w:rPr>
        <w:t>Forstenzer</w:t>
      </w:r>
      <w:proofErr w:type="spellEnd"/>
      <w:r w:rsidRPr="001C7D14">
        <w:rPr>
          <w:lang w:val="en-CA" w:eastAsia="en-US"/>
        </w:rPr>
        <w:t xml:space="preserve"> J (2018) The Teaching Excellence Framework, epistemic insensibility </w:t>
      </w:r>
      <w:r w:rsidR="00A454B7" w:rsidRPr="001C7D14">
        <w:rPr>
          <w:lang w:val="en-CA" w:eastAsia="en-US"/>
        </w:rPr>
        <w:tab/>
      </w:r>
      <w:r w:rsidRPr="001C7D14">
        <w:rPr>
          <w:lang w:val="en-CA" w:eastAsia="en-US"/>
        </w:rPr>
        <w:t xml:space="preserve">and the question of purpose. </w:t>
      </w:r>
      <w:r w:rsidRPr="001C7D14">
        <w:rPr>
          <w:i/>
          <w:iCs/>
          <w:lang w:val="en-CA" w:eastAsia="en-US"/>
        </w:rPr>
        <w:t xml:space="preserve">Journal of Philosophy of Education </w:t>
      </w:r>
      <w:r w:rsidRPr="001C7D14">
        <w:rPr>
          <w:lang w:val="en-CA" w:eastAsia="en-US"/>
        </w:rPr>
        <w:t>52(3)</w:t>
      </w:r>
      <w:r w:rsidR="00583670" w:rsidRPr="001C7D14">
        <w:rPr>
          <w:lang w:val="en-CA" w:eastAsia="en-US"/>
        </w:rPr>
        <w:t>:</w:t>
      </w:r>
      <w:r w:rsidRPr="001C7D14">
        <w:rPr>
          <w:lang w:val="en-CA" w:eastAsia="en-US"/>
        </w:rPr>
        <w:t xml:space="preserve"> 548-574.</w:t>
      </w:r>
      <w:r w:rsidRPr="001C7D14">
        <w:rPr>
          <w:lang w:val="en-CA" w:eastAsia="en-US"/>
        </w:rPr>
        <w:tab/>
      </w:r>
      <w:r w:rsidRPr="001C7D14">
        <w:rPr>
          <w:lang w:val="en-CA" w:eastAsia="en-US"/>
        </w:rPr>
        <w:tab/>
      </w:r>
    </w:p>
    <w:p w14:paraId="0563BC13" w14:textId="57CAE735" w:rsidR="00942DEE" w:rsidRPr="001C7D14" w:rsidRDefault="00942DEE" w:rsidP="00F829E8">
      <w:pPr>
        <w:rPr>
          <w:lang w:val="en-CA" w:eastAsia="en-US"/>
        </w:rPr>
      </w:pPr>
      <w:r w:rsidRPr="001C7D14">
        <w:rPr>
          <w:lang w:val="en-CA" w:eastAsia="en-US"/>
        </w:rPr>
        <w:t xml:space="preserve">Fredricks JA, Blumenfeld PC </w:t>
      </w:r>
      <w:r w:rsidR="00656DDA" w:rsidRPr="001C7D14">
        <w:rPr>
          <w:lang w:val="en-CA" w:eastAsia="en-US"/>
        </w:rPr>
        <w:t>and</w:t>
      </w:r>
      <w:r w:rsidRPr="001C7D14">
        <w:rPr>
          <w:lang w:val="en-CA" w:eastAsia="en-US"/>
        </w:rPr>
        <w:t xml:space="preserve"> Paris AH (2004) School engagement: Potential</w:t>
      </w:r>
      <w:r w:rsidR="00EA4AD6" w:rsidRPr="001C7D14">
        <w:rPr>
          <w:lang w:val="en-CA" w:eastAsia="en-US"/>
        </w:rPr>
        <w:t xml:space="preserve"> </w:t>
      </w:r>
      <w:r w:rsidRPr="001C7D14">
        <w:rPr>
          <w:lang w:val="en-CA" w:eastAsia="en-US"/>
        </w:rPr>
        <w:t xml:space="preserve">of the concept, state of the evidence. </w:t>
      </w:r>
      <w:r w:rsidRPr="001C7D14">
        <w:rPr>
          <w:i/>
          <w:iCs/>
          <w:lang w:val="en-CA" w:eastAsia="en-US"/>
        </w:rPr>
        <w:t xml:space="preserve">Review of Educational Research </w:t>
      </w:r>
      <w:r w:rsidRPr="001C7D14">
        <w:rPr>
          <w:lang w:val="en-CA" w:eastAsia="en-US"/>
        </w:rPr>
        <w:t>74(1)</w:t>
      </w:r>
      <w:r w:rsidR="00583670" w:rsidRPr="001C7D14">
        <w:rPr>
          <w:lang w:val="en-CA" w:eastAsia="en-US"/>
        </w:rPr>
        <w:t>:</w:t>
      </w:r>
      <w:r w:rsidRPr="001C7D14">
        <w:rPr>
          <w:lang w:val="en-CA" w:eastAsia="en-US"/>
        </w:rPr>
        <w:t xml:space="preserve"> 59-109. </w:t>
      </w:r>
    </w:p>
    <w:p w14:paraId="5E32EAF5" w14:textId="550B5999" w:rsidR="00942DEE" w:rsidRPr="001C7D14" w:rsidRDefault="00942DEE" w:rsidP="00F829E8">
      <w:pPr>
        <w:rPr>
          <w:lang w:val="en-CA" w:eastAsia="en-US"/>
        </w:rPr>
      </w:pPr>
      <w:r w:rsidRPr="001C7D14">
        <w:rPr>
          <w:lang w:val="en-CA" w:eastAsia="en-US"/>
        </w:rPr>
        <w:lastRenderedPageBreak/>
        <w:t xml:space="preserve">Furnham A, </w:t>
      </w:r>
      <w:proofErr w:type="spellStart"/>
      <w:r w:rsidRPr="001C7D14">
        <w:rPr>
          <w:lang w:val="en-CA" w:eastAsia="en-US"/>
        </w:rPr>
        <w:t>Monsen</w:t>
      </w:r>
      <w:proofErr w:type="spellEnd"/>
      <w:r w:rsidRPr="001C7D14">
        <w:rPr>
          <w:lang w:val="en-CA" w:eastAsia="en-US"/>
        </w:rPr>
        <w:t xml:space="preserve"> J </w:t>
      </w:r>
      <w:r w:rsidR="00656DDA" w:rsidRPr="001C7D14">
        <w:rPr>
          <w:lang w:val="en-CA" w:eastAsia="en-US"/>
        </w:rPr>
        <w:t>and</w:t>
      </w:r>
      <w:r w:rsidRPr="001C7D14">
        <w:rPr>
          <w:lang w:val="en-CA" w:eastAsia="en-US"/>
        </w:rPr>
        <w:t xml:space="preserve"> </w:t>
      </w:r>
      <w:proofErr w:type="spellStart"/>
      <w:r w:rsidRPr="001C7D14">
        <w:rPr>
          <w:lang w:val="en-CA" w:eastAsia="en-US"/>
        </w:rPr>
        <w:t>Ahmetoglu</w:t>
      </w:r>
      <w:proofErr w:type="spellEnd"/>
      <w:r w:rsidRPr="001C7D14">
        <w:rPr>
          <w:lang w:val="en-CA" w:eastAsia="en-US"/>
        </w:rPr>
        <w:t xml:space="preserve"> G (2009) Typical intellectual engagement, Big</w:t>
      </w:r>
      <w:r w:rsidR="00EA4AD6" w:rsidRPr="001C7D14">
        <w:rPr>
          <w:lang w:val="en-CA" w:eastAsia="en-US"/>
        </w:rPr>
        <w:t xml:space="preserve"> </w:t>
      </w:r>
      <w:r w:rsidRPr="001C7D14">
        <w:rPr>
          <w:lang w:val="en-CA" w:eastAsia="en-US"/>
        </w:rPr>
        <w:t xml:space="preserve">Five personality traits, approaches to learning and cognitive ability predictors of academic performance. </w:t>
      </w:r>
      <w:r w:rsidRPr="001C7D14">
        <w:rPr>
          <w:i/>
          <w:iCs/>
          <w:lang w:val="en-CA" w:eastAsia="en-US"/>
        </w:rPr>
        <w:t xml:space="preserve">British Journal of Educational Psychology </w:t>
      </w:r>
      <w:r w:rsidRPr="001C7D14">
        <w:rPr>
          <w:lang w:val="en-CA" w:eastAsia="en-US"/>
        </w:rPr>
        <w:t>79(4)</w:t>
      </w:r>
      <w:r w:rsidR="00583670" w:rsidRPr="001C7D14">
        <w:rPr>
          <w:lang w:val="en-CA" w:eastAsia="en-US"/>
        </w:rPr>
        <w:t>:</w:t>
      </w:r>
      <w:r w:rsidRPr="001C7D14">
        <w:rPr>
          <w:lang w:val="en-CA" w:eastAsia="en-US"/>
        </w:rPr>
        <w:t xml:space="preserve"> 769–782. </w:t>
      </w:r>
    </w:p>
    <w:p w14:paraId="626CB2D6" w14:textId="52124002" w:rsidR="00942DEE" w:rsidRPr="001C7D14" w:rsidRDefault="00942DEE" w:rsidP="00F829E8">
      <w:pPr>
        <w:rPr>
          <w:lang w:val="en-CA" w:eastAsia="en-US"/>
        </w:rPr>
      </w:pPr>
      <w:r w:rsidRPr="001C7D14">
        <w:rPr>
          <w:lang w:val="en-CA" w:eastAsia="en-US"/>
        </w:rPr>
        <w:t xml:space="preserve">Furnham A, Richards SC </w:t>
      </w:r>
      <w:r w:rsidR="00656DDA" w:rsidRPr="001C7D14">
        <w:rPr>
          <w:lang w:val="en-CA" w:eastAsia="en-US"/>
        </w:rPr>
        <w:t>and</w:t>
      </w:r>
      <w:r w:rsidRPr="001C7D14">
        <w:rPr>
          <w:lang w:val="en-CA" w:eastAsia="en-US"/>
        </w:rPr>
        <w:t xml:space="preserve"> </w:t>
      </w:r>
      <w:proofErr w:type="spellStart"/>
      <w:r w:rsidRPr="001C7D14">
        <w:rPr>
          <w:lang w:val="en-CA" w:eastAsia="en-US"/>
        </w:rPr>
        <w:t>Paulhus</w:t>
      </w:r>
      <w:proofErr w:type="spellEnd"/>
      <w:r w:rsidRPr="001C7D14">
        <w:rPr>
          <w:lang w:val="en-CA" w:eastAsia="en-US"/>
        </w:rPr>
        <w:t xml:space="preserve"> DL (2013) The dark triad of personality: A 10</w:t>
      </w:r>
      <w:r w:rsidR="00B544D0">
        <w:rPr>
          <w:lang w:val="en-CA" w:eastAsia="en-US"/>
        </w:rPr>
        <w:t xml:space="preserve"> </w:t>
      </w:r>
      <w:r w:rsidRPr="001C7D14">
        <w:rPr>
          <w:lang w:val="en-CA" w:eastAsia="en-US"/>
        </w:rPr>
        <w:t>year review.</w:t>
      </w:r>
      <w:r w:rsidR="00A454B7" w:rsidRPr="001C7D14">
        <w:rPr>
          <w:lang w:val="en-CA" w:eastAsia="en-US"/>
        </w:rPr>
        <w:t xml:space="preserve"> </w:t>
      </w:r>
      <w:r w:rsidRPr="001C7D14">
        <w:rPr>
          <w:i/>
          <w:iCs/>
          <w:lang w:val="en-CA" w:eastAsia="en-US"/>
        </w:rPr>
        <w:t xml:space="preserve">Social and Personality Psychology Compass </w:t>
      </w:r>
      <w:r w:rsidRPr="001C7D14">
        <w:rPr>
          <w:lang w:val="en-CA" w:eastAsia="en-US"/>
        </w:rPr>
        <w:t>7(3)</w:t>
      </w:r>
      <w:r w:rsidR="00583670" w:rsidRPr="001C7D14">
        <w:rPr>
          <w:lang w:val="en-CA" w:eastAsia="en-US"/>
        </w:rPr>
        <w:t>:</w:t>
      </w:r>
      <w:r w:rsidRPr="001C7D14">
        <w:rPr>
          <w:lang w:val="en-CA" w:eastAsia="en-US"/>
        </w:rPr>
        <w:t xml:space="preserve"> 199-216. </w:t>
      </w:r>
    </w:p>
    <w:p w14:paraId="3DCD4957" w14:textId="1D296DB1" w:rsidR="00603B61" w:rsidRPr="001C7D14" w:rsidRDefault="00603B61" w:rsidP="00F829E8">
      <w:pPr>
        <w:rPr>
          <w:lang w:val="en-CA" w:eastAsia="en-US"/>
        </w:rPr>
      </w:pPr>
      <w:r w:rsidRPr="001C7D14">
        <w:rPr>
          <w:lang w:val="en-CA" w:eastAsia="en-US"/>
        </w:rPr>
        <w:t xml:space="preserve">Gibbs G (2014) Student engagement, the latest buzzword. </w:t>
      </w:r>
      <w:r w:rsidRPr="001C7D14">
        <w:rPr>
          <w:i/>
          <w:iCs/>
          <w:lang w:val="en-CA" w:eastAsia="en-US"/>
        </w:rPr>
        <w:t>Higher Education</w:t>
      </w:r>
      <w:r w:rsidR="00B544D0">
        <w:rPr>
          <w:i/>
          <w:iCs/>
          <w:lang w:val="en-CA" w:eastAsia="en-US"/>
        </w:rPr>
        <w:t xml:space="preserve"> </w:t>
      </w:r>
      <w:r w:rsidRPr="001C7D14">
        <w:rPr>
          <w:i/>
          <w:iCs/>
          <w:lang w:val="en-CA" w:eastAsia="en-US"/>
        </w:rPr>
        <w:t xml:space="preserve">Times, </w:t>
      </w:r>
      <w:r w:rsidRPr="001C7D14">
        <w:rPr>
          <w:lang w:val="en-CA" w:eastAsia="en-US"/>
        </w:rPr>
        <w:t xml:space="preserve">1 May. Available at: </w:t>
      </w:r>
      <w:r w:rsidR="00A928B1" w:rsidRPr="001C7D14">
        <w:rPr>
          <w:lang w:val="en-CA" w:eastAsia="en-US"/>
        </w:rPr>
        <w:tab/>
      </w:r>
      <w:r w:rsidRPr="001C7D14">
        <w:rPr>
          <w:lang w:val="en-CA" w:eastAsia="en-US"/>
        </w:rPr>
        <w:t>https://www.timeshighereducation.com/news/student-engagement-the</w:t>
      </w:r>
      <w:r w:rsidR="00B544D0">
        <w:rPr>
          <w:lang w:val="en-CA" w:eastAsia="en-US"/>
        </w:rPr>
        <w:t xml:space="preserve"> </w:t>
      </w:r>
      <w:proofErr w:type="spellStart"/>
      <w:r w:rsidRPr="001C7D14">
        <w:rPr>
          <w:lang w:val="en-CA" w:eastAsia="en-US"/>
        </w:rPr>
        <w:t>latestbuzzword</w:t>
      </w:r>
      <w:proofErr w:type="spellEnd"/>
      <w:r w:rsidRPr="001C7D14">
        <w:rPr>
          <w:lang w:val="en-CA" w:eastAsia="en-US"/>
        </w:rPr>
        <w:t>/2012947.article</w:t>
      </w:r>
    </w:p>
    <w:p w14:paraId="7F15A2EA" w14:textId="755FB949" w:rsidR="00942DEE" w:rsidRPr="001C7D14" w:rsidRDefault="00942DEE" w:rsidP="00F829E8">
      <w:pPr>
        <w:rPr>
          <w:lang w:val="en-CA" w:eastAsia="en-US"/>
        </w:rPr>
      </w:pPr>
      <w:r w:rsidRPr="001C7D14">
        <w:rPr>
          <w:lang w:val="en-CA" w:eastAsia="en-US"/>
        </w:rPr>
        <w:t xml:space="preserve">Glenn AL </w:t>
      </w:r>
      <w:r w:rsidR="00656DDA" w:rsidRPr="001C7D14">
        <w:rPr>
          <w:lang w:val="en-CA" w:eastAsia="en-US"/>
        </w:rPr>
        <w:t>and</w:t>
      </w:r>
      <w:r w:rsidRPr="001C7D14">
        <w:rPr>
          <w:lang w:val="en-CA" w:eastAsia="en-US"/>
        </w:rPr>
        <w:t xml:space="preserve"> </w:t>
      </w:r>
      <w:proofErr w:type="spellStart"/>
      <w:r w:rsidRPr="001C7D14">
        <w:rPr>
          <w:lang w:val="en-CA" w:eastAsia="en-US"/>
        </w:rPr>
        <w:t>Sellbom</w:t>
      </w:r>
      <w:proofErr w:type="spellEnd"/>
      <w:r w:rsidRPr="001C7D14">
        <w:rPr>
          <w:lang w:val="en-CA" w:eastAsia="en-US"/>
        </w:rPr>
        <w:t xml:space="preserve"> M (2015) Theoretical and empirical concerns regarding the Dark Triad as a construct. </w:t>
      </w:r>
      <w:r w:rsidRPr="001C7D14">
        <w:rPr>
          <w:i/>
          <w:iCs/>
          <w:lang w:val="en-CA" w:eastAsia="en-US"/>
        </w:rPr>
        <w:t xml:space="preserve">Journal of Personality Disorders </w:t>
      </w:r>
      <w:r w:rsidRPr="001C7D14">
        <w:rPr>
          <w:lang w:val="en-CA" w:eastAsia="en-US"/>
        </w:rPr>
        <w:t>29(3)</w:t>
      </w:r>
      <w:r w:rsidR="00583670" w:rsidRPr="001C7D14">
        <w:rPr>
          <w:lang w:val="en-CA" w:eastAsia="en-US"/>
        </w:rPr>
        <w:t xml:space="preserve">: </w:t>
      </w:r>
      <w:r w:rsidRPr="001C7D14">
        <w:rPr>
          <w:lang w:val="en-CA" w:eastAsia="en-US"/>
        </w:rPr>
        <w:t xml:space="preserve">360-377. </w:t>
      </w:r>
    </w:p>
    <w:p w14:paraId="7C17EFC7" w14:textId="7A484301" w:rsidR="00942DEE" w:rsidRPr="001C7D14" w:rsidRDefault="00942DEE" w:rsidP="00F829E8">
      <w:pPr>
        <w:rPr>
          <w:lang w:val="en-CA" w:eastAsia="en-US"/>
        </w:rPr>
      </w:pPr>
      <w:r w:rsidRPr="001C7D14">
        <w:rPr>
          <w:lang w:val="en-CA" w:eastAsia="en-US"/>
        </w:rPr>
        <w:t xml:space="preserve">Glover D, Law S </w:t>
      </w:r>
      <w:r w:rsidR="00656DDA" w:rsidRPr="001C7D14">
        <w:rPr>
          <w:lang w:val="en-CA" w:eastAsia="en-US"/>
        </w:rPr>
        <w:t>and</w:t>
      </w:r>
      <w:r w:rsidRPr="001C7D14">
        <w:rPr>
          <w:lang w:val="en-CA" w:eastAsia="en-US"/>
        </w:rPr>
        <w:t xml:space="preserve"> Youngman A (2002) </w:t>
      </w:r>
      <w:proofErr w:type="spellStart"/>
      <w:r w:rsidRPr="001C7D14">
        <w:rPr>
          <w:lang w:val="en-CA" w:eastAsia="en-US"/>
        </w:rPr>
        <w:t>Graduateness</w:t>
      </w:r>
      <w:proofErr w:type="spellEnd"/>
      <w:r w:rsidRPr="001C7D14">
        <w:rPr>
          <w:lang w:val="en-CA" w:eastAsia="en-US"/>
        </w:rPr>
        <w:t xml:space="preserve"> and employability: Student</w:t>
      </w:r>
      <w:r w:rsidR="00B544D0">
        <w:rPr>
          <w:lang w:val="en-CA" w:eastAsia="en-US"/>
        </w:rPr>
        <w:t xml:space="preserve"> </w:t>
      </w:r>
      <w:r w:rsidRPr="001C7D14">
        <w:rPr>
          <w:lang w:val="en-CA" w:eastAsia="en-US"/>
        </w:rPr>
        <w:t xml:space="preserve">perceptions of the personal outcomes of university education. </w:t>
      </w:r>
      <w:r w:rsidRPr="001C7D14">
        <w:rPr>
          <w:i/>
          <w:iCs/>
          <w:lang w:val="en-CA" w:eastAsia="en-US"/>
        </w:rPr>
        <w:t xml:space="preserve">Research in </w:t>
      </w:r>
      <w:r w:rsidR="00A928B1" w:rsidRPr="001C7D14">
        <w:rPr>
          <w:i/>
          <w:iCs/>
          <w:lang w:val="en-CA" w:eastAsia="en-US"/>
        </w:rPr>
        <w:tab/>
      </w:r>
      <w:r w:rsidRPr="001C7D14">
        <w:rPr>
          <w:i/>
          <w:iCs/>
          <w:lang w:val="en-CA" w:eastAsia="en-US"/>
        </w:rPr>
        <w:t xml:space="preserve">Post-Compulsory Education </w:t>
      </w:r>
      <w:r w:rsidRPr="001C7D14">
        <w:rPr>
          <w:lang w:val="en-CA" w:eastAsia="en-US"/>
        </w:rPr>
        <w:t>7(3)</w:t>
      </w:r>
      <w:r w:rsidR="00583670" w:rsidRPr="001C7D14">
        <w:rPr>
          <w:lang w:val="en-CA" w:eastAsia="en-US"/>
        </w:rPr>
        <w:t>:</w:t>
      </w:r>
      <w:r w:rsidRPr="001C7D14">
        <w:rPr>
          <w:lang w:val="en-CA" w:eastAsia="en-US"/>
        </w:rPr>
        <w:t xml:space="preserve"> 293-306. </w:t>
      </w:r>
    </w:p>
    <w:p w14:paraId="3D56A067" w14:textId="413F75B3" w:rsidR="00942DEE" w:rsidRPr="001C7D14" w:rsidRDefault="00942DEE" w:rsidP="00F829E8">
      <w:pPr>
        <w:rPr>
          <w:lang w:val="en-CA" w:eastAsia="en-US"/>
        </w:rPr>
      </w:pPr>
      <w:r w:rsidRPr="001C7D14">
        <w:rPr>
          <w:lang w:val="en-CA" w:eastAsia="en-US"/>
        </w:rPr>
        <w:t xml:space="preserve">Greenbank P (2006) The evolution of government policy on widening participation. </w:t>
      </w:r>
      <w:r w:rsidRPr="001C7D14">
        <w:rPr>
          <w:i/>
          <w:iCs/>
          <w:lang w:val="en-CA" w:eastAsia="en-US"/>
        </w:rPr>
        <w:t>Higher</w:t>
      </w:r>
      <w:r w:rsidR="00D01494" w:rsidRPr="001C7D14">
        <w:rPr>
          <w:i/>
          <w:iCs/>
          <w:lang w:val="en-CA" w:eastAsia="en-US"/>
        </w:rPr>
        <w:t xml:space="preserve"> </w:t>
      </w:r>
      <w:r w:rsidRPr="001C7D14">
        <w:rPr>
          <w:i/>
          <w:iCs/>
          <w:lang w:val="en-CA" w:eastAsia="en-US"/>
        </w:rPr>
        <w:t xml:space="preserve">Education Quarterly </w:t>
      </w:r>
      <w:r w:rsidRPr="001C7D14">
        <w:rPr>
          <w:lang w:val="en-CA" w:eastAsia="en-US"/>
        </w:rPr>
        <w:t>60(2)</w:t>
      </w:r>
      <w:r w:rsidR="00583670" w:rsidRPr="001C7D14">
        <w:rPr>
          <w:lang w:val="en-CA" w:eastAsia="en-US"/>
        </w:rPr>
        <w:t>:</w:t>
      </w:r>
      <w:r w:rsidRPr="001C7D14">
        <w:rPr>
          <w:lang w:val="en-CA" w:eastAsia="en-US"/>
        </w:rPr>
        <w:t xml:space="preserve"> 141-166. </w:t>
      </w:r>
    </w:p>
    <w:p w14:paraId="3F5453AE" w14:textId="3A932314" w:rsidR="00942DEE" w:rsidRPr="001C7D14" w:rsidRDefault="00942DEE" w:rsidP="00F829E8">
      <w:pPr>
        <w:rPr>
          <w:lang w:val="en-CA" w:eastAsia="en-US"/>
        </w:rPr>
      </w:pPr>
      <w:r w:rsidRPr="001C7D14">
        <w:rPr>
          <w:lang w:val="en-CA" w:eastAsia="en-US"/>
        </w:rPr>
        <w:t xml:space="preserve">Greenbank P (2015) Still focusing on the “essential 2:1”: Exploring student attitudes to extracurricular activities. </w:t>
      </w:r>
      <w:r w:rsidRPr="001C7D14">
        <w:rPr>
          <w:i/>
          <w:iCs/>
          <w:lang w:val="en-CA" w:eastAsia="en-US"/>
        </w:rPr>
        <w:t xml:space="preserve">Education + Training </w:t>
      </w:r>
      <w:r w:rsidRPr="001C7D14">
        <w:rPr>
          <w:lang w:val="en-CA" w:eastAsia="en-US"/>
        </w:rPr>
        <w:t>57(2)</w:t>
      </w:r>
      <w:r w:rsidR="00583670" w:rsidRPr="001C7D14">
        <w:rPr>
          <w:lang w:val="en-CA" w:eastAsia="en-US"/>
        </w:rPr>
        <w:t xml:space="preserve">: </w:t>
      </w:r>
      <w:r w:rsidRPr="001C7D14">
        <w:rPr>
          <w:lang w:val="en-CA" w:eastAsia="en-US"/>
        </w:rPr>
        <w:t xml:space="preserve">184-203. </w:t>
      </w:r>
    </w:p>
    <w:p w14:paraId="211AFFE5" w14:textId="51EF73BD" w:rsidR="00942DEE" w:rsidRPr="001C7D14" w:rsidRDefault="00942DEE" w:rsidP="00F829E8">
      <w:pPr>
        <w:rPr>
          <w:lang w:val="en-CA" w:eastAsia="en-US"/>
        </w:rPr>
      </w:pPr>
      <w:proofErr w:type="spellStart"/>
      <w:r w:rsidRPr="001C7D14">
        <w:rPr>
          <w:lang w:val="en-CA" w:eastAsia="en-US"/>
        </w:rPr>
        <w:t>Groccia</w:t>
      </w:r>
      <w:proofErr w:type="spellEnd"/>
      <w:r w:rsidRPr="001C7D14">
        <w:rPr>
          <w:lang w:val="en-CA" w:eastAsia="en-US"/>
        </w:rPr>
        <w:t xml:space="preserve"> JE (2018) What is student engagement? </w:t>
      </w:r>
      <w:r w:rsidRPr="001C7D14">
        <w:rPr>
          <w:i/>
          <w:iCs/>
          <w:lang w:val="en-CA" w:eastAsia="en-US"/>
        </w:rPr>
        <w:t>New Directions for Teaching and</w:t>
      </w:r>
      <w:r w:rsidR="00B544D0">
        <w:rPr>
          <w:i/>
          <w:iCs/>
          <w:lang w:val="en-CA" w:eastAsia="en-US"/>
        </w:rPr>
        <w:t xml:space="preserve"> </w:t>
      </w:r>
      <w:r w:rsidRPr="001C7D14">
        <w:rPr>
          <w:i/>
          <w:iCs/>
          <w:lang w:val="en-CA" w:eastAsia="en-US"/>
        </w:rPr>
        <w:t xml:space="preserve">Learning, </w:t>
      </w:r>
      <w:r w:rsidRPr="001C7D14">
        <w:rPr>
          <w:lang w:val="en-CA" w:eastAsia="en-US"/>
        </w:rPr>
        <w:t>2018(154)</w:t>
      </w:r>
      <w:r w:rsidR="00583670" w:rsidRPr="001C7D14">
        <w:rPr>
          <w:lang w:val="en-CA" w:eastAsia="en-US"/>
        </w:rPr>
        <w:t>:</w:t>
      </w:r>
      <w:r w:rsidRPr="001C7D14">
        <w:rPr>
          <w:lang w:val="en-CA" w:eastAsia="en-US"/>
        </w:rPr>
        <w:t xml:space="preserve"> 11-20. </w:t>
      </w:r>
    </w:p>
    <w:p w14:paraId="23D7CB2F" w14:textId="7D9344FA" w:rsidR="00942DEE" w:rsidRPr="001C7D14" w:rsidRDefault="00942DEE" w:rsidP="00F829E8">
      <w:pPr>
        <w:rPr>
          <w:lang w:val="en-CA" w:eastAsia="en-US"/>
        </w:rPr>
      </w:pPr>
      <w:r w:rsidRPr="001C7D14">
        <w:rPr>
          <w:lang w:val="en-CA" w:eastAsia="en-US"/>
        </w:rPr>
        <w:t>Gunn A (2018) Metrics and methodologies for measuring teaching quality in higher</w:t>
      </w:r>
      <w:r w:rsidR="00B544D0">
        <w:rPr>
          <w:lang w:val="en-CA" w:eastAsia="en-US"/>
        </w:rPr>
        <w:t xml:space="preserve"> </w:t>
      </w:r>
      <w:r w:rsidRPr="001C7D14">
        <w:rPr>
          <w:lang w:val="en-CA" w:eastAsia="en-US"/>
        </w:rPr>
        <w:t xml:space="preserve">education: developing the Teaching Excellence Framework (TEF). </w:t>
      </w:r>
      <w:r w:rsidR="00A928B1" w:rsidRPr="001C7D14">
        <w:rPr>
          <w:lang w:val="en-CA" w:eastAsia="en-US"/>
        </w:rPr>
        <w:tab/>
      </w:r>
      <w:r w:rsidRPr="001C7D14">
        <w:rPr>
          <w:i/>
          <w:iCs/>
          <w:lang w:val="en-CA" w:eastAsia="en-US"/>
        </w:rPr>
        <w:t xml:space="preserve">Educational Review </w:t>
      </w:r>
      <w:r w:rsidRPr="001C7D14">
        <w:rPr>
          <w:lang w:val="en-CA" w:eastAsia="en-US"/>
        </w:rPr>
        <w:t>70(2)</w:t>
      </w:r>
      <w:r w:rsidR="00583670" w:rsidRPr="001C7D14">
        <w:rPr>
          <w:lang w:val="en-CA" w:eastAsia="en-US"/>
        </w:rPr>
        <w:t>:</w:t>
      </w:r>
      <w:r w:rsidRPr="001C7D14">
        <w:rPr>
          <w:lang w:val="en-CA" w:eastAsia="en-US"/>
        </w:rPr>
        <w:t xml:space="preserve"> 129-148. </w:t>
      </w:r>
    </w:p>
    <w:p w14:paraId="364D1903" w14:textId="77777777" w:rsidR="00BE23E6" w:rsidRPr="00BE23E6" w:rsidRDefault="00BE23E6" w:rsidP="00BE23E6">
      <w:pPr>
        <w:rPr>
          <w:i/>
          <w:iCs/>
          <w:highlight w:val="yellow"/>
          <w:lang w:val="en-CA" w:eastAsia="en-US"/>
        </w:rPr>
      </w:pPr>
      <w:r w:rsidRPr="00BE23E6">
        <w:rPr>
          <w:highlight w:val="yellow"/>
          <w:lang w:val="en-CA" w:eastAsia="en-US"/>
        </w:rPr>
        <w:t xml:space="preserve">Harper SR and Quaye SJ (2009) </w:t>
      </w:r>
      <w:r w:rsidRPr="00BE23E6">
        <w:rPr>
          <w:i/>
          <w:iCs/>
          <w:highlight w:val="yellow"/>
          <w:lang w:val="en-CA" w:eastAsia="en-US"/>
        </w:rPr>
        <w:t>Student engagement in higher education:</w:t>
      </w:r>
    </w:p>
    <w:p w14:paraId="46C5544B" w14:textId="77777777" w:rsidR="00BE23E6" w:rsidRDefault="00BE23E6" w:rsidP="00BE23E6">
      <w:pPr>
        <w:rPr>
          <w:lang w:val="en-CA" w:eastAsia="en-US"/>
        </w:rPr>
      </w:pPr>
      <w:r w:rsidRPr="00BE23E6">
        <w:rPr>
          <w:i/>
          <w:iCs/>
          <w:highlight w:val="yellow"/>
          <w:lang w:val="en-CA" w:eastAsia="en-US"/>
        </w:rPr>
        <w:t>Theoretical perspectives and practical approaches for diverse populations</w:t>
      </w:r>
      <w:r w:rsidRPr="00BE23E6">
        <w:rPr>
          <w:highlight w:val="yellow"/>
          <w:lang w:val="en-CA" w:eastAsia="en-US"/>
        </w:rPr>
        <w:t>. Routledge.</w:t>
      </w:r>
    </w:p>
    <w:p w14:paraId="289A9F7F" w14:textId="18389513" w:rsidR="00942DEE" w:rsidRPr="001C7D14" w:rsidRDefault="00942DEE" w:rsidP="00F829E8">
      <w:pPr>
        <w:rPr>
          <w:lang w:val="en-CA" w:eastAsia="en-US"/>
        </w:rPr>
      </w:pPr>
      <w:r w:rsidRPr="001C7D14">
        <w:rPr>
          <w:lang w:val="en-CA" w:eastAsia="en-US"/>
        </w:rPr>
        <w:lastRenderedPageBreak/>
        <w:t xml:space="preserve">Harris-Reeves B </w:t>
      </w:r>
      <w:r w:rsidR="00656DDA" w:rsidRPr="001C7D14">
        <w:rPr>
          <w:lang w:val="en-CA" w:eastAsia="en-US"/>
        </w:rPr>
        <w:t>and</w:t>
      </w:r>
      <w:r w:rsidRPr="001C7D14">
        <w:rPr>
          <w:lang w:val="en-CA" w:eastAsia="en-US"/>
        </w:rPr>
        <w:t xml:space="preserve"> Mahoney J (2017) Brief work-integrated learning opportunities and first-year university students’ perceptions of employability and academic performance. </w:t>
      </w:r>
      <w:r w:rsidRPr="001C7D14">
        <w:rPr>
          <w:i/>
          <w:iCs/>
          <w:lang w:val="en-CA" w:eastAsia="en-US"/>
        </w:rPr>
        <w:t xml:space="preserve">Australian Journal of Career Development </w:t>
      </w:r>
      <w:r w:rsidRPr="001C7D14">
        <w:rPr>
          <w:lang w:val="en-CA" w:eastAsia="en-US"/>
        </w:rPr>
        <w:t>26(1)</w:t>
      </w:r>
      <w:r w:rsidR="00583670" w:rsidRPr="001C7D14">
        <w:rPr>
          <w:lang w:val="en-CA" w:eastAsia="en-US"/>
        </w:rPr>
        <w:t>:</w:t>
      </w:r>
      <w:r w:rsidRPr="001C7D14">
        <w:rPr>
          <w:lang w:val="en-CA" w:eastAsia="en-US"/>
        </w:rPr>
        <w:t xml:space="preserve"> 32-37.</w:t>
      </w:r>
    </w:p>
    <w:p w14:paraId="4EE5814F" w14:textId="6707E60D" w:rsidR="00942DEE" w:rsidRPr="001C7D14" w:rsidRDefault="00942DEE" w:rsidP="00F829E8">
      <w:pPr>
        <w:rPr>
          <w:lang w:val="en-CA" w:eastAsia="en-US"/>
        </w:rPr>
      </w:pPr>
      <w:r w:rsidRPr="001C7D14">
        <w:rPr>
          <w:lang w:val="en-CA" w:eastAsia="en-US"/>
        </w:rPr>
        <w:t xml:space="preserve">Higher Education Academy (2014) </w:t>
      </w:r>
      <w:r w:rsidRPr="001C7D14">
        <w:rPr>
          <w:i/>
          <w:iCs/>
          <w:lang w:val="en-CA" w:eastAsia="en-US"/>
        </w:rPr>
        <w:t>Framework for partnership in learning and teaching in</w:t>
      </w:r>
      <w:r w:rsidR="00D01494" w:rsidRPr="001C7D14">
        <w:rPr>
          <w:i/>
          <w:iCs/>
          <w:lang w:val="en-CA" w:eastAsia="en-US"/>
        </w:rPr>
        <w:t xml:space="preserve"> </w:t>
      </w:r>
      <w:r w:rsidRPr="001C7D14">
        <w:rPr>
          <w:i/>
          <w:iCs/>
          <w:lang w:val="en-CA" w:eastAsia="en-US"/>
        </w:rPr>
        <w:t>higher</w:t>
      </w:r>
      <w:r w:rsidR="00A928B1" w:rsidRPr="001C7D14">
        <w:rPr>
          <w:i/>
          <w:iCs/>
          <w:lang w:val="en-CA" w:eastAsia="en-US"/>
        </w:rPr>
        <w:t xml:space="preserve"> </w:t>
      </w:r>
      <w:r w:rsidRPr="001C7D14">
        <w:rPr>
          <w:i/>
          <w:iCs/>
          <w:lang w:val="en-CA" w:eastAsia="en-US"/>
        </w:rPr>
        <w:t>education</w:t>
      </w:r>
      <w:bookmarkStart w:id="4" w:name="_Hlk42429823"/>
      <w:r w:rsidRPr="001C7D14">
        <w:rPr>
          <w:i/>
          <w:iCs/>
          <w:lang w:val="en-CA" w:eastAsia="en-US"/>
        </w:rPr>
        <w:t>.</w:t>
      </w:r>
      <w:r w:rsidRPr="001C7D14">
        <w:rPr>
          <w:lang w:val="en-CA" w:eastAsia="en-US"/>
        </w:rPr>
        <w:t xml:space="preserve"> </w:t>
      </w:r>
      <w:r w:rsidR="00583670" w:rsidRPr="001C7D14">
        <w:rPr>
          <w:lang w:val="en-CA" w:eastAsia="en-US"/>
        </w:rPr>
        <w:t xml:space="preserve">Available at: </w:t>
      </w:r>
      <w:r w:rsidRPr="001C7D14">
        <w:rPr>
          <w:lang w:val="en-CA" w:eastAsia="en-US"/>
        </w:rPr>
        <w:t>https://www.heacademy.ac.uk/sites/default/files/resources/HEA_Framework_for_partnership_in_learning_and_teaching.pdf</w:t>
      </w:r>
    </w:p>
    <w:p w14:paraId="559E9A0D" w14:textId="5C70C315" w:rsidR="00942DEE" w:rsidRPr="001C7D14" w:rsidRDefault="00942DEE" w:rsidP="00F829E8">
      <w:pPr>
        <w:rPr>
          <w:lang w:val="en-CA" w:eastAsia="en-US"/>
        </w:rPr>
      </w:pPr>
      <w:r w:rsidRPr="001C7D14">
        <w:rPr>
          <w:lang w:val="en-CA" w:eastAsia="en-US"/>
        </w:rPr>
        <w:t xml:space="preserve">Jensen M (2015) Personality traits, learning and academic achievements. </w:t>
      </w:r>
      <w:r w:rsidRPr="001C7D14">
        <w:rPr>
          <w:i/>
          <w:iCs/>
          <w:lang w:val="en-CA" w:eastAsia="en-US"/>
        </w:rPr>
        <w:t>Journal of</w:t>
      </w:r>
      <w:r w:rsidR="00A226C1">
        <w:rPr>
          <w:i/>
          <w:iCs/>
          <w:lang w:val="en-CA" w:eastAsia="en-US"/>
        </w:rPr>
        <w:t xml:space="preserve"> </w:t>
      </w:r>
      <w:r w:rsidRPr="001C7D14">
        <w:rPr>
          <w:i/>
          <w:iCs/>
          <w:lang w:val="en-CA" w:eastAsia="en-US"/>
        </w:rPr>
        <w:t>Education and Learnin</w:t>
      </w:r>
      <w:r w:rsidR="00583670" w:rsidRPr="001C7D14">
        <w:rPr>
          <w:i/>
          <w:iCs/>
          <w:lang w:val="en-CA" w:eastAsia="en-US"/>
        </w:rPr>
        <w:t>g</w:t>
      </w:r>
      <w:r w:rsidRPr="001C7D14">
        <w:rPr>
          <w:i/>
          <w:iCs/>
          <w:lang w:val="en-CA" w:eastAsia="en-US"/>
        </w:rPr>
        <w:t xml:space="preserve"> </w:t>
      </w:r>
      <w:r w:rsidRPr="001C7D14">
        <w:rPr>
          <w:lang w:val="en-CA" w:eastAsia="en-US"/>
        </w:rPr>
        <w:t>4(4)</w:t>
      </w:r>
      <w:r w:rsidR="00583670" w:rsidRPr="001C7D14">
        <w:rPr>
          <w:lang w:val="en-CA" w:eastAsia="en-US"/>
        </w:rPr>
        <w:t>:</w:t>
      </w:r>
      <w:r w:rsidRPr="001C7D14">
        <w:rPr>
          <w:lang w:val="en-CA" w:eastAsia="en-US"/>
        </w:rPr>
        <w:t xml:space="preserve"> 91-118. </w:t>
      </w:r>
    </w:p>
    <w:p w14:paraId="4088C335" w14:textId="762533F9" w:rsidR="00942DEE" w:rsidRPr="001C7D14" w:rsidRDefault="00942DEE" w:rsidP="00F829E8">
      <w:pPr>
        <w:rPr>
          <w:lang w:val="en-CA" w:eastAsia="en-US"/>
        </w:rPr>
      </w:pPr>
      <w:proofErr w:type="spellStart"/>
      <w:r w:rsidRPr="001C7D14">
        <w:rPr>
          <w:lang w:val="en-CA" w:eastAsia="en-US"/>
        </w:rPr>
        <w:t>Jonason</w:t>
      </w:r>
      <w:proofErr w:type="spellEnd"/>
      <w:r w:rsidRPr="001C7D14">
        <w:rPr>
          <w:lang w:val="en-CA" w:eastAsia="en-US"/>
        </w:rPr>
        <w:t xml:space="preserve"> PK, Foster J</w:t>
      </w:r>
      <w:r w:rsidR="00583670" w:rsidRPr="001C7D14">
        <w:rPr>
          <w:lang w:val="en-CA" w:eastAsia="en-US"/>
        </w:rPr>
        <w:t>,</w:t>
      </w:r>
      <w:r w:rsidRPr="001C7D14">
        <w:rPr>
          <w:lang w:val="en-CA" w:eastAsia="en-US"/>
        </w:rPr>
        <w:t xml:space="preserve"> </w:t>
      </w:r>
      <w:proofErr w:type="spellStart"/>
      <w:r w:rsidRPr="001C7D14">
        <w:rPr>
          <w:lang w:val="en-CA" w:eastAsia="en-US"/>
        </w:rPr>
        <w:t>Oshio</w:t>
      </w:r>
      <w:proofErr w:type="spellEnd"/>
      <w:r w:rsidRPr="001C7D14">
        <w:rPr>
          <w:lang w:val="en-CA" w:eastAsia="en-US"/>
        </w:rPr>
        <w:t xml:space="preserve"> A, Sitnikova M, </w:t>
      </w:r>
      <w:proofErr w:type="spellStart"/>
      <w:r w:rsidRPr="001C7D14">
        <w:rPr>
          <w:lang w:val="en-CA" w:eastAsia="en-US"/>
        </w:rPr>
        <w:t>Birkas</w:t>
      </w:r>
      <w:proofErr w:type="spellEnd"/>
      <w:r w:rsidRPr="001C7D14">
        <w:rPr>
          <w:lang w:val="en-CA" w:eastAsia="en-US"/>
        </w:rPr>
        <w:t xml:space="preserve"> B </w:t>
      </w:r>
      <w:r w:rsidR="00656DDA" w:rsidRPr="001C7D14">
        <w:rPr>
          <w:lang w:val="en-CA" w:eastAsia="en-US"/>
        </w:rPr>
        <w:t>and</w:t>
      </w:r>
      <w:r w:rsidRPr="001C7D14">
        <w:rPr>
          <w:lang w:val="en-CA" w:eastAsia="en-US"/>
        </w:rPr>
        <w:t xml:space="preserve"> Gouveia V (2017) Self-construals and the Dark Triad traits in six countries. </w:t>
      </w:r>
      <w:r w:rsidRPr="001C7D14">
        <w:rPr>
          <w:i/>
          <w:iCs/>
          <w:lang w:val="en-CA" w:eastAsia="en-US"/>
        </w:rPr>
        <w:t xml:space="preserve">Personality and Individual Differences </w:t>
      </w:r>
      <w:r w:rsidRPr="001C7D14">
        <w:rPr>
          <w:lang w:val="en-CA" w:eastAsia="en-US"/>
        </w:rPr>
        <w:t>113(2017)</w:t>
      </w:r>
      <w:r w:rsidR="00583670" w:rsidRPr="001C7D14">
        <w:rPr>
          <w:lang w:val="en-CA" w:eastAsia="en-US"/>
        </w:rPr>
        <w:t>:</w:t>
      </w:r>
      <w:r w:rsidRPr="001C7D14">
        <w:rPr>
          <w:lang w:val="en-CA" w:eastAsia="en-US"/>
        </w:rPr>
        <w:t xml:space="preserve"> 120-124. </w:t>
      </w:r>
    </w:p>
    <w:p w14:paraId="59B5A3F7" w14:textId="0C47CA8D" w:rsidR="00942DEE" w:rsidRPr="001C7D14" w:rsidRDefault="00942DEE" w:rsidP="00F829E8">
      <w:pPr>
        <w:rPr>
          <w:lang w:val="en-CA" w:eastAsia="en-US"/>
        </w:rPr>
      </w:pPr>
      <w:r w:rsidRPr="001C7D14">
        <w:rPr>
          <w:lang w:val="en-CA" w:eastAsia="en-US"/>
        </w:rPr>
        <w:t xml:space="preserve">Jones DN </w:t>
      </w:r>
      <w:r w:rsidR="00656DDA" w:rsidRPr="001C7D14">
        <w:rPr>
          <w:lang w:val="en-CA" w:eastAsia="en-US"/>
        </w:rPr>
        <w:t>and</w:t>
      </w:r>
      <w:r w:rsidRPr="001C7D14">
        <w:rPr>
          <w:lang w:val="en-CA" w:eastAsia="en-US"/>
        </w:rPr>
        <w:t xml:space="preserve"> </w:t>
      </w:r>
      <w:proofErr w:type="spellStart"/>
      <w:r w:rsidRPr="001C7D14">
        <w:rPr>
          <w:lang w:val="en-CA" w:eastAsia="en-US"/>
        </w:rPr>
        <w:t>Paulhus</w:t>
      </w:r>
      <w:proofErr w:type="spellEnd"/>
      <w:r w:rsidRPr="001C7D14">
        <w:rPr>
          <w:lang w:val="en-CA" w:eastAsia="en-US"/>
        </w:rPr>
        <w:t xml:space="preserve"> DL (2014) Introducing the Short Dark Triad (SD3): A brief measure of dark personality traits. </w:t>
      </w:r>
      <w:r w:rsidRPr="001C7D14">
        <w:rPr>
          <w:i/>
          <w:iCs/>
          <w:lang w:val="en-CA" w:eastAsia="en-US"/>
        </w:rPr>
        <w:t xml:space="preserve">Assessment </w:t>
      </w:r>
      <w:r w:rsidRPr="001C7D14">
        <w:rPr>
          <w:lang w:val="en-CA" w:eastAsia="en-US"/>
        </w:rPr>
        <w:t>21(1)</w:t>
      </w:r>
      <w:r w:rsidR="00583670" w:rsidRPr="001C7D14">
        <w:rPr>
          <w:lang w:val="en-CA" w:eastAsia="en-US"/>
        </w:rPr>
        <w:t>:</w:t>
      </w:r>
      <w:r w:rsidRPr="001C7D14">
        <w:rPr>
          <w:lang w:val="en-CA" w:eastAsia="en-US"/>
        </w:rPr>
        <w:t xml:space="preserve"> 28-41. </w:t>
      </w:r>
    </w:p>
    <w:bookmarkEnd w:id="4"/>
    <w:p w14:paraId="28602129" w14:textId="2159CA7E" w:rsidR="00942DEE" w:rsidRPr="001C7D14" w:rsidRDefault="00942DEE" w:rsidP="00F829E8">
      <w:pPr>
        <w:rPr>
          <w:lang w:val="en-CA" w:eastAsia="en-US"/>
        </w:rPr>
      </w:pPr>
      <w:proofErr w:type="spellStart"/>
      <w:r w:rsidRPr="001C7D14">
        <w:rPr>
          <w:lang w:val="en-CA" w:eastAsia="en-US"/>
        </w:rPr>
        <w:t>Kajonius</w:t>
      </w:r>
      <w:proofErr w:type="spellEnd"/>
      <w:r w:rsidRPr="001C7D14">
        <w:rPr>
          <w:lang w:val="en-CA" w:eastAsia="en-US"/>
        </w:rPr>
        <w:t xml:space="preserve"> PJ, Persson BN </w:t>
      </w:r>
      <w:r w:rsidR="00656DDA" w:rsidRPr="001C7D14">
        <w:rPr>
          <w:lang w:val="en-CA" w:eastAsia="en-US"/>
        </w:rPr>
        <w:t>and</w:t>
      </w:r>
      <w:r w:rsidRPr="001C7D14">
        <w:rPr>
          <w:lang w:val="en-CA" w:eastAsia="en-US"/>
        </w:rPr>
        <w:t xml:space="preserve"> </w:t>
      </w:r>
      <w:proofErr w:type="spellStart"/>
      <w:r w:rsidRPr="001C7D14">
        <w:rPr>
          <w:lang w:val="en-CA" w:eastAsia="en-US"/>
        </w:rPr>
        <w:t>Jonason</w:t>
      </w:r>
      <w:proofErr w:type="spellEnd"/>
      <w:r w:rsidRPr="001C7D14">
        <w:rPr>
          <w:lang w:val="en-CA" w:eastAsia="en-US"/>
        </w:rPr>
        <w:t xml:space="preserve"> PK (2015) Hedonism, achievement, and power:</w:t>
      </w:r>
      <w:r w:rsidR="00A226C1">
        <w:rPr>
          <w:lang w:val="en-CA" w:eastAsia="en-US"/>
        </w:rPr>
        <w:t xml:space="preserve"> </w:t>
      </w:r>
      <w:r w:rsidRPr="001C7D14">
        <w:rPr>
          <w:lang w:val="en-CA" w:eastAsia="en-US"/>
        </w:rPr>
        <w:t xml:space="preserve">Universal values that characterize the Dark Triad. </w:t>
      </w:r>
      <w:r w:rsidRPr="001C7D14">
        <w:rPr>
          <w:i/>
          <w:iCs/>
          <w:lang w:val="en-CA" w:eastAsia="en-US"/>
        </w:rPr>
        <w:t xml:space="preserve">Personality and </w:t>
      </w:r>
      <w:r w:rsidR="00A928B1" w:rsidRPr="001C7D14">
        <w:rPr>
          <w:i/>
          <w:iCs/>
          <w:lang w:val="en-CA" w:eastAsia="en-US"/>
        </w:rPr>
        <w:tab/>
      </w:r>
      <w:r w:rsidRPr="001C7D14">
        <w:rPr>
          <w:i/>
          <w:iCs/>
          <w:lang w:val="en-CA" w:eastAsia="en-US"/>
        </w:rPr>
        <w:t xml:space="preserve">Individual Differences </w:t>
      </w:r>
      <w:r w:rsidRPr="001C7D14">
        <w:rPr>
          <w:lang w:val="en-CA" w:eastAsia="en-US"/>
        </w:rPr>
        <w:t>77</w:t>
      </w:r>
      <w:r w:rsidR="00CC7C63" w:rsidRPr="001C7D14">
        <w:rPr>
          <w:lang w:val="en-CA" w:eastAsia="en-US"/>
        </w:rPr>
        <w:t>:</w:t>
      </w:r>
      <w:r w:rsidR="00A928B1" w:rsidRPr="001C7D14">
        <w:rPr>
          <w:lang w:val="en-CA" w:eastAsia="en-US"/>
        </w:rPr>
        <w:t xml:space="preserve"> </w:t>
      </w:r>
      <w:r w:rsidRPr="001C7D14">
        <w:rPr>
          <w:lang w:val="en-CA" w:eastAsia="en-US"/>
        </w:rPr>
        <w:t xml:space="preserve">173-178. </w:t>
      </w:r>
    </w:p>
    <w:p w14:paraId="0AE4E0FD" w14:textId="6D303389" w:rsidR="00942DEE" w:rsidRPr="001C7D14" w:rsidRDefault="00942DEE" w:rsidP="00F829E8">
      <w:pPr>
        <w:rPr>
          <w:lang w:val="en-CA" w:eastAsia="en-US"/>
        </w:rPr>
      </w:pPr>
      <w:proofErr w:type="spellStart"/>
      <w:r w:rsidRPr="001C7D14">
        <w:rPr>
          <w:lang w:val="en-CA" w:eastAsia="en-US"/>
        </w:rPr>
        <w:t>Khatibi</w:t>
      </w:r>
      <w:proofErr w:type="spellEnd"/>
      <w:r w:rsidRPr="001C7D14">
        <w:rPr>
          <w:lang w:val="en-CA" w:eastAsia="en-US"/>
        </w:rPr>
        <w:t xml:space="preserve"> M </w:t>
      </w:r>
      <w:r w:rsidR="00656DDA" w:rsidRPr="001C7D14">
        <w:rPr>
          <w:lang w:val="en-CA" w:eastAsia="en-US"/>
        </w:rPr>
        <w:t>and</w:t>
      </w:r>
      <w:r w:rsidRPr="001C7D14">
        <w:rPr>
          <w:lang w:val="en-CA" w:eastAsia="en-US"/>
        </w:rPr>
        <w:t xml:space="preserve"> </w:t>
      </w:r>
      <w:proofErr w:type="spellStart"/>
      <w:r w:rsidRPr="001C7D14">
        <w:rPr>
          <w:lang w:val="en-CA" w:eastAsia="en-US"/>
        </w:rPr>
        <w:t>Khormaei</w:t>
      </w:r>
      <w:proofErr w:type="spellEnd"/>
      <w:r w:rsidRPr="001C7D14">
        <w:rPr>
          <w:lang w:val="en-CA" w:eastAsia="en-US"/>
        </w:rPr>
        <w:t xml:space="preserve"> F (2016) Personality and learning: A review. </w:t>
      </w:r>
      <w:r w:rsidRPr="001C7D14">
        <w:rPr>
          <w:i/>
          <w:iCs/>
          <w:lang w:val="en-CA" w:eastAsia="en-US"/>
        </w:rPr>
        <w:t>Journal of</w:t>
      </w:r>
      <w:r w:rsidR="00B544D0">
        <w:rPr>
          <w:i/>
          <w:iCs/>
          <w:lang w:val="en-CA" w:eastAsia="en-US"/>
        </w:rPr>
        <w:t xml:space="preserve"> </w:t>
      </w:r>
      <w:r w:rsidR="00A226C1">
        <w:rPr>
          <w:i/>
          <w:iCs/>
          <w:lang w:val="en-CA" w:eastAsia="en-US"/>
        </w:rPr>
        <w:t>E</w:t>
      </w:r>
      <w:r w:rsidRPr="001C7D14">
        <w:rPr>
          <w:i/>
          <w:iCs/>
          <w:lang w:val="en-CA" w:eastAsia="en-US"/>
        </w:rPr>
        <w:t xml:space="preserve">ducational and Management Studies </w:t>
      </w:r>
      <w:r w:rsidRPr="001C7D14">
        <w:rPr>
          <w:lang w:val="en-CA" w:eastAsia="en-US"/>
        </w:rPr>
        <w:t>6(4)</w:t>
      </w:r>
      <w:r w:rsidR="00CC7C63" w:rsidRPr="001C7D14">
        <w:rPr>
          <w:lang w:val="en-CA" w:eastAsia="en-US"/>
        </w:rPr>
        <w:t>:</w:t>
      </w:r>
      <w:r w:rsidRPr="001C7D14">
        <w:rPr>
          <w:lang w:val="en-CA" w:eastAsia="en-US"/>
        </w:rPr>
        <w:t xml:space="preserve"> 89-97. </w:t>
      </w:r>
    </w:p>
    <w:p w14:paraId="0997FB24" w14:textId="7E34FBD5" w:rsidR="00942DEE" w:rsidRPr="001C7D14" w:rsidRDefault="00942DEE" w:rsidP="00F829E8">
      <w:pPr>
        <w:rPr>
          <w:lang w:val="en-CA" w:eastAsia="en-US"/>
        </w:rPr>
      </w:pPr>
      <w:r w:rsidRPr="001C7D14">
        <w:rPr>
          <w:lang w:val="en-CA" w:eastAsia="en-US"/>
        </w:rPr>
        <w:t xml:space="preserve">Krause K </w:t>
      </w:r>
      <w:r w:rsidR="00656DDA" w:rsidRPr="001C7D14">
        <w:rPr>
          <w:lang w:val="en-CA" w:eastAsia="en-US"/>
        </w:rPr>
        <w:t>and</w:t>
      </w:r>
      <w:r w:rsidRPr="001C7D14">
        <w:rPr>
          <w:lang w:val="en-CA" w:eastAsia="en-US"/>
        </w:rPr>
        <w:t xml:space="preserve"> Coates H (2008) Students’ engagement in first-year university. </w:t>
      </w:r>
      <w:r w:rsidRPr="001C7D14">
        <w:rPr>
          <w:i/>
          <w:iCs/>
          <w:lang w:val="en-CA" w:eastAsia="en-US"/>
        </w:rPr>
        <w:t xml:space="preserve">Assessment and Evaluation in Higher Education </w:t>
      </w:r>
      <w:r w:rsidRPr="001C7D14">
        <w:rPr>
          <w:lang w:val="en-CA" w:eastAsia="en-US"/>
        </w:rPr>
        <w:t>33(5)</w:t>
      </w:r>
      <w:r w:rsidR="00CC7C63" w:rsidRPr="001C7D14">
        <w:rPr>
          <w:lang w:val="en-CA" w:eastAsia="en-US"/>
        </w:rPr>
        <w:t>:</w:t>
      </w:r>
      <w:r w:rsidRPr="001C7D14">
        <w:rPr>
          <w:lang w:val="en-CA" w:eastAsia="en-US"/>
        </w:rPr>
        <w:t xml:space="preserve"> 493-505. </w:t>
      </w:r>
    </w:p>
    <w:p w14:paraId="268A5485" w14:textId="6D35FAE3" w:rsidR="00942DEE" w:rsidRPr="001C7D14" w:rsidRDefault="00942DEE" w:rsidP="00F829E8">
      <w:pPr>
        <w:rPr>
          <w:lang w:val="en-CA" w:eastAsia="en-US"/>
        </w:rPr>
      </w:pPr>
      <w:proofErr w:type="spellStart"/>
      <w:r w:rsidRPr="001C7D14">
        <w:rPr>
          <w:lang w:val="en-CA" w:eastAsia="en-US"/>
        </w:rPr>
        <w:t>Kuh</w:t>
      </w:r>
      <w:proofErr w:type="spellEnd"/>
      <w:r w:rsidRPr="001C7D14">
        <w:rPr>
          <w:lang w:val="en-CA" w:eastAsia="en-US"/>
        </w:rPr>
        <w:t xml:space="preserve"> GD</w:t>
      </w:r>
      <w:r w:rsidR="00CC7C63" w:rsidRPr="001C7D14">
        <w:rPr>
          <w:lang w:val="en-CA" w:eastAsia="en-US"/>
        </w:rPr>
        <w:t>,</w:t>
      </w:r>
      <w:r w:rsidRPr="001C7D14">
        <w:rPr>
          <w:lang w:val="en-CA" w:eastAsia="en-US"/>
        </w:rPr>
        <w:t xml:space="preserve"> </w:t>
      </w:r>
      <w:proofErr w:type="spellStart"/>
      <w:r w:rsidRPr="001C7D14">
        <w:rPr>
          <w:lang w:val="en-CA" w:eastAsia="en-US"/>
        </w:rPr>
        <w:t>Cruce</w:t>
      </w:r>
      <w:proofErr w:type="spellEnd"/>
      <w:r w:rsidRPr="001C7D14">
        <w:rPr>
          <w:lang w:val="en-CA" w:eastAsia="en-US"/>
        </w:rPr>
        <w:t xml:space="preserve"> TM, </w:t>
      </w:r>
      <w:proofErr w:type="spellStart"/>
      <w:r w:rsidRPr="001C7D14">
        <w:rPr>
          <w:lang w:val="en-CA" w:eastAsia="en-US"/>
        </w:rPr>
        <w:t>Shou</w:t>
      </w:r>
      <w:r w:rsidR="00CC7C63" w:rsidRPr="001C7D14">
        <w:rPr>
          <w:lang w:val="en-CA" w:eastAsia="en-US"/>
        </w:rPr>
        <w:t>p</w:t>
      </w:r>
      <w:proofErr w:type="spellEnd"/>
      <w:r w:rsidRPr="001C7D14">
        <w:rPr>
          <w:lang w:val="en-CA" w:eastAsia="en-US"/>
        </w:rPr>
        <w:t xml:space="preserve"> R, Kinzie J </w:t>
      </w:r>
      <w:r w:rsidR="00656DDA" w:rsidRPr="001C7D14">
        <w:rPr>
          <w:lang w:val="en-CA" w:eastAsia="en-US"/>
        </w:rPr>
        <w:t>and</w:t>
      </w:r>
      <w:r w:rsidRPr="001C7D14">
        <w:rPr>
          <w:lang w:val="en-CA" w:eastAsia="en-US"/>
        </w:rPr>
        <w:t xml:space="preserve"> </w:t>
      </w:r>
      <w:proofErr w:type="spellStart"/>
      <w:r w:rsidRPr="001C7D14">
        <w:rPr>
          <w:lang w:val="en-CA" w:eastAsia="en-US"/>
        </w:rPr>
        <w:t>Gonyea</w:t>
      </w:r>
      <w:proofErr w:type="spellEnd"/>
      <w:r w:rsidRPr="001C7D14">
        <w:rPr>
          <w:lang w:val="en-CA" w:eastAsia="en-US"/>
        </w:rPr>
        <w:t xml:space="preserve"> RM (2008) Unmasking the effects</w:t>
      </w:r>
      <w:r w:rsidR="00D01494" w:rsidRPr="001C7D14">
        <w:rPr>
          <w:lang w:val="en-CA" w:eastAsia="en-US"/>
        </w:rPr>
        <w:t xml:space="preserve"> </w:t>
      </w:r>
      <w:r w:rsidRPr="001C7D14">
        <w:rPr>
          <w:lang w:val="en-CA" w:eastAsia="en-US"/>
        </w:rPr>
        <w:t xml:space="preserve">of student engagement on first-year college grades and persistence. </w:t>
      </w:r>
      <w:r w:rsidRPr="001C7D14">
        <w:rPr>
          <w:i/>
          <w:iCs/>
          <w:lang w:val="en-CA" w:eastAsia="en-US"/>
        </w:rPr>
        <w:t>Journal of Higher Education</w:t>
      </w:r>
      <w:r w:rsidR="00A928B1" w:rsidRPr="001C7D14">
        <w:rPr>
          <w:i/>
          <w:iCs/>
          <w:lang w:val="en-CA" w:eastAsia="en-US"/>
        </w:rPr>
        <w:t xml:space="preserve"> </w:t>
      </w:r>
      <w:r w:rsidRPr="001C7D14">
        <w:rPr>
          <w:lang w:val="en-CA" w:eastAsia="en-US"/>
        </w:rPr>
        <w:t>79(5)</w:t>
      </w:r>
      <w:r w:rsidR="00CC7C63" w:rsidRPr="001C7D14">
        <w:rPr>
          <w:lang w:val="en-CA" w:eastAsia="en-US"/>
        </w:rPr>
        <w:t>:</w:t>
      </w:r>
      <w:r w:rsidRPr="001C7D14">
        <w:rPr>
          <w:lang w:val="en-CA" w:eastAsia="en-US"/>
        </w:rPr>
        <w:t xml:space="preserve"> 540-563. </w:t>
      </w:r>
    </w:p>
    <w:p w14:paraId="5DC22073" w14:textId="7C18E6B2" w:rsidR="00942DEE" w:rsidRPr="001C7D14" w:rsidRDefault="00942DEE" w:rsidP="00F829E8">
      <w:pPr>
        <w:rPr>
          <w:lang w:val="en-CA" w:eastAsia="en-US"/>
        </w:rPr>
      </w:pPr>
      <w:r w:rsidRPr="001C7D14">
        <w:rPr>
          <w:lang w:val="en-CA" w:eastAsia="en-US"/>
        </w:rPr>
        <w:lastRenderedPageBreak/>
        <w:t xml:space="preserve">Llewellyn Smith J (2015) Why ‘soft skills’ are more important than a great CV. </w:t>
      </w:r>
      <w:r w:rsidRPr="001C7D14">
        <w:rPr>
          <w:i/>
          <w:iCs/>
          <w:lang w:val="en-CA" w:eastAsia="en-US"/>
        </w:rPr>
        <w:t>The</w:t>
      </w:r>
      <w:r w:rsidR="00A226C1">
        <w:rPr>
          <w:i/>
          <w:iCs/>
          <w:lang w:val="en-CA" w:eastAsia="en-US"/>
        </w:rPr>
        <w:t xml:space="preserve"> </w:t>
      </w:r>
      <w:r w:rsidRPr="001C7D14">
        <w:rPr>
          <w:i/>
          <w:iCs/>
          <w:lang w:val="en-CA" w:eastAsia="en-US"/>
        </w:rPr>
        <w:t>Telegraph</w:t>
      </w:r>
      <w:r w:rsidR="00CC7C63" w:rsidRPr="001C7D14">
        <w:rPr>
          <w:i/>
          <w:iCs/>
          <w:lang w:val="en-CA" w:eastAsia="en-US"/>
        </w:rPr>
        <w:t>,</w:t>
      </w:r>
      <w:r w:rsidRPr="001C7D14">
        <w:rPr>
          <w:lang w:val="en-CA" w:eastAsia="en-US"/>
        </w:rPr>
        <w:t xml:space="preserve"> </w:t>
      </w:r>
      <w:bookmarkStart w:id="5" w:name="_Hlk42429830"/>
      <w:r w:rsidR="00CC7C63" w:rsidRPr="001C7D14">
        <w:rPr>
          <w:lang w:val="en-CA" w:eastAsia="en-US"/>
        </w:rPr>
        <w:t xml:space="preserve">9 January. Available at: </w:t>
      </w:r>
      <w:r w:rsidR="00A928B1" w:rsidRPr="001C7D14">
        <w:rPr>
          <w:lang w:val="en-CA" w:eastAsia="en-US"/>
        </w:rPr>
        <w:t>https://www.telegraph.co.uk/women/womens-business/11326058/Forget-the-</w:t>
      </w:r>
      <w:r w:rsidRPr="001C7D14">
        <w:rPr>
          <w:lang w:val="en-CA" w:eastAsia="en-US"/>
        </w:rPr>
        <w:t xml:space="preserve">CV-Why-soft-skills-are-more-important.html </w:t>
      </w:r>
    </w:p>
    <w:p w14:paraId="7B63C473" w14:textId="1222016D" w:rsidR="00942DEE" w:rsidRPr="001C7D14" w:rsidRDefault="00942DEE" w:rsidP="00F829E8">
      <w:pPr>
        <w:rPr>
          <w:lang w:val="en-CA" w:eastAsia="en-US"/>
        </w:rPr>
      </w:pPr>
      <w:r w:rsidRPr="001C7D14">
        <w:rPr>
          <w:lang w:val="en-CA" w:eastAsia="en-US"/>
        </w:rPr>
        <w:t xml:space="preserve">Lyons M </w:t>
      </w:r>
      <w:r w:rsidR="00656DDA" w:rsidRPr="001C7D14">
        <w:rPr>
          <w:lang w:val="en-CA" w:eastAsia="en-US"/>
        </w:rPr>
        <w:t>and</w:t>
      </w:r>
      <w:r w:rsidRPr="001C7D14">
        <w:rPr>
          <w:lang w:val="en-CA" w:eastAsia="en-US"/>
        </w:rPr>
        <w:t xml:space="preserve"> Rice H (2014) Thieves of time? Procrastination and the Dark Triad of</w:t>
      </w:r>
      <w:r w:rsidR="00A226C1">
        <w:rPr>
          <w:lang w:val="en-CA" w:eastAsia="en-US"/>
        </w:rPr>
        <w:t xml:space="preserve"> </w:t>
      </w:r>
      <w:r w:rsidRPr="001C7D14">
        <w:rPr>
          <w:lang w:val="en-CA" w:eastAsia="en-US"/>
        </w:rPr>
        <w:t xml:space="preserve">personality. </w:t>
      </w:r>
      <w:r w:rsidRPr="001C7D14">
        <w:rPr>
          <w:i/>
          <w:iCs/>
          <w:lang w:val="en-CA" w:eastAsia="en-US"/>
        </w:rPr>
        <w:t xml:space="preserve">Personality and Individual Differences </w:t>
      </w:r>
      <w:r w:rsidRPr="001C7D14">
        <w:rPr>
          <w:lang w:val="en-CA" w:eastAsia="en-US"/>
        </w:rPr>
        <w:t>61-62</w:t>
      </w:r>
      <w:r w:rsidR="00CC7C63" w:rsidRPr="001C7D14">
        <w:rPr>
          <w:lang w:val="en-CA" w:eastAsia="en-US"/>
        </w:rPr>
        <w:t>:</w:t>
      </w:r>
      <w:r w:rsidRPr="001C7D14">
        <w:rPr>
          <w:lang w:val="en-CA" w:eastAsia="en-US"/>
        </w:rPr>
        <w:t xml:space="preserve"> 34-37.</w:t>
      </w:r>
      <w:r w:rsidR="00D01494" w:rsidRPr="001C7D14">
        <w:rPr>
          <w:lang w:val="en-CA" w:eastAsia="en-US"/>
        </w:rPr>
        <w:t xml:space="preserve"> </w:t>
      </w:r>
    </w:p>
    <w:p w14:paraId="3D746677" w14:textId="5BF14699" w:rsidR="00942DEE" w:rsidRPr="001C7D14" w:rsidRDefault="00942DEE" w:rsidP="00F829E8">
      <w:pPr>
        <w:rPr>
          <w:lang w:val="en-CA" w:eastAsia="en-US"/>
        </w:rPr>
      </w:pPr>
      <w:r w:rsidRPr="001C7D14">
        <w:rPr>
          <w:lang w:val="en-CA" w:eastAsia="en-US"/>
        </w:rPr>
        <w:t xml:space="preserve">Maples JL, Lamkin J </w:t>
      </w:r>
      <w:r w:rsidR="00656DDA" w:rsidRPr="001C7D14">
        <w:rPr>
          <w:lang w:val="en-CA" w:eastAsia="en-US"/>
        </w:rPr>
        <w:t>and</w:t>
      </w:r>
      <w:r w:rsidRPr="001C7D14">
        <w:rPr>
          <w:lang w:val="en-CA" w:eastAsia="en-US"/>
        </w:rPr>
        <w:t xml:space="preserve"> Miller JD (2014) A test of two brief measures of the </w:t>
      </w:r>
      <w:r w:rsidR="00A928B1" w:rsidRPr="001C7D14">
        <w:rPr>
          <w:lang w:val="en-CA" w:eastAsia="en-US"/>
        </w:rPr>
        <w:t>D</w:t>
      </w:r>
      <w:r w:rsidRPr="001C7D14">
        <w:rPr>
          <w:lang w:val="en-CA" w:eastAsia="en-US"/>
        </w:rPr>
        <w:t xml:space="preserve">ark </w:t>
      </w:r>
      <w:r w:rsidR="00A928B1" w:rsidRPr="001C7D14">
        <w:rPr>
          <w:lang w:val="en-CA" w:eastAsia="en-US"/>
        </w:rPr>
        <w:t>T</w:t>
      </w:r>
      <w:r w:rsidRPr="001C7D14">
        <w:rPr>
          <w:lang w:val="en-CA" w:eastAsia="en-US"/>
        </w:rPr>
        <w:t>riad: The</w:t>
      </w:r>
      <w:r w:rsidR="00A928B1" w:rsidRPr="001C7D14">
        <w:rPr>
          <w:lang w:val="en-CA" w:eastAsia="en-US"/>
        </w:rPr>
        <w:t xml:space="preserve"> D</w:t>
      </w:r>
      <w:r w:rsidRPr="001C7D14">
        <w:rPr>
          <w:lang w:val="en-CA" w:eastAsia="en-US"/>
        </w:rPr>
        <w:t xml:space="preserve">irty </w:t>
      </w:r>
      <w:r w:rsidR="00A928B1" w:rsidRPr="001C7D14">
        <w:rPr>
          <w:lang w:val="en-CA" w:eastAsia="en-US"/>
        </w:rPr>
        <w:t>D</w:t>
      </w:r>
      <w:r w:rsidRPr="001C7D14">
        <w:rPr>
          <w:lang w:val="en-CA" w:eastAsia="en-US"/>
        </w:rPr>
        <w:t xml:space="preserve">ozen and </w:t>
      </w:r>
      <w:r w:rsidR="00A928B1" w:rsidRPr="001C7D14">
        <w:rPr>
          <w:lang w:val="en-CA" w:eastAsia="en-US"/>
        </w:rPr>
        <w:t>S</w:t>
      </w:r>
      <w:r w:rsidRPr="001C7D14">
        <w:rPr>
          <w:lang w:val="en-CA" w:eastAsia="en-US"/>
        </w:rPr>
        <w:t xml:space="preserve">hort </w:t>
      </w:r>
      <w:r w:rsidR="00A928B1" w:rsidRPr="001C7D14">
        <w:rPr>
          <w:lang w:val="en-CA" w:eastAsia="en-US"/>
        </w:rPr>
        <w:t>D</w:t>
      </w:r>
      <w:r w:rsidRPr="001C7D14">
        <w:rPr>
          <w:lang w:val="en-CA" w:eastAsia="en-US"/>
        </w:rPr>
        <w:t xml:space="preserve">ark </w:t>
      </w:r>
      <w:r w:rsidR="00A928B1" w:rsidRPr="001C7D14">
        <w:rPr>
          <w:lang w:val="en-CA" w:eastAsia="en-US"/>
        </w:rPr>
        <w:t>T</w:t>
      </w:r>
      <w:r w:rsidRPr="001C7D14">
        <w:rPr>
          <w:lang w:val="en-CA" w:eastAsia="en-US"/>
        </w:rPr>
        <w:t xml:space="preserve">riad. </w:t>
      </w:r>
      <w:r w:rsidRPr="001C7D14">
        <w:rPr>
          <w:i/>
          <w:iCs/>
          <w:lang w:val="en-CA" w:eastAsia="en-US"/>
        </w:rPr>
        <w:t xml:space="preserve">Psychological Assessment </w:t>
      </w:r>
      <w:r w:rsidR="00A928B1" w:rsidRPr="001C7D14">
        <w:rPr>
          <w:i/>
          <w:iCs/>
          <w:lang w:val="en-CA" w:eastAsia="en-US"/>
        </w:rPr>
        <w:tab/>
      </w:r>
      <w:r w:rsidRPr="001C7D14">
        <w:rPr>
          <w:lang w:val="en-CA" w:eastAsia="en-US"/>
        </w:rPr>
        <w:t>26(1)</w:t>
      </w:r>
      <w:r w:rsidR="00CC7C63" w:rsidRPr="001C7D14">
        <w:rPr>
          <w:lang w:val="en-CA" w:eastAsia="en-US"/>
        </w:rPr>
        <w:t>:</w:t>
      </w:r>
      <w:r w:rsidRPr="001C7D14">
        <w:rPr>
          <w:lang w:val="en-CA" w:eastAsia="en-US"/>
        </w:rPr>
        <w:t xml:space="preserve"> 326-331. </w:t>
      </w:r>
    </w:p>
    <w:bookmarkEnd w:id="5"/>
    <w:p w14:paraId="358BB248" w14:textId="4AE6DADD" w:rsidR="00942DEE" w:rsidRPr="001C7D14" w:rsidRDefault="00942DEE" w:rsidP="00F829E8">
      <w:pPr>
        <w:rPr>
          <w:lang w:val="en-CA" w:eastAsia="en-US"/>
        </w:rPr>
      </w:pPr>
      <w:r w:rsidRPr="001C7D14">
        <w:rPr>
          <w:lang w:val="en-CA" w:eastAsia="en-US"/>
        </w:rPr>
        <w:t>Mazer JP (2012) Development and validation of the student interest and engagement</w:t>
      </w:r>
      <w:r w:rsidR="00D01494" w:rsidRPr="001C7D14">
        <w:rPr>
          <w:lang w:val="en-CA" w:eastAsia="en-US"/>
        </w:rPr>
        <w:t xml:space="preserve"> </w:t>
      </w:r>
      <w:r w:rsidRPr="001C7D14">
        <w:rPr>
          <w:lang w:val="en-CA" w:eastAsia="en-US"/>
        </w:rPr>
        <w:t xml:space="preserve">scales. </w:t>
      </w:r>
      <w:r w:rsidRPr="001C7D14">
        <w:rPr>
          <w:i/>
          <w:iCs/>
          <w:lang w:val="en-CA" w:eastAsia="en-US"/>
        </w:rPr>
        <w:t xml:space="preserve">Communication Methods and Measures </w:t>
      </w:r>
      <w:r w:rsidRPr="001C7D14">
        <w:rPr>
          <w:lang w:val="en-CA" w:eastAsia="en-US"/>
        </w:rPr>
        <w:t>6(2)</w:t>
      </w:r>
      <w:r w:rsidR="006A4B72" w:rsidRPr="001C7D14">
        <w:rPr>
          <w:lang w:val="en-CA" w:eastAsia="en-US"/>
        </w:rPr>
        <w:t>:</w:t>
      </w:r>
      <w:r w:rsidRPr="001C7D14">
        <w:rPr>
          <w:lang w:val="en-CA" w:eastAsia="en-US"/>
        </w:rPr>
        <w:t xml:space="preserve"> 99–125. </w:t>
      </w:r>
    </w:p>
    <w:p w14:paraId="4B433FD5" w14:textId="52179E28" w:rsidR="00942DEE" w:rsidRPr="001C7D14" w:rsidRDefault="00942DEE" w:rsidP="00F829E8">
      <w:pPr>
        <w:rPr>
          <w:lang w:val="en-CA" w:eastAsia="en-US"/>
        </w:rPr>
      </w:pPr>
      <w:r w:rsidRPr="001C7D14">
        <w:rPr>
          <w:lang w:val="en-CA" w:eastAsia="en-US"/>
        </w:rPr>
        <w:t xml:space="preserve">McCrae RR </w:t>
      </w:r>
      <w:r w:rsidR="00656DDA" w:rsidRPr="001C7D14">
        <w:rPr>
          <w:lang w:val="en-CA" w:eastAsia="en-US"/>
        </w:rPr>
        <w:t>and</w:t>
      </w:r>
      <w:r w:rsidRPr="001C7D14">
        <w:rPr>
          <w:lang w:val="en-CA" w:eastAsia="en-US"/>
        </w:rPr>
        <w:t xml:space="preserve"> Costa PT Jr (1987</w:t>
      </w:r>
      <w:r w:rsidR="006A4B72" w:rsidRPr="001C7D14">
        <w:rPr>
          <w:lang w:val="en-CA" w:eastAsia="en-US"/>
        </w:rPr>
        <w:t>)</w:t>
      </w:r>
      <w:r w:rsidRPr="001C7D14">
        <w:rPr>
          <w:lang w:val="en-CA" w:eastAsia="en-US"/>
        </w:rPr>
        <w:t xml:space="preserve"> Validation of the five-factor model of personality across instruments and observers. </w:t>
      </w:r>
      <w:r w:rsidRPr="001C7D14">
        <w:rPr>
          <w:i/>
          <w:iCs/>
          <w:lang w:val="en-CA" w:eastAsia="en-US"/>
        </w:rPr>
        <w:t xml:space="preserve">Journal of Personality and Social Psychology </w:t>
      </w:r>
      <w:r w:rsidRPr="001C7D14">
        <w:rPr>
          <w:lang w:val="en-CA" w:eastAsia="en-US"/>
        </w:rPr>
        <w:t>52(1)</w:t>
      </w:r>
      <w:r w:rsidR="006A4B72" w:rsidRPr="001C7D14">
        <w:rPr>
          <w:lang w:val="en-CA" w:eastAsia="en-US"/>
        </w:rPr>
        <w:t>:</w:t>
      </w:r>
      <w:r w:rsidRPr="001C7D14">
        <w:rPr>
          <w:lang w:val="en-CA" w:eastAsia="en-US"/>
        </w:rPr>
        <w:t xml:space="preserve"> 81-90. </w:t>
      </w:r>
    </w:p>
    <w:p w14:paraId="6DF4B9C0" w14:textId="505F2E26" w:rsidR="00942DEE" w:rsidRPr="001C7D14" w:rsidRDefault="00942DEE" w:rsidP="00F829E8">
      <w:pPr>
        <w:rPr>
          <w:lang w:val="en-CA" w:eastAsia="en-US"/>
        </w:rPr>
      </w:pPr>
      <w:r w:rsidRPr="001C7D14">
        <w:rPr>
          <w:lang w:val="en-CA" w:eastAsia="en-US"/>
        </w:rPr>
        <w:t>Mooney R (2019) Personality, belief in a just world, and attitudes towards criminal</w:t>
      </w:r>
      <w:r w:rsidR="00A226C1">
        <w:rPr>
          <w:lang w:val="en-CA" w:eastAsia="en-US"/>
        </w:rPr>
        <w:t xml:space="preserve"> </w:t>
      </w:r>
      <w:r w:rsidRPr="001C7D14">
        <w:rPr>
          <w:lang w:val="en-CA" w:eastAsia="en-US"/>
        </w:rPr>
        <w:t xml:space="preserve">responsibility defenses: A preliminary study. </w:t>
      </w:r>
      <w:r w:rsidRPr="001C7D14">
        <w:rPr>
          <w:i/>
          <w:iCs/>
          <w:lang w:val="en-CA" w:eastAsia="en-US"/>
        </w:rPr>
        <w:t xml:space="preserve">Journal of Criminological Research, Policy and Practice </w:t>
      </w:r>
      <w:r w:rsidRPr="001C7D14">
        <w:rPr>
          <w:lang w:val="en-CA" w:eastAsia="en-US"/>
        </w:rPr>
        <w:t>5(1)</w:t>
      </w:r>
      <w:r w:rsidR="006A4B72" w:rsidRPr="001C7D14">
        <w:rPr>
          <w:lang w:val="en-CA" w:eastAsia="en-US"/>
        </w:rPr>
        <w:t>:</w:t>
      </w:r>
      <w:r w:rsidRPr="001C7D14">
        <w:rPr>
          <w:lang w:val="en-CA" w:eastAsia="en-US"/>
        </w:rPr>
        <w:t xml:space="preserve"> 1-12. </w:t>
      </w:r>
    </w:p>
    <w:p w14:paraId="6086DFC0" w14:textId="63BC4288" w:rsidR="00942DEE" w:rsidRPr="001C7D14" w:rsidRDefault="00942DEE" w:rsidP="00F829E8">
      <w:pPr>
        <w:rPr>
          <w:lang w:val="en-CA" w:eastAsia="en-US"/>
        </w:rPr>
      </w:pPr>
      <w:proofErr w:type="spellStart"/>
      <w:r w:rsidRPr="001C7D14">
        <w:rPr>
          <w:lang w:val="en-CA" w:eastAsia="en-US"/>
        </w:rPr>
        <w:t>Neneh</w:t>
      </w:r>
      <w:proofErr w:type="spellEnd"/>
      <w:r w:rsidRPr="001C7D14">
        <w:rPr>
          <w:lang w:val="en-CA" w:eastAsia="en-US"/>
        </w:rPr>
        <w:t xml:space="preserve"> BN (2019) An empirical study of personality traits, job market appraisal and self-perceived employability in an uncertain environment. </w:t>
      </w:r>
      <w:r w:rsidRPr="001C7D14">
        <w:rPr>
          <w:i/>
          <w:iCs/>
          <w:lang w:val="en-CA" w:eastAsia="en-US"/>
        </w:rPr>
        <w:t>Higher Education, Skills and</w:t>
      </w:r>
      <w:r w:rsidR="00D01494" w:rsidRPr="001C7D14">
        <w:rPr>
          <w:i/>
          <w:iCs/>
          <w:lang w:val="en-CA" w:eastAsia="en-US"/>
        </w:rPr>
        <w:t xml:space="preserve"> </w:t>
      </w:r>
      <w:r w:rsidRPr="001C7D14">
        <w:rPr>
          <w:i/>
          <w:iCs/>
          <w:lang w:val="en-CA" w:eastAsia="en-US"/>
        </w:rPr>
        <w:t xml:space="preserve">Work-Based Learning </w:t>
      </w:r>
      <w:r w:rsidRPr="001C7D14">
        <w:rPr>
          <w:lang w:val="en-CA" w:eastAsia="en-US"/>
        </w:rPr>
        <w:t>10(1)</w:t>
      </w:r>
      <w:r w:rsidR="006A4B72" w:rsidRPr="001C7D14">
        <w:rPr>
          <w:lang w:val="en-CA" w:eastAsia="en-US"/>
        </w:rPr>
        <w:t>:</w:t>
      </w:r>
      <w:r w:rsidRPr="001C7D14">
        <w:rPr>
          <w:lang w:val="en-CA" w:eastAsia="en-US"/>
        </w:rPr>
        <w:t xml:space="preserve"> 255-274. </w:t>
      </w:r>
    </w:p>
    <w:p w14:paraId="3142C342" w14:textId="3DF87FA4" w:rsidR="00942DEE" w:rsidRPr="001C7D14" w:rsidRDefault="00942DEE" w:rsidP="00F829E8">
      <w:pPr>
        <w:rPr>
          <w:lang w:val="en-CA" w:eastAsia="en-US"/>
        </w:rPr>
      </w:pPr>
      <w:proofErr w:type="spellStart"/>
      <w:r w:rsidRPr="001C7D14">
        <w:rPr>
          <w:lang w:val="en-CA" w:eastAsia="en-US"/>
        </w:rPr>
        <w:t>Paulhus</w:t>
      </w:r>
      <w:proofErr w:type="spellEnd"/>
      <w:r w:rsidRPr="001C7D14">
        <w:rPr>
          <w:lang w:val="en-CA" w:eastAsia="en-US"/>
        </w:rPr>
        <w:t xml:space="preserve"> DL, Neumann CS </w:t>
      </w:r>
      <w:r w:rsidR="00656DDA" w:rsidRPr="001C7D14">
        <w:rPr>
          <w:lang w:val="en-CA" w:eastAsia="en-US"/>
        </w:rPr>
        <w:t>and</w:t>
      </w:r>
      <w:r w:rsidRPr="001C7D14">
        <w:rPr>
          <w:lang w:val="en-CA" w:eastAsia="en-US"/>
        </w:rPr>
        <w:t xml:space="preserve"> Hare RD (2009) </w:t>
      </w:r>
      <w:r w:rsidRPr="001C7D14">
        <w:rPr>
          <w:i/>
          <w:iCs/>
          <w:lang w:val="en-CA" w:eastAsia="en-US"/>
        </w:rPr>
        <w:t>Manual for the self-report psychopathy scale</w:t>
      </w:r>
      <w:r w:rsidRPr="001C7D14">
        <w:rPr>
          <w:lang w:val="en-CA" w:eastAsia="en-US"/>
        </w:rPr>
        <w:t>.</w:t>
      </w:r>
      <w:r w:rsidR="00A226C1">
        <w:rPr>
          <w:lang w:val="en-CA" w:eastAsia="en-US"/>
        </w:rPr>
        <w:t xml:space="preserve"> </w:t>
      </w:r>
      <w:r w:rsidRPr="001C7D14">
        <w:rPr>
          <w:lang w:val="en-CA" w:eastAsia="en-US"/>
        </w:rPr>
        <w:t>Multi-Health Systems.</w:t>
      </w:r>
    </w:p>
    <w:p w14:paraId="69499424" w14:textId="68AC7457" w:rsidR="00942DEE" w:rsidRPr="001C7D14" w:rsidRDefault="00942DEE" w:rsidP="00F829E8">
      <w:pPr>
        <w:rPr>
          <w:lang w:val="en-CA" w:eastAsia="en-US"/>
        </w:rPr>
      </w:pPr>
      <w:bookmarkStart w:id="6" w:name="_Hlk42429818"/>
      <w:proofErr w:type="spellStart"/>
      <w:r w:rsidRPr="001C7D14">
        <w:rPr>
          <w:lang w:val="en-CA" w:eastAsia="en-US"/>
        </w:rPr>
        <w:t>Paulhus</w:t>
      </w:r>
      <w:proofErr w:type="spellEnd"/>
      <w:r w:rsidRPr="001C7D14">
        <w:rPr>
          <w:lang w:val="en-CA" w:eastAsia="en-US"/>
        </w:rPr>
        <w:t xml:space="preserve"> DL </w:t>
      </w:r>
      <w:r w:rsidR="00656DDA" w:rsidRPr="001C7D14">
        <w:rPr>
          <w:lang w:val="en-CA" w:eastAsia="en-US"/>
        </w:rPr>
        <w:t>and</w:t>
      </w:r>
      <w:r w:rsidRPr="001C7D14">
        <w:rPr>
          <w:lang w:val="en-CA" w:eastAsia="en-US"/>
        </w:rPr>
        <w:t xml:space="preserve"> Williams KM (2002) The Dark Triad of personality: Narcissism,</w:t>
      </w:r>
      <w:r w:rsidR="00A226C1">
        <w:rPr>
          <w:lang w:val="en-CA" w:eastAsia="en-US"/>
        </w:rPr>
        <w:t xml:space="preserve"> </w:t>
      </w:r>
      <w:r w:rsidRPr="001C7D14">
        <w:rPr>
          <w:lang w:val="en-CA" w:eastAsia="en-US"/>
        </w:rPr>
        <w:t>Machiavellianism,</w:t>
      </w:r>
      <w:r w:rsidR="00A928B1" w:rsidRPr="001C7D14">
        <w:rPr>
          <w:lang w:val="en-CA" w:eastAsia="en-US"/>
        </w:rPr>
        <w:t xml:space="preserve"> </w:t>
      </w:r>
      <w:r w:rsidRPr="001C7D14">
        <w:rPr>
          <w:lang w:val="en-CA" w:eastAsia="en-US"/>
        </w:rPr>
        <w:t xml:space="preserve">and psychopathy. </w:t>
      </w:r>
      <w:r w:rsidRPr="001C7D14">
        <w:rPr>
          <w:i/>
          <w:iCs/>
          <w:lang w:val="en-CA" w:eastAsia="en-US"/>
        </w:rPr>
        <w:t xml:space="preserve">Journal of Research in Personality </w:t>
      </w:r>
      <w:r w:rsidRPr="001C7D14">
        <w:rPr>
          <w:lang w:val="en-CA" w:eastAsia="en-US"/>
        </w:rPr>
        <w:t>36(6)</w:t>
      </w:r>
      <w:r w:rsidR="006A4B72" w:rsidRPr="001C7D14">
        <w:rPr>
          <w:lang w:val="en-CA" w:eastAsia="en-US"/>
        </w:rPr>
        <w:t>:</w:t>
      </w:r>
      <w:r w:rsidRPr="001C7D14">
        <w:rPr>
          <w:lang w:val="en-CA" w:eastAsia="en-US"/>
        </w:rPr>
        <w:t xml:space="preserve"> 556-563. </w:t>
      </w:r>
    </w:p>
    <w:p w14:paraId="46C508C3" w14:textId="6E4E7AA2" w:rsidR="00942DEE" w:rsidRPr="001C7D14" w:rsidRDefault="00942DEE" w:rsidP="00F829E8">
      <w:pPr>
        <w:rPr>
          <w:b/>
          <w:bCs/>
          <w:lang w:val="en-CA" w:eastAsia="en-US"/>
        </w:rPr>
      </w:pPr>
      <w:r w:rsidRPr="001C7D14">
        <w:rPr>
          <w:lang w:val="en-CA" w:eastAsia="en-US"/>
        </w:rPr>
        <w:t xml:space="preserve">Quality Assurance Agency for Higher Education (2018) </w:t>
      </w:r>
      <w:r w:rsidRPr="001C7D14">
        <w:rPr>
          <w:i/>
          <w:iCs/>
          <w:lang w:val="en-CA" w:eastAsia="en-US"/>
        </w:rPr>
        <w:t>The revised UK quality code for</w:t>
      </w:r>
      <w:r w:rsidR="00D01494" w:rsidRPr="001C7D14">
        <w:rPr>
          <w:i/>
          <w:iCs/>
          <w:lang w:val="en-CA" w:eastAsia="en-US"/>
        </w:rPr>
        <w:t xml:space="preserve"> </w:t>
      </w:r>
      <w:r w:rsidRPr="001C7D14">
        <w:rPr>
          <w:i/>
          <w:iCs/>
          <w:lang w:val="en-CA" w:eastAsia="en-US"/>
        </w:rPr>
        <w:t>higher education</w:t>
      </w:r>
      <w:r w:rsidRPr="001C7D14">
        <w:rPr>
          <w:lang w:val="en-CA" w:eastAsia="en-US"/>
        </w:rPr>
        <w:t xml:space="preserve"> (UKSCQA/02). </w:t>
      </w:r>
      <w:r w:rsidR="006A4B72" w:rsidRPr="001C7D14">
        <w:rPr>
          <w:lang w:val="en-CA" w:eastAsia="en-US"/>
        </w:rPr>
        <w:t>Available at: https://www.qaa.ac.uk/docs/qaa/quality</w:t>
      </w:r>
      <w:r w:rsidR="006A4B72" w:rsidRPr="001C7D14">
        <w:rPr>
          <w:b/>
          <w:bCs/>
          <w:lang w:val="en-CA" w:eastAsia="en-US"/>
        </w:rPr>
        <w:t>-</w:t>
      </w:r>
      <w:r w:rsidR="006A4B72" w:rsidRPr="001C7D14">
        <w:rPr>
          <w:lang w:val="en-CA" w:eastAsia="en-US"/>
        </w:rPr>
        <w:t>code/revised-</w:t>
      </w:r>
      <w:r w:rsidR="00D01494" w:rsidRPr="001C7D14">
        <w:rPr>
          <w:lang w:val="en-CA" w:eastAsia="en-US"/>
        </w:rPr>
        <w:t>uk-quality-</w:t>
      </w:r>
      <w:r w:rsidRPr="001C7D14">
        <w:rPr>
          <w:lang w:val="en-CA" w:eastAsia="en-US"/>
        </w:rPr>
        <w:t>code-for-higher-education.pdf?sfvrsn=4c19f781_8</w:t>
      </w:r>
    </w:p>
    <w:bookmarkEnd w:id="6"/>
    <w:p w14:paraId="0FEDF8F5" w14:textId="0D55B391" w:rsidR="00942DEE" w:rsidRPr="001C7D14" w:rsidRDefault="00942DEE" w:rsidP="00F829E8">
      <w:pPr>
        <w:rPr>
          <w:lang w:val="en-CA" w:eastAsia="en-US"/>
        </w:rPr>
      </w:pPr>
      <w:r w:rsidRPr="001C7D14">
        <w:rPr>
          <w:lang w:val="en-CA" w:eastAsia="en-US"/>
        </w:rPr>
        <w:lastRenderedPageBreak/>
        <w:t xml:space="preserve">Qureshi A, Wall H, Humphries J </w:t>
      </w:r>
      <w:r w:rsidR="00656DDA" w:rsidRPr="001C7D14">
        <w:rPr>
          <w:lang w:val="en-CA" w:eastAsia="en-US"/>
        </w:rPr>
        <w:t>and</w:t>
      </w:r>
      <w:r w:rsidRPr="001C7D14">
        <w:rPr>
          <w:lang w:val="en-CA" w:eastAsia="en-US"/>
        </w:rPr>
        <w:t xml:space="preserve"> </w:t>
      </w:r>
      <w:proofErr w:type="spellStart"/>
      <w:r w:rsidRPr="001C7D14">
        <w:rPr>
          <w:lang w:val="en-CA" w:eastAsia="en-US"/>
        </w:rPr>
        <w:t>Balani</w:t>
      </w:r>
      <w:proofErr w:type="spellEnd"/>
      <w:r w:rsidRPr="001C7D14">
        <w:rPr>
          <w:lang w:val="en-CA" w:eastAsia="en-US"/>
        </w:rPr>
        <w:t xml:space="preserve"> AB (2016) Can personality traits modulate student engagement with learning and their attitude to employability? </w:t>
      </w:r>
      <w:r w:rsidRPr="001C7D14">
        <w:rPr>
          <w:i/>
          <w:iCs/>
          <w:lang w:val="en-CA" w:eastAsia="en-US"/>
        </w:rPr>
        <w:t xml:space="preserve">Learning and Individual Differences </w:t>
      </w:r>
      <w:r w:rsidRPr="001C7D14">
        <w:rPr>
          <w:lang w:val="en-CA" w:eastAsia="en-US"/>
        </w:rPr>
        <w:t>51</w:t>
      </w:r>
      <w:r w:rsidR="006A4B72" w:rsidRPr="001C7D14">
        <w:rPr>
          <w:lang w:val="en-CA" w:eastAsia="en-US"/>
        </w:rPr>
        <w:t>:</w:t>
      </w:r>
      <w:r w:rsidRPr="001C7D14">
        <w:rPr>
          <w:lang w:val="en-CA" w:eastAsia="en-US"/>
        </w:rPr>
        <w:t xml:space="preserve"> 349-358. </w:t>
      </w:r>
    </w:p>
    <w:p w14:paraId="377499DC" w14:textId="55EC032C" w:rsidR="00942DEE" w:rsidRPr="001C7D14" w:rsidRDefault="00942DEE" w:rsidP="00F829E8">
      <w:pPr>
        <w:rPr>
          <w:lang w:val="en-CA" w:eastAsia="en-US"/>
        </w:rPr>
      </w:pPr>
      <w:proofErr w:type="spellStart"/>
      <w:r w:rsidRPr="001C7D14">
        <w:rPr>
          <w:lang w:val="en-CA" w:eastAsia="en-US"/>
        </w:rPr>
        <w:t>Raskin</w:t>
      </w:r>
      <w:proofErr w:type="spellEnd"/>
      <w:r w:rsidRPr="001C7D14">
        <w:rPr>
          <w:lang w:val="en-CA" w:eastAsia="en-US"/>
        </w:rPr>
        <w:t xml:space="preserve"> R </w:t>
      </w:r>
      <w:r w:rsidR="00656DDA" w:rsidRPr="001C7D14">
        <w:rPr>
          <w:lang w:val="en-CA" w:eastAsia="en-US"/>
        </w:rPr>
        <w:t>and</w:t>
      </w:r>
      <w:r w:rsidRPr="001C7D14">
        <w:rPr>
          <w:lang w:val="en-CA" w:eastAsia="en-US"/>
        </w:rPr>
        <w:t xml:space="preserve"> Hall CS (1979) A Narcissistic Personality Inventory. </w:t>
      </w:r>
      <w:r w:rsidRPr="001C7D14">
        <w:rPr>
          <w:i/>
          <w:iCs/>
          <w:lang w:val="en-CA" w:eastAsia="en-US"/>
        </w:rPr>
        <w:t xml:space="preserve">Psychological </w:t>
      </w:r>
      <w:r w:rsidR="00A928B1" w:rsidRPr="001C7D14">
        <w:rPr>
          <w:i/>
          <w:iCs/>
          <w:lang w:val="en-CA" w:eastAsia="en-US"/>
        </w:rPr>
        <w:tab/>
      </w:r>
      <w:r w:rsidRPr="001C7D14">
        <w:rPr>
          <w:i/>
          <w:iCs/>
          <w:lang w:val="en-CA" w:eastAsia="en-US"/>
        </w:rPr>
        <w:t xml:space="preserve">Reports </w:t>
      </w:r>
      <w:r w:rsidRPr="001C7D14">
        <w:rPr>
          <w:lang w:val="en-CA" w:eastAsia="en-US"/>
        </w:rPr>
        <w:t>45(2)</w:t>
      </w:r>
      <w:r w:rsidR="006A4B72" w:rsidRPr="001C7D14">
        <w:rPr>
          <w:lang w:val="en-CA" w:eastAsia="en-US"/>
        </w:rPr>
        <w:t>:</w:t>
      </w:r>
      <w:r w:rsidRPr="001C7D14">
        <w:rPr>
          <w:lang w:val="en-CA" w:eastAsia="en-US"/>
        </w:rPr>
        <w:t xml:space="preserve"> 590. </w:t>
      </w:r>
    </w:p>
    <w:p w14:paraId="0F3F5202" w14:textId="634D9267" w:rsidR="00942DEE" w:rsidRPr="001C7D14" w:rsidRDefault="00942DEE" w:rsidP="00F829E8">
      <w:pPr>
        <w:rPr>
          <w:lang w:val="en-CA" w:eastAsia="en-US"/>
        </w:rPr>
      </w:pPr>
      <w:r w:rsidRPr="001C7D14">
        <w:rPr>
          <w:lang w:val="en-CA" w:eastAsia="en-US"/>
        </w:rPr>
        <w:t xml:space="preserve">Shulman L (2005) Making differences: A table of learning. </w:t>
      </w:r>
      <w:r w:rsidRPr="001C7D14">
        <w:rPr>
          <w:i/>
          <w:iCs/>
          <w:lang w:val="en-CA" w:eastAsia="en-US"/>
        </w:rPr>
        <w:t xml:space="preserve">Change </w:t>
      </w:r>
      <w:r w:rsidRPr="001C7D14">
        <w:rPr>
          <w:lang w:val="en-CA" w:eastAsia="en-US"/>
        </w:rPr>
        <w:t>34(6)</w:t>
      </w:r>
      <w:r w:rsidR="006A4B72" w:rsidRPr="001C7D14">
        <w:rPr>
          <w:lang w:val="en-CA" w:eastAsia="en-US"/>
        </w:rPr>
        <w:t>:</w:t>
      </w:r>
      <w:r w:rsidRPr="001C7D14">
        <w:rPr>
          <w:lang w:val="en-CA" w:eastAsia="en-US"/>
        </w:rPr>
        <w:t xml:space="preserve"> 36-44. </w:t>
      </w:r>
    </w:p>
    <w:p w14:paraId="0B39DC57" w14:textId="0A333BC3" w:rsidR="00942DEE" w:rsidRPr="001C7D14" w:rsidRDefault="00942DEE" w:rsidP="00F829E8">
      <w:pPr>
        <w:rPr>
          <w:lang w:val="en-CA" w:eastAsia="en-US"/>
        </w:rPr>
      </w:pPr>
      <w:r w:rsidRPr="001C7D14">
        <w:rPr>
          <w:lang w:val="en-CA" w:eastAsia="en-US"/>
        </w:rPr>
        <w:t xml:space="preserve">Senior C, Reddy P </w:t>
      </w:r>
      <w:r w:rsidR="00656DDA" w:rsidRPr="001C7D14">
        <w:rPr>
          <w:lang w:val="en-CA" w:eastAsia="en-US"/>
        </w:rPr>
        <w:t>and</w:t>
      </w:r>
      <w:r w:rsidRPr="001C7D14">
        <w:rPr>
          <w:lang w:val="en-CA" w:eastAsia="en-US"/>
        </w:rPr>
        <w:t xml:space="preserve"> Senior R (2014) The relationship between student employability and student engagement: Working toward a more unified theory. </w:t>
      </w:r>
      <w:r w:rsidRPr="001C7D14">
        <w:rPr>
          <w:i/>
          <w:iCs/>
          <w:lang w:val="en-CA" w:eastAsia="en-US"/>
        </w:rPr>
        <w:t xml:space="preserve">Frontiers in Psychology </w:t>
      </w:r>
      <w:r w:rsidRPr="001C7D14">
        <w:rPr>
          <w:lang w:val="en-CA" w:eastAsia="en-US"/>
        </w:rPr>
        <w:t>5(238)</w:t>
      </w:r>
      <w:r w:rsidR="006A4B72" w:rsidRPr="001C7D14">
        <w:rPr>
          <w:lang w:val="en-CA" w:eastAsia="en-US"/>
        </w:rPr>
        <w:t>:</w:t>
      </w:r>
      <w:r w:rsidRPr="001C7D14">
        <w:rPr>
          <w:lang w:val="en-CA" w:eastAsia="en-US"/>
        </w:rPr>
        <w:t xml:space="preserve"> 1-3. </w:t>
      </w:r>
    </w:p>
    <w:p w14:paraId="45C69F44" w14:textId="0CCD9C79" w:rsidR="00942DEE" w:rsidRPr="001C7D14" w:rsidRDefault="00942DEE" w:rsidP="00F829E8">
      <w:pPr>
        <w:rPr>
          <w:lang w:val="en-CA" w:eastAsia="en-US"/>
        </w:rPr>
      </w:pPr>
      <w:r w:rsidRPr="001C7D14">
        <w:rPr>
          <w:lang w:val="en-CA" w:eastAsia="en-US"/>
        </w:rPr>
        <w:t xml:space="preserve">Skinner E, </w:t>
      </w:r>
      <w:proofErr w:type="spellStart"/>
      <w:r w:rsidRPr="001C7D14">
        <w:rPr>
          <w:lang w:val="en-CA" w:eastAsia="en-US"/>
        </w:rPr>
        <w:t>Furrer</w:t>
      </w:r>
      <w:proofErr w:type="spellEnd"/>
      <w:r w:rsidRPr="001C7D14">
        <w:rPr>
          <w:lang w:val="en-CA" w:eastAsia="en-US"/>
        </w:rPr>
        <w:t xml:space="preserve"> C, Marchand G </w:t>
      </w:r>
      <w:r w:rsidR="00656DDA" w:rsidRPr="001C7D14">
        <w:rPr>
          <w:lang w:val="en-CA" w:eastAsia="en-US"/>
        </w:rPr>
        <w:t>and</w:t>
      </w:r>
      <w:r w:rsidRPr="001C7D14">
        <w:rPr>
          <w:lang w:val="en-CA" w:eastAsia="en-US"/>
        </w:rPr>
        <w:t xml:space="preserve"> </w:t>
      </w:r>
      <w:proofErr w:type="spellStart"/>
      <w:r w:rsidRPr="001C7D14">
        <w:rPr>
          <w:lang w:val="en-CA" w:eastAsia="en-US"/>
        </w:rPr>
        <w:t>Kindermann</w:t>
      </w:r>
      <w:proofErr w:type="spellEnd"/>
      <w:r w:rsidRPr="001C7D14">
        <w:rPr>
          <w:lang w:val="en-CA" w:eastAsia="en-US"/>
        </w:rPr>
        <w:t xml:space="preserve"> T (2008) Engagement and disaffection in</w:t>
      </w:r>
      <w:r w:rsidR="00D01494" w:rsidRPr="001C7D14">
        <w:rPr>
          <w:lang w:val="en-CA" w:eastAsia="en-US"/>
        </w:rPr>
        <w:t xml:space="preserve"> </w:t>
      </w:r>
      <w:r w:rsidRPr="001C7D14">
        <w:rPr>
          <w:lang w:val="en-CA" w:eastAsia="en-US"/>
        </w:rPr>
        <w:t xml:space="preserve">the classroom: Part of a larger motivational dynamic? </w:t>
      </w:r>
      <w:r w:rsidRPr="001C7D14">
        <w:rPr>
          <w:i/>
          <w:iCs/>
          <w:lang w:val="en-CA" w:eastAsia="en-US"/>
        </w:rPr>
        <w:t xml:space="preserve">Journal of Educational Psychology </w:t>
      </w:r>
      <w:r w:rsidRPr="001C7D14">
        <w:rPr>
          <w:lang w:val="en-CA" w:eastAsia="en-US"/>
        </w:rPr>
        <w:t>100(4)</w:t>
      </w:r>
      <w:r w:rsidR="006A4B72" w:rsidRPr="001C7D14">
        <w:rPr>
          <w:lang w:val="en-CA" w:eastAsia="en-US"/>
        </w:rPr>
        <w:t>:</w:t>
      </w:r>
      <w:r w:rsidRPr="001C7D14">
        <w:rPr>
          <w:lang w:val="en-CA" w:eastAsia="en-US"/>
        </w:rPr>
        <w:t xml:space="preserve"> 765–781.</w:t>
      </w:r>
    </w:p>
    <w:p w14:paraId="6FD8CD3D" w14:textId="46F87405" w:rsidR="00942DEE" w:rsidRPr="001C7D14" w:rsidRDefault="00942DEE" w:rsidP="00F829E8">
      <w:pPr>
        <w:rPr>
          <w:lang w:val="en-CA" w:eastAsia="en-US"/>
        </w:rPr>
      </w:pPr>
      <w:r w:rsidRPr="001C7D14">
        <w:rPr>
          <w:lang w:val="en-CA" w:eastAsia="en-US"/>
        </w:rPr>
        <w:t xml:space="preserve">Succi C </w:t>
      </w:r>
      <w:r w:rsidR="00656DDA" w:rsidRPr="001C7D14">
        <w:rPr>
          <w:lang w:val="en-CA" w:eastAsia="en-US"/>
        </w:rPr>
        <w:t>and</w:t>
      </w:r>
      <w:r w:rsidRPr="001C7D14">
        <w:rPr>
          <w:lang w:val="en-CA" w:eastAsia="en-US"/>
        </w:rPr>
        <w:t xml:space="preserve"> </w:t>
      </w:r>
      <w:proofErr w:type="spellStart"/>
      <w:r w:rsidRPr="001C7D14">
        <w:rPr>
          <w:lang w:val="en-CA" w:eastAsia="en-US"/>
        </w:rPr>
        <w:t>Canovi</w:t>
      </w:r>
      <w:proofErr w:type="spellEnd"/>
      <w:r w:rsidRPr="001C7D14">
        <w:rPr>
          <w:lang w:val="en-CA" w:eastAsia="en-US"/>
        </w:rPr>
        <w:t xml:space="preserve"> M (2019) Soft skills to enhance graduate employability: Comparing students and</w:t>
      </w:r>
      <w:r w:rsidR="00A928B1" w:rsidRPr="001C7D14">
        <w:rPr>
          <w:lang w:val="en-CA" w:eastAsia="en-US"/>
        </w:rPr>
        <w:t xml:space="preserve"> </w:t>
      </w:r>
      <w:r w:rsidRPr="001C7D14">
        <w:rPr>
          <w:lang w:val="en-CA" w:eastAsia="en-US"/>
        </w:rPr>
        <w:t xml:space="preserve">employers’ perceptions. </w:t>
      </w:r>
      <w:r w:rsidRPr="001C7D14">
        <w:rPr>
          <w:i/>
          <w:iCs/>
          <w:lang w:val="en-CA" w:eastAsia="en-US"/>
        </w:rPr>
        <w:t>Studies in Higher Education</w:t>
      </w:r>
      <w:r w:rsidRPr="001C7D14">
        <w:rPr>
          <w:lang w:val="en-CA" w:eastAsia="en-US"/>
        </w:rPr>
        <w:t xml:space="preserve"> </w:t>
      </w:r>
      <w:r w:rsidR="00A928B1" w:rsidRPr="001C7D14">
        <w:rPr>
          <w:lang w:val="en-CA" w:eastAsia="en-US"/>
        </w:rPr>
        <w:tab/>
      </w:r>
      <w:r w:rsidRPr="001C7D14">
        <w:rPr>
          <w:lang w:val="en-CA" w:eastAsia="en-US"/>
        </w:rPr>
        <w:t>45(9)</w:t>
      </w:r>
      <w:r w:rsidR="006A4B72" w:rsidRPr="001C7D14">
        <w:rPr>
          <w:lang w:val="en-CA" w:eastAsia="en-US"/>
        </w:rPr>
        <w:t>:</w:t>
      </w:r>
      <w:r w:rsidRPr="001C7D14">
        <w:rPr>
          <w:lang w:val="en-CA" w:eastAsia="en-US"/>
        </w:rPr>
        <w:t xml:space="preserve"> 1834-1847. </w:t>
      </w:r>
    </w:p>
    <w:p w14:paraId="6B469FAF" w14:textId="4487C825" w:rsidR="00942DEE" w:rsidRPr="001C7D14" w:rsidRDefault="00942DEE" w:rsidP="00F829E8">
      <w:pPr>
        <w:rPr>
          <w:lang w:val="en-CA" w:eastAsia="en-US"/>
        </w:rPr>
      </w:pPr>
      <w:proofErr w:type="spellStart"/>
      <w:r w:rsidRPr="001C7D14">
        <w:rPr>
          <w:lang w:val="en-CA" w:eastAsia="en-US"/>
        </w:rPr>
        <w:t>Trowler</w:t>
      </w:r>
      <w:proofErr w:type="spellEnd"/>
      <w:r w:rsidRPr="001C7D14">
        <w:rPr>
          <w:lang w:val="en-CA" w:eastAsia="en-US"/>
        </w:rPr>
        <w:t xml:space="preserve"> V (2010) Student engagement literature review. </w:t>
      </w:r>
      <w:r w:rsidRPr="001C7D14">
        <w:rPr>
          <w:i/>
          <w:iCs/>
          <w:lang w:val="en-CA" w:eastAsia="en-US"/>
        </w:rPr>
        <w:t xml:space="preserve">The Higher Education Academy </w:t>
      </w:r>
      <w:r w:rsidRPr="001C7D14">
        <w:rPr>
          <w:lang w:val="en-CA" w:eastAsia="en-US"/>
        </w:rPr>
        <w:t>11(1)</w:t>
      </w:r>
      <w:r w:rsidR="006A4B72" w:rsidRPr="001C7D14">
        <w:rPr>
          <w:lang w:val="en-CA" w:eastAsia="en-US"/>
        </w:rPr>
        <w:t>:</w:t>
      </w:r>
      <w:r w:rsidRPr="001C7D14">
        <w:rPr>
          <w:lang w:val="en-CA" w:eastAsia="en-US"/>
        </w:rPr>
        <w:t xml:space="preserve"> 1-15.</w:t>
      </w:r>
    </w:p>
    <w:p w14:paraId="530E4F0D" w14:textId="5ECE2346" w:rsidR="00CF00C6" w:rsidRPr="001C7D14" w:rsidRDefault="00CF00C6" w:rsidP="00F829E8">
      <w:pPr>
        <w:rPr>
          <w:lang w:val="en-CA" w:eastAsia="en-US"/>
        </w:rPr>
      </w:pPr>
      <w:proofErr w:type="spellStart"/>
      <w:r w:rsidRPr="001C7D14">
        <w:rPr>
          <w:lang w:val="en-CA" w:eastAsia="en-US"/>
        </w:rPr>
        <w:t>Trowler</w:t>
      </w:r>
      <w:proofErr w:type="spellEnd"/>
      <w:r w:rsidRPr="001C7D14">
        <w:rPr>
          <w:lang w:val="en-CA" w:eastAsia="en-US"/>
        </w:rPr>
        <w:t xml:space="preserve"> V (2015) Negotiating contestants and ‘chaotic conceptions’: Engaging ‘non</w:t>
      </w:r>
      <w:r w:rsidR="00A226C1">
        <w:rPr>
          <w:lang w:val="en-CA" w:eastAsia="en-US"/>
        </w:rPr>
        <w:t>-</w:t>
      </w:r>
      <w:r w:rsidRPr="001C7D14">
        <w:rPr>
          <w:lang w:val="en-CA" w:eastAsia="en-US"/>
        </w:rPr>
        <w:t xml:space="preserve">traditional’ students in higher education. </w:t>
      </w:r>
      <w:r w:rsidRPr="001C7D14">
        <w:rPr>
          <w:i/>
          <w:iCs/>
          <w:lang w:val="en-CA" w:eastAsia="en-US"/>
        </w:rPr>
        <w:t>Higher Education Quarterly</w:t>
      </w:r>
      <w:r w:rsidRPr="001C7D14">
        <w:rPr>
          <w:lang w:val="en-CA" w:eastAsia="en-US"/>
        </w:rPr>
        <w:t xml:space="preserve"> 69(3): 295-310.</w:t>
      </w:r>
    </w:p>
    <w:p w14:paraId="16CC0A0E" w14:textId="164DAD0D" w:rsidR="00CF00C6" w:rsidRPr="001C7D14" w:rsidRDefault="00CF00C6" w:rsidP="00F829E8">
      <w:pPr>
        <w:rPr>
          <w:lang w:val="en-CA" w:eastAsia="en-US"/>
        </w:rPr>
      </w:pPr>
      <w:proofErr w:type="spellStart"/>
      <w:r w:rsidRPr="001C7D14">
        <w:rPr>
          <w:lang w:val="en-CA" w:eastAsia="en-US"/>
        </w:rPr>
        <w:t>Trowler</w:t>
      </w:r>
      <w:proofErr w:type="spellEnd"/>
      <w:r w:rsidRPr="001C7D14">
        <w:rPr>
          <w:lang w:val="en-CA" w:eastAsia="en-US"/>
        </w:rPr>
        <w:t xml:space="preserve"> V, Allan RL and Din RR (2019) “To secure a better future”: The affordances and constraints of complex familial and social factors encoded in higher education students’ narratives of</w:t>
      </w:r>
      <w:r w:rsidR="00A928B1" w:rsidRPr="001C7D14">
        <w:rPr>
          <w:lang w:val="en-CA" w:eastAsia="en-US"/>
        </w:rPr>
        <w:t xml:space="preserve"> </w:t>
      </w:r>
      <w:r w:rsidRPr="001C7D14">
        <w:rPr>
          <w:lang w:val="en-CA" w:eastAsia="en-US"/>
        </w:rPr>
        <w:t xml:space="preserve">engagement. </w:t>
      </w:r>
      <w:r w:rsidRPr="001C7D14">
        <w:rPr>
          <w:i/>
          <w:iCs/>
          <w:lang w:val="en-CA" w:eastAsia="en-US"/>
        </w:rPr>
        <w:t>Widening Participation and Lifelong Learning</w:t>
      </w:r>
      <w:r w:rsidRPr="001C7D14">
        <w:rPr>
          <w:lang w:val="en-CA" w:eastAsia="en-US"/>
        </w:rPr>
        <w:t xml:space="preserve"> 21(3): 81-98.</w:t>
      </w:r>
    </w:p>
    <w:p w14:paraId="15477122" w14:textId="0E9D6CB7" w:rsidR="00CF00C6" w:rsidRPr="001C7D14" w:rsidRDefault="00CF00C6" w:rsidP="00F829E8">
      <w:pPr>
        <w:rPr>
          <w:lang w:val="en-CA" w:eastAsia="en-US"/>
        </w:rPr>
      </w:pPr>
      <w:proofErr w:type="spellStart"/>
      <w:r w:rsidRPr="001C7D14">
        <w:rPr>
          <w:lang w:val="en-CA" w:eastAsia="en-US"/>
        </w:rPr>
        <w:t>Trowler</w:t>
      </w:r>
      <w:proofErr w:type="spellEnd"/>
      <w:r w:rsidRPr="001C7D14">
        <w:rPr>
          <w:lang w:val="en-CA" w:eastAsia="en-US"/>
        </w:rPr>
        <w:t xml:space="preserve"> V, Allan RL, Bryk J and Din RR (2021) Pathways to student engagement: Beyond triggers and mechanisms at the engagement interface. </w:t>
      </w:r>
      <w:r w:rsidRPr="001C7D14">
        <w:rPr>
          <w:i/>
          <w:iCs/>
          <w:lang w:val="en-CA" w:eastAsia="en-US"/>
        </w:rPr>
        <w:t>Higher Education</w:t>
      </w:r>
      <w:r w:rsidR="007A4122" w:rsidRPr="001C7D14">
        <w:rPr>
          <w:lang w:val="en-CA" w:eastAsia="en-US"/>
        </w:rPr>
        <w:t xml:space="preserve"> 2021: 1-17.</w:t>
      </w:r>
    </w:p>
    <w:p w14:paraId="0F68E69A" w14:textId="0A33130A" w:rsidR="00942DEE" w:rsidRPr="001C7D14" w:rsidRDefault="00942DEE" w:rsidP="00F829E8">
      <w:pPr>
        <w:rPr>
          <w:lang w:val="en-CA" w:eastAsia="en-US"/>
        </w:rPr>
      </w:pPr>
      <w:r w:rsidRPr="001C7D14">
        <w:rPr>
          <w:lang w:val="en-CA" w:eastAsia="en-US"/>
        </w:rPr>
        <w:lastRenderedPageBreak/>
        <w:t xml:space="preserve">Turnipseed DL </w:t>
      </w:r>
      <w:r w:rsidR="00656DDA" w:rsidRPr="001C7D14">
        <w:rPr>
          <w:lang w:val="en-CA" w:eastAsia="en-US"/>
        </w:rPr>
        <w:t>and</w:t>
      </w:r>
      <w:r w:rsidRPr="001C7D14">
        <w:rPr>
          <w:lang w:val="en-CA" w:eastAsia="en-US"/>
        </w:rPr>
        <w:t xml:space="preserve"> Cohen SR (2015) Academic entitlement and socially aversive</w:t>
      </w:r>
      <w:r w:rsidR="00A226C1">
        <w:rPr>
          <w:lang w:val="en-CA" w:eastAsia="en-US"/>
        </w:rPr>
        <w:t xml:space="preserve"> </w:t>
      </w:r>
      <w:r w:rsidRPr="001C7D14">
        <w:rPr>
          <w:lang w:val="en-CA" w:eastAsia="en-US"/>
        </w:rPr>
        <w:t xml:space="preserve">personalities: Does the Dark Triad predict academic entitlement? </w:t>
      </w:r>
      <w:r w:rsidRPr="001C7D14">
        <w:rPr>
          <w:i/>
          <w:iCs/>
          <w:lang w:val="en-CA" w:eastAsia="en-US"/>
        </w:rPr>
        <w:t xml:space="preserve">Personality and Individual Differences </w:t>
      </w:r>
      <w:r w:rsidRPr="001C7D14">
        <w:rPr>
          <w:lang w:val="en-CA" w:eastAsia="en-US"/>
        </w:rPr>
        <w:t>82</w:t>
      </w:r>
      <w:r w:rsidR="006A4B72" w:rsidRPr="001C7D14">
        <w:rPr>
          <w:lang w:val="en-CA" w:eastAsia="en-US"/>
        </w:rPr>
        <w:t>:</w:t>
      </w:r>
      <w:r w:rsidRPr="001C7D14">
        <w:rPr>
          <w:i/>
          <w:iCs/>
          <w:lang w:val="en-CA" w:eastAsia="en-US"/>
        </w:rPr>
        <w:t xml:space="preserve"> </w:t>
      </w:r>
      <w:r w:rsidRPr="001C7D14">
        <w:rPr>
          <w:lang w:val="en-CA" w:eastAsia="en-US"/>
        </w:rPr>
        <w:t xml:space="preserve">72-75. </w:t>
      </w:r>
    </w:p>
    <w:p w14:paraId="46635652" w14:textId="646E1982" w:rsidR="00942DEE" w:rsidRPr="001C7D14" w:rsidRDefault="00942DEE" w:rsidP="00F829E8">
      <w:pPr>
        <w:rPr>
          <w:lang w:val="en-CA" w:eastAsia="en-US"/>
        </w:rPr>
      </w:pPr>
      <w:r w:rsidRPr="001C7D14">
        <w:rPr>
          <w:lang w:val="en-CA" w:eastAsia="en-US"/>
        </w:rPr>
        <w:t xml:space="preserve">Turnipseed DL </w:t>
      </w:r>
      <w:r w:rsidR="00656DDA" w:rsidRPr="001C7D14">
        <w:rPr>
          <w:lang w:val="en-CA" w:eastAsia="en-US"/>
        </w:rPr>
        <w:t>and</w:t>
      </w:r>
      <w:r w:rsidRPr="001C7D14">
        <w:rPr>
          <w:lang w:val="en-CA" w:eastAsia="en-US"/>
        </w:rPr>
        <w:t xml:space="preserve"> </w:t>
      </w:r>
      <w:proofErr w:type="spellStart"/>
      <w:r w:rsidRPr="001C7D14">
        <w:rPr>
          <w:lang w:val="en-CA" w:eastAsia="en-US"/>
        </w:rPr>
        <w:t>Landay</w:t>
      </w:r>
      <w:proofErr w:type="spellEnd"/>
      <w:r w:rsidRPr="001C7D14">
        <w:rPr>
          <w:lang w:val="en-CA" w:eastAsia="en-US"/>
        </w:rPr>
        <w:t xml:space="preserve"> K (2018) The role of the dark triad in perceptions of academic incivility. </w:t>
      </w:r>
      <w:r w:rsidRPr="001C7D14">
        <w:rPr>
          <w:i/>
          <w:iCs/>
          <w:lang w:val="en-CA" w:eastAsia="en-US"/>
        </w:rPr>
        <w:t xml:space="preserve">Personality and Individual Differences </w:t>
      </w:r>
      <w:r w:rsidRPr="001C7D14">
        <w:rPr>
          <w:lang w:val="en-CA" w:eastAsia="en-US"/>
        </w:rPr>
        <w:t>135</w:t>
      </w:r>
      <w:r w:rsidR="006A4B72" w:rsidRPr="001C7D14">
        <w:rPr>
          <w:lang w:val="en-CA" w:eastAsia="en-US"/>
        </w:rPr>
        <w:t>:</w:t>
      </w:r>
      <w:r w:rsidRPr="001C7D14">
        <w:rPr>
          <w:lang w:val="en-CA" w:eastAsia="en-US"/>
        </w:rPr>
        <w:t xml:space="preserve"> 286-291.</w:t>
      </w:r>
      <w:r w:rsidR="00D01494" w:rsidRPr="001C7D14">
        <w:rPr>
          <w:lang w:val="en-CA" w:eastAsia="en-US"/>
        </w:rPr>
        <w:t xml:space="preserve"> </w:t>
      </w:r>
    </w:p>
    <w:p w14:paraId="6BF3605A" w14:textId="6ED576E0" w:rsidR="00942DEE" w:rsidRPr="001C7D14" w:rsidRDefault="00942DEE" w:rsidP="00F829E8">
      <w:pPr>
        <w:rPr>
          <w:lang w:val="en-CA" w:eastAsia="en-US"/>
        </w:rPr>
      </w:pPr>
      <w:r w:rsidRPr="001C7D14">
        <w:rPr>
          <w:lang w:val="en-CA" w:eastAsia="en-US"/>
        </w:rPr>
        <w:t xml:space="preserve">Tymon A (2013) The student perspective on employability. </w:t>
      </w:r>
      <w:r w:rsidRPr="001C7D14">
        <w:rPr>
          <w:i/>
          <w:iCs/>
          <w:lang w:val="en-CA" w:eastAsia="en-US"/>
        </w:rPr>
        <w:t>Studies in Higher Education</w:t>
      </w:r>
      <w:r w:rsidR="00D01494" w:rsidRPr="001C7D14">
        <w:rPr>
          <w:i/>
          <w:iCs/>
          <w:lang w:val="en-CA" w:eastAsia="en-US"/>
        </w:rPr>
        <w:t xml:space="preserve"> </w:t>
      </w:r>
      <w:r w:rsidRPr="001C7D14">
        <w:rPr>
          <w:lang w:val="en-CA" w:eastAsia="en-US"/>
        </w:rPr>
        <w:t>38(6)</w:t>
      </w:r>
      <w:r w:rsidR="006A4B72" w:rsidRPr="001C7D14">
        <w:rPr>
          <w:lang w:val="en-CA" w:eastAsia="en-US"/>
        </w:rPr>
        <w:t>:</w:t>
      </w:r>
      <w:r w:rsidRPr="001C7D14">
        <w:rPr>
          <w:lang w:val="en-CA" w:eastAsia="en-US"/>
        </w:rPr>
        <w:t xml:space="preserve"> 841-856. </w:t>
      </w:r>
    </w:p>
    <w:p w14:paraId="72C4515B" w14:textId="0E3E69BC" w:rsidR="00942DEE" w:rsidRPr="001C7D14" w:rsidRDefault="00942DEE" w:rsidP="00F829E8">
      <w:pPr>
        <w:rPr>
          <w:lang w:val="en-CA" w:eastAsia="en-US"/>
        </w:rPr>
      </w:pPr>
      <w:proofErr w:type="spellStart"/>
      <w:r w:rsidRPr="001C7D14">
        <w:rPr>
          <w:lang w:val="en-CA" w:eastAsia="en-US"/>
        </w:rPr>
        <w:t>Vanhercke</w:t>
      </w:r>
      <w:proofErr w:type="spellEnd"/>
      <w:r w:rsidRPr="001C7D14">
        <w:rPr>
          <w:lang w:val="en-CA" w:eastAsia="en-US"/>
        </w:rPr>
        <w:t xml:space="preserve"> D, De </w:t>
      </w:r>
      <w:proofErr w:type="spellStart"/>
      <w:r w:rsidRPr="001C7D14">
        <w:rPr>
          <w:lang w:val="en-CA" w:eastAsia="en-US"/>
        </w:rPr>
        <w:t>Cuyper</w:t>
      </w:r>
      <w:proofErr w:type="spellEnd"/>
      <w:r w:rsidRPr="001C7D14">
        <w:rPr>
          <w:lang w:val="en-CA" w:eastAsia="en-US"/>
        </w:rPr>
        <w:t xml:space="preserve"> N </w:t>
      </w:r>
      <w:r w:rsidR="00656DDA" w:rsidRPr="001C7D14">
        <w:rPr>
          <w:lang w:val="en-CA" w:eastAsia="en-US"/>
        </w:rPr>
        <w:t>and</w:t>
      </w:r>
      <w:r w:rsidRPr="001C7D14">
        <w:rPr>
          <w:lang w:val="en-CA" w:eastAsia="en-US"/>
        </w:rPr>
        <w:t xml:space="preserve"> </w:t>
      </w:r>
      <w:proofErr w:type="spellStart"/>
      <w:r w:rsidRPr="001C7D14">
        <w:rPr>
          <w:lang w:val="en-CA" w:eastAsia="en-US"/>
        </w:rPr>
        <w:t>Peeters</w:t>
      </w:r>
      <w:proofErr w:type="spellEnd"/>
      <w:r w:rsidRPr="001C7D14">
        <w:rPr>
          <w:lang w:val="en-CA" w:eastAsia="en-US"/>
        </w:rPr>
        <w:t xml:space="preserve"> E (2014) Defining perceived employability: A </w:t>
      </w:r>
      <w:r w:rsidR="00D01494" w:rsidRPr="001C7D14">
        <w:rPr>
          <w:lang w:val="en-CA" w:eastAsia="en-US"/>
        </w:rPr>
        <w:t>p</w:t>
      </w:r>
      <w:r w:rsidRPr="001C7D14">
        <w:rPr>
          <w:lang w:val="en-CA" w:eastAsia="en-US"/>
        </w:rPr>
        <w:t xml:space="preserve">sychological approach. </w:t>
      </w:r>
      <w:r w:rsidRPr="001C7D14">
        <w:rPr>
          <w:i/>
          <w:iCs/>
          <w:lang w:val="en-CA" w:eastAsia="en-US"/>
        </w:rPr>
        <w:t xml:space="preserve">Personnel Review </w:t>
      </w:r>
      <w:r w:rsidRPr="001C7D14">
        <w:rPr>
          <w:lang w:val="en-CA" w:eastAsia="en-US"/>
        </w:rPr>
        <w:t>43(4)</w:t>
      </w:r>
      <w:r w:rsidR="006A4B72" w:rsidRPr="001C7D14">
        <w:rPr>
          <w:lang w:val="en-CA" w:eastAsia="en-US"/>
        </w:rPr>
        <w:t>:</w:t>
      </w:r>
      <w:r w:rsidRPr="001C7D14">
        <w:rPr>
          <w:lang w:val="en-CA" w:eastAsia="en-US"/>
        </w:rPr>
        <w:t xml:space="preserve"> 592-605. </w:t>
      </w:r>
    </w:p>
    <w:p w14:paraId="70720937" w14:textId="0B6B1C9A" w:rsidR="00942DEE" w:rsidRPr="001C7D14" w:rsidRDefault="00942DEE" w:rsidP="00F829E8">
      <w:pPr>
        <w:rPr>
          <w:lang w:val="en-CA" w:eastAsia="en-US"/>
        </w:rPr>
      </w:pPr>
      <w:r w:rsidRPr="001C7D14">
        <w:rPr>
          <w:lang w:val="en-CA" w:eastAsia="en-US"/>
        </w:rPr>
        <w:t xml:space="preserve">Vedel A </w:t>
      </w:r>
      <w:r w:rsidR="00656DDA" w:rsidRPr="001C7D14">
        <w:rPr>
          <w:lang w:val="en-CA" w:eastAsia="en-US"/>
        </w:rPr>
        <w:t>and</w:t>
      </w:r>
      <w:r w:rsidRPr="001C7D14">
        <w:rPr>
          <w:lang w:val="en-CA" w:eastAsia="en-US"/>
        </w:rPr>
        <w:t xml:space="preserve"> Thomsen DK (2017) The Dark Triad across academic majors. </w:t>
      </w:r>
      <w:r w:rsidRPr="001C7D14">
        <w:rPr>
          <w:i/>
          <w:iCs/>
          <w:lang w:val="en-CA" w:eastAsia="en-US"/>
        </w:rPr>
        <w:t xml:space="preserve">Personality and Individual Differences </w:t>
      </w:r>
      <w:r w:rsidRPr="001C7D14">
        <w:rPr>
          <w:lang w:val="en-CA" w:eastAsia="en-US"/>
        </w:rPr>
        <w:t>116</w:t>
      </w:r>
      <w:r w:rsidR="006A4B72" w:rsidRPr="001C7D14">
        <w:rPr>
          <w:lang w:val="en-CA" w:eastAsia="en-US"/>
        </w:rPr>
        <w:t>:</w:t>
      </w:r>
      <w:r w:rsidRPr="001C7D14">
        <w:rPr>
          <w:lang w:val="en-CA" w:eastAsia="en-US"/>
        </w:rPr>
        <w:t xml:space="preserve"> 86-91. </w:t>
      </w:r>
    </w:p>
    <w:p w14:paraId="15512A80" w14:textId="7A8BE4A1" w:rsidR="00756E9D" w:rsidRPr="001C7D14" w:rsidRDefault="00756E9D" w:rsidP="00F829E8">
      <w:pPr>
        <w:rPr>
          <w:lang w:val="en-CA" w:eastAsia="en-US"/>
        </w:rPr>
      </w:pPr>
      <w:proofErr w:type="spellStart"/>
      <w:r w:rsidRPr="001C7D14">
        <w:rPr>
          <w:lang w:val="en-CA" w:eastAsia="en-US"/>
        </w:rPr>
        <w:t>Veríssimo</w:t>
      </w:r>
      <w:proofErr w:type="spellEnd"/>
      <w:r w:rsidRPr="001C7D14">
        <w:rPr>
          <w:lang w:val="en-CA" w:eastAsia="en-US"/>
        </w:rPr>
        <w:t xml:space="preserve"> AC, </w:t>
      </w:r>
      <w:proofErr w:type="spellStart"/>
      <w:r w:rsidRPr="001C7D14">
        <w:rPr>
          <w:lang w:val="en-CA" w:eastAsia="en-US"/>
        </w:rPr>
        <w:t>Conrado</w:t>
      </w:r>
      <w:proofErr w:type="spellEnd"/>
      <w:r w:rsidRPr="001C7D14">
        <w:rPr>
          <w:lang w:val="en-CA" w:eastAsia="en-US"/>
        </w:rPr>
        <w:t xml:space="preserve"> GAM, Barbosa J, Gomes SF, </w:t>
      </w:r>
      <w:proofErr w:type="spellStart"/>
      <w:r w:rsidRPr="001C7D14">
        <w:rPr>
          <w:lang w:val="en-CA" w:eastAsia="en-US"/>
        </w:rPr>
        <w:t>Severo</w:t>
      </w:r>
      <w:proofErr w:type="spellEnd"/>
      <w:r w:rsidRPr="001C7D14">
        <w:rPr>
          <w:lang w:val="en-CA" w:eastAsia="en-US"/>
        </w:rPr>
        <w:t xml:space="preserve"> M, Oliveira P and Ribeiro L (2022) Machiavellian medical students report more academic misconduct: </w:t>
      </w:r>
      <w:r w:rsidR="0024778F" w:rsidRPr="001C7D14">
        <w:rPr>
          <w:lang w:val="en-CA" w:eastAsia="en-US"/>
        </w:rPr>
        <w:t xml:space="preserve">A cocktail fuelled by psychological and contextual factors. </w:t>
      </w:r>
      <w:r w:rsidR="0024778F" w:rsidRPr="001C7D14">
        <w:rPr>
          <w:i/>
          <w:iCs/>
          <w:lang w:val="en-CA" w:eastAsia="en-US"/>
        </w:rPr>
        <w:t xml:space="preserve">Psychology Research and Behavior Management </w:t>
      </w:r>
      <w:r w:rsidR="0024778F" w:rsidRPr="001C7D14">
        <w:rPr>
          <w:lang w:val="en-CA" w:eastAsia="en-US"/>
        </w:rPr>
        <w:t>15: 2097-2105.</w:t>
      </w:r>
    </w:p>
    <w:p w14:paraId="5CFEC9E0" w14:textId="63CEF091" w:rsidR="00756E9D" w:rsidRPr="001C7D14" w:rsidRDefault="00942DEE" w:rsidP="00F829E8">
      <w:pPr>
        <w:rPr>
          <w:lang w:val="en-CA" w:eastAsia="en-US"/>
        </w:rPr>
      </w:pPr>
      <w:r w:rsidRPr="001C7D14">
        <w:rPr>
          <w:lang w:val="en-CA" w:eastAsia="en-US"/>
        </w:rPr>
        <w:t xml:space="preserve">Villar E </w:t>
      </w:r>
      <w:r w:rsidR="00656DDA" w:rsidRPr="001C7D14">
        <w:rPr>
          <w:lang w:val="en-CA" w:eastAsia="en-US"/>
        </w:rPr>
        <w:t>and</w:t>
      </w:r>
      <w:r w:rsidRPr="001C7D14">
        <w:rPr>
          <w:lang w:val="en-CA" w:eastAsia="en-US"/>
        </w:rPr>
        <w:t xml:space="preserve"> </w:t>
      </w:r>
      <w:proofErr w:type="spellStart"/>
      <w:r w:rsidRPr="001C7D14">
        <w:rPr>
          <w:lang w:val="en-CA" w:eastAsia="en-US"/>
        </w:rPr>
        <w:t>Albertin</w:t>
      </w:r>
      <w:proofErr w:type="spellEnd"/>
      <w:r w:rsidRPr="001C7D14">
        <w:rPr>
          <w:lang w:val="en-CA" w:eastAsia="en-US"/>
        </w:rPr>
        <w:t xml:space="preserve"> P (2010) ‘It is who knows you’. The positions of university </w:t>
      </w:r>
      <w:r w:rsidR="00A928B1" w:rsidRPr="001C7D14">
        <w:rPr>
          <w:lang w:val="en-CA" w:eastAsia="en-US"/>
        </w:rPr>
        <w:tab/>
      </w:r>
      <w:r w:rsidRPr="001C7D14">
        <w:rPr>
          <w:lang w:val="en-CA" w:eastAsia="en-US"/>
        </w:rPr>
        <w:t>students</w:t>
      </w:r>
      <w:r w:rsidR="00D01494" w:rsidRPr="001C7D14">
        <w:rPr>
          <w:lang w:val="en-CA" w:eastAsia="en-US"/>
        </w:rPr>
        <w:t xml:space="preserve"> </w:t>
      </w:r>
      <w:r w:rsidRPr="001C7D14">
        <w:rPr>
          <w:lang w:val="en-CA" w:eastAsia="en-US"/>
        </w:rPr>
        <w:t>regarding</w:t>
      </w:r>
      <w:r w:rsidR="00A928B1" w:rsidRPr="001C7D14">
        <w:rPr>
          <w:lang w:val="en-CA" w:eastAsia="en-US"/>
        </w:rPr>
        <w:t xml:space="preserve"> </w:t>
      </w:r>
      <w:r w:rsidRPr="001C7D14">
        <w:rPr>
          <w:lang w:val="en-CA" w:eastAsia="en-US"/>
        </w:rPr>
        <w:t xml:space="preserve">intentional investments in social capital. </w:t>
      </w:r>
      <w:r w:rsidRPr="001C7D14">
        <w:rPr>
          <w:i/>
          <w:iCs/>
          <w:lang w:val="en-CA" w:eastAsia="en-US"/>
        </w:rPr>
        <w:t xml:space="preserve">Studies in Higher Education </w:t>
      </w:r>
      <w:r w:rsidRPr="001C7D14">
        <w:rPr>
          <w:lang w:val="en-CA" w:eastAsia="en-US"/>
        </w:rPr>
        <w:t>35(2)</w:t>
      </w:r>
      <w:r w:rsidR="006A4B72" w:rsidRPr="001C7D14">
        <w:rPr>
          <w:lang w:val="en-CA" w:eastAsia="en-US"/>
        </w:rPr>
        <w:t>:</w:t>
      </w:r>
      <w:r w:rsidRPr="001C7D14">
        <w:rPr>
          <w:lang w:val="en-CA" w:eastAsia="en-US"/>
        </w:rPr>
        <w:t xml:space="preserve"> 137-</w:t>
      </w:r>
      <w:r w:rsidR="0024778F" w:rsidRPr="001C7D14">
        <w:rPr>
          <w:lang w:val="en-CA" w:eastAsia="en-US"/>
        </w:rPr>
        <w:t>1</w:t>
      </w:r>
      <w:r w:rsidRPr="001C7D14">
        <w:rPr>
          <w:lang w:val="en-CA" w:eastAsia="en-US"/>
        </w:rPr>
        <w:t xml:space="preserve">54. </w:t>
      </w:r>
    </w:p>
    <w:p w14:paraId="4889C6B4" w14:textId="3CE00FE8" w:rsidR="00942DEE" w:rsidRPr="001C7D14" w:rsidRDefault="00942DEE" w:rsidP="00F829E8">
      <w:pPr>
        <w:rPr>
          <w:lang w:val="en-CA" w:eastAsia="en-US"/>
        </w:rPr>
      </w:pPr>
      <w:r w:rsidRPr="001C7D14">
        <w:rPr>
          <w:lang w:val="en-CA" w:eastAsia="en-US"/>
        </w:rPr>
        <w:t xml:space="preserve">Yorke M </w:t>
      </w:r>
      <w:r w:rsidR="00656DDA" w:rsidRPr="001C7D14">
        <w:rPr>
          <w:lang w:val="en-CA" w:eastAsia="en-US"/>
        </w:rPr>
        <w:t>and</w:t>
      </w:r>
      <w:r w:rsidRPr="001C7D14">
        <w:rPr>
          <w:lang w:val="en-CA" w:eastAsia="en-US"/>
        </w:rPr>
        <w:t xml:space="preserve"> Knight PT (2004) </w:t>
      </w:r>
      <w:r w:rsidRPr="001C7D14">
        <w:rPr>
          <w:i/>
          <w:iCs/>
          <w:lang w:val="en-CA" w:eastAsia="en-US"/>
        </w:rPr>
        <w:t>Learning and employability: Series 1</w:t>
      </w:r>
      <w:r w:rsidRPr="001C7D14">
        <w:rPr>
          <w:lang w:val="en-CA" w:eastAsia="en-US"/>
        </w:rPr>
        <w:t>. Learning and</w:t>
      </w:r>
      <w:r w:rsidR="00A226C1">
        <w:rPr>
          <w:lang w:val="en-CA" w:eastAsia="en-US"/>
        </w:rPr>
        <w:t xml:space="preserve"> </w:t>
      </w:r>
      <w:r w:rsidRPr="001C7D14">
        <w:rPr>
          <w:lang w:val="en-CA" w:eastAsia="en-US"/>
        </w:rPr>
        <w:t xml:space="preserve">Teaching Support Network. </w:t>
      </w:r>
    </w:p>
    <w:p w14:paraId="6898BB9C" w14:textId="72FC1903" w:rsidR="00942DEE" w:rsidRPr="001C7D14" w:rsidRDefault="00942DEE" w:rsidP="00F829E8">
      <w:pPr>
        <w:rPr>
          <w:lang w:val="en-CA" w:eastAsia="en-US"/>
        </w:rPr>
      </w:pPr>
      <w:proofErr w:type="spellStart"/>
      <w:r w:rsidRPr="001C7D14">
        <w:rPr>
          <w:lang w:val="en-CA" w:eastAsia="en-US"/>
        </w:rPr>
        <w:t>Zajacova</w:t>
      </w:r>
      <w:proofErr w:type="spellEnd"/>
      <w:r w:rsidRPr="001C7D14">
        <w:rPr>
          <w:lang w:val="en-CA" w:eastAsia="en-US"/>
        </w:rPr>
        <w:t xml:space="preserve"> K, Heppner E </w:t>
      </w:r>
      <w:r w:rsidR="00656DDA" w:rsidRPr="001C7D14">
        <w:rPr>
          <w:lang w:val="en-CA" w:eastAsia="en-US"/>
        </w:rPr>
        <w:t>and</w:t>
      </w:r>
      <w:r w:rsidRPr="001C7D14">
        <w:rPr>
          <w:lang w:val="en-CA" w:eastAsia="en-US"/>
        </w:rPr>
        <w:t xml:space="preserve"> Grandison A (2019) Reconciling diverse student and </w:t>
      </w:r>
      <w:r w:rsidR="00A928B1" w:rsidRPr="001C7D14">
        <w:rPr>
          <w:lang w:val="en-CA" w:eastAsia="en-US"/>
        </w:rPr>
        <w:tab/>
      </w:r>
      <w:r w:rsidRPr="001C7D14">
        <w:rPr>
          <w:lang w:val="en-CA" w:eastAsia="en-US"/>
        </w:rPr>
        <w:t>employer voices on employability skills and work-based learning. In</w:t>
      </w:r>
      <w:r w:rsidR="00397F04" w:rsidRPr="001C7D14">
        <w:rPr>
          <w:lang w:val="en-CA" w:eastAsia="en-US"/>
        </w:rPr>
        <w:t>:</w:t>
      </w:r>
      <w:r w:rsidRPr="001C7D14">
        <w:rPr>
          <w:lang w:val="en-CA" w:eastAsia="en-US"/>
        </w:rPr>
        <w:t xml:space="preserve"> </w:t>
      </w:r>
      <w:proofErr w:type="spellStart"/>
      <w:r w:rsidRPr="001C7D14">
        <w:rPr>
          <w:lang w:val="en-CA" w:eastAsia="en-US"/>
        </w:rPr>
        <w:t>Lygo</w:t>
      </w:r>
      <w:proofErr w:type="spellEnd"/>
      <w:r w:rsidRPr="001C7D14">
        <w:rPr>
          <w:lang w:val="en-CA" w:eastAsia="en-US"/>
        </w:rPr>
        <w:t>-Baker</w:t>
      </w:r>
      <w:r w:rsidR="00397F04" w:rsidRPr="001C7D14">
        <w:rPr>
          <w:lang w:val="en-CA" w:eastAsia="en-US"/>
        </w:rPr>
        <w:t xml:space="preserve"> S,</w:t>
      </w:r>
      <w:r w:rsidRPr="001C7D14">
        <w:rPr>
          <w:lang w:val="en-CA" w:eastAsia="en-US"/>
        </w:rPr>
        <w:t xml:space="preserve"> </w:t>
      </w:r>
      <w:proofErr w:type="spellStart"/>
      <w:r w:rsidRPr="001C7D14">
        <w:rPr>
          <w:lang w:val="en-CA" w:eastAsia="en-US"/>
        </w:rPr>
        <w:t>Kinchin</w:t>
      </w:r>
      <w:proofErr w:type="spellEnd"/>
      <w:r w:rsidR="00397F04" w:rsidRPr="001C7D14">
        <w:rPr>
          <w:lang w:val="en-CA" w:eastAsia="en-US"/>
        </w:rPr>
        <w:t xml:space="preserve"> IM</w:t>
      </w:r>
      <w:r w:rsidR="00D01494" w:rsidRPr="001C7D14">
        <w:rPr>
          <w:lang w:val="en-CA" w:eastAsia="en-US"/>
        </w:rPr>
        <w:t xml:space="preserve"> </w:t>
      </w:r>
      <w:r w:rsidR="00656DDA" w:rsidRPr="001C7D14">
        <w:rPr>
          <w:lang w:val="en-CA" w:eastAsia="en-US"/>
        </w:rPr>
        <w:t>and</w:t>
      </w:r>
      <w:r w:rsidRPr="001C7D14">
        <w:rPr>
          <w:lang w:val="en-CA" w:eastAsia="en-US"/>
        </w:rPr>
        <w:t xml:space="preserve"> </w:t>
      </w:r>
      <w:proofErr w:type="spellStart"/>
      <w:r w:rsidRPr="001C7D14">
        <w:rPr>
          <w:lang w:val="en-CA" w:eastAsia="en-US"/>
        </w:rPr>
        <w:t>Winstone</w:t>
      </w:r>
      <w:proofErr w:type="spellEnd"/>
      <w:r w:rsidR="00397F04" w:rsidRPr="001C7D14">
        <w:rPr>
          <w:lang w:val="en-CA" w:eastAsia="en-US"/>
        </w:rPr>
        <w:t xml:space="preserve"> NE</w:t>
      </w:r>
      <w:r w:rsidRPr="001C7D14">
        <w:rPr>
          <w:lang w:val="en-CA" w:eastAsia="en-US"/>
        </w:rPr>
        <w:t xml:space="preserve"> (</w:t>
      </w:r>
      <w:r w:rsidR="00397F04" w:rsidRPr="001C7D14">
        <w:rPr>
          <w:lang w:val="en-CA" w:eastAsia="en-US"/>
        </w:rPr>
        <w:t>e</w:t>
      </w:r>
      <w:r w:rsidRPr="001C7D14">
        <w:rPr>
          <w:lang w:val="en-CA" w:eastAsia="en-US"/>
        </w:rPr>
        <w:t xml:space="preserve">ds) </w:t>
      </w:r>
      <w:r w:rsidRPr="001C7D14">
        <w:rPr>
          <w:i/>
          <w:iCs/>
          <w:lang w:val="en-CA" w:eastAsia="en-US"/>
        </w:rPr>
        <w:t xml:space="preserve">Engaging </w:t>
      </w:r>
      <w:r w:rsidR="00397F04" w:rsidRPr="001C7D14">
        <w:rPr>
          <w:i/>
          <w:iCs/>
          <w:lang w:val="en-CA" w:eastAsia="en-US"/>
        </w:rPr>
        <w:t>S</w:t>
      </w:r>
      <w:r w:rsidRPr="001C7D14">
        <w:rPr>
          <w:i/>
          <w:iCs/>
          <w:lang w:val="en-CA" w:eastAsia="en-US"/>
        </w:rPr>
        <w:t xml:space="preserve">tudent </w:t>
      </w:r>
      <w:r w:rsidR="00397F04" w:rsidRPr="001C7D14">
        <w:rPr>
          <w:i/>
          <w:iCs/>
          <w:lang w:val="en-CA" w:eastAsia="en-US"/>
        </w:rPr>
        <w:t>V</w:t>
      </w:r>
      <w:r w:rsidRPr="001C7D14">
        <w:rPr>
          <w:i/>
          <w:iCs/>
          <w:lang w:val="en-CA" w:eastAsia="en-US"/>
        </w:rPr>
        <w:t xml:space="preserve">oices in </w:t>
      </w:r>
      <w:r w:rsidR="00397F04" w:rsidRPr="001C7D14">
        <w:rPr>
          <w:i/>
          <w:iCs/>
          <w:lang w:val="en-CA" w:eastAsia="en-US"/>
        </w:rPr>
        <w:t>H</w:t>
      </w:r>
      <w:r w:rsidRPr="001C7D14">
        <w:rPr>
          <w:i/>
          <w:iCs/>
          <w:lang w:val="en-CA" w:eastAsia="en-US"/>
        </w:rPr>
        <w:t xml:space="preserve">igher </w:t>
      </w:r>
      <w:r w:rsidR="00397F04" w:rsidRPr="001C7D14">
        <w:rPr>
          <w:i/>
          <w:iCs/>
          <w:lang w:val="en-CA" w:eastAsia="en-US"/>
        </w:rPr>
        <w:t>E</w:t>
      </w:r>
      <w:r w:rsidRPr="001C7D14">
        <w:rPr>
          <w:i/>
          <w:iCs/>
          <w:lang w:val="en-CA" w:eastAsia="en-US"/>
        </w:rPr>
        <w:t>ducation</w:t>
      </w:r>
      <w:r w:rsidR="00397F04" w:rsidRPr="001C7D14">
        <w:rPr>
          <w:i/>
          <w:iCs/>
          <w:lang w:val="en-CA" w:eastAsia="en-US"/>
        </w:rPr>
        <w:t xml:space="preserve">. </w:t>
      </w:r>
      <w:r w:rsidR="00397F04" w:rsidRPr="001C7D14">
        <w:rPr>
          <w:lang w:val="en-CA" w:eastAsia="en-US"/>
        </w:rPr>
        <w:t>Palgrave,</w:t>
      </w:r>
      <w:r w:rsidRPr="001C7D14">
        <w:rPr>
          <w:lang w:val="en-CA" w:eastAsia="en-US"/>
        </w:rPr>
        <w:t xml:space="preserve"> pp. 209-224. </w:t>
      </w:r>
    </w:p>
    <w:p w14:paraId="46622FCE" w14:textId="4C58751C" w:rsidR="00942DEE" w:rsidRPr="001C7D14" w:rsidRDefault="00942DEE" w:rsidP="00F829E8">
      <w:pPr>
        <w:rPr>
          <w:lang w:val="en-CA" w:eastAsia="en-US"/>
        </w:rPr>
      </w:pPr>
      <w:proofErr w:type="spellStart"/>
      <w:r w:rsidRPr="001C7D14">
        <w:rPr>
          <w:lang w:val="en-CA" w:eastAsia="en-US"/>
        </w:rPr>
        <w:t>Zepke</w:t>
      </w:r>
      <w:proofErr w:type="spellEnd"/>
      <w:r w:rsidRPr="001C7D14">
        <w:rPr>
          <w:lang w:val="en-CA" w:eastAsia="en-US"/>
        </w:rPr>
        <w:t xml:space="preserve"> N </w:t>
      </w:r>
      <w:r w:rsidR="00656DDA" w:rsidRPr="001C7D14">
        <w:rPr>
          <w:lang w:val="en-CA" w:eastAsia="en-US"/>
        </w:rPr>
        <w:t>and</w:t>
      </w:r>
      <w:r w:rsidRPr="001C7D14">
        <w:rPr>
          <w:lang w:val="en-CA" w:eastAsia="en-US"/>
        </w:rPr>
        <w:t xml:space="preserve"> Leach L (2010) Improving student engagement: Ten proposals for action. </w:t>
      </w:r>
      <w:r w:rsidRPr="001C7D14">
        <w:rPr>
          <w:i/>
          <w:iCs/>
          <w:lang w:val="en-CA" w:eastAsia="en-US"/>
        </w:rPr>
        <w:t>Active</w:t>
      </w:r>
      <w:r w:rsidR="00A928B1" w:rsidRPr="001C7D14">
        <w:rPr>
          <w:i/>
          <w:iCs/>
          <w:lang w:val="en-CA" w:eastAsia="en-US"/>
        </w:rPr>
        <w:t xml:space="preserve"> </w:t>
      </w:r>
      <w:r w:rsidRPr="001C7D14">
        <w:rPr>
          <w:i/>
          <w:iCs/>
          <w:lang w:val="en-CA" w:eastAsia="en-US"/>
        </w:rPr>
        <w:t xml:space="preserve">Learning in Higher Education </w:t>
      </w:r>
      <w:r w:rsidRPr="001C7D14">
        <w:rPr>
          <w:lang w:val="en-CA" w:eastAsia="en-US"/>
        </w:rPr>
        <w:t>11(3)</w:t>
      </w:r>
      <w:r w:rsidR="00397F04" w:rsidRPr="001C7D14">
        <w:rPr>
          <w:lang w:val="en-CA" w:eastAsia="en-US"/>
        </w:rPr>
        <w:t>:</w:t>
      </w:r>
      <w:r w:rsidRPr="001C7D14">
        <w:rPr>
          <w:lang w:val="en-CA" w:eastAsia="en-US"/>
        </w:rPr>
        <w:t xml:space="preserve"> 167-177. </w:t>
      </w:r>
    </w:p>
    <w:p w14:paraId="67348F08" w14:textId="78919819" w:rsidR="00A928B1" w:rsidRPr="001C7D14" w:rsidRDefault="00942DEE" w:rsidP="00F829E8">
      <w:pPr>
        <w:rPr>
          <w:lang w:val="en-CA" w:eastAsia="en-US"/>
        </w:rPr>
      </w:pPr>
      <w:r w:rsidRPr="001C7D14">
        <w:rPr>
          <w:lang w:val="en-CA" w:eastAsia="en-US"/>
        </w:rPr>
        <w:lastRenderedPageBreak/>
        <w:t xml:space="preserve">Zhang LF </w:t>
      </w:r>
      <w:r w:rsidR="00656DDA" w:rsidRPr="001C7D14">
        <w:rPr>
          <w:lang w:val="en-CA" w:eastAsia="en-US"/>
        </w:rPr>
        <w:t>and</w:t>
      </w:r>
      <w:r w:rsidRPr="001C7D14">
        <w:rPr>
          <w:lang w:val="en-CA" w:eastAsia="en-US"/>
        </w:rPr>
        <w:t xml:space="preserve"> Huang JF (2001) Thinking styles and the Five-Factor model of personality. </w:t>
      </w:r>
      <w:r w:rsidRPr="001C7D14">
        <w:rPr>
          <w:i/>
          <w:iCs/>
          <w:lang w:val="en-CA" w:eastAsia="en-US"/>
        </w:rPr>
        <w:t xml:space="preserve">European Journal of Personality </w:t>
      </w:r>
      <w:r w:rsidRPr="001C7D14">
        <w:rPr>
          <w:lang w:val="en-CA" w:eastAsia="en-US"/>
        </w:rPr>
        <w:t>15(6)</w:t>
      </w:r>
      <w:r w:rsidR="00397F04" w:rsidRPr="001C7D14">
        <w:rPr>
          <w:lang w:val="en-CA" w:eastAsia="en-US"/>
        </w:rPr>
        <w:t>:</w:t>
      </w:r>
      <w:r w:rsidRPr="001C7D14">
        <w:rPr>
          <w:lang w:val="en-CA" w:eastAsia="en-US"/>
        </w:rPr>
        <w:t xml:space="preserve"> 465–476. </w:t>
      </w:r>
      <w:r w:rsidR="00A928B1" w:rsidRPr="001C7D14">
        <w:rPr>
          <w:lang w:val="en-CA" w:eastAsia="en-US"/>
        </w:rPr>
        <w:br w:type="page"/>
      </w:r>
    </w:p>
    <w:p w14:paraId="51052ACD" w14:textId="756E2546" w:rsidR="00F829E8" w:rsidRPr="0089707D" w:rsidRDefault="00F829E8" w:rsidP="00F829E8">
      <w:pPr>
        <w:spacing w:line="240" w:lineRule="auto"/>
        <w:rPr>
          <w:b/>
          <w:bCs/>
          <w:i/>
          <w:iCs/>
        </w:rPr>
      </w:pPr>
      <w:r w:rsidRPr="0089707D">
        <w:rPr>
          <w:b/>
          <w:bCs/>
        </w:rPr>
        <w:lastRenderedPageBreak/>
        <w:t>Table 1</w:t>
      </w:r>
      <w:r w:rsidR="0089707D" w:rsidRPr="0089707D">
        <w:rPr>
          <w:b/>
          <w:bCs/>
        </w:rPr>
        <w:t xml:space="preserve">. </w:t>
      </w:r>
      <w:r w:rsidRPr="0089707D">
        <w:rPr>
          <w:b/>
          <w:bCs/>
        </w:rPr>
        <w:t xml:space="preserve">Correlations </w:t>
      </w:r>
      <w:r w:rsidR="0089707D">
        <w:rPr>
          <w:b/>
          <w:bCs/>
        </w:rPr>
        <w:t>b</w:t>
      </w:r>
      <w:r w:rsidRPr="0089707D">
        <w:rPr>
          <w:b/>
          <w:bCs/>
        </w:rPr>
        <w:t xml:space="preserve">etween Dark Triad </w:t>
      </w:r>
      <w:r w:rsidR="0089707D">
        <w:rPr>
          <w:b/>
          <w:bCs/>
        </w:rPr>
        <w:t>t</w:t>
      </w:r>
      <w:r w:rsidRPr="0089707D">
        <w:rPr>
          <w:b/>
          <w:bCs/>
        </w:rPr>
        <w:t>raits</w:t>
      </w:r>
      <w:r w:rsidR="0089707D" w:rsidRPr="0089707D">
        <w:rPr>
          <w:b/>
          <w:bCs/>
        </w:rPr>
        <w:t>, types of engagement, understanding of employability, and attitudes towards employability</w:t>
      </w:r>
      <w:bookmarkStart w:id="7" w:name="_Hlk49971839"/>
      <w:r w:rsidR="0089707D" w:rsidRPr="0089707D">
        <w:rPr>
          <w:b/>
          <w:bCs/>
        </w:rPr>
        <w:t>.</w:t>
      </w:r>
    </w:p>
    <w:tbl>
      <w:tblPr>
        <w:tblStyle w:val="TableGrid11"/>
        <w:tblW w:w="51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787"/>
        <w:gridCol w:w="788"/>
        <w:gridCol w:w="786"/>
        <w:gridCol w:w="788"/>
        <w:gridCol w:w="786"/>
        <w:gridCol w:w="788"/>
        <w:gridCol w:w="786"/>
        <w:gridCol w:w="788"/>
        <w:gridCol w:w="786"/>
      </w:tblGrid>
      <w:tr w:rsidR="00F829E8" w:rsidRPr="001C7D14" w14:paraId="0F145C3E" w14:textId="77777777" w:rsidTr="00D908B0">
        <w:tc>
          <w:tcPr>
            <w:tcW w:w="1207" w:type="pct"/>
            <w:tcBorders>
              <w:top w:val="single" w:sz="12" w:space="0" w:color="auto"/>
              <w:bottom w:val="single" w:sz="4" w:space="0" w:color="auto"/>
            </w:tcBorders>
          </w:tcPr>
          <w:p w14:paraId="4E47E7B8" w14:textId="77777777" w:rsidR="00F829E8" w:rsidRPr="001C7D14" w:rsidRDefault="00F829E8" w:rsidP="00F829E8">
            <w:pPr>
              <w:spacing w:after="40" w:line="240" w:lineRule="auto"/>
            </w:pPr>
          </w:p>
        </w:tc>
        <w:tc>
          <w:tcPr>
            <w:tcW w:w="421" w:type="pct"/>
            <w:tcBorders>
              <w:top w:val="single" w:sz="12" w:space="0" w:color="auto"/>
              <w:bottom w:val="single" w:sz="4" w:space="0" w:color="auto"/>
            </w:tcBorders>
          </w:tcPr>
          <w:p w14:paraId="3791513D" w14:textId="77777777" w:rsidR="00F829E8" w:rsidRPr="001C7D14" w:rsidRDefault="00F829E8" w:rsidP="00F829E8">
            <w:pPr>
              <w:spacing w:after="40" w:line="240" w:lineRule="auto"/>
              <w:jc w:val="center"/>
            </w:pPr>
            <w:r w:rsidRPr="001C7D14">
              <w:t>1</w:t>
            </w:r>
          </w:p>
        </w:tc>
        <w:tc>
          <w:tcPr>
            <w:tcW w:w="422" w:type="pct"/>
            <w:tcBorders>
              <w:top w:val="single" w:sz="12" w:space="0" w:color="auto"/>
              <w:bottom w:val="single" w:sz="4" w:space="0" w:color="auto"/>
            </w:tcBorders>
          </w:tcPr>
          <w:p w14:paraId="5CE6715E" w14:textId="77777777" w:rsidR="00F829E8" w:rsidRPr="001C7D14" w:rsidRDefault="00F829E8" w:rsidP="00F829E8">
            <w:pPr>
              <w:spacing w:after="40" w:line="240" w:lineRule="auto"/>
              <w:jc w:val="center"/>
            </w:pPr>
            <w:r w:rsidRPr="001C7D14">
              <w:t>2</w:t>
            </w:r>
          </w:p>
        </w:tc>
        <w:tc>
          <w:tcPr>
            <w:tcW w:w="421" w:type="pct"/>
            <w:tcBorders>
              <w:top w:val="single" w:sz="12" w:space="0" w:color="auto"/>
              <w:bottom w:val="single" w:sz="4" w:space="0" w:color="auto"/>
            </w:tcBorders>
          </w:tcPr>
          <w:p w14:paraId="0F9805AF" w14:textId="77777777" w:rsidR="00F829E8" w:rsidRPr="001C7D14" w:rsidRDefault="00F829E8" w:rsidP="00F829E8">
            <w:pPr>
              <w:spacing w:after="40" w:line="240" w:lineRule="auto"/>
              <w:jc w:val="center"/>
            </w:pPr>
            <w:r w:rsidRPr="001C7D14">
              <w:t>3</w:t>
            </w:r>
          </w:p>
        </w:tc>
        <w:tc>
          <w:tcPr>
            <w:tcW w:w="422" w:type="pct"/>
            <w:tcBorders>
              <w:top w:val="single" w:sz="12" w:space="0" w:color="auto"/>
              <w:bottom w:val="single" w:sz="4" w:space="0" w:color="auto"/>
            </w:tcBorders>
          </w:tcPr>
          <w:p w14:paraId="561EB894" w14:textId="77777777" w:rsidR="00F829E8" w:rsidRPr="001C7D14" w:rsidRDefault="00F829E8" w:rsidP="00F829E8">
            <w:pPr>
              <w:spacing w:after="40" w:line="240" w:lineRule="auto"/>
              <w:jc w:val="center"/>
            </w:pPr>
            <w:r w:rsidRPr="001C7D14">
              <w:t>4</w:t>
            </w:r>
          </w:p>
        </w:tc>
        <w:tc>
          <w:tcPr>
            <w:tcW w:w="421" w:type="pct"/>
            <w:tcBorders>
              <w:top w:val="single" w:sz="12" w:space="0" w:color="auto"/>
              <w:bottom w:val="single" w:sz="4" w:space="0" w:color="auto"/>
            </w:tcBorders>
          </w:tcPr>
          <w:p w14:paraId="739BF3D5" w14:textId="77777777" w:rsidR="00F829E8" w:rsidRPr="001C7D14" w:rsidRDefault="00F829E8" w:rsidP="00F829E8">
            <w:pPr>
              <w:spacing w:after="40" w:line="240" w:lineRule="auto"/>
              <w:jc w:val="center"/>
            </w:pPr>
            <w:r w:rsidRPr="001C7D14">
              <w:t>5</w:t>
            </w:r>
          </w:p>
        </w:tc>
        <w:tc>
          <w:tcPr>
            <w:tcW w:w="422" w:type="pct"/>
            <w:tcBorders>
              <w:top w:val="single" w:sz="12" w:space="0" w:color="auto"/>
              <w:bottom w:val="single" w:sz="4" w:space="0" w:color="auto"/>
            </w:tcBorders>
          </w:tcPr>
          <w:p w14:paraId="40E62C10" w14:textId="77777777" w:rsidR="00F829E8" w:rsidRPr="001C7D14" w:rsidRDefault="00F829E8" w:rsidP="00F829E8">
            <w:pPr>
              <w:spacing w:after="40" w:line="240" w:lineRule="auto"/>
              <w:jc w:val="center"/>
            </w:pPr>
            <w:r w:rsidRPr="001C7D14">
              <w:t>6</w:t>
            </w:r>
          </w:p>
        </w:tc>
        <w:tc>
          <w:tcPr>
            <w:tcW w:w="421" w:type="pct"/>
            <w:tcBorders>
              <w:top w:val="single" w:sz="12" w:space="0" w:color="auto"/>
              <w:bottom w:val="single" w:sz="4" w:space="0" w:color="auto"/>
            </w:tcBorders>
          </w:tcPr>
          <w:p w14:paraId="59353B0D" w14:textId="77777777" w:rsidR="00F829E8" w:rsidRPr="001C7D14" w:rsidRDefault="00F829E8" w:rsidP="00F829E8">
            <w:pPr>
              <w:spacing w:after="40" w:line="240" w:lineRule="auto"/>
              <w:jc w:val="center"/>
            </w:pPr>
            <w:r w:rsidRPr="001C7D14">
              <w:t>7</w:t>
            </w:r>
          </w:p>
        </w:tc>
        <w:tc>
          <w:tcPr>
            <w:tcW w:w="422" w:type="pct"/>
            <w:tcBorders>
              <w:top w:val="single" w:sz="12" w:space="0" w:color="auto"/>
              <w:bottom w:val="single" w:sz="4" w:space="0" w:color="auto"/>
            </w:tcBorders>
          </w:tcPr>
          <w:p w14:paraId="6A27485F" w14:textId="77777777" w:rsidR="00F829E8" w:rsidRPr="001C7D14" w:rsidRDefault="00F829E8" w:rsidP="00F829E8">
            <w:pPr>
              <w:spacing w:after="40" w:line="240" w:lineRule="auto"/>
              <w:jc w:val="center"/>
            </w:pPr>
            <w:r w:rsidRPr="001C7D14">
              <w:t>8</w:t>
            </w:r>
          </w:p>
        </w:tc>
        <w:tc>
          <w:tcPr>
            <w:tcW w:w="422" w:type="pct"/>
            <w:tcBorders>
              <w:top w:val="single" w:sz="12" w:space="0" w:color="auto"/>
              <w:bottom w:val="single" w:sz="4" w:space="0" w:color="auto"/>
            </w:tcBorders>
          </w:tcPr>
          <w:p w14:paraId="00105EE0" w14:textId="77777777" w:rsidR="00F829E8" w:rsidRPr="001C7D14" w:rsidRDefault="00F829E8" w:rsidP="00F829E8">
            <w:pPr>
              <w:spacing w:after="40" w:line="240" w:lineRule="auto"/>
              <w:jc w:val="center"/>
            </w:pPr>
            <w:r w:rsidRPr="001C7D14">
              <w:t>9</w:t>
            </w:r>
          </w:p>
        </w:tc>
      </w:tr>
      <w:tr w:rsidR="00F829E8" w:rsidRPr="001C7D14" w14:paraId="76A03A2F" w14:textId="77777777" w:rsidTr="00D908B0">
        <w:tc>
          <w:tcPr>
            <w:tcW w:w="1207" w:type="pct"/>
            <w:tcBorders>
              <w:top w:val="single" w:sz="4" w:space="0" w:color="auto"/>
            </w:tcBorders>
          </w:tcPr>
          <w:p w14:paraId="1B237817" w14:textId="77777777" w:rsidR="00F829E8" w:rsidRPr="001C7D14" w:rsidRDefault="00F829E8" w:rsidP="00F829E8">
            <w:pPr>
              <w:spacing w:after="40" w:line="240" w:lineRule="auto"/>
              <w:ind w:left="319" w:hanging="319"/>
            </w:pPr>
            <w:r w:rsidRPr="001C7D14">
              <w:t>1. General Engagement</w:t>
            </w:r>
          </w:p>
        </w:tc>
        <w:tc>
          <w:tcPr>
            <w:tcW w:w="421" w:type="pct"/>
            <w:tcBorders>
              <w:top w:val="single" w:sz="4" w:space="0" w:color="auto"/>
            </w:tcBorders>
            <w:vAlign w:val="center"/>
          </w:tcPr>
          <w:p w14:paraId="3AC2C904" w14:textId="77777777" w:rsidR="00F829E8" w:rsidRPr="001C7D14" w:rsidRDefault="00F829E8" w:rsidP="00F829E8">
            <w:pPr>
              <w:spacing w:after="40" w:line="240" w:lineRule="auto"/>
              <w:jc w:val="center"/>
            </w:pPr>
            <w:r w:rsidRPr="001C7D14">
              <w:t>--</w:t>
            </w:r>
          </w:p>
        </w:tc>
        <w:tc>
          <w:tcPr>
            <w:tcW w:w="422" w:type="pct"/>
            <w:tcBorders>
              <w:top w:val="single" w:sz="4" w:space="0" w:color="auto"/>
            </w:tcBorders>
            <w:vAlign w:val="center"/>
          </w:tcPr>
          <w:p w14:paraId="5DA66ABB" w14:textId="77777777" w:rsidR="00F829E8" w:rsidRPr="001C7D14" w:rsidRDefault="00F829E8" w:rsidP="00F829E8">
            <w:pPr>
              <w:spacing w:after="40" w:line="240" w:lineRule="auto"/>
              <w:jc w:val="center"/>
            </w:pPr>
          </w:p>
        </w:tc>
        <w:tc>
          <w:tcPr>
            <w:tcW w:w="421" w:type="pct"/>
            <w:tcBorders>
              <w:top w:val="single" w:sz="4" w:space="0" w:color="auto"/>
            </w:tcBorders>
            <w:vAlign w:val="center"/>
          </w:tcPr>
          <w:p w14:paraId="54595E53" w14:textId="77777777" w:rsidR="00F829E8" w:rsidRPr="001C7D14" w:rsidRDefault="00F829E8" w:rsidP="00F829E8">
            <w:pPr>
              <w:spacing w:after="40" w:line="240" w:lineRule="auto"/>
              <w:jc w:val="center"/>
            </w:pPr>
          </w:p>
        </w:tc>
        <w:tc>
          <w:tcPr>
            <w:tcW w:w="422" w:type="pct"/>
            <w:tcBorders>
              <w:top w:val="single" w:sz="4" w:space="0" w:color="auto"/>
            </w:tcBorders>
            <w:vAlign w:val="center"/>
          </w:tcPr>
          <w:p w14:paraId="0384808E" w14:textId="77777777" w:rsidR="00F829E8" w:rsidRPr="001C7D14" w:rsidRDefault="00F829E8" w:rsidP="00F829E8">
            <w:pPr>
              <w:spacing w:after="40" w:line="240" w:lineRule="auto"/>
              <w:jc w:val="center"/>
            </w:pPr>
          </w:p>
        </w:tc>
        <w:tc>
          <w:tcPr>
            <w:tcW w:w="421" w:type="pct"/>
            <w:tcBorders>
              <w:top w:val="single" w:sz="4" w:space="0" w:color="auto"/>
            </w:tcBorders>
            <w:vAlign w:val="center"/>
          </w:tcPr>
          <w:p w14:paraId="0D44785E" w14:textId="77777777" w:rsidR="00F829E8" w:rsidRPr="001C7D14" w:rsidRDefault="00F829E8" w:rsidP="00F829E8">
            <w:pPr>
              <w:spacing w:after="40" w:line="240" w:lineRule="auto"/>
              <w:jc w:val="center"/>
            </w:pPr>
          </w:p>
        </w:tc>
        <w:tc>
          <w:tcPr>
            <w:tcW w:w="422" w:type="pct"/>
            <w:tcBorders>
              <w:top w:val="single" w:sz="4" w:space="0" w:color="auto"/>
            </w:tcBorders>
            <w:vAlign w:val="center"/>
          </w:tcPr>
          <w:p w14:paraId="16CA6B25" w14:textId="77777777" w:rsidR="00F829E8" w:rsidRPr="001C7D14" w:rsidRDefault="00F829E8" w:rsidP="00F829E8">
            <w:pPr>
              <w:spacing w:after="40" w:line="240" w:lineRule="auto"/>
              <w:jc w:val="center"/>
            </w:pPr>
          </w:p>
        </w:tc>
        <w:tc>
          <w:tcPr>
            <w:tcW w:w="421" w:type="pct"/>
            <w:tcBorders>
              <w:top w:val="single" w:sz="4" w:space="0" w:color="auto"/>
            </w:tcBorders>
            <w:vAlign w:val="center"/>
          </w:tcPr>
          <w:p w14:paraId="6E7D185F" w14:textId="77777777" w:rsidR="00F829E8" w:rsidRPr="001C7D14" w:rsidRDefault="00F829E8" w:rsidP="00F829E8">
            <w:pPr>
              <w:spacing w:after="40" w:line="240" w:lineRule="auto"/>
              <w:jc w:val="center"/>
            </w:pPr>
          </w:p>
        </w:tc>
        <w:tc>
          <w:tcPr>
            <w:tcW w:w="422" w:type="pct"/>
            <w:tcBorders>
              <w:top w:val="single" w:sz="4" w:space="0" w:color="auto"/>
            </w:tcBorders>
            <w:vAlign w:val="center"/>
          </w:tcPr>
          <w:p w14:paraId="501CDB9D" w14:textId="77777777" w:rsidR="00F829E8" w:rsidRPr="001C7D14" w:rsidRDefault="00F829E8" w:rsidP="00F829E8">
            <w:pPr>
              <w:spacing w:after="40" w:line="240" w:lineRule="auto"/>
              <w:jc w:val="center"/>
            </w:pPr>
          </w:p>
        </w:tc>
        <w:tc>
          <w:tcPr>
            <w:tcW w:w="422" w:type="pct"/>
            <w:tcBorders>
              <w:top w:val="single" w:sz="4" w:space="0" w:color="auto"/>
            </w:tcBorders>
            <w:vAlign w:val="center"/>
          </w:tcPr>
          <w:p w14:paraId="7E21ED79" w14:textId="77777777" w:rsidR="00F829E8" w:rsidRPr="001C7D14" w:rsidRDefault="00F829E8" w:rsidP="00F829E8">
            <w:pPr>
              <w:spacing w:after="40" w:line="240" w:lineRule="auto"/>
              <w:jc w:val="center"/>
            </w:pPr>
          </w:p>
        </w:tc>
      </w:tr>
      <w:tr w:rsidR="00F829E8" w:rsidRPr="001C7D14" w14:paraId="5135DE70" w14:textId="77777777" w:rsidTr="00D908B0">
        <w:tc>
          <w:tcPr>
            <w:tcW w:w="1207" w:type="pct"/>
          </w:tcPr>
          <w:p w14:paraId="7BE50765" w14:textId="77777777" w:rsidR="00F829E8" w:rsidRPr="001C7D14" w:rsidRDefault="00F829E8" w:rsidP="00F829E8">
            <w:pPr>
              <w:spacing w:after="40" w:line="240" w:lineRule="auto"/>
              <w:ind w:left="319" w:hanging="319"/>
            </w:pPr>
            <w:r w:rsidRPr="001C7D14">
              <w:t>2. Cognitive Engagement</w:t>
            </w:r>
          </w:p>
        </w:tc>
        <w:tc>
          <w:tcPr>
            <w:tcW w:w="421" w:type="pct"/>
            <w:vAlign w:val="center"/>
          </w:tcPr>
          <w:p w14:paraId="1C59A44E" w14:textId="77777777" w:rsidR="00F829E8" w:rsidRPr="001C7D14" w:rsidRDefault="00F829E8" w:rsidP="00F829E8">
            <w:pPr>
              <w:spacing w:after="40" w:line="240" w:lineRule="auto"/>
              <w:jc w:val="center"/>
            </w:pPr>
            <w:r w:rsidRPr="001C7D14">
              <w:t>.87**</w:t>
            </w:r>
          </w:p>
        </w:tc>
        <w:tc>
          <w:tcPr>
            <w:tcW w:w="422" w:type="pct"/>
            <w:vAlign w:val="center"/>
          </w:tcPr>
          <w:p w14:paraId="36010C7E" w14:textId="77777777" w:rsidR="00F829E8" w:rsidRPr="001C7D14" w:rsidRDefault="00F829E8" w:rsidP="00F829E8">
            <w:pPr>
              <w:spacing w:after="40" w:line="240" w:lineRule="auto"/>
              <w:jc w:val="center"/>
            </w:pPr>
            <w:r w:rsidRPr="001C7D14">
              <w:t>--</w:t>
            </w:r>
          </w:p>
        </w:tc>
        <w:tc>
          <w:tcPr>
            <w:tcW w:w="421" w:type="pct"/>
            <w:vAlign w:val="center"/>
          </w:tcPr>
          <w:p w14:paraId="6149148A" w14:textId="77777777" w:rsidR="00F829E8" w:rsidRPr="001C7D14" w:rsidRDefault="00F829E8" w:rsidP="00F829E8">
            <w:pPr>
              <w:spacing w:after="40" w:line="240" w:lineRule="auto"/>
              <w:jc w:val="center"/>
            </w:pPr>
          </w:p>
        </w:tc>
        <w:tc>
          <w:tcPr>
            <w:tcW w:w="422" w:type="pct"/>
            <w:vAlign w:val="center"/>
          </w:tcPr>
          <w:p w14:paraId="4BA5D902" w14:textId="77777777" w:rsidR="00F829E8" w:rsidRPr="001C7D14" w:rsidRDefault="00F829E8" w:rsidP="00F829E8">
            <w:pPr>
              <w:spacing w:after="40" w:line="240" w:lineRule="auto"/>
              <w:jc w:val="center"/>
            </w:pPr>
          </w:p>
        </w:tc>
        <w:tc>
          <w:tcPr>
            <w:tcW w:w="421" w:type="pct"/>
            <w:vAlign w:val="center"/>
          </w:tcPr>
          <w:p w14:paraId="34830AA1" w14:textId="77777777" w:rsidR="00F829E8" w:rsidRPr="001C7D14" w:rsidRDefault="00F829E8" w:rsidP="00F829E8">
            <w:pPr>
              <w:spacing w:after="40" w:line="240" w:lineRule="auto"/>
              <w:jc w:val="center"/>
            </w:pPr>
          </w:p>
        </w:tc>
        <w:tc>
          <w:tcPr>
            <w:tcW w:w="422" w:type="pct"/>
            <w:vAlign w:val="center"/>
          </w:tcPr>
          <w:p w14:paraId="223B815B" w14:textId="77777777" w:rsidR="00F829E8" w:rsidRPr="001C7D14" w:rsidRDefault="00F829E8" w:rsidP="00F829E8">
            <w:pPr>
              <w:spacing w:after="40" w:line="240" w:lineRule="auto"/>
              <w:jc w:val="center"/>
            </w:pPr>
          </w:p>
        </w:tc>
        <w:tc>
          <w:tcPr>
            <w:tcW w:w="421" w:type="pct"/>
            <w:vAlign w:val="center"/>
          </w:tcPr>
          <w:p w14:paraId="5FDE42BE" w14:textId="77777777" w:rsidR="00F829E8" w:rsidRPr="001C7D14" w:rsidRDefault="00F829E8" w:rsidP="00F829E8">
            <w:pPr>
              <w:spacing w:after="40" w:line="240" w:lineRule="auto"/>
              <w:jc w:val="center"/>
            </w:pPr>
          </w:p>
        </w:tc>
        <w:tc>
          <w:tcPr>
            <w:tcW w:w="422" w:type="pct"/>
            <w:vAlign w:val="center"/>
          </w:tcPr>
          <w:p w14:paraId="6CB36630" w14:textId="77777777" w:rsidR="00F829E8" w:rsidRPr="001C7D14" w:rsidRDefault="00F829E8" w:rsidP="00F829E8">
            <w:pPr>
              <w:spacing w:after="40" w:line="240" w:lineRule="auto"/>
              <w:jc w:val="center"/>
            </w:pPr>
          </w:p>
        </w:tc>
        <w:tc>
          <w:tcPr>
            <w:tcW w:w="422" w:type="pct"/>
            <w:vAlign w:val="center"/>
          </w:tcPr>
          <w:p w14:paraId="3964203F" w14:textId="77777777" w:rsidR="00F829E8" w:rsidRPr="001C7D14" w:rsidRDefault="00F829E8" w:rsidP="00F829E8">
            <w:pPr>
              <w:spacing w:after="40" w:line="240" w:lineRule="auto"/>
              <w:jc w:val="center"/>
            </w:pPr>
          </w:p>
        </w:tc>
      </w:tr>
      <w:tr w:rsidR="00F829E8" w:rsidRPr="001C7D14" w14:paraId="3168D647" w14:textId="77777777" w:rsidTr="00D908B0">
        <w:tc>
          <w:tcPr>
            <w:tcW w:w="1207" w:type="pct"/>
          </w:tcPr>
          <w:p w14:paraId="1AA34874" w14:textId="77777777" w:rsidR="00F829E8" w:rsidRPr="001C7D14" w:rsidRDefault="00F829E8" w:rsidP="00F829E8">
            <w:pPr>
              <w:spacing w:after="40" w:line="240" w:lineRule="auto"/>
              <w:ind w:left="319" w:hanging="319"/>
            </w:pPr>
            <w:r w:rsidRPr="001C7D14">
              <w:t>3. Behavioural Engagement</w:t>
            </w:r>
          </w:p>
        </w:tc>
        <w:tc>
          <w:tcPr>
            <w:tcW w:w="421" w:type="pct"/>
            <w:vAlign w:val="center"/>
          </w:tcPr>
          <w:p w14:paraId="051F54D9" w14:textId="2963983D" w:rsidR="00F829E8" w:rsidRPr="001C7D14" w:rsidRDefault="00F829E8" w:rsidP="00F829E8">
            <w:pPr>
              <w:spacing w:after="40" w:line="240" w:lineRule="auto"/>
              <w:jc w:val="center"/>
            </w:pPr>
            <w:r w:rsidRPr="001C7D14">
              <w:t>.80**</w:t>
            </w:r>
          </w:p>
        </w:tc>
        <w:tc>
          <w:tcPr>
            <w:tcW w:w="422" w:type="pct"/>
            <w:vAlign w:val="center"/>
          </w:tcPr>
          <w:p w14:paraId="1E06BFFB" w14:textId="77777777" w:rsidR="00F829E8" w:rsidRPr="001C7D14" w:rsidRDefault="00F829E8" w:rsidP="00F829E8">
            <w:pPr>
              <w:spacing w:after="40" w:line="240" w:lineRule="auto"/>
              <w:jc w:val="center"/>
            </w:pPr>
            <w:r w:rsidRPr="001C7D14">
              <w:t>.47**</w:t>
            </w:r>
          </w:p>
        </w:tc>
        <w:tc>
          <w:tcPr>
            <w:tcW w:w="421" w:type="pct"/>
            <w:vAlign w:val="center"/>
          </w:tcPr>
          <w:p w14:paraId="03FFCE0A" w14:textId="77777777" w:rsidR="00F829E8" w:rsidRPr="001C7D14" w:rsidRDefault="00F829E8" w:rsidP="00F829E8">
            <w:pPr>
              <w:spacing w:after="40" w:line="240" w:lineRule="auto"/>
              <w:jc w:val="center"/>
            </w:pPr>
            <w:r w:rsidRPr="001C7D14">
              <w:t>--</w:t>
            </w:r>
          </w:p>
        </w:tc>
        <w:tc>
          <w:tcPr>
            <w:tcW w:w="422" w:type="pct"/>
            <w:vAlign w:val="center"/>
          </w:tcPr>
          <w:p w14:paraId="078FFE8C" w14:textId="77777777" w:rsidR="00F829E8" w:rsidRPr="001C7D14" w:rsidRDefault="00F829E8" w:rsidP="00F829E8">
            <w:pPr>
              <w:spacing w:after="40" w:line="240" w:lineRule="auto"/>
              <w:jc w:val="center"/>
            </w:pPr>
          </w:p>
        </w:tc>
        <w:tc>
          <w:tcPr>
            <w:tcW w:w="421" w:type="pct"/>
            <w:vAlign w:val="center"/>
          </w:tcPr>
          <w:p w14:paraId="3A24FB14" w14:textId="77777777" w:rsidR="00F829E8" w:rsidRPr="001C7D14" w:rsidRDefault="00F829E8" w:rsidP="00F829E8">
            <w:pPr>
              <w:spacing w:after="40" w:line="240" w:lineRule="auto"/>
              <w:jc w:val="center"/>
            </w:pPr>
          </w:p>
        </w:tc>
        <w:tc>
          <w:tcPr>
            <w:tcW w:w="422" w:type="pct"/>
            <w:vAlign w:val="center"/>
          </w:tcPr>
          <w:p w14:paraId="37C10D47" w14:textId="77777777" w:rsidR="00F829E8" w:rsidRPr="001C7D14" w:rsidRDefault="00F829E8" w:rsidP="00F829E8">
            <w:pPr>
              <w:spacing w:after="40" w:line="240" w:lineRule="auto"/>
              <w:jc w:val="center"/>
            </w:pPr>
          </w:p>
        </w:tc>
        <w:tc>
          <w:tcPr>
            <w:tcW w:w="421" w:type="pct"/>
            <w:vAlign w:val="center"/>
          </w:tcPr>
          <w:p w14:paraId="04271C90" w14:textId="77777777" w:rsidR="00F829E8" w:rsidRPr="001C7D14" w:rsidRDefault="00F829E8" w:rsidP="00F829E8">
            <w:pPr>
              <w:spacing w:after="40" w:line="240" w:lineRule="auto"/>
              <w:jc w:val="center"/>
            </w:pPr>
          </w:p>
        </w:tc>
        <w:tc>
          <w:tcPr>
            <w:tcW w:w="422" w:type="pct"/>
            <w:vAlign w:val="center"/>
          </w:tcPr>
          <w:p w14:paraId="6B7F6387" w14:textId="77777777" w:rsidR="00F829E8" w:rsidRPr="001C7D14" w:rsidRDefault="00F829E8" w:rsidP="00F829E8">
            <w:pPr>
              <w:spacing w:after="40" w:line="240" w:lineRule="auto"/>
              <w:jc w:val="center"/>
            </w:pPr>
          </w:p>
        </w:tc>
        <w:tc>
          <w:tcPr>
            <w:tcW w:w="422" w:type="pct"/>
            <w:vAlign w:val="center"/>
          </w:tcPr>
          <w:p w14:paraId="111A1A1F" w14:textId="77777777" w:rsidR="00F829E8" w:rsidRPr="001C7D14" w:rsidRDefault="00F829E8" w:rsidP="00F829E8">
            <w:pPr>
              <w:spacing w:after="40" w:line="240" w:lineRule="auto"/>
              <w:jc w:val="center"/>
            </w:pPr>
          </w:p>
        </w:tc>
      </w:tr>
      <w:tr w:rsidR="00F829E8" w:rsidRPr="001C7D14" w14:paraId="00B3C29B" w14:textId="77777777" w:rsidTr="00D908B0">
        <w:tc>
          <w:tcPr>
            <w:tcW w:w="1207" w:type="pct"/>
          </w:tcPr>
          <w:p w14:paraId="1DF1326B" w14:textId="77777777" w:rsidR="00F829E8" w:rsidRPr="001C7D14" w:rsidRDefault="00F829E8" w:rsidP="00F829E8">
            <w:pPr>
              <w:spacing w:after="40" w:line="240" w:lineRule="auto"/>
              <w:ind w:left="319" w:hanging="319"/>
            </w:pPr>
            <w:r w:rsidRPr="001C7D14">
              <w:t>4. Emotional Engagement</w:t>
            </w:r>
          </w:p>
        </w:tc>
        <w:tc>
          <w:tcPr>
            <w:tcW w:w="421" w:type="pct"/>
            <w:vAlign w:val="center"/>
          </w:tcPr>
          <w:p w14:paraId="4927F76E" w14:textId="77777777" w:rsidR="00F829E8" w:rsidRPr="001C7D14" w:rsidRDefault="00F829E8" w:rsidP="00F829E8">
            <w:pPr>
              <w:spacing w:after="40" w:line="240" w:lineRule="auto"/>
              <w:jc w:val="center"/>
            </w:pPr>
            <w:r w:rsidRPr="001C7D14">
              <w:t>.82**</w:t>
            </w:r>
          </w:p>
        </w:tc>
        <w:tc>
          <w:tcPr>
            <w:tcW w:w="422" w:type="pct"/>
            <w:vAlign w:val="center"/>
          </w:tcPr>
          <w:p w14:paraId="1D4C1885" w14:textId="77777777" w:rsidR="00F829E8" w:rsidRPr="001C7D14" w:rsidRDefault="00F829E8" w:rsidP="00F829E8">
            <w:pPr>
              <w:spacing w:after="40" w:line="240" w:lineRule="auto"/>
              <w:jc w:val="center"/>
            </w:pPr>
            <w:r w:rsidRPr="001C7D14">
              <w:t>.56**</w:t>
            </w:r>
          </w:p>
        </w:tc>
        <w:tc>
          <w:tcPr>
            <w:tcW w:w="421" w:type="pct"/>
            <w:vAlign w:val="center"/>
          </w:tcPr>
          <w:p w14:paraId="0B556CD4" w14:textId="77777777" w:rsidR="00F829E8" w:rsidRPr="001C7D14" w:rsidRDefault="00F829E8" w:rsidP="00F829E8">
            <w:pPr>
              <w:spacing w:after="40" w:line="240" w:lineRule="auto"/>
              <w:jc w:val="center"/>
            </w:pPr>
            <w:r w:rsidRPr="001C7D14">
              <w:t>.61**</w:t>
            </w:r>
          </w:p>
        </w:tc>
        <w:tc>
          <w:tcPr>
            <w:tcW w:w="422" w:type="pct"/>
            <w:vAlign w:val="center"/>
          </w:tcPr>
          <w:p w14:paraId="673CB191" w14:textId="77777777" w:rsidR="00F829E8" w:rsidRPr="001C7D14" w:rsidRDefault="00F829E8" w:rsidP="00F829E8">
            <w:pPr>
              <w:spacing w:after="40" w:line="240" w:lineRule="auto"/>
              <w:jc w:val="center"/>
            </w:pPr>
            <w:r w:rsidRPr="001C7D14">
              <w:t>--</w:t>
            </w:r>
          </w:p>
        </w:tc>
        <w:tc>
          <w:tcPr>
            <w:tcW w:w="421" w:type="pct"/>
            <w:vAlign w:val="center"/>
          </w:tcPr>
          <w:p w14:paraId="1E74FC7E" w14:textId="77777777" w:rsidR="00F829E8" w:rsidRPr="001C7D14" w:rsidRDefault="00F829E8" w:rsidP="00F829E8">
            <w:pPr>
              <w:spacing w:after="40" w:line="240" w:lineRule="auto"/>
              <w:jc w:val="center"/>
            </w:pPr>
          </w:p>
        </w:tc>
        <w:tc>
          <w:tcPr>
            <w:tcW w:w="422" w:type="pct"/>
            <w:vAlign w:val="center"/>
          </w:tcPr>
          <w:p w14:paraId="09072812" w14:textId="77777777" w:rsidR="00F829E8" w:rsidRPr="001C7D14" w:rsidRDefault="00F829E8" w:rsidP="00F829E8">
            <w:pPr>
              <w:spacing w:after="40" w:line="240" w:lineRule="auto"/>
              <w:jc w:val="center"/>
            </w:pPr>
          </w:p>
        </w:tc>
        <w:tc>
          <w:tcPr>
            <w:tcW w:w="421" w:type="pct"/>
            <w:vAlign w:val="center"/>
          </w:tcPr>
          <w:p w14:paraId="7298FA27" w14:textId="77777777" w:rsidR="00F829E8" w:rsidRPr="001C7D14" w:rsidRDefault="00F829E8" w:rsidP="00F829E8">
            <w:pPr>
              <w:spacing w:after="40" w:line="240" w:lineRule="auto"/>
              <w:jc w:val="center"/>
            </w:pPr>
          </w:p>
        </w:tc>
        <w:tc>
          <w:tcPr>
            <w:tcW w:w="422" w:type="pct"/>
            <w:vAlign w:val="center"/>
          </w:tcPr>
          <w:p w14:paraId="71C18C2C" w14:textId="77777777" w:rsidR="00F829E8" w:rsidRPr="001C7D14" w:rsidRDefault="00F829E8" w:rsidP="00F829E8">
            <w:pPr>
              <w:spacing w:after="40" w:line="240" w:lineRule="auto"/>
              <w:jc w:val="center"/>
            </w:pPr>
          </w:p>
        </w:tc>
        <w:tc>
          <w:tcPr>
            <w:tcW w:w="422" w:type="pct"/>
            <w:vAlign w:val="center"/>
          </w:tcPr>
          <w:p w14:paraId="292B644E" w14:textId="77777777" w:rsidR="00F829E8" w:rsidRPr="001C7D14" w:rsidRDefault="00F829E8" w:rsidP="00F829E8">
            <w:pPr>
              <w:spacing w:after="40" w:line="240" w:lineRule="auto"/>
              <w:jc w:val="center"/>
            </w:pPr>
          </w:p>
        </w:tc>
      </w:tr>
      <w:tr w:rsidR="00F829E8" w:rsidRPr="001C7D14" w14:paraId="5609859B" w14:textId="77777777" w:rsidTr="00D908B0">
        <w:tc>
          <w:tcPr>
            <w:tcW w:w="1207" w:type="pct"/>
          </w:tcPr>
          <w:p w14:paraId="0B3D659D" w14:textId="77777777" w:rsidR="00F829E8" w:rsidRPr="001C7D14" w:rsidRDefault="00F829E8" w:rsidP="00F829E8">
            <w:pPr>
              <w:spacing w:after="40" w:line="240" w:lineRule="auto"/>
              <w:ind w:left="319" w:hanging="319"/>
            </w:pPr>
            <w:r w:rsidRPr="001C7D14">
              <w:t>5. Understanding of Employability</w:t>
            </w:r>
          </w:p>
        </w:tc>
        <w:tc>
          <w:tcPr>
            <w:tcW w:w="421" w:type="pct"/>
            <w:vAlign w:val="center"/>
          </w:tcPr>
          <w:p w14:paraId="4D6FFF71" w14:textId="77777777" w:rsidR="00F829E8" w:rsidRPr="001C7D14" w:rsidRDefault="00F829E8" w:rsidP="00F829E8">
            <w:pPr>
              <w:spacing w:after="40" w:line="240" w:lineRule="auto"/>
              <w:jc w:val="center"/>
            </w:pPr>
            <w:r w:rsidRPr="001C7D14">
              <w:t>.40**</w:t>
            </w:r>
          </w:p>
        </w:tc>
        <w:tc>
          <w:tcPr>
            <w:tcW w:w="422" w:type="pct"/>
            <w:vAlign w:val="center"/>
          </w:tcPr>
          <w:p w14:paraId="5CA77B5C" w14:textId="77777777" w:rsidR="00F829E8" w:rsidRPr="001C7D14" w:rsidRDefault="00F829E8" w:rsidP="00F829E8">
            <w:pPr>
              <w:spacing w:after="40" w:line="240" w:lineRule="auto"/>
              <w:jc w:val="center"/>
            </w:pPr>
            <w:r w:rsidRPr="001C7D14">
              <w:t>.48**</w:t>
            </w:r>
          </w:p>
        </w:tc>
        <w:tc>
          <w:tcPr>
            <w:tcW w:w="421" w:type="pct"/>
            <w:vAlign w:val="center"/>
          </w:tcPr>
          <w:p w14:paraId="203470C2" w14:textId="77777777" w:rsidR="00F829E8" w:rsidRPr="001C7D14" w:rsidRDefault="00F829E8" w:rsidP="00F829E8">
            <w:pPr>
              <w:spacing w:after="40" w:line="240" w:lineRule="auto"/>
              <w:jc w:val="center"/>
            </w:pPr>
            <w:r w:rsidRPr="001C7D14">
              <w:t>.17</w:t>
            </w:r>
          </w:p>
        </w:tc>
        <w:tc>
          <w:tcPr>
            <w:tcW w:w="422" w:type="pct"/>
            <w:vAlign w:val="center"/>
          </w:tcPr>
          <w:p w14:paraId="16D69161" w14:textId="77777777" w:rsidR="00F829E8" w:rsidRPr="001C7D14" w:rsidRDefault="00F829E8" w:rsidP="00F829E8">
            <w:pPr>
              <w:spacing w:after="40" w:line="240" w:lineRule="auto"/>
              <w:jc w:val="center"/>
            </w:pPr>
            <w:r w:rsidRPr="001C7D14">
              <w:t>.27**</w:t>
            </w:r>
          </w:p>
        </w:tc>
        <w:tc>
          <w:tcPr>
            <w:tcW w:w="421" w:type="pct"/>
            <w:vAlign w:val="center"/>
          </w:tcPr>
          <w:p w14:paraId="4093F3FB" w14:textId="77777777" w:rsidR="00F829E8" w:rsidRPr="001C7D14" w:rsidRDefault="00F829E8" w:rsidP="00F829E8">
            <w:pPr>
              <w:spacing w:after="40" w:line="240" w:lineRule="auto"/>
              <w:jc w:val="center"/>
            </w:pPr>
            <w:r w:rsidRPr="001C7D14">
              <w:t>--</w:t>
            </w:r>
          </w:p>
        </w:tc>
        <w:tc>
          <w:tcPr>
            <w:tcW w:w="422" w:type="pct"/>
            <w:vAlign w:val="center"/>
          </w:tcPr>
          <w:p w14:paraId="0703B170" w14:textId="77777777" w:rsidR="00F829E8" w:rsidRPr="001C7D14" w:rsidRDefault="00F829E8" w:rsidP="00F829E8">
            <w:pPr>
              <w:spacing w:after="40" w:line="240" w:lineRule="auto"/>
              <w:jc w:val="center"/>
            </w:pPr>
          </w:p>
        </w:tc>
        <w:tc>
          <w:tcPr>
            <w:tcW w:w="421" w:type="pct"/>
            <w:vAlign w:val="center"/>
          </w:tcPr>
          <w:p w14:paraId="33BAD394" w14:textId="77777777" w:rsidR="00F829E8" w:rsidRPr="001C7D14" w:rsidRDefault="00F829E8" w:rsidP="00F829E8">
            <w:pPr>
              <w:spacing w:after="40" w:line="240" w:lineRule="auto"/>
              <w:jc w:val="center"/>
            </w:pPr>
          </w:p>
        </w:tc>
        <w:tc>
          <w:tcPr>
            <w:tcW w:w="422" w:type="pct"/>
            <w:vAlign w:val="center"/>
          </w:tcPr>
          <w:p w14:paraId="2153AFF5" w14:textId="77777777" w:rsidR="00F829E8" w:rsidRPr="001C7D14" w:rsidRDefault="00F829E8" w:rsidP="00F829E8">
            <w:pPr>
              <w:spacing w:after="40" w:line="240" w:lineRule="auto"/>
              <w:jc w:val="center"/>
            </w:pPr>
          </w:p>
        </w:tc>
        <w:tc>
          <w:tcPr>
            <w:tcW w:w="422" w:type="pct"/>
            <w:vAlign w:val="center"/>
          </w:tcPr>
          <w:p w14:paraId="2291FFA8" w14:textId="77777777" w:rsidR="00F829E8" w:rsidRPr="001C7D14" w:rsidRDefault="00F829E8" w:rsidP="00F829E8">
            <w:pPr>
              <w:spacing w:after="40" w:line="240" w:lineRule="auto"/>
              <w:jc w:val="center"/>
            </w:pPr>
          </w:p>
        </w:tc>
      </w:tr>
      <w:tr w:rsidR="00F829E8" w:rsidRPr="001C7D14" w14:paraId="70054018" w14:textId="77777777" w:rsidTr="00D908B0">
        <w:tc>
          <w:tcPr>
            <w:tcW w:w="1207" w:type="pct"/>
          </w:tcPr>
          <w:p w14:paraId="46576047" w14:textId="77777777" w:rsidR="00F829E8" w:rsidRPr="001C7D14" w:rsidRDefault="00F829E8" w:rsidP="00F829E8">
            <w:pPr>
              <w:spacing w:after="40" w:line="240" w:lineRule="auto"/>
              <w:ind w:left="319" w:hanging="319"/>
            </w:pPr>
            <w:r w:rsidRPr="001C7D14">
              <w:t>6. Attitudes towards Employability</w:t>
            </w:r>
          </w:p>
        </w:tc>
        <w:tc>
          <w:tcPr>
            <w:tcW w:w="421" w:type="pct"/>
            <w:vAlign w:val="center"/>
          </w:tcPr>
          <w:p w14:paraId="21155CE3" w14:textId="77777777" w:rsidR="00F829E8" w:rsidRPr="001C7D14" w:rsidRDefault="00F829E8" w:rsidP="00F829E8">
            <w:pPr>
              <w:spacing w:after="40" w:line="240" w:lineRule="auto"/>
              <w:jc w:val="center"/>
            </w:pPr>
            <w:r w:rsidRPr="001C7D14">
              <w:t>.33**</w:t>
            </w:r>
          </w:p>
        </w:tc>
        <w:tc>
          <w:tcPr>
            <w:tcW w:w="422" w:type="pct"/>
            <w:vAlign w:val="center"/>
          </w:tcPr>
          <w:p w14:paraId="4B9922D1" w14:textId="77777777" w:rsidR="00F829E8" w:rsidRPr="001C7D14" w:rsidRDefault="00F829E8" w:rsidP="00F829E8">
            <w:pPr>
              <w:spacing w:after="40" w:line="240" w:lineRule="auto"/>
              <w:jc w:val="center"/>
            </w:pPr>
            <w:r w:rsidRPr="001C7D14">
              <w:t>.34**</w:t>
            </w:r>
          </w:p>
        </w:tc>
        <w:tc>
          <w:tcPr>
            <w:tcW w:w="421" w:type="pct"/>
            <w:vAlign w:val="center"/>
          </w:tcPr>
          <w:p w14:paraId="4CD98829" w14:textId="77777777" w:rsidR="00F829E8" w:rsidRPr="001C7D14" w:rsidRDefault="00F829E8" w:rsidP="00F829E8">
            <w:pPr>
              <w:spacing w:after="40" w:line="240" w:lineRule="auto"/>
              <w:jc w:val="center"/>
            </w:pPr>
            <w:r w:rsidRPr="001C7D14">
              <w:t>.15</w:t>
            </w:r>
          </w:p>
        </w:tc>
        <w:tc>
          <w:tcPr>
            <w:tcW w:w="422" w:type="pct"/>
            <w:vAlign w:val="center"/>
          </w:tcPr>
          <w:p w14:paraId="50497DBC" w14:textId="77777777" w:rsidR="00F829E8" w:rsidRPr="001C7D14" w:rsidRDefault="00F829E8" w:rsidP="00F829E8">
            <w:pPr>
              <w:spacing w:after="40" w:line="240" w:lineRule="auto"/>
              <w:jc w:val="center"/>
            </w:pPr>
            <w:r w:rsidRPr="001C7D14">
              <w:t>.32**</w:t>
            </w:r>
          </w:p>
        </w:tc>
        <w:tc>
          <w:tcPr>
            <w:tcW w:w="421" w:type="pct"/>
            <w:vAlign w:val="center"/>
          </w:tcPr>
          <w:p w14:paraId="2E698444" w14:textId="77777777" w:rsidR="00F829E8" w:rsidRPr="001C7D14" w:rsidRDefault="00F829E8" w:rsidP="00F829E8">
            <w:pPr>
              <w:spacing w:after="40" w:line="240" w:lineRule="auto"/>
              <w:jc w:val="center"/>
            </w:pPr>
            <w:r w:rsidRPr="001C7D14">
              <w:t>.56**</w:t>
            </w:r>
          </w:p>
        </w:tc>
        <w:tc>
          <w:tcPr>
            <w:tcW w:w="422" w:type="pct"/>
            <w:vAlign w:val="center"/>
          </w:tcPr>
          <w:p w14:paraId="2103FEEB" w14:textId="77777777" w:rsidR="00F829E8" w:rsidRPr="001C7D14" w:rsidRDefault="00F829E8" w:rsidP="00F829E8">
            <w:pPr>
              <w:spacing w:after="40" w:line="240" w:lineRule="auto"/>
              <w:jc w:val="center"/>
            </w:pPr>
            <w:r w:rsidRPr="001C7D14">
              <w:t>--</w:t>
            </w:r>
          </w:p>
        </w:tc>
        <w:tc>
          <w:tcPr>
            <w:tcW w:w="421" w:type="pct"/>
            <w:vAlign w:val="center"/>
          </w:tcPr>
          <w:p w14:paraId="31574B86" w14:textId="77777777" w:rsidR="00F829E8" w:rsidRPr="001C7D14" w:rsidRDefault="00F829E8" w:rsidP="00F829E8">
            <w:pPr>
              <w:spacing w:after="40" w:line="240" w:lineRule="auto"/>
              <w:jc w:val="center"/>
            </w:pPr>
          </w:p>
        </w:tc>
        <w:tc>
          <w:tcPr>
            <w:tcW w:w="422" w:type="pct"/>
            <w:vAlign w:val="center"/>
          </w:tcPr>
          <w:p w14:paraId="7CF91876" w14:textId="77777777" w:rsidR="00F829E8" w:rsidRPr="001C7D14" w:rsidRDefault="00F829E8" w:rsidP="00F829E8">
            <w:pPr>
              <w:spacing w:after="40" w:line="240" w:lineRule="auto"/>
              <w:jc w:val="center"/>
            </w:pPr>
          </w:p>
        </w:tc>
        <w:tc>
          <w:tcPr>
            <w:tcW w:w="422" w:type="pct"/>
            <w:vAlign w:val="center"/>
          </w:tcPr>
          <w:p w14:paraId="7B2C5D53" w14:textId="77777777" w:rsidR="00F829E8" w:rsidRPr="001C7D14" w:rsidRDefault="00F829E8" w:rsidP="00F829E8">
            <w:pPr>
              <w:spacing w:after="40" w:line="240" w:lineRule="auto"/>
              <w:jc w:val="center"/>
            </w:pPr>
          </w:p>
        </w:tc>
      </w:tr>
      <w:tr w:rsidR="00F829E8" w:rsidRPr="001C7D14" w14:paraId="5AC341E8" w14:textId="77777777" w:rsidTr="00D908B0">
        <w:tc>
          <w:tcPr>
            <w:tcW w:w="1207" w:type="pct"/>
          </w:tcPr>
          <w:p w14:paraId="1478DE2B" w14:textId="77777777" w:rsidR="00F829E8" w:rsidRPr="001C7D14" w:rsidRDefault="00F829E8" w:rsidP="00F829E8">
            <w:pPr>
              <w:spacing w:after="40" w:line="240" w:lineRule="auto"/>
              <w:ind w:left="319" w:hanging="319"/>
            </w:pPr>
            <w:r w:rsidRPr="001C7D14">
              <w:t>7. Machiavellianism</w:t>
            </w:r>
          </w:p>
        </w:tc>
        <w:tc>
          <w:tcPr>
            <w:tcW w:w="421" w:type="pct"/>
            <w:vAlign w:val="center"/>
          </w:tcPr>
          <w:p w14:paraId="7BEFDE6D" w14:textId="77777777" w:rsidR="00F829E8" w:rsidRPr="001C7D14" w:rsidRDefault="00F829E8" w:rsidP="00F829E8">
            <w:pPr>
              <w:spacing w:after="40" w:line="240" w:lineRule="auto"/>
              <w:jc w:val="center"/>
            </w:pPr>
            <w:r w:rsidRPr="001C7D14">
              <w:t>-.17</w:t>
            </w:r>
          </w:p>
        </w:tc>
        <w:tc>
          <w:tcPr>
            <w:tcW w:w="422" w:type="pct"/>
            <w:vAlign w:val="center"/>
          </w:tcPr>
          <w:p w14:paraId="3C34EE63" w14:textId="77777777" w:rsidR="00F829E8" w:rsidRPr="001C7D14" w:rsidRDefault="00F829E8" w:rsidP="00F829E8">
            <w:pPr>
              <w:spacing w:after="40" w:line="240" w:lineRule="auto"/>
              <w:jc w:val="center"/>
            </w:pPr>
            <w:r w:rsidRPr="001C7D14">
              <w:t>-.19</w:t>
            </w:r>
          </w:p>
        </w:tc>
        <w:tc>
          <w:tcPr>
            <w:tcW w:w="421" w:type="pct"/>
            <w:vAlign w:val="center"/>
          </w:tcPr>
          <w:p w14:paraId="55AA304B" w14:textId="77777777" w:rsidR="00F829E8" w:rsidRPr="001C7D14" w:rsidRDefault="00F829E8" w:rsidP="00F829E8">
            <w:pPr>
              <w:spacing w:after="40" w:line="240" w:lineRule="auto"/>
              <w:jc w:val="center"/>
            </w:pPr>
            <w:r w:rsidRPr="001C7D14">
              <w:t>-.10</w:t>
            </w:r>
          </w:p>
        </w:tc>
        <w:tc>
          <w:tcPr>
            <w:tcW w:w="422" w:type="pct"/>
            <w:vAlign w:val="center"/>
          </w:tcPr>
          <w:p w14:paraId="7D0B8F66" w14:textId="77777777" w:rsidR="00F829E8" w:rsidRPr="001C7D14" w:rsidRDefault="00F829E8" w:rsidP="00F829E8">
            <w:pPr>
              <w:spacing w:after="40" w:line="240" w:lineRule="auto"/>
              <w:jc w:val="center"/>
            </w:pPr>
            <w:r w:rsidRPr="001C7D14">
              <w:t>-.10</w:t>
            </w:r>
          </w:p>
        </w:tc>
        <w:tc>
          <w:tcPr>
            <w:tcW w:w="421" w:type="pct"/>
            <w:vAlign w:val="center"/>
          </w:tcPr>
          <w:p w14:paraId="3F893A4F" w14:textId="77777777" w:rsidR="00F829E8" w:rsidRPr="001C7D14" w:rsidRDefault="00F829E8" w:rsidP="00F829E8">
            <w:pPr>
              <w:spacing w:after="40" w:line="240" w:lineRule="auto"/>
              <w:jc w:val="center"/>
            </w:pPr>
            <w:r w:rsidRPr="001C7D14">
              <w:t>-.15</w:t>
            </w:r>
          </w:p>
        </w:tc>
        <w:tc>
          <w:tcPr>
            <w:tcW w:w="422" w:type="pct"/>
            <w:vAlign w:val="center"/>
          </w:tcPr>
          <w:p w14:paraId="0E8EC517" w14:textId="77777777" w:rsidR="00F829E8" w:rsidRPr="001C7D14" w:rsidRDefault="00F829E8" w:rsidP="00F829E8">
            <w:pPr>
              <w:spacing w:after="40" w:line="240" w:lineRule="auto"/>
              <w:jc w:val="center"/>
            </w:pPr>
            <w:r w:rsidRPr="001C7D14">
              <w:t>-.25*</w:t>
            </w:r>
          </w:p>
        </w:tc>
        <w:tc>
          <w:tcPr>
            <w:tcW w:w="421" w:type="pct"/>
            <w:vAlign w:val="center"/>
          </w:tcPr>
          <w:p w14:paraId="162BB569" w14:textId="77777777" w:rsidR="00F829E8" w:rsidRPr="001C7D14" w:rsidRDefault="00F829E8" w:rsidP="00F829E8">
            <w:pPr>
              <w:spacing w:after="40" w:line="240" w:lineRule="auto"/>
              <w:jc w:val="center"/>
            </w:pPr>
            <w:r w:rsidRPr="001C7D14">
              <w:t>--</w:t>
            </w:r>
          </w:p>
        </w:tc>
        <w:tc>
          <w:tcPr>
            <w:tcW w:w="422" w:type="pct"/>
            <w:vAlign w:val="center"/>
          </w:tcPr>
          <w:p w14:paraId="25DB3D83" w14:textId="77777777" w:rsidR="00F829E8" w:rsidRPr="001C7D14" w:rsidRDefault="00F829E8" w:rsidP="00F829E8">
            <w:pPr>
              <w:spacing w:after="40" w:line="240" w:lineRule="auto"/>
              <w:jc w:val="center"/>
            </w:pPr>
          </w:p>
        </w:tc>
        <w:tc>
          <w:tcPr>
            <w:tcW w:w="422" w:type="pct"/>
            <w:vAlign w:val="center"/>
          </w:tcPr>
          <w:p w14:paraId="66D37F30" w14:textId="77777777" w:rsidR="00F829E8" w:rsidRPr="001C7D14" w:rsidRDefault="00F829E8" w:rsidP="00F829E8">
            <w:pPr>
              <w:spacing w:after="40" w:line="240" w:lineRule="auto"/>
              <w:jc w:val="center"/>
            </w:pPr>
          </w:p>
        </w:tc>
      </w:tr>
      <w:tr w:rsidR="00F829E8" w:rsidRPr="001C7D14" w14:paraId="7A902BBC" w14:textId="77777777" w:rsidTr="00D908B0">
        <w:tc>
          <w:tcPr>
            <w:tcW w:w="1207" w:type="pct"/>
          </w:tcPr>
          <w:p w14:paraId="0FC44996" w14:textId="77777777" w:rsidR="00F829E8" w:rsidRPr="001C7D14" w:rsidRDefault="00F829E8" w:rsidP="00F829E8">
            <w:pPr>
              <w:spacing w:after="40" w:line="240" w:lineRule="auto"/>
              <w:ind w:left="319" w:hanging="319"/>
            </w:pPr>
            <w:r w:rsidRPr="001C7D14">
              <w:t>8. Narcissism</w:t>
            </w:r>
          </w:p>
        </w:tc>
        <w:tc>
          <w:tcPr>
            <w:tcW w:w="421" w:type="pct"/>
            <w:vAlign w:val="center"/>
          </w:tcPr>
          <w:p w14:paraId="7847ACF8" w14:textId="77777777" w:rsidR="00F829E8" w:rsidRPr="001C7D14" w:rsidRDefault="00F829E8" w:rsidP="00F829E8">
            <w:pPr>
              <w:spacing w:after="40" w:line="240" w:lineRule="auto"/>
              <w:jc w:val="center"/>
            </w:pPr>
            <w:r w:rsidRPr="001C7D14">
              <w:t>.16</w:t>
            </w:r>
          </w:p>
        </w:tc>
        <w:tc>
          <w:tcPr>
            <w:tcW w:w="422" w:type="pct"/>
            <w:vAlign w:val="center"/>
          </w:tcPr>
          <w:p w14:paraId="70C3B01C" w14:textId="77777777" w:rsidR="00F829E8" w:rsidRPr="001C7D14" w:rsidRDefault="00F829E8" w:rsidP="00F829E8">
            <w:pPr>
              <w:spacing w:after="40" w:line="240" w:lineRule="auto"/>
              <w:jc w:val="center"/>
            </w:pPr>
            <w:r w:rsidRPr="001C7D14">
              <w:t>.08</w:t>
            </w:r>
          </w:p>
        </w:tc>
        <w:tc>
          <w:tcPr>
            <w:tcW w:w="421" w:type="pct"/>
            <w:vAlign w:val="center"/>
          </w:tcPr>
          <w:p w14:paraId="1E48127E" w14:textId="77777777" w:rsidR="00F829E8" w:rsidRPr="001C7D14" w:rsidRDefault="00F829E8" w:rsidP="00F829E8">
            <w:pPr>
              <w:spacing w:after="40" w:line="240" w:lineRule="auto"/>
              <w:jc w:val="center"/>
            </w:pPr>
            <w:r w:rsidRPr="001C7D14">
              <w:t>.14</w:t>
            </w:r>
          </w:p>
        </w:tc>
        <w:tc>
          <w:tcPr>
            <w:tcW w:w="422" w:type="pct"/>
            <w:vAlign w:val="center"/>
          </w:tcPr>
          <w:p w14:paraId="4DFA2A0A" w14:textId="77777777" w:rsidR="00F829E8" w:rsidRPr="001C7D14" w:rsidRDefault="00F829E8" w:rsidP="00F829E8">
            <w:pPr>
              <w:spacing w:after="40" w:line="240" w:lineRule="auto"/>
              <w:jc w:val="center"/>
            </w:pPr>
            <w:r w:rsidRPr="001C7D14">
              <w:t>.21*</w:t>
            </w:r>
          </w:p>
        </w:tc>
        <w:tc>
          <w:tcPr>
            <w:tcW w:w="421" w:type="pct"/>
            <w:vAlign w:val="center"/>
          </w:tcPr>
          <w:p w14:paraId="112B994D" w14:textId="77777777" w:rsidR="00F829E8" w:rsidRPr="001C7D14" w:rsidRDefault="00F829E8" w:rsidP="00F829E8">
            <w:pPr>
              <w:spacing w:after="40" w:line="240" w:lineRule="auto"/>
              <w:jc w:val="center"/>
            </w:pPr>
            <w:r w:rsidRPr="001C7D14">
              <w:t>.14</w:t>
            </w:r>
          </w:p>
        </w:tc>
        <w:tc>
          <w:tcPr>
            <w:tcW w:w="422" w:type="pct"/>
            <w:vAlign w:val="center"/>
          </w:tcPr>
          <w:p w14:paraId="50A4E661" w14:textId="77777777" w:rsidR="00F829E8" w:rsidRPr="001C7D14" w:rsidRDefault="00F829E8" w:rsidP="00F829E8">
            <w:pPr>
              <w:spacing w:after="40" w:line="240" w:lineRule="auto"/>
              <w:jc w:val="center"/>
            </w:pPr>
            <w:r w:rsidRPr="001C7D14">
              <w:t>.15</w:t>
            </w:r>
          </w:p>
        </w:tc>
        <w:tc>
          <w:tcPr>
            <w:tcW w:w="421" w:type="pct"/>
            <w:vAlign w:val="center"/>
          </w:tcPr>
          <w:p w14:paraId="6126F50C" w14:textId="77777777" w:rsidR="00F829E8" w:rsidRPr="001C7D14" w:rsidRDefault="00F829E8" w:rsidP="00F829E8">
            <w:pPr>
              <w:spacing w:after="40" w:line="240" w:lineRule="auto"/>
              <w:jc w:val="center"/>
            </w:pPr>
            <w:r w:rsidRPr="001C7D14">
              <w:t>.26*</w:t>
            </w:r>
          </w:p>
        </w:tc>
        <w:tc>
          <w:tcPr>
            <w:tcW w:w="422" w:type="pct"/>
            <w:vAlign w:val="center"/>
          </w:tcPr>
          <w:p w14:paraId="2E93B716" w14:textId="77777777" w:rsidR="00F829E8" w:rsidRPr="001C7D14" w:rsidRDefault="00F829E8" w:rsidP="00F829E8">
            <w:pPr>
              <w:spacing w:after="40" w:line="240" w:lineRule="auto"/>
              <w:jc w:val="center"/>
            </w:pPr>
            <w:r w:rsidRPr="001C7D14">
              <w:t>--</w:t>
            </w:r>
          </w:p>
        </w:tc>
        <w:tc>
          <w:tcPr>
            <w:tcW w:w="422" w:type="pct"/>
            <w:vAlign w:val="center"/>
          </w:tcPr>
          <w:p w14:paraId="73E385C7" w14:textId="77777777" w:rsidR="00F829E8" w:rsidRPr="001C7D14" w:rsidRDefault="00F829E8" w:rsidP="00F829E8">
            <w:pPr>
              <w:spacing w:after="40" w:line="240" w:lineRule="auto"/>
              <w:jc w:val="center"/>
            </w:pPr>
          </w:p>
        </w:tc>
      </w:tr>
      <w:tr w:rsidR="00F829E8" w:rsidRPr="001C7D14" w14:paraId="4F9271FA" w14:textId="77777777" w:rsidTr="00D908B0">
        <w:tc>
          <w:tcPr>
            <w:tcW w:w="1207" w:type="pct"/>
            <w:tcBorders>
              <w:bottom w:val="single" w:sz="12" w:space="0" w:color="auto"/>
            </w:tcBorders>
          </w:tcPr>
          <w:p w14:paraId="07EAC2A9" w14:textId="77777777" w:rsidR="00F829E8" w:rsidRPr="001C7D14" w:rsidRDefault="00F829E8" w:rsidP="00F829E8">
            <w:pPr>
              <w:spacing w:after="40" w:line="240" w:lineRule="auto"/>
              <w:ind w:left="319" w:hanging="319"/>
            </w:pPr>
            <w:r w:rsidRPr="001C7D14">
              <w:t>9. Psychopathy</w:t>
            </w:r>
          </w:p>
        </w:tc>
        <w:tc>
          <w:tcPr>
            <w:tcW w:w="421" w:type="pct"/>
            <w:tcBorders>
              <w:bottom w:val="single" w:sz="12" w:space="0" w:color="auto"/>
            </w:tcBorders>
            <w:vAlign w:val="center"/>
          </w:tcPr>
          <w:p w14:paraId="543A8E82" w14:textId="77777777" w:rsidR="00F829E8" w:rsidRPr="001C7D14" w:rsidRDefault="00F829E8" w:rsidP="00F829E8">
            <w:pPr>
              <w:spacing w:after="40" w:line="240" w:lineRule="auto"/>
              <w:jc w:val="center"/>
            </w:pPr>
            <w:r w:rsidRPr="001C7D14">
              <w:t>-.19</w:t>
            </w:r>
          </w:p>
        </w:tc>
        <w:tc>
          <w:tcPr>
            <w:tcW w:w="422" w:type="pct"/>
            <w:tcBorders>
              <w:bottom w:val="single" w:sz="12" w:space="0" w:color="auto"/>
            </w:tcBorders>
            <w:vAlign w:val="center"/>
          </w:tcPr>
          <w:p w14:paraId="6579E525" w14:textId="77777777" w:rsidR="00F829E8" w:rsidRPr="001C7D14" w:rsidRDefault="00F829E8" w:rsidP="00F829E8">
            <w:pPr>
              <w:spacing w:after="40" w:line="240" w:lineRule="auto"/>
              <w:jc w:val="center"/>
            </w:pPr>
            <w:r w:rsidRPr="001C7D14">
              <w:t>-.21*</w:t>
            </w:r>
          </w:p>
        </w:tc>
        <w:tc>
          <w:tcPr>
            <w:tcW w:w="421" w:type="pct"/>
            <w:tcBorders>
              <w:bottom w:val="single" w:sz="12" w:space="0" w:color="auto"/>
            </w:tcBorders>
            <w:vAlign w:val="center"/>
          </w:tcPr>
          <w:p w14:paraId="1058A711" w14:textId="77777777" w:rsidR="00F829E8" w:rsidRPr="001C7D14" w:rsidRDefault="00F829E8" w:rsidP="00F829E8">
            <w:pPr>
              <w:spacing w:after="40" w:line="240" w:lineRule="auto"/>
              <w:jc w:val="center"/>
            </w:pPr>
            <w:r w:rsidRPr="001C7D14">
              <w:t>-.14</w:t>
            </w:r>
          </w:p>
        </w:tc>
        <w:tc>
          <w:tcPr>
            <w:tcW w:w="422" w:type="pct"/>
            <w:tcBorders>
              <w:bottom w:val="single" w:sz="12" w:space="0" w:color="auto"/>
            </w:tcBorders>
            <w:vAlign w:val="center"/>
          </w:tcPr>
          <w:p w14:paraId="340DFCDC" w14:textId="77777777" w:rsidR="00F829E8" w:rsidRPr="001C7D14" w:rsidRDefault="00F829E8" w:rsidP="00F829E8">
            <w:pPr>
              <w:spacing w:after="40" w:line="240" w:lineRule="auto"/>
              <w:jc w:val="center"/>
            </w:pPr>
            <w:r w:rsidRPr="001C7D14">
              <w:t>-.10</w:t>
            </w:r>
          </w:p>
        </w:tc>
        <w:tc>
          <w:tcPr>
            <w:tcW w:w="421" w:type="pct"/>
            <w:tcBorders>
              <w:bottom w:val="single" w:sz="12" w:space="0" w:color="auto"/>
            </w:tcBorders>
            <w:vAlign w:val="center"/>
          </w:tcPr>
          <w:p w14:paraId="17AA5AEB" w14:textId="77777777" w:rsidR="00F829E8" w:rsidRPr="001C7D14" w:rsidRDefault="00F829E8" w:rsidP="00F829E8">
            <w:pPr>
              <w:spacing w:after="40" w:line="240" w:lineRule="auto"/>
              <w:jc w:val="center"/>
            </w:pPr>
            <w:r w:rsidRPr="001C7D14">
              <w:t>-.09</w:t>
            </w:r>
          </w:p>
        </w:tc>
        <w:tc>
          <w:tcPr>
            <w:tcW w:w="422" w:type="pct"/>
            <w:tcBorders>
              <w:bottom w:val="single" w:sz="12" w:space="0" w:color="auto"/>
            </w:tcBorders>
            <w:vAlign w:val="center"/>
          </w:tcPr>
          <w:p w14:paraId="7D6E986C" w14:textId="77777777" w:rsidR="00F829E8" w:rsidRPr="001C7D14" w:rsidRDefault="00F829E8" w:rsidP="00F829E8">
            <w:pPr>
              <w:spacing w:after="40" w:line="240" w:lineRule="auto"/>
              <w:jc w:val="center"/>
            </w:pPr>
            <w:r w:rsidRPr="001C7D14">
              <w:t>-.09</w:t>
            </w:r>
          </w:p>
        </w:tc>
        <w:tc>
          <w:tcPr>
            <w:tcW w:w="421" w:type="pct"/>
            <w:tcBorders>
              <w:bottom w:val="single" w:sz="12" w:space="0" w:color="auto"/>
            </w:tcBorders>
            <w:vAlign w:val="center"/>
          </w:tcPr>
          <w:p w14:paraId="16DA6A23" w14:textId="77777777" w:rsidR="00F829E8" w:rsidRPr="001C7D14" w:rsidRDefault="00F829E8" w:rsidP="00F829E8">
            <w:pPr>
              <w:spacing w:after="40" w:line="240" w:lineRule="auto"/>
              <w:jc w:val="center"/>
            </w:pPr>
            <w:r w:rsidRPr="001C7D14">
              <w:t>.49**</w:t>
            </w:r>
          </w:p>
        </w:tc>
        <w:tc>
          <w:tcPr>
            <w:tcW w:w="422" w:type="pct"/>
            <w:tcBorders>
              <w:bottom w:val="single" w:sz="12" w:space="0" w:color="auto"/>
            </w:tcBorders>
            <w:vAlign w:val="center"/>
          </w:tcPr>
          <w:p w14:paraId="542680C7" w14:textId="77777777" w:rsidR="00F829E8" w:rsidRPr="001C7D14" w:rsidRDefault="00F829E8" w:rsidP="00F829E8">
            <w:pPr>
              <w:spacing w:after="40" w:line="240" w:lineRule="auto"/>
              <w:jc w:val="center"/>
            </w:pPr>
            <w:r w:rsidRPr="001C7D14">
              <w:t>.40**</w:t>
            </w:r>
          </w:p>
        </w:tc>
        <w:tc>
          <w:tcPr>
            <w:tcW w:w="422" w:type="pct"/>
            <w:tcBorders>
              <w:bottom w:val="single" w:sz="12" w:space="0" w:color="auto"/>
            </w:tcBorders>
            <w:vAlign w:val="center"/>
          </w:tcPr>
          <w:p w14:paraId="642737BE" w14:textId="77777777" w:rsidR="00F829E8" w:rsidRPr="001C7D14" w:rsidRDefault="00F829E8" w:rsidP="00F829E8">
            <w:pPr>
              <w:spacing w:after="40" w:line="240" w:lineRule="auto"/>
              <w:jc w:val="center"/>
            </w:pPr>
            <w:r w:rsidRPr="001C7D14">
              <w:t>--</w:t>
            </w:r>
          </w:p>
        </w:tc>
      </w:tr>
    </w:tbl>
    <w:p w14:paraId="6FB36AA6" w14:textId="44C6E12F" w:rsidR="00F829E8" w:rsidRPr="001C7D14" w:rsidRDefault="0089707D" w:rsidP="00F829E8">
      <w:pPr>
        <w:spacing w:line="240" w:lineRule="auto"/>
        <w:rPr>
          <w:lang w:val="en-CA" w:eastAsia="en-US"/>
        </w:rPr>
      </w:pPr>
      <w:r>
        <w:rPr>
          <w:i/>
          <w:iCs/>
        </w:rPr>
        <w:t xml:space="preserve">Note: </w:t>
      </w:r>
      <w:r w:rsidR="00F829E8" w:rsidRPr="001C7D14">
        <w:t xml:space="preserve">* </w:t>
      </w:r>
      <w:r w:rsidR="00F829E8" w:rsidRPr="001C7D14">
        <w:rPr>
          <w:i/>
          <w:iCs/>
        </w:rPr>
        <w:t>p</w:t>
      </w:r>
      <w:r w:rsidR="00F829E8" w:rsidRPr="001C7D14">
        <w:t xml:space="preserve"> ≤ 0.05</w:t>
      </w:r>
      <w:r>
        <w:t xml:space="preserve">; </w:t>
      </w:r>
      <w:r w:rsidR="00F829E8" w:rsidRPr="001C7D14">
        <w:rPr>
          <w:i/>
          <w:iCs/>
        </w:rPr>
        <w:t>** p</w:t>
      </w:r>
      <w:r w:rsidR="00F829E8" w:rsidRPr="001C7D14">
        <w:t xml:space="preserve"> ≤ 0.01</w:t>
      </w:r>
      <w:r>
        <w:t xml:space="preserve">; </w:t>
      </w:r>
      <w:r w:rsidR="00F829E8" w:rsidRPr="001C7D14">
        <w:rPr>
          <w:i/>
          <w:iCs/>
          <w:lang w:val="en-CA" w:eastAsia="en-US"/>
        </w:rPr>
        <w:t>** p</w:t>
      </w:r>
      <w:r w:rsidR="00F829E8" w:rsidRPr="001C7D14">
        <w:rPr>
          <w:lang w:val="en-CA" w:eastAsia="en-US"/>
        </w:rPr>
        <w:t xml:space="preserve"> ≤ 0.01</w:t>
      </w:r>
    </w:p>
    <w:bookmarkEnd w:id="7"/>
    <w:p w14:paraId="510F4AFB" w14:textId="77777777" w:rsidR="00F829E8" w:rsidRPr="001C7D14" w:rsidRDefault="00F829E8" w:rsidP="00F829E8">
      <w:pPr>
        <w:spacing w:line="240" w:lineRule="auto"/>
      </w:pPr>
    </w:p>
    <w:p w14:paraId="7E9DF43A" w14:textId="4FEA3A5E" w:rsidR="00F829E8" w:rsidRPr="001C7D14" w:rsidRDefault="00F829E8" w:rsidP="00F829E8">
      <w:r w:rsidRPr="001C7D14">
        <w:br w:type="page"/>
      </w:r>
    </w:p>
    <w:p w14:paraId="7A980ED4" w14:textId="524636AD" w:rsidR="00F829E8" w:rsidRPr="001C7D14" w:rsidRDefault="00F829E8" w:rsidP="00F829E8">
      <w:pPr>
        <w:pStyle w:val="Figurecaption"/>
        <w:spacing w:before="0" w:line="240" w:lineRule="auto"/>
        <w:rPr>
          <w:i/>
          <w:iCs/>
        </w:rPr>
      </w:pPr>
      <w:r w:rsidRPr="001C7D14">
        <w:rPr>
          <w:b/>
          <w:bCs/>
        </w:rPr>
        <w:lastRenderedPageBreak/>
        <w:t>Table 2</w:t>
      </w:r>
      <w:r w:rsidR="0089707D">
        <w:rPr>
          <w:b/>
          <w:bCs/>
        </w:rPr>
        <w:t xml:space="preserve">. </w:t>
      </w:r>
      <w:r w:rsidRPr="0089707D">
        <w:rPr>
          <w:b/>
          <w:bCs/>
        </w:rPr>
        <w:t xml:space="preserve">Prediction of </w:t>
      </w:r>
      <w:r w:rsidR="0089707D" w:rsidRPr="0089707D">
        <w:rPr>
          <w:b/>
          <w:bCs/>
        </w:rPr>
        <w:t>engagement, understanding of employability, and attitudes towards employ</w:t>
      </w:r>
      <w:r w:rsidRPr="0089707D">
        <w:rPr>
          <w:b/>
          <w:bCs/>
        </w:rPr>
        <w:t xml:space="preserve">ability by Dark Triad </w:t>
      </w:r>
      <w:r w:rsidR="0089707D" w:rsidRPr="0089707D">
        <w:rPr>
          <w:b/>
          <w:bCs/>
        </w:rPr>
        <w:t>personality traits.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911"/>
        <w:gridCol w:w="912"/>
        <w:gridCol w:w="910"/>
        <w:gridCol w:w="911"/>
        <w:gridCol w:w="941"/>
        <w:gridCol w:w="911"/>
        <w:gridCol w:w="911"/>
      </w:tblGrid>
      <w:tr w:rsidR="00F829E8" w:rsidRPr="001C7D14" w14:paraId="418DD9B6" w14:textId="77777777" w:rsidTr="00D908B0">
        <w:tc>
          <w:tcPr>
            <w:tcW w:w="2689" w:type="dxa"/>
            <w:tcBorders>
              <w:top w:val="single" w:sz="12" w:space="0" w:color="auto"/>
            </w:tcBorders>
          </w:tcPr>
          <w:p w14:paraId="367DD0E1" w14:textId="77777777" w:rsidR="00F829E8" w:rsidRPr="001C7D14" w:rsidRDefault="00F829E8" w:rsidP="00D908B0">
            <w:pPr>
              <w:spacing w:line="240" w:lineRule="auto"/>
            </w:pPr>
          </w:p>
        </w:tc>
        <w:tc>
          <w:tcPr>
            <w:tcW w:w="951" w:type="dxa"/>
            <w:tcBorders>
              <w:top w:val="single" w:sz="12" w:space="0" w:color="auto"/>
            </w:tcBorders>
          </w:tcPr>
          <w:p w14:paraId="13C316F1" w14:textId="77777777" w:rsidR="00F829E8" w:rsidRPr="001C7D14" w:rsidRDefault="00F829E8" w:rsidP="00D908B0">
            <w:pPr>
              <w:spacing w:line="240" w:lineRule="auto"/>
              <w:jc w:val="center"/>
              <w:rPr>
                <w:i/>
                <w:iCs/>
              </w:rPr>
            </w:pPr>
            <w:r w:rsidRPr="001C7D14">
              <w:rPr>
                <w:i/>
                <w:iCs/>
              </w:rPr>
              <w:t>B</w:t>
            </w:r>
          </w:p>
        </w:tc>
        <w:tc>
          <w:tcPr>
            <w:tcW w:w="1903" w:type="dxa"/>
            <w:gridSpan w:val="2"/>
            <w:tcBorders>
              <w:top w:val="single" w:sz="12" w:space="0" w:color="auto"/>
            </w:tcBorders>
          </w:tcPr>
          <w:p w14:paraId="3E53CECD" w14:textId="77777777" w:rsidR="00F829E8" w:rsidRPr="001C7D14" w:rsidRDefault="00F829E8" w:rsidP="00D908B0">
            <w:pPr>
              <w:spacing w:line="240" w:lineRule="auto"/>
              <w:jc w:val="center"/>
            </w:pPr>
            <w:r w:rsidRPr="001C7D14">
              <w:t xml:space="preserve">95% CI for </w:t>
            </w:r>
            <w:r w:rsidRPr="001C7D14">
              <w:rPr>
                <w:i/>
                <w:iCs/>
              </w:rPr>
              <w:t>B</w:t>
            </w:r>
          </w:p>
        </w:tc>
        <w:tc>
          <w:tcPr>
            <w:tcW w:w="952" w:type="dxa"/>
            <w:tcBorders>
              <w:top w:val="single" w:sz="12" w:space="0" w:color="auto"/>
            </w:tcBorders>
          </w:tcPr>
          <w:p w14:paraId="3031719B" w14:textId="77777777" w:rsidR="00F829E8" w:rsidRPr="001C7D14" w:rsidRDefault="00F829E8" w:rsidP="00D908B0">
            <w:pPr>
              <w:spacing w:line="240" w:lineRule="auto"/>
              <w:jc w:val="center"/>
              <w:rPr>
                <w:i/>
                <w:iCs/>
              </w:rPr>
            </w:pPr>
            <w:r w:rsidRPr="001C7D14">
              <w:rPr>
                <w:i/>
                <w:iCs/>
              </w:rPr>
              <w:t>SE</w:t>
            </w:r>
          </w:p>
        </w:tc>
        <w:tc>
          <w:tcPr>
            <w:tcW w:w="951" w:type="dxa"/>
            <w:tcBorders>
              <w:top w:val="single" w:sz="12" w:space="0" w:color="auto"/>
            </w:tcBorders>
          </w:tcPr>
          <w:p w14:paraId="73E006B2" w14:textId="77777777" w:rsidR="00F829E8" w:rsidRPr="001C7D14" w:rsidRDefault="00F829E8" w:rsidP="00D908B0">
            <w:pPr>
              <w:spacing w:line="240" w:lineRule="auto"/>
              <w:jc w:val="center"/>
            </w:pPr>
            <w:r w:rsidRPr="001C7D14">
              <w:t>β</w:t>
            </w:r>
          </w:p>
        </w:tc>
        <w:tc>
          <w:tcPr>
            <w:tcW w:w="952" w:type="dxa"/>
            <w:tcBorders>
              <w:top w:val="single" w:sz="12" w:space="0" w:color="auto"/>
            </w:tcBorders>
          </w:tcPr>
          <w:p w14:paraId="746DCE20" w14:textId="77777777" w:rsidR="00F829E8" w:rsidRPr="001C7D14" w:rsidRDefault="00F829E8" w:rsidP="00D908B0">
            <w:pPr>
              <w:spacing w:line="240" w:lineRule="auto"/>
              <w:jc w:val="center"/>
              <w:rPr>
                <w:i/>
                <w:iCs/>
                <w:vertAlign w:val="superscript"/>
              </w:rPr>
            </w:pPr>
            <w:r w:rsidRPr="001C7D14">
              <w:rPr>
                <w:i/>
                <w:iCs/>
              </w:rPr>
              <w:t>R</w:t>
            </w:r>
            <w:r w:rsidRPr="001C7D14">
              <w:rPr>
                <w:i/>
                <w:iCs/>
                <w:vertAlign w:val="superscript"/>
              </w:rPr>
              <w:t>2</w:t>
            </w:r>
          </w:p>
        </w:tc>
        <w:tc>
          <w:tcPr>
            <w:tcW w:w="952" w:type="dxa"/>
            <w:tcBorders>
              <w:top w:val="single" w:sz="12" w:space="0" w:color="auto"/>
            </w:tcBorders>
          </w:tcPr>
          <w:p w14:paraId="33899E62" w14:textId="77777777" w:rsidR="00F829E8" w:rsidRPr="001C7D14" w:rsidRDefault="00F829E8" w:rsidP="00D908B0">
            <w:pPr>
              <w:spacing w:line="240" w:lineRule="auto"/>
              <w:jc w:val="center"/>
            </w:pPr>
            <w:r w:rsidRPr="001C7D14">
              <w:t>Δ</w:t>
            </w:r>
            <w:r w:rsidRPr="001C7D14">
              <w:rPr>
                <w:i/>
                <w:iCs/>
              </w:rPr>
              <w:t>R</w:t>
            </w:r>
            <w:r w:rsidRPr="001C7D14">
              <w:rPr>
                <w:i/>
                <w:iCs/>
                <w:vertAlign w:val="superscript"/>
              </w:rPr>
              <w:t>2</w:t>
            </w:r>
          </w:p>
        </w:tc>
      </w:tr>
      <w:tr w:rsidR="00F829E8" w:rsidRPr="001C7D14" w14:paraId="5D95C557" w14:textId="77777777" w:rsidTr="00D908B0">
        <w:tc>
          <w:tcPr>
            <w:tcW w:w="2689" w:type="dxa"/>
            <w:tcBorders>
              <w:bottom w:val="single" w:sz="4" w:space="0" w:color="auto"/>
            </w:tcBorders>
          </w:tcPr>
          <w:p w14:paraId="79E5F939" w14:textId="77777777" w:rsidR="00F829E8" w:rsidRPr="001C7D14" w:rsidRDefault="00F829E8" w:rsidP="00D908B0">
            <w:pPr>
              <w:spacing w:line="240" w:lineRule="auto"/>
            </w:pPr>
          </w:p>
        </w:tc>
        <w:tc>
          <w:tcPr>
            <w:tcW w:w="951" w:type="dxa"/>
            <w:tcBorders>
              <w:bottom w:val="single" w:sz="4" w:space="0" w:color="auto"/>
            </w:tcBorders>
          </w:tcPr>
          <w:p w14:paraId="0697054F" w14:textId="77777777" w:rsidR="00F829E8" w:rsidRPr="001C7D14" w:rsidRDefault="00F829E8" w:rsidP="00D908B0">
            <w:pPr>
              <w:spacing w:line="240" w:lineRule="auto"/>
              <w:jc w:val="center"/>
            </w:pPr>
          </w:p>
        </w:tc>
        <w:tc>
          <w:tcPr>
            <w:tcW w:w="952" w:type="dxa"/>
            <w:tcBorders>
              <w:top w:val="single" w:sz="4" w:space="0" w:color="auto"/>
              <w:bottom w:val="single" w:sz="4" w:space="0" w:color="auto"/>
            </w:tcBorders>
          </w:tcPr>
          <w:p w14:paraId="6AB35614" w14:textId="77777777" w:rsidR="00F829E8" w:rsidRPr="001C7D14" w:rsidRDefault="00F829E8" w:rsidP="00D908B0">
            <w:pPr>
              <w:spacing w:line="240" w:lineRule="auto"/>
              <w:jc w:val="center"/>
              <w:rPr>
                <w:i/>
                <w:iCs/>
              </w:rPr>
            </w:pPr>
            <w:r w:rsidRPr="001C7D14">
              <w:rPr>
                <w:i/>
                <w:iCs/>
              </w:rPr>
              <w:t>LL</w:t>
            </w:r>
          </w:p>
        </w:tc>
        <w:tc>
          <w:tcPr>
            <w:tcW w:w="951" w:type="dxa"/>
            <w:tcBorders>
              <w:top w:val="single" w:sz="4" w:space="0" w:color="auto"/>
              <w:bottom w:val="single" w:sz="4" w:space="0" w:color="auto"/>
            </w:tcBorders>
          </w:tcPr>
          <w:p w14:paraId="7CFA27CF" w14:textId="77777777" w:rsidR="00F829E8" w:rsidRPr="001C7D14" w:rsidRDefault="00F829E8" w:rsidP="00D908B0">
            <w:pPr>
              <w:spacing w:line="240" w:lineRule="auto"/>
              <w:jc w:val="center"/>
              <w:rPr>
                <w:i/>
                <w:iCs/>
              </w:rPr>
            </w:pPr>
            <w:r w:rsidRPr="001C7D14">
              <w:rPr>
                <w:i/>
                <w:iCs/>
              </w:rPr>
              <w:t>UL</w:t>
            </w:r>
          </w:p>
        </w:tc>
        <w:tc>
          <w:tcPr>
            <w:tcW w:w="952" w:type="dxa"/>
            <w:tcBorders>
              <w:bottom w:val="single" w:sz="4" w:space="0" w:color="auto"/>
            </w:tcBorders>
          </w:tcPr>
          <w:p w14:paraId="23D63BA5" w14:textId="77777777" w:rsidR="00F829E8" w:rsidRPr="001C7D14" w:rsidRDefault="00F829E8" w:rsidP="00D908B0">
            <w:pPr>
              <w:spacing w:line="240" w:lineRule="auto"/>
              <w:jc w:val="center"/>
            </w:pPr>
          </w:p>
        </w:tc>
        <w:tc>
          <w:tcPr>
            <w:tcW w:w="951" w:type="dxa"/>
            <w:tcBorders>
              <w:bottom w:val="single" w:sz="4" w:space="0" w:color="auto"/>
            </w:tcBorders>
          </w:tcPr>
          <w:p w14:paraId="6CBADDC3" w14:textId="77777777" w:rsidR="00F829E8" w:rsidRPr="001C7D14" w:rsidRDefault="00F829E8" w:rsidP="00D908B0">
            <w:pPr>
              <w:spacing w:line="240" w:lineRule="auto"/>
              <w:jc w:val="center"/>
            </w:pPr>
          </w:p>
        </w:tc>
        <w:tc>
          <w:tcPr>
            <w:tcW w:w="952" w:type="dxa"/>
            <w:tcBorders>
              <w:bottom w:val="single" w:sz="4" w:space="0" w:color="auto"/>
            </w:tcBorders>
          </w:tcPr>
          <w:p w14:paraId="57DA8437" w14:textId="77777777" w:rsidR="00F829E8" w:rsidRPr="001C7D14" w:rsidRDefault="00F829E8" w:rsidP="00D908B0">
            <w:pPr>
              <w:spacing w:line="240" w:lineRule="auto"/>
              <w:jc w:val="center"/>
            </w:pPr>
          </w:p>
        </w:tc>
        <w:tc>
          <w:tcPr>
            <w:tcW w:w="952" w:type="dxa"/>
            <w:tcBorders>
              <w:bottom w:val="single" w:sz="4" w:space="0" w:color="auto"/>
            </w:tcBorders>
          </w:tcPr>
          <w:p w14:paraId="750F0DEA" w14:textId="77777777" w:rsidR="00F829E8" w:rsidRPr="001C7D14" w:rsidRDefault="00F829E8" w:rsidP="00D908B0">
            <w:pPr>
              <w:spacing w:line="240" w:lineRule="auto"/>
              <w:jc w:val="center"/>
            </w:pPr>
          </w:p>
        </w:tc>
      </w:tr>
      <w:tr w:rsidR="00F829E8" w:rsidRPr="001C7D14" w14:paraId="450F01BD" w14:textId="77777777" w:rsidTr="00D908B0">
        <w:tc>
          <w:tcPr>
            <w:tcW w:w="2689" w:type="dxa"/>
            <w:tcBorders>
              <w:top w:val="single" w:sz="4" w:space="0" w:color="auto"/>
            </w:tcBorders>
          </w:tcPr>
          <w:p w14:paraId="55C073D8" w14:textId="77777777" w:rsidR="00F829E8" w:rsidRPr="001C7D14" w:rsidRDefault="00F829E8" w:rsidP="00D908B0">
            <w:pPr>
              <w:spacing w:line="240" w:lineRule="auto"/>
            </w:pPr>
            <w:r w:rsidRPr="001C7D14">
              <w:t>General Engagement</w:t>
            </w:r>
          </w:p>
        </w:tc>
        <w:tc>
          <w:tcPr>
            <w:tcW w:w="951" w:type="dxa"/>
            <w:tcBorders>
              <w:top w:val="single" w:sz="4" w:space="0" w:color="auto"/>
            </w:tcBorders>
          </w:tcPr>
          <w:p w14:paraId="53290C1F" w14:textId="77777777" w:rsidR="00F829E8" w:rsidRPr="001C7D14" w:rsidRDefault="00F829E8" w:rsidP="00D908B0">
            <w:pPr>
              <w:spacing w:line="240" w:lineRule="auto"/>
              <w:jc w:val="center"/>
            </w:pPr>
          </w:p>
        </w:tc>
        <w:tc>
          <w:tcPr>
            <w:tcW w:w="952" w:type="dxa"/>
            <w:tcBorders>
              <w:top w:val="single" w:sz="4" w:space="0" w:color="auto"/>
            </w:tcBorders>
          </w:tcPr>
          <w:p w14:paraId="68C2D541" w14:textId="77777777" w:rsidR="00F829E8" w:rsidRPr="001C7D14" w:rsidRDefault="00F829E8" w:rsidP="00D908B0">
            <w:pPr>
              <w:spacing w:line="240" w:lineRule="auto"/>
              <w:jc w:val="center"/>
            </w:pPr>
          </w:p>
        </w:tc>
        <w:tc>
          <w:tcPr>
            <w:tcW w:w="951" w:type="dxa"/>
            <w:tcBorders>
              <w:top w:val="single" w:sz="4" w:space="0" w:color="auto"/>
            </w:tcBorders>
          </w:tcPr>
          <w:p w14:paraId="157C1035" w14:textId="77777777" w:rsidR="00F829E8" w:rsidRPr="001C7D14" w:rsidRDefault="00F829E8" w:rsidP="00D908B0">
            <w:pPr>
              <w:spacing w:line="240" w:lineRule="auto"/>
              <w:jc w:val="center"/>
            </w:pPr>
          </w:p>
        </w:tc>
        <w:tc>
          <w:tcPr>
            <w:tcW w:w="952" w:type="dxa"/>
            <w:tcBorders>
              <w:top w:val="single" w:sz="4" w:space="0" w:color="auto"/>
            </w:tcBorders>
          </w:tcPr>
          <w:p w14:paraId="538682D1" w14:textId="77777777" w:rsidR="00F829E8" w:rsidRPr="001C7D14" w:rsidRDefault="00F829E8" w:rsidP="00D908B0">
            <w:pPr>
              <w:spacing w:line="240" w:lineRule="auto"/>
              <w:jc w:val="center"/>
            </w:pPr>
          </w:p>
        </w:tc>
        <w:tc>
          <w:tcPr>
            <w:tcW w:w="951" w:type="dxa"/>
            <w:tcBorders>
              <w:top w:val="single" w:sz="4" w:space="0" w:color="auto"/>
            </w:tcBorders>
          </w:tcPr>
          <w:p w14:paraId="6A55634A" w14:textId="77777777" w:rsidR="00F829E8" w:rsidRPr="001C7D14" w:rsidRDefault="00F829E8" w:rsidP="00D908B0">
            <w:pPr>
              <w:spacing w:line="240" w:lineRule="auto"/>
              <w:jc w:val="center"/>
            </w:pPr>
          </w:p>
        </w:tc>
        <w:tc>
          <w:tcPr>
            <w:tcW w:w="952" w:type="dxa"/>
            <w:tcBorders>
              <w:top w:val="single" w:sz="4" w:space="0" w:color="auto"/>
            </w:tcBorders>
          </w:tcPr>
          <w:p w14:paraId="68CF0624" w14:textId="77777777" w:rsidR="00F829E8" w:rsidRPr="001C7D14" w:rsidRDefault="00F829E8" w:rsidP="00D908B0">
            <w:pPr>
              <w:spacing w:line="240" w:lineRule="auto"/>
              <w:jc w:val="center"/>
            </w:pPr>
            <w:r w:rsidRPr="001C7D14">
              <w:t>.119</w:t>
            </w:r>
          </w:p>
        </w:tc>
        <w:tc>
          <w:tcPr>
            <w:tcW w:w="952" w:type="dxa"/>
            <w:tcBorders>
              <w:top w:val="single" w:sz="4" w:space="0" w:color="auto"/>
            </w:tcBorders>
          </w:tcPr>
          <w:p w14:paraId="692B815F" w14:textId="77777777" w:rsidR="00F829E8" w:rsidRPr="001C7D14" w:rsidRDefault="00F829E8" w:rsidP="00D908B0">
            <w:pPr>
              <w:spacing w:line="240" w:lineRule="auto"/>
              <w:jc w:val="center"/>
            </w:pPr>
            <w:r w:rsidRPr="001C7D14">
              <w:t>.089</w:t>
            </w:r>
          </w:p>
        </w:tc>
      </w:tr>
      <w:tr w:rsidR="00F829E8" w:rsidRPr="001C7D14" w14:paraId="2934B30E" w14:textId="77777777" w:rsidTr="00D908B0">
        <w:tc>
          <w:tcPr>
            <w:tcW w:w="2689" w:type="dxa"/>
          </w:tcPr>
          <w:p w14:paraId="6BC27C89" w14:textId="77777777" w:rsidR="00F829E8" w:rsidRPr="001C7D14" w:rsidRDefault="00F829E8" w:rsidP="00D908B0">
            <w:pPr>
              <w:spacing w:line="240" w:lineRule="auto"/>
              <w:ind w:left="164"/>
            </w:pPr>
            <w:r w:rsidRPr="001C7D14">
              <w:t>Machiavellianism</w:t>
            </w:r>
          </w:p>
        </w:tc>
        <w:tc>
          <w:tcPr>
            <w:tcW w:w="951" w:type="dxa"/>
          </w:tcPr>
          <w:p w14:paraId="1F307B8C" w14:textId="77777777" w:rsidR="00F829E8" w:rsidRPr="001C7D14" w:rsidRDefault="00F829E8" w:rsidP="00D908B0">
            <w:pPr>
              <w:spacing w:line="240" w:lineRule="auto"/>
              <w:jc w:val="center"/>
            </w:pPr>
            <w:r w:rsidRPr="001C7D14">
              <w:t>-.151</w:t>
            </w:r>
          </w:p>
        </w:tc>
        <w:tc>
          <w:tcPr>
            <w:tcW w:w="952" w:type="dxa"/>
          </w:tcPr>
          <w:p w14:paraId="2200735E" w14:textId="77777777" w:rsidR="00F829E8" w:rsidRPr="001C7D14" w:rsidRDefault="00F829E8" w:rsidP="00D908B0">
            <w:pPr>
              <w:spacing w:line="240" w:lineRule="auto"/>
              <w:jc w:val="center"/>
            </w:pPr>
            <w:r w:rsidRPr="001C7D14">
              <w:t>-.421</w:t>
            </w:r>
          </w:p>
        </w:tc>
        <w:tc>
          <w:tcPr>
            <w:tcW w:w="951" w:type="dxa"/>
          </w:tcPr>
          <w:p w14:paraId="065697E5" w14:textId="77777777" w:rsidR="00F829E8" w:rsidRPr="001C7D14" w:rsidRDefault="00F829E8" w:rsidP="00D908B0">
            <w:pPr>
              <w:spacing w:line="240" w:lineRule="auto"/>
              <w:jc w:val="center"/>
            </w:pPr>
            <w:r w:rsidRPr="001C7D14">
              <w:t>.119</w:t>
            </w:r>
          </w:p>
        </w:tc>
        <w:tc>
          <w:tcPr>
            <w:tcW w:w="952" w:type="dxa"/>
          </w:tcPr>
          <w:p w14:paraId="430DEF41" w14:textId="77777777" w:rsidR="00F829E8" w:rsidRPr="001C7D14" w:rsidRDefault="00F829E8" w:rsidP="00D908B0">
            <w:pPr>
              <w:spacing w:line="240" w:lineRule="auto"/>
              <w:jc w:val="center"/>
            </w:pPr>
            <w:r w:rsidRPr="001C7D14">
              <w:t>.136</w:t>
            </w:r>
          </w:p>
        </w:tc>
        <w:tc>
          <w:tcPr>
            <w:tcW w:w="951" w:type="dxa"/>
          </w:tcPr>
          <w:p w14:paraId="08A059E6" w14:textId="77777777" w:rsidR="00F829E8" w:rsidRPr="001C7D14" w:rsidRDefault="00F829E8" w:rsidP="00D908B0">
            <w:pPr>
              <w:spacing w:line="240" w:lineRule="auto"/>
              <w:jc w:val="center"/>
            </w:pPr>
            <w:r w:rsidRPr="001C7D14">
              <w:t>-.128</w:t>
            </w:r>
          </w:p>
        </w:tc>
        <w:tc>
          <w:tcPr>
            <w:tcW w:w="952" w:type="dxa"/>
          </w:tcPr>
          <w:p w14:paraId="0AA57266" w14:textId="77777777" w:rsidR="00F829E8" w:rsidRPr="001C7D14" w:rsidRDefault="00F829E8" w:rsidP="00D908B0">
            <w:pPr>
              <w:spacing w:line="240" w:lineRule="auto"/>
              <w:jc w:val="center"/>
            </w:pPr>
          </w:p>
        </w:tc>
        <w:tc>
          <w:tcPr>
            <w:tcW w:w="952" w:type="dxa"/>
          </w:tcPr>
          <w:p w14:paraId="08225C1E" w14:textId="77777777" w:rsidR="00F829E8" w:rsidRPr="001C7D14" w:rsidRDefault="00F829E8" w:rsidP="00D908B0">
            <w:pPr>
              <w:spacing w:line="240" w:lineRule="auto"/>
              <w:jc w:val="center"/>
            </w:pPr>
          </w:p>
        </w:tc>
      </w:tr>
      <w:tr w:rsidR="00F829E8" w:rsidRPr="001C7D14" w14:paraId="29F11CD7" w14:textId="77777777" w:rsidTr="00D908B0">
        <w:tc>
          <w:tcPr>
            <w:tcW w:w="2689" w:type="dxa"/>
          </w:tcPr>
          <w:p w14:paraId="65C5F6DA" w14:textId="77777777" w:rsidR="00F829E8" w:rsidRPr="001C7D14" w:rsidRDefault="00F829E8" w:rsidP="00D908B0">
            <w:pPr>
              <w:spacing w:line="240" w:lineRule="auto"/>
              <w:ind w:left="164"/>
            </w:pPr>
            <w:r w:rsidRPr="001C7D14">
              <w:t>Narcissism</w:t>
            </w:r>
          </w:p>
        </w:tc>
        <w:tc>
          <w:tcPr>
            <w:tcW w:w="951" w:type="dxa"/>
          </w:tcPr>
          <w:p w14:paraId="769BF012" w14:textId="77777777" w:rsidR="00F829E8" w:rsidRPr="001C7D14" w:rsidRDefault="00F829E8" w:rsidP="00D908B0">
            <w:pPr>
              <w:spacing w:line="240" w:lineRule="auto"/>
              <w:jc w:val="center"/>
            </w:pPr>
            <w:r w:rsidRPr="001C7D14">
              <w:t>.368</w:t>
            </w:r>
          </w:p>
        </w:tc>
        <w:tc>
          <w:tcPr>
            <w:tcW w:w="952" w:type="dxa"/>
          </w:tcPr>
          <w:p w14:paraId="5755CB70" w14:textId="77777777" w:rsidR="00F829E8" w:rsidRPr="001C7D14" w:rsidRDefault="00F829E8" w:rsidP="00D908B0">
            <w:pPr>
              <w:spacing w:line="240" w:lineRule="auto"/>
              <w:jc w:val="center"/>
            </w:pPr>
            <w:r w:rsidRPr="001C7D14">
              <w:t>.101</w:t>
            </w:r>
          </w:p>
        </w:tc>
        <w:tc>
          <w:tcPr>
            <w:tcW w:w="951" w:type="dxa"/>
          </w:tcPr>
          <w:p w14:paraId="116A6CEB" w14:textId="77777777" w:rsidR="00F829E8" w:rsidRPr="001C7D14" w:rsidRDefault="00F829E8" w:rsidP="00D908B0">
            <w:pPr>
              <w:spacing w:line="240" w:lineRule="auto"/>
              <w:jc w:val="center"/>
            </w:pPr>
            <w:r w:rsidRPr="001C7D14">
              <w:t>.634</w:t>
            </w:r>
          </w:p>
        </w:tc>
        <w:tc>
          <w:tcPr>
            <w:tcW w:w="952" w:type="dxa"/>
          </w:tcPr>
          <w:p w14:paraId="3AE1360F" w14:textId="77777777" w:rsidR="00F829E8" w:rsidRPr="001C7D14" w:rsidRDefault="00F829E8" w:rsidP="00D908B0">
            <w:pPr>
              <w:spacing w:line="240" w:lineRule="auto"/>
              <w:jc w:val="center"/>
            </w:pPr>
            <w:r w:rsidRPr="001C7D14">
              <w:t>.134</w:t>
            </w:r>
          </w:p>
        </w:tc>
        <w:tc>
          <w:tcPr>
            <w:tcW w:w="951" w:type="dxa"/>
          </w:tcPr>
          <w:p w14:paraId="6CE3AA40" w14:textId="77777777" w:rsidR="00F829E8" w:rsidRPr="001C7D14" w:rsidRDefault="00F829E8" w:rsidP="00D908B0">
            <w:pPr>
              <w:spacing w:line="240" w:lineRule="auto"/>
              <w:jc w:val="center"/>
            </w:pPr>
            <w:r w:rsidRPr="001C7D14">
              <w:t>.300**</w:t>
            </w:r>
          </w:p>
        </w:tc>
        <w:tc>
          <w:tcPr>
            <w:tcW w:w="952" w:type="dxa"/>
          </w:tcPr>
          <w:p w14:paraId="75073A0E" w14:textId="77777777" w:rsidR="00F829E8" w:rsidRPr="001C7D14" w:rsidRDefault="00F829E8" w:rsidP="00D908B0">
            <w:pPr>
              <w:spacing w:line="240" w:lineRule="auto"/>
              <w:jc w:val="center"/>
            </w:pPr>
          </w:p>
        </w:tc>
        <w:tc>
          <w:tcPr>
            <w:tcW w:w="952" w:type="dxa"/>
          </w:tcPr>
          <w:p w14:paraId="314B1F00" w14:textId="77777777" w:rsidR="00F829E8" w:rsidRPr="001C7D14" w:rsidRDefault="00F829E8" w:rsidP="00D908B0">
            <w:pPr>
              <w:spacing w:line="240" w:lineRule="auto"/>
              <w:jc w:val="center"/>
            </w:pPr>
          </w:p>
        </w:tc>
      </w:tr>
      <w:tr w:rsidR="00F829E8" w:rsidRPr="001C7D14" w14:paraId="7DBF5B6A" w14:textId="77777777" w:rsidTr="00D908B0">
        <w:tc>
          <w:tcPr>
            <w:tcW w:w="2689" w:type="dxa"/>
          </w:tcPr>
          <w:p w14:paraId="21EC35C8" w14:textId="77777777" w:rsidR="00F829E8" w:rsidRPr="001C7D14" w:rsidRDefault="00F829E8" w:rsidP="00D908B0">
            <w:pPr>
              <w:spacing w:line="240" w:lineRule="auto"/>
              <w:ind w:left="164"/>
            </w:pPr>
            <w:r w:rsidRPr="001C7D14">
              <w:t>Psychopathy</w:t>
            </w:r>
          </w:p>
        </w:tc>
        <w:tc>
          <w:tcPr>
            <w:tcW w:w="951" w:type="dxa"/>
          </w:tcPr>
          <w:p w14:paraId="7DD7ECAE" w14:textId="77777777" w:rsidR="00F829E8" w:rsidRPr="001C7D14" w:rsidRDefault="00F829E8" w:rsidP="00D908B0">
            <w:pPr>
              <w:spacing w:line="240" w:lineRule="auto"/>
              <w:jc w:val="center"/>
            </w:pPr>
            <w:r w:rsidRPr="001C7D14">
              <w:t>-.336</w:t>
            </w:r>
          </w:p>
        </w:tc>
        <w:tc>
          <w:tcPr>
            <w:tcW w:w="952" w:type="dxa"/>
          </w:tcPr>
          <w:p w14:paraId="5F9FC3CC" w14:textId="77777777" w:rsidR="00F829E8" w:rsidRPr="001C7D14" w:rsidRDefault="00F829E8" w:rsidP="00D908B0">
            <w:pPr>
              <w:spacing w:line="240" w:lineRule="auto"/>
              <w:jc w:val="center"/>
            </w:pPr>
            <w:r w:rsidRPr="001C7D14">
              <w:t>-.663</w:t>
            </w:r>
          </w:p>
        </w:tc>
        <w:tc>
          <w:tcPr>
            <w:tcW w:w="951" w:type="dxa"/>
          </w:tcPr>
          <w:p w14:paraId="0F275B3A" w14:textId="77777777" w:rsidR="00F829E8" w:rsidRPr="001C7D14" w:rsidRDefault="00F829E8" w:rsidP="00D908B0">
            <w:pPr>
              <w:spacing w:line="240" w:lineRule="auto"/>
              <w:jc w:val="center"/>
            </w:pPr>
            <w:r w:rsidRPr="001C7D14">
              <w:t>-.008</w:t>
            </w:r>
          </w:p>
        </w:tc>
        <w:tc>
          <w:tcPr>
            <w:tcW w:w="952" w:type="dxa"/>
          </w:tcPr>
          <w:p w14:paraId="73E38C0B" w14:textId="77777777" w:rsidR="00F829E8" w:rsidRPr="001C7D14" w:rsidRDefault="00F829E8" w:rsidP="00D908B0">
            <w:pPr>
              <w:spacing w:line="240" w:lineRule="auto"/>
              <w:jc w:val="center"/>
            </w:pPr>
            <w:r w:rsidRPr="001C7D14">
              <w:t>.165</w:t>
            </w:r>
          </w:p>
        </w:tc>
        <w:tc>
          <w:tcPr>
            <w:tcW w:w="951" w:type="dxa"/>
          </w:tcPr>
          <w:p w14:paraId="7B80893D" w14:textId="77777777" w:rsidR="00F829E8" w:rsidRPr="001C7D14" w:rsidRDefault="00F829E8" w:rsidP="00D908B0">
            <w:pPr>
              <w:spacing w:line="240" w:lineRule="auto"/>
              <w:jc w:val="center"/>
            </w:pPr>
            <w:r w:rsidRPr="001C7D14">
              <w:t>-.247*</w:t>
            </w:r>
          </w:p>
        </w:tc>
        <w:tc>
          <w:tcPr>
            <w:tcW w:w="952" w:type="dxa"/>
          </w:tcPr>
          <w:p w14:paraId="0D1DE41F" w14:textId="77777777" w:rsidR="00F829E8" w:rsidRPr="001C7D14" w:rsidRDefault="00F829E8" w:rsidP="00D908B0">
            <w:pPr>
              <w:spacing w:line="240" w:lineRule="auto"/>
              <w:jc w:val="center"/>
            </w:pPr>
          </w:p>
        </w:tc>
        <w:tc>
          <w:tcPr>
            <w:tcW w:w="952" w:type="dxa"/>
          </w:tcPr>
          <w:p w14:paraId="4EC52F96" w14:textId="77777777" w:rsidR="00F829E8" w:rsidRPr="001C7D14" w:rsidRDefault="00F829E8" w:rsidP="00D908B0">
            <w:pPr>
              <w:spacing w:line="240" w:lineRule="auto"/>
              <w:jc w:val="center"/>
            </w:pPr>
          </w:p>
        </w:tc>
      </w:tr>
      <w:tr w:rsidR="00F829E8" w:rsidRPr="001C7D14" w14:paraId="2384A5C1" w14:textId="77777777" w:rsidTr="00D908B0">
        <w:tc>
          <w:tcPr>
            <w:tcW w:w="2689" w:type="dxa"/>
          </w:tcPr>
          <w:p w14:paraId="3122EE1D" w14:textId="77777777" w:rsidR="00F829E8" w:rsidRPr="001C7D14" w:rsidRDefault="00F829E8" w:rsidP="00D908B0">
            <w:pPr>
              <w:spacing w:line="240" w:lineRule="auto"/>
            </w:pPr>
            <w:r w:rsidRPr="001C7D14">
              <w:t>Cognitive Engagement</w:t>
            </w:r>
          </w:p>
        </w:tc>
        <w:tc>
          <w:tcPr>
            <w:tcW w:w="951" w:type="dxa"/>
          </w:tcPr>
          <w:p w14:paraId="2415AB13" w14:textId="77777777" w:rsidR="00F829E8" w:rsidRPr="001C7D14" w:rsidRDefault="00F829E8" w:rsidP="00D908B0">
            <w:pPr>
              <w:spacing w:line="240" w:lineRule="auto"/>
              <w:jc w:val="center"/>
            </w:pPr>
          </w:p>
        </w:tc>
        <w:tc>
          <w:tcPr>
            <w:tcW w:w="952" w:type="dxa"/>
          </w:tcPr>
          <w:p w14:paraId="6E50B7E3" w14:textId="77777777" w:rsidR="00F829E8" w:rsidRPr="001C7D14" w:rsidRDefault="00F829E8" w:rsidP="00D908B0">
            <w:pPr>
              <w:spacing w:line="240" w:lineRule="auto"/>
              <w:jc w:val="center"/>
            </w:pPr>
          </w:p>
        </w:tc>
        <w:tc>
          <w:tcPr>
            <w:tcW w:w="951" w:type="dxa"/>
          </w:tcPr>
          <w:p w14:paraId="29AB8450" w14:textId="77777777" w:rsidR="00F829E8" w:rsidRPr="001C7D14" w:rsidRDefault="00F829E8" w:rsidP="00D908B0">
            <w:pPr>
              <w:spacing w:line="240" w:lineRule="auto"/>
              <w:jc w:val="center"/>
            </w:pPr>
          </w:p>
        </w:tc>
        <w:tc>
          <w:tcPr>
            <w:tcW w:w="952" w:type="dxa"/>
          </w:tcPr>
          <w:p w14:paraId="33FFCCDA" w14:textId="77777777" w:rsidR="00F829E8" w:rsidRPr="001C7D14" w:rsidRDefault="00F829E8" w:rsidP="00D908B0">
            <w:pPr>
              <w:spacing w:line="240" w:lineRule="auto"/>
              <w:jc w:val="center"/>
            </w:pPr>
          </w:p>
        </w:tc>
        <w:tc>
          <w:tcPr>
            <w:tcW w:w="951" w:type="dxa"/>
          </w:tcPr>
          <w:p w14:paraId="77628E39" w14:textId="77777777" w:rsidR="00F829E8" w:rsidRPr="001C7D14" w:rsidRDefault="00F829E8" w:rsidP="00D908B0">
            <w:pPr>
              <w:spacing w:line="240" w:lineRule="auto"/>
              <w:jc w:val="center"/>
            </w:pPr>
          </w:p>
        </w:tc>
        <w:tc>
          <w:tcPr>
            <w:tcW w:w="952" w:type="dxa"/>
          </w:tcPr>
          <w:p w14:paraId="1AF72868" w14:textId="77777777" w:rsidR="00F829E8" w:rsidRPr="001C7D14" w:rsidRDefault="00F829E8" w:rsidP="00D908B0">
            <w:pPr>
              <w:spacing w:line="240" w:lineRule="auto"/>
              <w:jc w:val="center"/>
            </w:pPr>
            <w:r w:rsidRPr="001C7D14">
              <w:t>.090</w:t>
            </w:r>
          </w:p>
        </w:tc>
        <w:tc>
          <w:tcPr>
            <w:tcW w:w="952" w:type="dxa"/>
          </w:tcPr>
          <w:p w14:paraId="16D5CF76" w14:textId="77777777" w:rsidR="00F829E8" w:rsidRPr="001C7D14" w:rsidRDefault="00F829E8" w:rsidP="00D908B0">
            <w:pPr>
              <w:spacing w:line="240" w:lineRule="auto"/>
              <w:jc w:val="center"/>
            </w:pPr>
            <w:r w:rsidRPr="001C7D14">
              <w:t>.059</w:t>
            </w:r>
          </w:p>
        </w:tc>
      </w:tr>
      <w:tr w:rsidR="00F829E8" w:rsidRPr="001C7D14" w14:paraId="70576CC2" w14:textId="77777777" w:rsidTr="00D908B0">
        <w:tc>
          <w:tcPr>
            <w:tcW w:w="2689" w:type="dxa"/>
          </w:tcPr>
          <w:p w14:paraId="32D7A652" w14:textId="77777777" w:rsidR="00F829E8" w:rsidRPr="001C7D14" w:rsidRDefault="00F829E8" w:rsidP="00D908B0">
            <w:pPr>
              <w:spacing w:line="240" w:lineRule="auto"/>
              <w:ind w:left="164"/>
            </w:pPr>
            <w:r w:rsidRPr="001C7D14">
              <w:t>Machiavellianism</w:t>
            </w:r>
          </w:p>
        </w:tc>
        <w:tc>
          <w:tcPr>
            <w:tcW w:w="951" w:type="dxa"/>
          </w:tcPr>
          <w:p w14:paraId="16145D07" w14:textId="77777777" w:rsidR="00F829E8" w:rsidRPr="001C7D14" w:rsidRDefault="00F829E8" w:rsidP="00D908B0">
            <w:pPr>
              <w:spacing w:line="240" w:lineRule="auto"/>
              <w:jc w:val="center"/>
            </w:pPr>
            <w:r w:rsidRPr="001C7D14">
              <w:t>-.088</w:t>
            </w:r>
          </w:p>
        </w:tc>
        <w:tc>
          <w:tcPr>
            <w:tcW w:w="952" w:type="dxa"/>
          </w:tcPr>
          <w:p w14:paraId="264182BA" w14:textId="77777777" w:rsidR="00F829E8" w:rsidRPr="001C7D14" w:rsidRDefault="00F829E8" w:rsidP="00D908B0">
            <w:pPr>
              <w:spacing w:line="240" w:lineRule="auto"/>
              <w:jc w:val="center"/>
            </w:pPr>
            <w:r w:rsidRPr="001C7D14">
              <w:t>-.234</w:t>
            </w:r>
          </w:p>
        </w:tc>
        <w:tc>
          <w:tcPr>
            <w:tcW w:w="951" w:type="dxa"/>
          </w:tcPr>
          <w:p w14:paraId="3A40E15A" w14:textId="77777777" w:rsidR="00F829E8" w:rsidRPr="001C7D14" w:rsidRDefault="00F829E8" w:rsidP="00D908B0">
            <w:pPr>
              <w:spacing w:line="240" w:lineRule="auto"/>
              <w:jc w:val="center"/>
            </w:pPr>
            <w:r w:rsidRPr="001C7D14">
              <w:t>.058</w:t>
            </w:r>
          </w:p>
        </w:tc>
        <w:tc>
          <w:tcPr>
            <w:tcW w:w="952" w:type="dxa"/>
          </w:tcPr>
          <w:p w14:paraId="661213FB" w14:textId="77777777" w:rsidR="00F829E8" w:rsidRPr="001C7D14" w:rsidRDefault="00F829E8" w:rsidP="00D908B0">
            <w:pPr>
              <w:spacing w:line="240" w:lineRule="auto"/>
              <w:jc w:val="center"/>
            </w:pPr>
            <w:r w:rsidRPr="001C7D14">
              <w:t>.073</w:t>
            </w:r>
          </w:p>
        </w:tc>
        <w:tc>
          <w:tcPr>
            <w:tcW w:w="951" w:type="dxa"/>
          </w:tcPr>
          <w:p w14:paraId="5E957FAA" w14:textId="77777777" w:rsidR="00F829E8" w:rsidRPr="001C7D14" w:rsidRDefault="00F829E8" w:rsidP="00D908B0">
            <w:pPr>
              <w:spacing w:line="240" w:lineRule="auto"/>
              <w:jc w:val="center"/>
            </w:pPr>
            <w:r w:rsidRPr="001C7D14">
              <w:t>-.140</w:t>
            </w:r>
          </w:p>
        </w:tc>
        <w:tc>
          <w:tcPr>
            <w:tcW w:w="952" w:type="dxa"/>
          </w:tcPr>
          <w:p w14:paraId="284F83C9" w14:textId="77777777" w:rsidR="00F829E8" w:rsidRPr="001C7D14" w:rsidRDefault="00F829E8" w:rsidP="00D908B0">
            <w:pPr>
              <w:spacing w:line="240" w:lineRule="auto"/>
              <w:jc w:val="center"/>
            </w:pPr>
          </w:p>
        </w:tc>
        <w:tc>
          <w:tcPr>
            <w:tcW w:w="952" w:type="dxa"/>
          </w:tcPr>
          <w:p w14:paraId="0D7F867F" w14:textId="77777777" w:rsidR="00F829E8" w:rsidRPr="001C7D14" w:rsidRDefault="00F829E8" w:rsidP="00D908B0">
            <w:pPr>
              <w:spacing w:line="240" w:lineRule="auto"/>
              <w:jc w:val="center"/>
            </w:pPr>
          </w:p>
        </w:tc>
      </w:tr>
      <w:tr w:rsidR="00F829E8" w:rsidRPr="001C7D14" w14:paraId="0610AA4F" w14:textId="77777777" w:rsidTr="00D908B0">
        <w:tc>
          <w:tcPr>
            <w:tcW w:w="2689" w:type="dxa"/>
          </w:tcPr>
          <w:p w14:paraId="64F43846" w14:textId="77777777" w:rsidR="00F829E8" w:rsidRPr="001C7D14" w:rsidRDefault="00F829E8" w:rsidP="00D908B0">
            <w:pPr>
              <w:spacing w:line="240" w:lineRule="auto"/>
              <w:ind w:left="164"/>
            </w:pPr>
            <w:r w:rsidRPr="001C7D14">
              <w:t>Narcissism</w:t>
            </w:r>
          </w:p>
        </w:tc>
        <w:tc>
          <w:tcPr>
            <w:tcW w:w="951" w:type="dxa"/>
          </w:tcPr>
          <w:p w14:paraId="081FC18E" w14:textId="77777777" w:rsidR="00F829E8" w:rsidRPr="001C7D14" w:rsidRDefault="00F829E8" w:rsidP="00D908B0">
            <w:pPr>
              <w:spacing w:line="240" w:lineRule="auto"/>
              <w:jc w:val="center"/>
            </w:pPr>
            <w:r w:rsidRPr="001C7D14">
              <w:t>.136</w:t>
            </w:r>
          </w:p>
        </w:tc>
        <w:tc>
          <w:tcPr>
            <w:tcW w:w="952" w:type="dxa"/>
          </w:tcPr>
          <w:p w14:paraId="45511C2F" w14:textId="77777777" w:rsidR="00F829E8" w:rsidRPr="001C7D14" w:rsidRDefault="00F829E8" w:rsidP="00D908B0">
            <w:pPr>
              <w:spacing w:line="240" w:lineRule="auto"/>
              <w:jc w:val="center"/>
            </w:pPr>
            <w:r w:rsidRPr="001C7D14">
              <w:t>-.008</w:t>
            </w:r>
          </w:p>
        </w:tc>
        <w:tc>
          <w:tcPr>
            <w:tcW w:w="951" w:type="dxa"/>
          </w:tcPr>
          <w:p w14:paraId="53B3085F" w14:textId="77777777" w:rsidR="00F829E8" w:rsidRPr="001C7D14" w:rsidRDefault="00F829E8" w:rsidP="00D908B0">
            <w:pPr>
              <w:spacing w:line="240" w:lineRule="auto"/>
              <w:jc w:val="center"/>
            </w:pPr>
            <w:r w:rsidRPr="001C7D14">
              <w:t>.280</w:t>
            </w:r>
          </w:p>
        </w:tc>
        <w:tc>
          <w:tcPr>
            <w:tcW w:w="952" w:type="dxa"/>
          </w:tcPr>
          <w:p w14:paraId="1655016D" w14:textId="77777777" w:rsidR="00F829E8" w:rsidRPr="001C7D14" w:rsidRDefault="00F829E8" w:rsidP="00D908B0">
            <w:pPr>
              <w:spacing w:line="240" w:lineRule="auto"/>
              <w:jc w:val="center"/>
            </w:pPr>
            <w:r w:rsidRPr="001C7D14">
              <w:t>.072</w:t>
            </w:r>
          </w:p>
        </w:tc>
        <w:tc>
          <w:tcPr>
            <w:tcW w:w="951" w:type="dxa"/>
          </w:tcPr>
          <w:p w14:paraId="56246F10" w14:textId="77777777" w:rsidR="00F829E8" w:rsidRPr="001C7D14" w:rsidRDefault="00F829E8" w:rsidP="00D908B0">
            <w:pPr>
              <w:spacing w:line="240" w:lineRule="auto"/>
              <w:jc w:val="center"/>
            </w:pPr>
            <w:r w:rsidRPr="001C7D14">
              <w:t>.209</w:t>
            </w:r>
          </w:p>
        </w:tc>
        <w:tc>
          <w:tcPr>
            <w:tcW w:w="952" w:type="dxa"/>
          </w:tcPr>
          <w:p w14:paraId="4EC5A90E" w14:textId="77777777" w:rsidR="00F829E8" w:rsidRPr="001C7D14" w:rsidRDefault="00F829E8" w:rsidP="00D908B0">
            <w:pPr>
              <w:spacing w:line="240" w:lineRule="auto"/>
              <w:jc w:val="center"/>
            </w:pPr>
          </w:p>
        </w:tc>
        <w:tc>
          <w:tcPr>
            <w:tcW w:w="952" w:type="dxa"/>
          </w:tcPr>
          <w:p w14:paraId="0FF35BAD" w14:textId="77777777" w:rsidR="00F829E8" w:rsidRPr="001C7D14" w:rsidRDefault="00F829E8" w:rsidP="00D908B0">
            <w:pPr>
              <w:spacing w:line="240" w:lineRule="auto"/>
              <w:jc w:val="center"/>
            </w:pPr>
          </w:p>
        </w:tc>
      </w:tr>
      <w:tr w:rsidR="00F829E8" w:rsidRPr="001C7D14" w14:paraId="740DF741" w14:textId="77777777" w:rsidTr="00D908B0">
        <w:tc>
          <w:tcPr>
            <w:tcW w:w="2689" w:type="dxa"/>
          </w:tcPr>
          <w:p w14:paraId="48623D7D" w14:textId="77777777" w:rsidR="00F829E8" w:rsidRPr="001C7D14" w:rsidRDefault="00F829E8" w:rsidP="00D908B0">
            <w:pPr>
              <w:spacing w:line="240" w:lineRule="auto"/>
              <w:ind w:left="164"/>
            </w:pPr>
            <w:r w:rsidRPr="001C7D14">
              <w:t>Psychopathy</w:t>
            </w:r>
          </w:p>
        </w:tc>
        <w:tc>
          <w:tcPr>
            <w:tcW w:w="951" w:type="dxa"/>
          </w:tcPr>
          <w:p w14:paraId="7BDDC55D" w14:textId="77777777" w:rsidR="00F829E8" w:rsidRPr="001C7D14" w:rsidRDefault="00F829E8" w:rsidP="00D908B0">
            <w:pPr>
              <w:spacing w:line="240" w:lineRule="auto"/>
              <w:jc w:val="center"/>
            </w:pPr>
            <w:r w:rsidRPr="001C7D14">
              <w:t>-.160</w:t>
            </w:r>
          </w:p>
        </w:tc>
        <w:tc>
          <w:tcPr>
            <w:tcW w:w="952" w:type="dxa"/>
          </w:tcPr>
          <w:p w14:paraId="05E982A4" w14:textId="77777777" w:rsidR="00F829E8" w:rsidRPr="001C7D14" w:rsidRDefault="00F829E8" w:rsidP="00D908B0">
            <w:pPr>
              <w:spacing w:line="240" w:lineRule="auto"/>
              <w:jc w:val="center"/>
            </w:pPr>
            <w:r w:rsidRPr="001C7D14">
              <w:t>-.336</w:t>
            </w:r>
          </w:p>
        </w:tc>
        <w:tc>
          <w:tcPr>
            <w:tcW w:w="951" w:type="dxa"/>
          </w:tcPr>
          <w:p w14:paraId="6A4578CF" w14:textId="77777777" w:rsidR="00F829E8" w:rsidRPr="001C7D14" w:rsidRDefault="00F829E8" w:rsidP="00D908B0">
            <w:pPr>
              <w:spacing w:line="240" w:lineRule="auto"/>
              <w:jc w:val="center"/>
            </w:pPr>
            <w:r w:rsidRPr="001C7D14">
              <w:t>.017</w:t>
            </w:r>
          </w:p>
        </w:tc>
        <w:tc>
          <w:tcPr>
            <w:tcW w:w="952" w:type="dxa"/>
          </w:tcPr>
          <w:p w14:paraId="063895FD" w14:textId="77777777" w:rsidR="00F829E8" w:rsidRPr="001C7D14" w:rsidRDefault="00F829E8" w:rsidP="00D908B0">
            <w:pPr>
              <w:spacing w:line="240" w:lineRule="auto"/>
              <w:jc w:val="center"/>
            </w:pPr>
            <w:r w:rsidRPr="001C7D14">
              <w:t>.089</w:t>
            </w:r>
          </w:p>
        </w:tc>
        <w:tc>
          <w:tcPr>
            <w:tcW w:w="951" w:type="dxa"/>
          </w:tcPr>
          <w:p w14:paraId="43DEB6E5" w14:textId="77777777" w:rsidR="00F829E8" w:rsidRPr="001C7D14" w:rsidRDefault="00F829E8" w:rsidP="00D908B0">
            <w:pPr>
              <w:spacing w:line="240" w:lineRule="auto"/>
              <w:jc w:val="center"/>
            </w:pPr>
            <w:r w:rsidRPr="001C7D14">
              <w:t>-.221</w:t>
            </w:r>
          </w:p>
        </w:tc>
        <w:tc>
          <w:tcPr>
            <w:tcW w:w="952" w:type="dxa"/>
          </w:tcPr>
          <w:p w14:paraId="521B3A92" w14:textId="77777777" w:rsidR="00F829E8" w:rsidRPr="001C7D14" w:rsidRDefault="00F829E8" w:rsidP="00D908B0">
            <w:pPr>
              <w:spacing w:line="240" w:lineRule="auto"/>
              <w:jc w:val="center"/>
            </w:pPr>
          </w:p>
        </w:tc>
        <w:tc>
          <w:tcPr>
            <w:tcW w:w="952" w:type="dxa"/>
          </w:tcPr>
          <w:p w14:paraId="79A2C289" w14:textId="77777777" w:rsidR="00F829E8" w:rsidRPr="001C7D14" w:rsidRDefault="00F829E8" w:rsidP="00D908B0">
            <w:pPr>
              <w:spacing w:line="240" w:lineRule="auto"/>
              <w:jc w:val="center"/>
            </w:pPr>
          </w:p>
        </w:tc>
      </w:tr>
      <w:tr w:rsidR="00F829E8" w:rsidRPr="001C7D14" w14:paraId="6778875E" w14:textId="77777777" w:rsidTr="00D908B0">
        <w:tc>
          <w:tcPr>
            <w:tcW w:w="2689" w:type="dxa"/>
          </w:tcPr>
          <w:p w14:paraId="56D3719F" w14:textId="77777777" w:rsidR="00F829E8" w:rsidRPr="001C7D14" w:rsidRDefault="00F829E8" w:rsidP="00D908B0">
            <w:pPr>
              <w:spacing w:line="240" w:lineRule="auto"/>
            </w:pPr>
            <w:r w:rsidRPr="001C7D14">
              <w:t>Emotional Engagement</w:t>
            </w:r>
          </w:p>
        </w:tc>
        <w:tc>
          <w:tcPr>
            <w:tcW w:w="951" w:type="dxa"/>
          </w:tcPr>
          <w:p w14:paraId="08BAC817" w14:textId="77777777" w:rsidR="00F829E8" w:rsidRPr="001C7D14" w:rsidRDefault="00F829E8" w:rsidP="00D908B0">
            <w:pPr>
              <w:spacing w:line="240" w:lineRule="auto"/>
              <w:jc w:val="center"/>
            </w:pPr>
          </w:p>
        </w:tc>
        <w:tc>
          <w:tcPr>
            <w:tcW w:w="952" w:type="dxa"/>
          </w:tcPr>
          <w:p w14:paraId="009AE058" w14:textId="77777777" w:rsidR="00F829E8" w:rsidRPr="001C7D14" w:rsidRDefault="00F829E8" w:rsidP="00D908B0">
            <w:pPr>
              <w:spacing w:line="240" w:lineRule="auto"/>
              <w:jc w:val="center"/>
            </w:pPr>
          </w:p>
        </w:tc>
        <w:tc>
          <w:tcPr>
            <w:tcW w:w="951" w:type="dxa"/>
          </w:tcPr>
          <w:p w14:paraId="509D361B" w14:textId="77777777" w:rsidR="00F829E8" w:rsidRPr="001C7D14" w:rsidRDefault="00F829E8" w:rsidP="00D908B0">
            <w:pPr>
              <w:spacing w:line="240" w:lineRule="auto"/>
              <w:jc w:val="center"/>
            </w:pPr>
          </w:p>
        </w:tc>
        <w:tc>
          <w:tcPr>
            <w:tcW w:w="952" w:type="dxa"/>
          </w:tcPr>
          <w:p w14:paraId="3A31951C" w14:textId="77777777" w:rsidR="00F829E8" w:rsidRPr="001C7D14" w:rsidRDefault="00F829E8" w:rsidP="00D908B0">
            <w:pPr>
              <w:spacing w:line="240" w:lineRule="auto"/>
              <w:jc w:val="center"/>
            </w:pPr>
          </w:p>
        </w:tc>
        <w:tc>
          <w:tcPr>
            <w:tcW w:w="951" w:type="dxa"/>
          </w:tcPr>
          <w:p w14:paraId="1B32164F" w14:textId="77777777" w:rsidR="00F829E8" w:rsidRPr="001C7D14" w:rsidRDefault="00F829E8" w:rsidP="00D908B0">
            <w:pPr>
              <w:spacing w:line="240" w:lineRule="auto"/>
              <w:jc w:val="center"/>
            </w:pPr>
          </w:p>
        </w:tc>
        <w:tc>
          <w:tcPr>
            <w:tcW w:w="952" w:type="dxa"/>
          </w:tcPr>
          <w:p w14:paraId="6B8EA4F2" w14:textId="77777777" w:rsidR="00F829E8" w:rsidRPr="001C7D14" w:rsidRDefault="00F829E8" w:rsidP="00D908B0">
            <w:pPr>
              <w:spacing w:line="240" w:lineRule="auto"/>
              <w:jc w:val="center"/>
            </w:pPr>
            <w:r w:rsidRPr="001C7D14">
              <w:t>.093</w:t>
            </w:r>
          </w:p>
        </w:tc>
        <w:tc>
          <w:tcPr>
            <w:tcW w:w="952" w:type="dxa"/>
          </w:tcPr>
          <w:p w14:paraId="5A5AC65B" w14:textId="77777777" w:rsidR="00F829E8" w:rsidRPr="001C7D14" w:rsidRDefault="00F829E8" w:rsidP="00D908B0">
            <w:pPr>
              <w:spacing w:line="240" w:lineRule="auto"/>
              <w:jc w:val="center"/>
            </w:pPr>
            <w:r w:rsidRPr="001C7D14">
              <w:t>.062</w:t>
            </w:r>
          </w:p>
        </w:tc>
      </w:tr>
      <w:tr w:rsidR="00F829E8" w:rsidRPr="001C7D14" w14:paraId="68089BA2" w14:textId="77777777" w:rsidTr="00D908B0">
        <w:tc>
          <w:tcPr>
            <w:tcW w:w="2689" w:type="dxa"/>
          </w:tcPr>
          <w:p w14:paraId="15EE1A16" w14:textId="77777777" w:rsidR="00F829E8" w:rsidRPr="001C7D14" w:rsidRDefault="00F829E8" w:rsidP="00D908B0">
            <w:pPr>
              <w:spacing w:line="240" w:lineRule="auto"/>
              <w:ind w:left="164"/>
            </w:pPr>
            <w:r w:rsidRPr="001C7D14">
              <w:t>Machiavellianism</w:t>
            </w:r>
          </w:p>
        </w:tc>
        <w:tc>
          <w:tcPr>
            <w:tcW w:w="951" w:type="dxa"/>
          </w:tcPr>
          <w:p w14:paraId="6A6B77E9" w14:textId="77777777" w:rsidR="00F829E8" w:rsidRPr="001C7D14" w:rsidRDefault="00F829E8" w:rsidP="00D908B0">
            <w:pPr>
              <w:spacing w:line="240" w:lineRule="auto"/>
              <w:jc w:val="center"/>
            </w:pPr>
            <w:r w:rsidRPr="001C7D14">
              <w:t>-.036</w:t>
            </w:r>
          </w:p>
        </w:tc>
        <w:tc>
          <w:tcPr>
            <w:tcW w:w="952" w:type="dxa"/>
          </w:tcPr>
          <w:p w14:paraId="37E40F25" w14:textId="77777777" w:rsidR="00F829E8" w:rsidRPr="001C7D14" w:rsidRDefault="00F829E8" w:rsidP="00D908B0">
            <w:pPr>
              <w:spacing w:line="240" w:lineRule="auto"/>
              <w:jc w:val="center"/>
            </w:pPr>
            <w:r w:rsidRPr="001C7D14">
              <w:t>-.121</w:t>
            </w:r>
          </w:p>
        </w:tc>
        <w:tc>
          <w:tcPr>
            <w:tcW w:w="951" w:type="dxa"/>
          </w:tcPr>
          <w:p w14:paraId="4325CEB1" w14:textId="77777777" w:rsidR="00F829E8" w:rsidRPr="001C7D14" w:rsidRDefault="00F829E8" w:rsidP="00D908B0">
            <w:pPr>
              <w:spacing w:line="240" w:lineRule="auto"/>
              <w:jc w:val="center"/>
            </w:pPr>
            <w:r w:rsidRPr="001C7D14">
              <w:t>.048</w:t>
            </w:r>
          </w:p>
        </w:tc>
        <w:tc>
          <w:tcPr>
            <w:tcW w:w="952" w:type="dxa"/>
          </w:tcPr>
          <w:p w14:paraId="1C772462" w14:textId="77777777" w:rsidR="00F829E8" w:rsidRPr="001C7D14" w:rsidRDefault="00F829E8" w:rsidP="00D908B0">
            <w:pPr>
              <w:spacing w:line="240" w:lineRule="auto"/>
              <w:jc w:val="center"/>
            </w:pPr>
            <w:r w:rsidRPr="001C7D14">
              <w:t>.042</w:t>
            </w:r>
          </w:p>
        </w:tc>
        <w:tc>
          <w:tcPr>
            <w:tcW w:w="951" w:type="dxa"/>
          </w:tcPr>
          <w:p w14:paraId="21BB9367" w14:textId="77777777" w:rsidR="00F829E8" w:rsidRPr="001C7D14" w:rsidRDefault="00F829E8" w:rsidP="00D908B0">
            <w:pPr>
              <w:spacing w:line="240" w:lineRule="auto"/>
              <w:jc w:val="center"/>
            </w:pPr>
            <w:r w:rsidRPr="001C7D14">
              <w:t>-.099</w:t>
            </w:r>
          </w:p>
        </w:tc>
        <w:tc>
          <w:tcPr>
            <w:tcW w:w="952" w:type="dxa"/>
          </w:tcPr>
          <w:p w14:paraId="34129B0E" w14:textId="77777777" w:rsidR="00F829E8" w:rsidRPr="001C7D14" w:rsidRDefault="00F829E8" w:rsidP="00D908B0">
            <w:pPr>
              <w:spacing w:line="240" w:lineRule="auto"/>
              <w:jc w:val="center"/>
            </w:pPr>
          </w:p>
        </w:tc>
        <w:tc>
          <w:tcPr>
            <w:tcW w:w="952" w:type="dxa"/>
          </w:tcPr>
          <w:p w14:paraId="48D32A3F" w14:textId="77777777" w:rsidR="00F829E8" w:rsidRPr="001C7D14" w:rsidRDefault="00F829E8" w:rsidP="00D908B0">
            <w:pPr>
              <w:spacing w:line="240" w:lineRule="auto"/>
              <w:jc w:val="center"/>
            </w:pPr>
          </w:p>
        </w:tc>
      </w:tr>
      <w:tr w:rsidR="00F829E8" w:rsidRPr="001C7D14" w14:paraId="6F336E1A" w14:textId="77777777" w:rsidTr="00D908B0">
        <w:tc>
          <w:tcPr>
            <w:tcW w:w="2689" w:type="dxa"/>
          </w:tcPr>
          <w:p w14:paraId="2D479382" w14:textId="77777777" w:rsidR="00F829E8" w:rsidRPr="001C7D14" w:rsidRDefault="00F829E8" w:rsidP="00D908B0">
            <w:pPr>
              <w:spacing w:line="240" w:lineRule="auto"/>
              <w:ind w:left="164"/>
            </w:pPr>
            <w:r w:rsidRPr="001C7D14">
              <w:t>Narcissism</w:t>
            </w:r>
          </w:p>
        </w:tc>
        <w:tc>
          <w:tcPr>
            <w:tcW w:w="951" w:type="dxa"/>
          </w:tcPr>
          <w:p w14:paraId="2DF2AD28" w14:textId="77777777" w:rsidR="00F829E8" w:rsidRPr="001C7D14" w:rsidRDefault="00F829E8" w:rsidP="00D908B0">
            <w:pPr>
              <w:spacing w:line="240" w:lineRule="auto"/>
              <w:jc w:val="center"/>
            </w:pPr>
            <w:r w:rsidRPr="001C7D14">
              <w:t>.116</w:t>
            </w:r>
          </w:p>
        </w:tc>
        <w:tc>
          <w:tcPr>
            <w:tcW w:w="952" w:type="dxa"/>
          </w:tcPr>
          <w:p w14:paraId="51E9A395" w14:textId="77777777" w:rsidR="00F829E8" w:rsidRPr="001C7D14" w:rsidRDefault="00F829E8" w:rsidP="00D908B0">
            <w:pPr>
              <w:spacing w:line="240" w:lineRule="auto"/>
              <w:jc w:val="center"/>
            </w:pPr>
            <w:r w:rsidRPr="001C7D14">
              <w:t>.033</w:t>
            </w:r>
          </w:p>
        </w:tc>
        <w:tc>
          <w:tcPr>
            <w:tcW w:w="951" w:type="dxa"/>
          </w:tcPr>
          <w:p w14:paraId="0B3572FC" w14:textId="77777777" w:rsidR="00F829E8" w:rsidRPr="001C7D14" w:rsidRDefault="00F829E8" w:rsidP="00D908B0">
            <w:pPr>
              <w:spacing w:line="240" w:lineRule="auto"/>
              <w:jc w:val="center"/>
            </w:pPr>
            <w:r w:rsidRPr="001C7D14">
              <w:t>.199</w:t>
            </w:r>
          </w:p>
        </w:tc>
        <w:tc>
          <w:tcPr>
            <w:tcW w:w="952" w:type="dxa"/>
          </w:tcPr>
          <w:p w14:paraId="1C88D796" w14:textId="77777777" w:rsidR="00F829E8" w:rsidRPr="001C7D14" w:rsidRDefault="00F829E8" w:rsidP="00D908B0">
            <w:pPr>
              <w:spacing w:line="240" w:lineRule="auto"/>
              <w:jc w:val="center"/>
            </w:pPr>
            <w:r w:rsidRPr="001C7D14">
              <w:t>.042</w:t>
            </w:r>
          </w:p>
        </w:tc>
        <w:tc>
          <w:tcPr>
            <w:tcW w:w="951" w:type="dxa"/>
          </w:tcPr>
          <w:p w14:paraId="48C34525" w14:textId="77777777" w:rsidR="00F829E8" w:rsidRPr="001C7D14" w:rsidRDefault="00F829E8" w:rsidP="00D908B0">
            <w:pPr>
              <w:spacing w:line="240" w:lineRule="auto"/>
              <w:jc w:val="center"/>
            </w:pPr>
            <w:r w:rsidRPr="001C7D14">
              <w:t>.308**</w:t>
            </w:r>
          </w:p>
        </w:tc>
        <w:tc>
          <w:tcPr>
            <w:tcW w:w="952" w:type="dxa"/>
          </w:tcPr>
          <w:p w14:paraId="06408A5D" w14:textId="77777777" w:rsidR="00F829E8" w:rsidRPr="001C7D14" w:rsidRDefault="00F829E8" w:rsidP="00D908B0">
            <w:pPr>
              <w:spacing w:line="240" w:lineRule="auto"/>
              <w:jc w:val="center"/>
            </w:pPr>
          </w:p>
        </w:tc>
        <w:tc>
          <w:tcPr>
            <w:tcW w:w="952" w:type="dxa"/>
          </w:tcPr>
          <w:p w14:paraId="7508D72A" w14:textId="77777777" w:rsidR="00F829E8" w:rsidRPr="001C7D14" w:rsidRDefault="00F829E8" w:rsidP="00D908B0">
            <w:pPr>
              <w:spacing w:line="240" w:lineRule="auto"/>
              <w:jc w:val="center"/>
            </w:pPr>
          </w:p>
        </w:tc>
      </w:tr>
      <w:tr w:rsidR="00F829E8" w:rsidRPr="001C7D14" w14:paraId="319F7782" w14:textId="77777777" w:rsidTr="00D908B0">
        <w:tc>
          <w:tcPr>
            <w:tcW w:w="2689" w:type="dxa"/>
          </w:tcPr>
          <w:p w14:paraId="2313C16D" w14:textId="77777777" w:rsidR="00F829E8" w:rsidRPr="001C7D14" w:rsidRDefault="00F829E8" w:rsidP="00D908B0">
            <w:pPr>
              <w:spacing w:line="240" w:lineRule="auto"/>
              <w:ind w:left="164"/>
            </w:pPr>
            <w:r w:rsidRPr="001C7D14">
              <w:t>Psychopathy</w:t>
            </w:r>
          </w:p>
        </w:tc>
        <w:tc>
          <w:tcPr>
            <w:tcW w:w="951" w:type="dxa"/>
          </w:tcPr>
          <w:p w14:paraId="47F02E51" w14:textId="77777777" w:rsidR="00F829E8" w:rsidRPr="001C7D14" w:rsidRDefault="00F829E8" w:rsidP="00D908B0">
            <w:pPr>
              <w:spacing w:line="240" w:lineRule="auto"/>
              <w:jc w:val="center"/>
            </w:pPr>
            <w:r w:rsidRPr="001C7D14">
              <w:t>-.072</w:t>
            </w:r>
          </w:p>
        </w:tc>
        <w:tc>
          <w:tcPr>
            <w:tcW w:w="952" w:type="dxa"/>
          </w:tcPr>
          <w:p w14:paraId="642DAA59" w14:textId="77777777" w:rsidR="00F829E8" w:rsidRPr="001C7D14" w:rsidRDefault="00F829E8" w:rsidP="00D908B0">
            <w:pPr>
              <w:spacing w:line="240" w:lineRule="auto"/>
              <w:jc w:val="center"/>
            </w:pPr>
            <w:r w:rsidRPr="001C7D14">
              <w:t>-.174</w:t>
            </w:r>
          </w:p>
        </w:tc>
        <w:tc>
          <w:tcPr>
            <w:tcW w:w="951" w:type="dxa"/>
          </w:tcPr>
          <w:p w14:paraId="46ECF8C4" w14:textId="77777777" w:rsidR="00F829E8" w:rsidRPr="001C7D14" w:rsidRDefault="00F829E8" w:rsidP="00D908B0">
            <w:pPr>
              <w:spacing w:line="240" w:lineRule="auto"/>
              <w:jc w:val="center"/>
            </w:pPr>
            <w:r w:rsidRPr="001C7D14">
              <w:t>.030</w:t>
            </w:r>
          </w:p>
        </w:tc>
        <w:tc>
          <w:tcPr>
            <w:tcW w:w="952" w:type="dxa"/>
          </w:tcPr>
          <w:p w14:paraId="0C104847" w14:textId="77777777" w:rsidR="00F829E8" w:rsidRPr="001C7D14" w:rsidRDefault="00F829E8" w:rsidP="00D908B0">
            <w:pPr>
              <w:spacing w:line="240" w:lineRule="auto"/>
              <w:jc w:val="center"/>
            </w:pPr>
            <w:r w:rsidRPr="001C7D14">
              <w:t>.051</w:t>
            </w:r>
          </w:p>
        </w:tc>
        <w:tc>
          <w:tcPr>
            <w:tcW w:w="951" w:type="dxa"/>
          </w:tcPr>
          <w:p w14:paraId="67B193CC" w14:textId="77777777" w:rsidR="00F829E8" w:rsidRPr="001C7D14" w:rsidRDefault="00F829E8" w:rsidP="00D908B0">
            <w:pPr>
              <w:spacing w:line="240" w:lineRule="auto"/>
              <w:jc w:val="center"/>
            </w:pPr>
            <w:r w:rsidRPr="001C7D14">
              <w:t>-.171</w:t>
            </w:r>
          </w:p>
        </w:tc>
        <w:tc>
          <w:tcPr>
            <w:tcW w:w="952" w:type="dxa"/>
          </w:tcPr>
          <w:p w14:paraId="227FE84E" w14:textId="77777777" w:rsidR="00F829E8" w:rsidRPr="001C7D14" w:rsidRDefault="00F829E8" w:rsidP="00D908B0">
            <w:pPr>
              <w:spacing w:line="240" w:lineRule="auto"/>
              <w:jc w:val="center"/>
            </w:pPr>
          </w:p>
        </w:tc>
        <w:tc>
          <w:tcPr>
            <w:tcW w:w="952" w:type="dxa"/>
          </w:tcPr>
          <w:p w14:paraId="1FFFC118" w14:textId="77777777" w:rsidR="00F829E8" w:rsidRPr="001C7D14" w:rsidRDefault="00F829E8" w:rsidP="00D908B0">
            <w:pPr>
              <w:spacing w:line="240" w:lineRule="auto"/>
              <w:jc w:val="center"/>
            </w:pPr>
          </w:p>
        </w:tc>
      </w:tr>
      <w:tr w:rsidR="00F829E8" w:rsidRPr="001C7D14" w14:paraId="5D0DF0E4" w14:textId="77777777" w:rsidTr="00D908B0">
        <w:tc>
          <w:tcPr>
            <w:tcW w:w="2689" w:type="dxa"/>
          </w:tcPr>
          <w:p w14:paraId="4DB87C22" w14:textId="77777777" w:rsidR="00F829E8" w:rsidRPr="001C7D14" w:rsidRDefault="00F829E8" w:rsidP="00D908B0">
            <w:pPr>
              <w:spacing w:line="240" w:lineRule="auto"/>
            </w:pPr>
            <w:r w:rsidRPr="001C7D14">
              <w:t>Behavioural Engagement</w:t>
            </w:r>
          </w:p>
        </w:tc>
        <w:tc>
          <w:tcPr>
            <w:tcW w:w="951" w:type="dxa"/>
          </w:tcPr>
          <w:p w14:paraId="397F1040" w14:textId="77777777" w:rsidR="00F829E8" w:rsidRPr="001C7D14" w:rsidRDefault="00F829E8" w:rsidP="00D908B0">
            <w:pPr>
              <w:spacing w:line="240" w:lineRule="auto"/>
              <w:jc w:val="center"/>
            </w:pPr>
          </w:p>
        </w:tc>
        <w:tc>
          <w:tcPr>
            <w:tcW w:w="952" w:type="dxa"/>
          </w:tcPr>
          <w:p w14:paraId="5A9F304E" w14:textId="77777777" w:rsidR="00F829E8" w:rsidRPr="001C7D14" w:rsidRDefault="00F829E8" w:rsidP="00D908B0">
            <w:pPr>
              <w:spacing w:line="240" w:lineRule="auto"/>
              <w:jc w:val="center"/>
            </w:pPr>
          </w:p>
        </w:tc>
        <w:tc>
          <w:tcPr>
            <w:tcW w:w="951" w:type="dxa"/>
          </w:tcPr>
          <w:p w14:paraId="280CFE00" w14:textId="77777777" w:rsidR="00F829E8" w:rsidRPr="001C7D14" w:rsidRDefault="00F829E8" w:rsidP="00D908B0">
            <w:pPr>
              <w:spacing w:line="240" w:lineRule="auto"/>
              <w:jc w:val="center"/>
            </w:pPr>
          </w:p>
        </w:tc>
        <w:tc>
          <w:tcPr>
            <w:tcW w:w="952" w:type="dxa"/>
          </w:tcPr>
          <w:p w14:paraId="1578FB6D" w14:textId="77777777" w:rsidR="00F829E8" w:rsidRPr="001C7D14" w:rsidRDefault="00F829E8" w:rsidP="00D908B0">
            <w:pPr>
              <w:spacing w:line="240" w:lineRule="auto"/>
              <w:jc w:val="center"/>
            </w:pPr>
          </w:p>
        </w:tc>
        <w:tc>
          <w:tcPr>
            <w:tcW w:w="951" w:type="dxa"/>
          </w:tcPr>
          <w:p w14:paraId="5D524BA1" w14:textId="77777777" w:rsidR="00F829E8" w:rsidRPr="001C7D14" w:rsidRDefault="00F829E8" w:rsidP="00D908B0">
            <w:pPr>
              <w:spacing w:line="240" w:lineRule="auto"/>
              <w:jc w:val="center"/>
            </w:pPr>
          </w:p>
        </w:tc>
        <w:tc>
          <w:tcPr>
            <w:tcW w:w="952" w:type="dxa"/>
          </w:tcPr>
          <w:p w14:paraId="392C40D2" w14:textId="77777777" w:rsidR="00F829E8" w:rsidRPr="001C7D14" w:rsidRDefault="00F829E8" w:rsidP="00D908B0">
            <w:pPr>
              <w:spacing w:line="240" w:lineRule="auto"/>
              <w:jc w:val="center"/>
            </w:pPr>
            <w:r w:rsidRPr="001C7D14">
              <w:t>.073</w:t>
            </w:r>
          </w:p>
        </w:tc>
        <w:tc>
          <w:tcPr>
            <w:tcW w:w="952" w:type="dxa"/>
          </w:tcPr>
          <w:p w14:paraId="71BF9041" w14:textId="77777777" w:rsidR="00F829E8" w:rsidRPr="001C7D14" w:rsidRDefault="00F829E8" w:rsidP="00D908B0">
            <w:pPr>
              <w:spacing w:line="240" w:lineRule="auto"/>
              <w:jc w:val="center"/>
            </w:pPr>
            <w:r w:rsidRPr="001C7D14">
              <w:t>.042</w:t>
            </w:r>
          </w:p>
        </w:tc>
      </w:tr>
      <w:tr w:rsidR="00F829E8" w:rsidRPr="001C7D14" w14:paraId="7E291237" w14:textId="77777777" w:rsidTr="00D908B0">
        <w:tc>
          <w:tcPr>
            <w:tcW w:w="2689" w:type="dxa"/>
          </w:tcPr>
          <w:p w14:paraId="7ADF4E97" w14:textId="77777777" w:rsidR="00F829E8" w:rsidRPr="001C7D14" w:rsidRDefault="00F829E8" w:rsidP="00D908B0">
            <w:pPr>
              <w:spacing w:line="240" w:lineRule="auto"/>
              <w:ind w:left="164"/>
            </w:pPr>
            <w:r w:rsidRPr="001C7D14">
              <w:t>Machiavellianism</w:t>
            </w:r>
          </w:p>
        </w:tc>
        <w:tc>
          <w:tcPr>
            <w:tcW w:w="951" w:type="dxa"/>
          </w:tcPr>
          <w:p w14:paraId="63D6E90B" w14:textId="77777777" w:rsidR="00F829E8" w:rsidRPr="001C7D14" w:rsidRDefault="00F829E8" w:rsidP="00D908B0">
            <w:pPr>
              <w:spacing w:line="240" w:lineRule="auto"/>
              <w:jc w:val="center"/>
            </w:pPr>
            <w:r w:rsidRPr="001C7D14">
              <w:t>-.027</w:t>
            </w:r>
          </w:p>
        </w:tc>
        <w:tc>
          <w:tcPr>
            <w:tcW w:w="952" w:type="dxa"/>
          </w:tcPr>
          <w:p w14:paraId="46B7444E" w14:textId="77777777" w:rsidR="00F829E8" w:rsidRPr="001C7D14" w:rsidRDefault="00F829E8" w:rsidP="00D908B0">
            <w:pPr>
              <w:spacing w:line="240" w:lineRule="auto"/>
              <w:jc w:val="center"/>
            </w:pPr>
            <w:r w:rsidRPr="001C7D14">
              <w:t>-.126</w:t>
            </w:r>
          </w:p>
        </w:tc>
        <w:tc>
          <w:tcPr>
            <w:tcW w:w="951" w:type="dxa"/>
          </w:tcPr>
          <w:p w14:paraId="7FC44118" w14:textId="77777777" w:rsidR="00F829E8" w:rsidRPr="001C7D14" w:rsidRDefault="00F829E8" w:rsidP="00D908B0">
            <w:pPr>
              <w:spacing w:line="240" w:lineRule="auto"/>
              <w:jc w:val="center"/>
            </w:pPr>
            <w:r w:rsidRPr="001C7D14">
              <w:t>.072</w:t>
            </w:r>
          </w:p>
        </w:tc>
        <w:tc>
          <w:tcPr>
            <w:tcW w:w="952" w:type="dxa"/>
          </w:tcPr>
          <w:p w14:paraId="270230FA" w14:textId="77777777" w:rsidR="00F829E8" w:rsidRPr="001C7D14" w:rsidRDefault="00F829E8" w:rsidP="00D908B0">
            <w:pPr>
              <w:spacing w:line="240" w:lineRule="auto"/>
              <w:jc w:val="center"/>
            </w:pPr>
            <w:r w:rsidRPr="001C7D14">
              <w:t>.050</w:t>
            </w:r>
          </w:p>
        </w:tc>
        <w:tc>
          <w:tcPr>
            <w:tcW w:w="951" w:type="dxa"/>
          </w:tcPr>
          <w:p w14:paraId="1A1DB905" w14:textId="77777777" w:rsidR="00F829E8" w:rsidRPr="001C7D14" w:rsidRDefault="00F829E8" w:rsidP="00D908B0">
            <w:pPr>
              <w:spacing w:line="240" w:lineRule="auto"/>
              <w:jc w:val="center"/>
            </w:pPr>
            <w:r w:rsidRPr="001C7D14">
              <w:t>-.063</w:t>
            </w:r>
          </w:p>
        </w:tc>
        <w:tc>
          <w:tcPr>
            <w:tcW w:w="952" w:type="dxa"/>
          </w:tcPr>
          <w:p w14:paraId="014FB243" w14:textId="77777777" w:rsidR="00F829E8" w:rsidRPr="001C7D14" w:rsidRDefault="00F829E8" w:rsidP="00D908B0">
            <w:pPr>
              <w:spacing w:line="240" w:lineRule="auto"/>
              <w:jc w:val="center"/>
            </w:pPr>
          </w:p>
        </w:tc>
        <w:tc>
          <w:tcPr>
            <w:tcW w:w="952" w:type="dxa"/>
          </w:tcPr>
          <w:p w14:paraId="697665B7" w14:textId="77777777" w:rsidR="00F829E8" w:rsidRPr="001C7D14" w:rsidRDefault="00F829E8" w:rsidP="00D908B0">
            <w:pPr>
              <w:spacing w:line="240" w:lineRule="auto"/>
              <w:jc w:val="center"/>
            </w:pPr>
          </w:p>
        </w:tc>
      </w:tr>
      <w:tr w:rsidR="00F829E8" w:rsidRPr="001C7D14" w14:paraId="69DE374D" w14:textId="77777777" w:rsidTr="00D908B0">
        <w:tc>
          <w:tcPr>
            <w:tcW w:w="2689" w:type="dxa"/>
          </w:tcPr>
          <w:p w14:paraId="08ACD380" w14:textId="77777777" w:rsidR="00F829E8" w:rsidRPr="001C7D14" w:rsidRDefault="00F829E8" w:rsidP="00D908B0">
            <w:pPr>
              <w:spacing w:line="240" w:lineRule="auto"/>
              <w:ind w:left="164"/>
            </w:pPr>
            <w:r w:rsidRPr="001C7D14">
              <w:t>Narcissism</w:t>
            </w:r>
          </w:p>
        </w:tc>
        <w:tc>
          <w:tcPr>
            <w:tcW w:w="951" w:type="dxa"/>
          </w:tcPr>
          <w:p w14:paraId="693A915E" w14:textId="77777777" w:rsidR="00F829E8" w:rsidRPr="001C7D14" w:rsidRDefault="00F829E8" w:rsidP="00D908B0">
            <w:pPr>
              <w:spacing w:line="240" w:lineRule="auto"/>
              <w:jc w:val="center"/>
            </w:pPr>
            <w:r w:rsidRPr="001C7D14">
              <w:t>.110</w:t>
            </w:r>
          </w:p>
        </w:tc>
        <w:tc>
          <w:tcPr>
            <w:tcW w:w="952" w:type="dxa"/>
          </w:tcPr>
          <w:p w14:paraId="06E7A203" w14:textId="77777777" w:rsidR="00F829E8" w:rsidRPr="001C7D14" w:rsidRDefault="00F829E8" w:rsidP="00D908B0">
            <w:pPr>
              <w:spacing w:line="240" w:lineRule="auto"/>
              <w:jc w:val="center"/>
            </w:pPr>
            <w:r w:rsidRPr="001C7D14">
              <w:t>.013</w:t>
            </w:r>
          </w:p>
        </w:tc>
        <w:tc>
          <w:tcPr>
            <w:tcW w:w="951" w:type="dxa"/>
          </w:tcPr>
          <w:p w14:paraId="7F3EFEEA" w14:textId="77777777" w:rsidR="00F829E8" w:rsidRPr="001C7D14" w:rsidRDefault="00F829E8" w:rsidP="00D908B0">
            <w:pPr>
              <w:spacing w:line="240" w:lineRule="auto"/>
              <w:jc w:val="center"/>
            </w:pPr>
            <w:r w:rsidRPr="001C7D14">
              <w:t>.207</w:t>
            </w:r>
          </w:p>
        </w:tc>
        <w:tc>
          <w:tcPr>
            <w:tcW w:w="952" w:type="dxa"/>
          </w:tcPr>
          <w:p w14:paraId="2EC64F32" w14:textId="77777777" w:rsidR="00F829E8" w:rsidRPr="001C7D14" w:rsidRDefault="00F829E8" w:rsidP="00D908B0">
            <w:pPr>
              <w:spacing w:line="240" w:lineRule="auto"/>
              <w:jc w:val="center"/>
            </w:pPr>
            <w:r w:rsidRPr="001C7D14">
              <w:t>.049</w:t>
            </w:r>
          </w:p>
        </w:tc>
        <w:tc>
          <w:tcPr>
            <w:tcW w:w="951" w:type="dxa"/>
          </w:tcPr>
          <w:p w14:paraId="08D8F221" w14:textId="77777777" w:rsidR="00F829E8" w:rsidRPr="001C7D14" w:rsidRDefault="00F829E8" w:rsidP="00D908B0">
            <w:pPr>
              <w:spacing w:line="240" w:lineRule="auto"/>
              <w:jc w:val="center"/>
              <w:rPr>
                <w:vertAlign w:val="superscript"/>
              </w:rPr>
            </w:pPr>
            <w:r w:rsidRPr="001C7D14">
              <w:t>.251</w:t>
            </w:r>
          </w:p>
        </w:tc>
        <w:tc>
          <w:tcPr>
            <w:tcW w:w="952" w:type="dxa"/>
          </w:tcPr>
          <w:p w14:paraId="05CDA1FA" w14:textId="77777777" w:rsidR="00F829E8" w:rsidRPr="001C7D14" w:rsidRDefault="00F829E8" w:rsidP="00D908B0">
            <w:pPr>
              <w:spacing w:line="240" w:lineRule="auto"/>
              <w:jc w:val="center"/>
            </w:pPr>
          </w:p>
        </w:tc>
        <w:tc>
          <w:tcPr>
            <w:tcW w:w="952" w:type="dxa"/>
          </w:tcPr>
          <w:p w14:paraId="3CCB99F6" w14:textId="77777777" w:rsidR="00F829E8" w:rsidRPr="001C7D14" w:rsidRDefault="00F829E8" w:rsidP="00D908B0">
            <w:pPr>
              <w:spacing w:line="240" w:lineRule="auto"/>
              <w:jc w:val="center"/>
            </w:pPr>
          </w:p>
        </w:tc>
      </w:tr>
      <w:tr w:rsidR="00F829E8" w:rsidRPr="001C7D14" w14:paraId="5FF0FDD8" w14:textId="77777777" w:rsidTr="00D908B0">
        <w:tc>
          <w:tcPr>
            <w:tcW w:w="2689" w:type="dxa"/>
          </w:tcPr>
          <w:p w14:paraId="0CFC6303" w14:textId="77777777" w:rsidR="00F829E8" w:rsidRPr="001C7D14" w:rsidRDefault="00F829E8" w:rsidP="00D908B0">
            <w:pPr>
              <w:spacing w:line="240" w:lineRule="auto"/>
              <w:ind w:left="164"/>
            </w:pPr>
            <w:r w:rsidRPr="001C7D14">
              <w:t>Psychopathy</w:t>
            </w:r>
          </w:p>
        </w:tc>
        <w:tc>
          <w:tcPr>
            <w:tcW w:w="951" w:type="dxa"/>
          </w:tcPr>
          <w:p w14:paraId="496F1BFE" w14:textId="77777777" w:rsidR="00F829E8" w:rsidRPr="001C7D14" w:rsidRDefault="00F829E8" w:rsidP="00D908B0">
            <w:pPr>
              <w:spacing w:line="240" w:lineRule="auto"/>
              <w:jc w:val="center"/>
            </w:pPr>
            <w:r w:rsidRPr="001C7D14">
              <w:t>-.102</w:t>
            </w:r>
          </w:p>
        </w:tc>
        <w:tc>
          <w:tcPr>
            <w:tcW w:w="952" w:type="dxa"/>
          </w:tcPr>
          <w:p w14:paraId="4691B810" w14:textId="77777777" w:rsidR="00F829E8" w:rsidRPr="001C7D14" w:rsidRDefault="00F829E8" w:rsidP="00D908B0">
            <w:pPr>
              <w:spacing w:line="240" w:lineRule="auto"/>
              <w:jc w:val="center"/>
            </w:pPr>
            <w:r w:rsidRPr="001C7D14">
              <w:t>-.222</w:t>
            </w:r>
          </w:p>
        </w:tc>
        <w:tc>
          <w:tcPr>
            <w:tcW w:w="951" w:type="dxa"/>
          </w:tcPr>
          <w:p w14:paraId="5F4F2104" w14:textId="77777777" w:rsidR="00F829E8" w:rsidRPr="001C7D14" w:rsidRDefault="00F829E8" w:rsidP="00D908B0">
            <w:pPr>
              <w:spacing w:line="240" w:lineRule="auto"/>
              <w:jc w:val="center"/>
            </w:pPr>
            <w:r w:rsidRPr="001C7D14">
              <w:t>.018</w:t>
            </w:r>
          </w:p>
        </w:tc>
        <w:tc>
          <w:tcPr>
            <w:tcW w:w="952" w:type="dxa"/>
          </w:tcPr>
          <w:p w14:paraId="79B2832C" w14:textId="77777777" w:rsidR="00F829E8" w:rsidRPr="001C7D14" w:rsidRDefault="00F829E8" w:rsidP="00D908B0">
            <w:pPr>
              <w:spacing w:line="240" w:lineRule="auto"/>
              <w:jc w:val="center"/>
            </w:pPr>
            <w:r w:rsidRPr="001C7D14">
              <w:t>.060</w:t>
            </w:r>
          </w:p>
        </w:tc>
        <w:tc>
          <w:tcPr>
            <w:tcW w:w="951" w:type="dxa"/>
          </w:tcPr>
          <w:p w14:paraId="505F1E54" w14:textId="77777777" w:rsidR="00F829E8" w:rsidRPr="001C7D14" w:rsidRDefault="00F829E8" w:rsidP="00D908B0">
            <w:pPr>
              <w:spacing w:line="240" w:lineRule="auto"/>
              <w:jc w:val="center"/>
            </w:pPr>
            <w:r w:rsidRPr="001C7D14">
              <w:t>-.209</w:t>
            </w:r>
          </w:p>
        </w:tc>
        <w:tc>
          <w:tcPr>
            <w:tcW w:w="952" w:type="dxa"/>
          </w:tcPr>
          <w:p w14:paraId="6C1B535B" w14:textId="77777777" w:rsidR="00F829E8" w:rsidRPr="001C7D14" w:rsidRDefault="00F829E8" w:rsidP="00D908B0">
            <w:pPr>
              <w:spacing w:line="240" w:lineRule="auto"/>
              <w:jc w:val="center"/>
            </w:pPr>
          </w:p>
        </w:tc>
        <w:tc>
          <w:tcPr>
            <w:tcW w:w="952" w:type="dxa"/>
          </w:tcPr>
          <w:p w14:paraId="6F59B7E7" w14:textId="77777777" w:rsidR="00F829E8" w:rsidRPr="001C7D14" w:rsidRDefault="00F829E8" w:rsidP="00D908B0">
            <w:pPr>
              <w:spacing w:line="240" w:lineRule="auto"/>
              <w:jc w:val="center"/>
            </w:pPr>
          </w:p>
        </w:tc>
      </w:tr>
      <w:tr w:rsidR="00F829E8" w:rsidRPr="001C7D14" w14:paraId="1C30096F" w14:textId="77777777" w:rsidTr="00D908B0">
        <w:tc>
          <w:tcPr>
            <w:tcW w:w="2689" w:type="dxa"/>
          </w:tcPr>
          <w:p w14:paraId="3B473B15" w14:textId="77777777" w:rsidR="00F829E8" w:rsidRPr="001C7D14" w:rsidRDefault="00F829E8" w:rsidP="00D908B0">
            <w:pPr>
              <w:spacing w:line="240" w:lineRule="auto"/>
            </w:pPr>
            <w:r w:rsidRPr="001C7D14">
              <w:t>Understanding of Employability</w:t>
            </w:r>
          </w:p>
        </w:tc>
        <w:tc>
          <w:tcPr>
            <w:tcW w:w="951" w:type="dxa"/>
          </w:tcPr>
          <w:p w14:paraId="36B278E2" w14:textId="77777777" w:rsidR="00F829E8" w:rsidRPr="001C7D14" w:rsidRDefault="00F829E8" w:rsidP="00D908B0">
            <w:pPr>
              <w:spacing w:line="240" w:lineRule="auto"/>
              <w:jc w:val="center"/>
            </w:pPr>
          </w:p>
        </w:tc>
        <w:tc>
          <w:tcPr>
            <w:tcW w:w="952" w:type="dxa"/>
          </w:tcPr>
          <w:p w14:paraId="77D45149" w14:textId="77777777" w:rsidR="00F829E8" w:rsidRPr="001C7D14" w:rsidRDefault="00F829E8" w:rsidP="00D908B0">
            <w:pPr>
              <w:spacing w:line="240" w:lineRule="auto"/>
              <w:jc w:val="center"/>
            </w:pPr>
          </w:p>
        </w:tc>
        <w:tc>
          <w:tcPr>
            <w:tcW w:w="951" w:type="dxa"/>
          </w:tcPr>
          <w:p w14:paraId="273F5FE6" w14:textId="77777777" w:rsidR="00F829E8" w:rsidRPr="001C7D14" w:rsidRDefault="00F829E8" w:rsidP="00D908B0">
            <w:pPr>
              <w:spacing w:line="240" w:lineRule="auto"/>
              <w:jc w:val="center"/>
            </w:pPr>
          </w:p>
        </w:tc>
        <w:tc>
          <w:tcPr>
            <w:tcW w:w="952" w:type="dxa"/>
          </w:tcPr>
          <w:p w14:paraId="454EB021" w14:textId="77777777" w:rsidR="00F829E8" w:rsidRPr="001C7D14" w:rsidRDefault="00F829E8" w:rsidP="00D908B0">
            <w:pPr>
              <w:spacing w:line="240" w:lineRule="auto"/>
              <w:jc w:val="center"/>
            </w:pPr>
          </w:p>
        </w:tc>
        <w:tc>
          <w:tcPr>
            <w:tcW w:w="951" w:type="dxa"/>
          </w:tcPr>
          <w:p w14:paraId="76C7B6F4" w14:textId="77777777" w:rsidR="00F829E8" w:rsidRPr="001C7D14" w:rsidRDefault="00F829E8" w:rsidP="00D908B0">
            <w:pPr>
              <w:spacing w:line="240" w:lineRule="auto"/>
              <w:jc w:val="center"/>
            </w:pPr>
          </w:p>
        </w:tc>
        <w:tc>
          <w:tcPr>
            <w:tcW w:w="952" w:type="dxa"/>
          </w:tcPr>
          <w:p w14:paraId="66C2AE17" w14:textId="77777777" w:rsidR="00F829E8" w:rsidRPr="001C7D14" w:rsidRDefault="00F829E8" w:rsidP="00D908B0">
            <w:pPr>
              <w:spacing w:line="240" w:lineRule="auto"/>
              <w:jc w:val="center"/>
            </w:pPr>
            <w:r w:rsidRPr="001C7D14">
              <w:t>.065</w:t>
            </w:r>
          </w:p>
        </w:tc>
        <w:tc>
          <w:tcPr>
            <w:tcW w:w="952" w:type="dxa"/>
          </w:tcPr>
          <w:p w14:paraId="559DA782" w14:textId="77777777" w:rsidR="00F829E8" w:rsidRPr="001C7D14" w:rsidRDefault="00F829E8" w:rsidP="00D908B0">
            <w:pPr>
              <w:spacing w:line="240" w:lineRule="auto"/>
              <w:jc w:val="center"/>
            </w:pPr>
            <w:r w:rsidRPr="001C7D14">
              <w:t>.033</w:t>
            </w:r>
          </w:p>
        </w:tc>
      </w:tr>
      <w:tr w:rsidR="00F829E8" w:rsidRPr="001C7D14" w14:paraId="408FCCDD" w14:textId="77777777" w:rsidTr="00D908B0">
        <w:tc>
          <w:tcPr>
            <w:tcW w:w="2689" w:type="dxa"/>
          </w:tcPr>
          <w:p w14:paraId="79E6ADAE" w14:textId="77777777" w:rsidR="00F829E8" w:rsidRPr="001C7D14" w:rsidRDefault="00F829E8" w:rsidP="00D908B0">
            <w:pPr>
              <w:spacing w:line="240" w:lineRule="auto"/>
              <w:ind w:left="164"/>
            </w:pPr>
            <w:r w:rsidRPr="001C7D14">
              <w:t>Machiavellianism</w:t>
            </w:r>
          </w:p>
        </w:tc>
        <w:tc>
          <w:tcPr>
            <w:tcW w:w="951" w:type="dxa"/>
          </w:tcPr>
          <w:p w14:paraId="21A1DB8E" w14:textId="77777777" w:rsidR="00F829E8" w:rsidRPr="001C7D14" w:rsidRDefault="00F829E8" w:rsidP="00D908B0">
            <w:pPr>
              <w:spacing w:line="240" w:lineRule="auto"/>
              <w:jc w:val="center"/>
            </w:pPr>
            <w:r w:rsidRPr="001C7D14">
              <w:t>-.221</w:t>
            </w:r>
          </w:p>
        </w:tc>
        <w:tc>
          <w:tcPr>
            <w:tcW w:w="952" w:type="dxa"/>
          </w:tcPr>
          <w:p w14:paraId="5970AD6D" w14:textId="77777777" w:rsidR="00F829E8" w:rsidRPr="001C7D14" w:rsidRDefault="00F829E8" w:rsidP="00D908B0">
            <w:pPr>
              <w:spacing w:line="240" w:lineRule="auto"/>
              <w:jc w:val="center"/>
            </w:pPr>
            <w:r w:rsidRPr="001C7D14">
              <w:t>-.555</w:t>
            </w:r>
          </w:p>
        </w:tc>
        <w:tc>
          <w:tcPr>
            <w:tcW w:w="951" w:type="dxa"/>
          </w:tcPr>
          <w:p w14:paraId="52BA1C71" w14:textId="77777777" w:rsidR="00F829E8" w:rsidRPr="001C7D14" w:rsidRDefault="00F829E8" w:rsidP="00D908B0">
            <w:pPr>
              <w:spacing w:line="240" w:lineRule="auto"/>
              <w:jc w:val="center"/>
            </w:pPr>
            <w:r w:rsidRPr="001C7D14">
              <w:t>.112</w:t>
            </w:r>
          </w:p>
        </w:tc>
        <w:tc>
          <w:tcPr>
            <w:tcW w:w="952" w:type="dxa"/>
          </w:tcPr>
          <w:p w14:paraId="48E1FFD4" w14:textId="77777777" w:rsidR="00F829E8" w:rsidRPr="001C7D14" w:rsidRDefault="00F829E8" w:rsidP="00D908B0">
            <w:pPr>
              <w:spacing w:line="240" w:lineRule="auto"/>
              <w:jc w:val="center"/>
            </w:pPr>
            <w:r w:rsidRPr="001C7D14">
              <w:t>.168</w:t>
            </w:r>
          </w:p>
        </w:tc>
        <w:tc>
          <w:tcPr>
            <w:tcW w:w="951" w:type="dxa"/>
          </w:tcPr>
          <w:p w14:paraId="21204D9F" w14:textId="77777777" w:rsidR="00F829E8" w:rsidRPr="001C7D14" w:rsidRDefault="00F829E8" w:rsidP="00D908B0">
            <w:pPr>
              <w:spacing w:line="240" w:lineRule="auto"/>
              <w:jc w:val="center"/>
            </w:pPr>
            <w:r w:rsidRPr="001C7D14">
              <w:t>-.155</w:t>
            </w:r>
          </w:p>
        </w:tc>
        <w:tc>
          <w:tcPr>
            <w:tcW w:w="952" w:type="dxa"/>
          </w:tcPr>
          <w:p w14:paraId="6F4E8BEC" w14:textId="77777777" w:rsidR="00F829E8" w:rsidRPr="001C7D14" w:rsidRDefault="00F829E8" w:rsidP="00D908B0">
            <w:pPr>
              <w:spacing w:line="240" w:lineRule="auto"/>
              <w:jc w:val="center"/>
            </w:pPr>
          </w:p>
        </w:tc>
        <w:tc>
          <w:tcPr>
            <w:tcW w:w="952" w:type="dxa"/>
          </w:tcPr>
          <w:p w14:paraId="335AE1A9" w14:textId="77777777" w:rsidR="00F829E8" w:rsidRPr="001C7D14" w:rsidRDefault="00F829E8" w:rsidP="00D908B0">
            <w:pPr>
              <w:spacing w:line="240" w:lineRule="auto"/>
              <w:jc w:val="center"/>
            </w:pPr>
          </w:p>
        </w:tc>
      </w:tr>
      <w:tr w:rsidR="00F829E8" w:rsidRPr="001C7D14" w14:paraId="587A399C" w14:textId="77777777" w:rsidTr="00D908B0">
        <w:tc>
          <w:tcPr>
            <w:tcW w:w="2689" w:type="dxa"/>
          </w:tcPr>
          <w:p w14:paraId="67B3042A" w14:textId="77777777" w:rsidR="00F829E8" w:rsidRPr="001C7D14" w:rsidRDefault="00F829E8" w:rsidP="00D908B0">
            <w:pPr>
              <w:spacing w:line="240" w:lineRule="auto"/>
              <w:ind w:left="164"/>
            </w:pPr>
            <w:r w:rsidRPr="001C7D14">
              <w:t>Narcissism</w:t>
            </w:r>
          </w:p>
        </w:tc>
        <w:tc>
          <w:tcPr>
            <w:tcW w:w="951" w:type="dxa"/>
          </w:tcPr>
          <w:p w14:paraId="59B39CD8" w14:textId="77777777" w:rsidR="00F829E8" w:rsidRPr="001C7D14" w:rsidRDefault="00F829E8" w:rsidP="00D908B0">
            <w:pPr>
              <w:spacing w:line="240" w:lineRule="auto"/>
              <w:jc w:val="center"/>
            </w:pPr>
            <w:r w:rsidRPr="001C7D14">
              <w:t>.332</w:t>
            </w:r>
          </w:p>
        </w:tc>
        <w:tc>
          <w:tcPr>
            <w:tcW w:w="952" w:type="dxa"/>
          </w:tcPr>
          <w:p w14:paraId="5A94DF49" w14:textId="77777777" w:rsidR="00F829E8" w:rsidRPr="001C7D14" w:rsidRDefault="00F829E8" w:rsidP="00D908B0">
            <w:pPr>
              <w:spacing w:line="240" w:lineRule="auto"/>
              <w:jc w:val="center"/>
            </w:pPr>
            <w:r w:rsidRPr="001C7D14">
              <w:t>.004</w:t>
            </w:r>
          </w:p>
        </w:tc>
        <w:tc>
          <w:tcPr>
            <w:tcW w:w="951" w:type="dxa"/>
          </w:tcPr>
          <w:p w14:paraId="1C46E50A" w14:textId="77777777" w:rsidR="00F829E8" w:rsidRPr="001C7D14" w:rsidRDefault="00F829E8" w:rsidP="00D908B0">
            <w:pPr>
              <w:spacing w:line="240" w:lineRule="auto"/>
              <w:jc w:val="center"/>
            </w:pPr>
            <w:r w:rsidRPr="001C7D14">
              <w:t>.660</w:t>
            </w:r>
          </w:p>
        </w:tc>
        <w:tc>
          <w:tcPr>
            <w:tcW w:w="952" w:type="dxa"/>
          </w:tcPr>
          <w:p w14:paraId="66CD6B3A" w14:textId="77777777" w:rsidR="00F829E8" w:rsidRPr="001C7D14" w:rsidRDefault="00F829E8" w:rsidP="00D908B0">
            <w:pPr>
              <w:spacing w:line="240" w:lineRule="auto"/>
              <w:jc w:val="center"/>
            </w:pPr>
            <w:r w:rsidRPr="001C7D14">
              <w:t>.165</w:t>
            </w:r>
          </w:p>
        </w:tc>
        <w:tc>
          <w:tcPr>
            <w:tcW w:w="951" w:type="dxa"/>
          </w:tcPr>
          <w:p w14:paraId="71976B8E" w14:textId="77777777" w:rsidR="00F829E8" w:rsidRPr="001C7D14" w:rsidRDefault="00F829E8" w:rsidP="00D908B0">
            <w:pPr>
              <w:spacing w:line="240" w:lineRule="auto"/>
              <w:jc w:val="center"/>
            </w:pPr>
            <w:r w:rsidRPr="001C7D14">
              <w:t>.226</w:t>
            </w:r>
          </w:p>
        </w:tc>
        <w:tc>
          <w:tcPr>
            <w:tcW w:w="952" w:type="dxa"/>
          </w:tcPr>
          <w:p w14:paraId="59061E78" w14:textId="77777777" w:rsidR="00F829E8" w:rsidRPr="001C7D14" w:rsidRDefault="00F829E8" w:rsidP="00D908B0">
            <w:pPr>
              <w:spacing w:line="240" w:lineRule="auto"/>
              <w:jc w:val="center"/>
            </w:pPr>
          </w:p>
        </w:tc>
        <w:tc>
          <w:tcPr>
            <w:tcW w:w="952" w:type="dxa"/>
          </w:tcPr>
          <w:p w14:paraId="5ACBD369" w14:textId="77777777" w:rsidR="00F829E8" w:rsidRPr="001C7D14" w:rsidRDefault="00F829E8" w:rsidP="00D908B0">
            <w:pPr>
              <w:spacing w:line="240" w:lineRule="auto"/>
              <w:jc w:val="center"/>
            </w:pPr>
          </w:p>
        </w:tc>
      </w:tr>
      <w:tr w:rsidR="00F829E8" w:rsidRPr="001C7D14" w14:paraId="2037AA47" w14:textId="77777777" w:rsidTr="00D908B0">
        <w:tc>
          <w:tcPr>
            <w:tcW w:w="2689" w:type="dxa"/>
          </w:tcPr>
          <w:p w14:paraId="64010709" w14:textId="77777777" w:rsidR="00F829E8" w:rsidRPr="001C7D14" w:rsidRDefault="00F829E8" w:rsidP="00D908B0">
            <w:pPr>
              <w:spacing w:line="240" w:lineRule="auto"/>
              <w:ind w:left="164"/>
            </w:pPr>
            <w:r w:rsidRPr="001C7D14">
              <w:t>Psychopathy</w:t>
            </w:r>
          </w:p>
        </w:tc>
        <w:tc>
          <w:tcPr>
            <w:tcW w:w="951" w:type="dxa"/>
          </w:tcPr>
          <w:p w14:paraId="1677DDA8" w14:textId="77777777" w:rsidR="00F829E8" w:rsidRPr="001C7D14" w:rsidRDefault="00F829E8" w:rsidP="00D908B0">
            <w:pPr>
              <w:spacing w:line="240" w:lineRule="auto"/>
              <w:jc w:val="center"/>
            </w:pPr>
            <w:r w:rsidRPr="001C7D14">
              <w:t>-.170</w:t>
            </w:r>
          </w:p>
        </w:tc>
        <w:tc>
          <w:tcPr>
            <w:tcW w:w="952" w:type="dxa"/>
          </w:tcPr>
          <w:p w14:paraId="0F7F3367" w14:textId="77777777" w:rsidR="00F829E8" w:rsidRPr="001C7D14" w:rsidRDefault="00F829E8" w:rsidP="00D908B0">
            <w:pPr>
              <w:spacing w:line="240" w:lineRule="auto"/>
              <w:jc w:val="center"/>
            </w:pPr>
            <w:r w:rsidRPr="001C7D14">
              <w:t>-.574</w:t>
            </w:r>
          </w:p>
        </w:tc>
        <w:tc>
          <w:tcPr>
            <w:tcW w:w="951" w:type="dxa"/>
          </w:tcPr>
          <w:p w14:paraId="1DE3A0D4" w14:textId="77777777" w:rsidR="00F829E8" w:rsidRPr="001C7D14" w:rsidRDefault="00F829E8" w:rsidP="00D908B0">
            <w:pPr>
              <w:spacing w:line="240" w:lineRule="auto"/>
              <w:jc w:val="center"/>
            </w:pPr>
            <w:r w:rsidRPr="001C7D14">
              <w:t>.234</w:t>
            </w:r>
          </w:p>
        </w:tc>
        <w:tc>
          <w:tcPr>
            <w:tcW w:w="952" w:type="dxa"/>
          </w:tcPr>
          <w:p w14:paraId="409DB783" w14:textId="77777777" w:rsidR="00F829E8" w:rsidRPr="001C7D14" w:rsidRDefault="00F829E8" w:rsidP="00D908B0">
            <w:pPr>
              <w:spacing w:line="240" w:lineRule="auto"/>
              <w:jc w:val="center"/>
            </w:pPr>
            <w:r w:rsidRPr="001C7D14">
              <w:t>.203</w:t>
            </w:r>
          </w:p>
        </w:tc>
        <w:tc>
          <w:tcPr>
            <w:tcW w:w="951" w:type="dxa"/>
          </w:tcPr>
          <w:p w14:paraId="7D95F5E7" w14:textId="77777777" w:rsidR="00F829E8" w:rsidRPr="001C7D14" w:rsidRDefault="00F829E8" w:rsidP="00D908B0">
            <w:pPr>
              <w:spacing w:line="240" w:lineRule="auto"/>
              <w:jc w:val="center"/>
            </w:pPr>
            <w:r w:rsidRPr="001C7D14">
              <w:t>-.104</w:t>
            </w:r>
          </w:p>
        </w:tc>
        <w:tc>
          <w:tcPr>
            <w:tcW w:w="952" w:type="dxa"/>
          </w:tcPr>
          <w:p w14:paraId="7D078C89" w14:textId="77777777" w:rsidR="00F829E8" w:rsidRPr="001C7D14" w:rsidRDefault="00F829E8" w:rsidP="00D908B0">
            <w:pPr>
              <w:spacing w:line="240" w:lineRule="auto"/>
              <w:jc w:val="center"/>
            </w:pPr>
          </w:p>
        </w:tc>
        <w:tc>
          <w:tcPr>
            <w:tcW w:w="952" w:type="dxa"/>
          </w:tcPr>
          <w:p w14:paraId="25A75A15" w14:textId="77777777" w:rsidR="00F829E8" w:rsidRPr="001C7D14" w:rsidRDefault="00F829E8" w:rsidP="00D908B0">
            <w:pPr>
              <w:spacing w:line="240" w:lineRule="auto"/>
              <w:jc w:val="center"/>
            </w:pPr>
          </w:p>
        </w:tc>
      </w:tr>
      <w:tr w:rsidR="00F829E8" w:rsidRPr="001C7D14" w14:paraId="7A6A8EB4" w14:textId="77777777" w:rsidTr="00D908B0">
        <w:tc>
          <w:tcPr>
            <w:tcW w:w="2689" w:type="dxa"/>
          </w:tcPr>
          <w:p w14:paraId="128C26AF" w14:textId="77777777" w:rsidR="00F829E8" w:rsidRPr="001C7D14" w:rsidRDefault="00F829E8" w:rsidP="00D908B0">
            <w:pPr>
              <w:spacing w:line="240" w:lineRule="auto"/>
            </w:pPr>
            <w:r w:rsidRPr="001C7D14">
              <w:t>Attitudes towards Employability</w:t>
            </w:r>
          </w:p>
        </w:tc>
        <w:tc>
          <w:tcPr>
            <w:tcW w:w="951" w:type="dxa"/>
          </w:tcPr>
          <w:p w14:paraId="25B4C697" w14:textId="77777777" w:rsidR="00F829E8" w:rsidRPr="001C7D14" w:rsidRDefault="00F829E8" w:rsidP="00D908B0">
            <w:pPr>
              <w:spacing w:line="240" w:lineRule="auto"/>
              <w:jc w:val="center"/>
            </w:pPr>
          </w:p>
        </w:tc>
        <w:tc>
          <w:tcPr>
            <w:tcW w:w="952" w:type="dxa"/>
          </w:tcPr>
          <w:p w14:paraId="23335F7B" w14:textId="77777777" w:rsidR="00F829E8" w:rsidRPr="001C7D14" w:rsidRDefault="00F829E8" w:rsidP="00D908B0">
            <w:pPr>
              <w:spacing w:line="240" w:lineRule="auto"/>
              <w:jc w:val="center"/>
            </w:pPr>
          </w:p>
        </w:tc>
        <w:tc>
          <w:tcPr>
            <w:tcW w:w="951" w:type="dxa"/>
          </w:tcPr>
          <w:p w14:paraId="04E2B63F" w14:textId="77777777" w:rsidR="00F829E8" w:rsidRPr="001C7D14" w:rsidRDefault="00F829E8" w:rsidP="00D908B0">
            <w:pPr>
              <w:spacing w:line="240" w:lineRule="auto"/>
              <w:jc w:val="center"/>
            </w:pPr>
          </w:p>
        </w:tc>
        <w:tc>
          <w:tcPr>
            <w:tcW w:w="952" w:type="dxa"/>
          </w:tcPr>
          <w:p w14:paraId="08764A15" w14:textId="77777777" w:rsidR="00F829E8" w:rsidRPr="001C7D14" w:rsidRDefault="00F829E8" w:rsidP="00D908B0">
            <w:pPr>
              <w:spacing w:line="240" w:lineRule="auto"/>
              <w:jc w:val="center"/>
            </w:pPr>
          </w:p>
        </w:tc>
        <w:tc>
          <w:tcPr>
            <w:tcW w:w="951" w:type="dxa"/>
          </w:tcPr>
          <w:p w14:paraId="3D04CE23" w14:textId="77777777" w:rsidR="00F829E8" w:rsidRPr="001C7D14" w:rsidRDefault="00F829E8" w:rsidP="00D908B0">
            <w:pPr>
              <w:spacing w:line="240" w:lineRule="auto"/>
              <w:jc w:val="center"/>
            </w:pPr>
          </w:p>
        </w:tc>
        <w:tc>
          <w:tcPr>
            <w:tcW w:w="952" w:type="dxa"/>
          </w:tcPr>
          <w:p w14:paraId="7C64EBA1" w14:textId="77777777" w:rsidR="00F829E8" w:rsidRPr="001C7D14" w:rsidRDefault="00F829E8" w:rsidP="00D908B0">
            <w:pPr>
              <w:spacing w:line="240" w:lineRule="auto"/>
              <w:jc w:val="center"/>
            </w:pPr>
            <w:r w:rsidRPr="001C7D14">
              <w:t>.140</w:t>
            </w:r>
          </w:p>
        </w:tc>
        <w:tc>
          <w:tcPr>
            <w:tcW w:w="952" w:type="dxa"/>
          </w:tcPr>
          <w:p w14:paraId="46B0744D" w14:textId="77777777" w:rsidR="00F829E8" w:rsidRPr="001C7D14" w:rsidRDefault="00F829E8" w:rsidP="00D908B0">
            <w:pPr>
              <w:spacing w:line="240" w:lineRule="auto"/>
              <w:jc w:val="center"/>
            </w:pPr>
            <w:r w:rsidRPr="001C7D14">
              <w:t>.111</w:t>
            </w:r>
          </w:p>
        </w:tc>
      </w:tr>
      <w:tr w:rsidR="00F829E8" w:rsidRPr="001C7D14" w14:paraId="2FD2FAD3" w14:textId="77777777" w:rsidTr="00D908B0">
        <w:tc>
          <w:tcPr>
            <w:tcW w:w="2689" w:type="dxa"/>
          </w:tcPr>
          <w:p w14:paraId="64F17C56" w14:textId="77777777" w:rsidR="00F829E8" w:rsidRPr="001C7D14" w:rsidRDefault="00F829E8" w:rsidP="00D908B0">
            <w:pPr>
              <w:spacing w:line="240" w:lineRule="auto"/>
              <w:ind w:left="164"/>
            </w:pPr>
            <w:r w:rsidRPr="001C7D14">
              <w:t>Machiavellianism</w:t>
            </w:r>
          </w:p>
        </w:tc>
        <w:tc>
          <w:tcPr>
            <w:tcW w:w="951" w:type="dxa"/>
          </w:tcPr>
          <w:p w14:paraId="1F3BCD48" w14:textId="77777777" w:rsidR="00F829E8" w:rsidRPr="001C7D14" w:rsidRDefault="00F829E8" w:rsidP="00D908B0">
            <w:pPr>
              <w:spacing w:line="240" w:lineRule="auto"/>
              <w:jc w:val="center"/>
            </w:pPr>
            <w:r w:rsidRPr="001C7D14">
              <w:t>-.204</w:t>
            </w:r>
          </w:p>
        </w:tc>
        <w:tc>
          <w:tcPr>
            <w:tcW w:w="952" w:type="dxa"/>
          </w:tcPr>
          <w:p w14:paraId="543EF50F" w14:textId="77777777" w:rsidR="00F829E8" w:rsidRPr="001C7D14" w:rsidRDefault="00F829E8" w:rsidP="00D908B0">
            <w:pPr>
              <w:spacing w:line="240" w:lineRule="auto"/>
              <w:jc w:val="center"/>
            </w:pPr>
            <w:r w:rsidRPr="001C7D14">
              <w:t>-.407</w:t>
            </w:r>
          </w:p>
        </w:tc>
        <w:tc>
          <w:tcPr>
            <w:tcW w:w="951" w:type="dxa"/>
          </w:tcPr>
          <w:p w14:paraId="0E4C193E" w14:textId="77777777" w:rsidR="00F829E8" w:rsidRPr="001C7D14" w:rsidRDefault="00F829E8" w:rsidP="00D908B0">
            <w:pPr>
              <w:spacing w:line="240" w:lineRule="auto"/>
              <w:jc w:val="center"/>
            </w:pPr>
            <w:r w:rsidRPr="001C7D14">
              <w:t>-.001</w:t>
            </w:r>
          </w:p>
        </w:tc>
        <w:tc>
          <w:tcPr>
            <w:tcW w:w="952" w:type="dxa"/>
          </w:tcPr>
          <w:p w14:paraId="18711C5E" w14:textId="77777777" w:rsidR="00F829E8" w:rsidRPr="001C7D14" w:rsidRDefault="00F829E8" w:rsidP="00D908B0">
            <w:pPr>
              <w:spacing w:line="240" w:lineRule="auto"/>
              <w:jc w:val="center"/>
            </w:pPr>
            <w:r w:rsidRPr="001C7D14">
              <w:t>.102</w:t>
            </w:r>
          </w:p>
        </w:tc>
        <w:tc>
          <w:tcPr>
            <w:tcW w:w="951" w:type="dxa"/>
          </w:tcPr>
          <w:p w14:paraId="465A0882" w14:textId="77777777" w:rsidR="00F829E8" w:rsidRPr="001C7D14" w:rsidRDefault="00F829E8" w:rsidP="00D908B0">
            <w:pPr>
              <w:spacing w:line="240" w:lineRule="auto"/>
              <w:jc w:val="center"/>
            </w:pPr>
            <w:r w:rsidRPr="001C7D14">
              <w:t>-.226*</w:t>
            </w:r>
          </w:p>
        </w:tc>
        <w:tc>
          <w:tcPr>
            <w:tcW w:w="952" w:type="dxa"/>
          </w:tcPr>
          <w:p w14:paraId="07052C36" w14:textId="77777777" w:rsidR="00F829E8" w:rsidRPr="001C7D14" w:rsidRDefault="00F829E8" w:rsidP="00D908B0">
            <w:pPr>
              <w:spacing w:line="240" w:lineRule="auto"/>
              <w:jc w:val="center"/>
            </w:pPr>
          </w:p>
        </w:tc>
        <w:tc>
          <w:tcPr>
            <w:tcW w:w="952" w:type="dxa"/>
          </w:tcPr>
          <w:p w14:paraId="6C7DC3F2" w14:textId="77777777" w:rsidR="00F829E8" w:rsidRPr="001C7D14" w:rsidRDefault="00F829E8" w:rsidP="00D908B0">
            <w:pPr>
              <w:spacing w:line="240" w:lineRule="auto"/>
              <w:jc w:val="center"/>
            </w:pPr>
          </w:p>
        </w:tc>
      </w:tr>
      <w:tr w:rsidR="00F829E8" w:rsidRPr="001C7D14" w14:paraId="3009216C" w14:textId="77777777" w:rsidTr="00D908B0">
        <w:tc>
          <w:tcPr>
            <w:tcW w:w="2689" w:type="dxa"/>
          </w:tcPr>
          <w:p w14:paraId="4BED374F" w14:textId="77777777" w:rsidR="00F829E8" w:rsidRPr="001C7D14" w:rsidRDefault="00F829E8" w:rsidP="00D908B0">
            <w:pPr>
              <w:spacing w:line="240" w:lineRule="auto"/>
              <w:ind w:left="164"/>
            </w:pPr>
            <w:r w:rsidRPr="001C7D14">
              <w:t>Narcissism</w:t>
            </w:r>
          </w:p>
        </w:tc>
        <w:tc>
          <w:tcPr>
            <w:tcW w:w="951" w:type="dxa"/>
          </w:tcPr>
          <w:p w14:paraId="666FB68D" w14:textId="77777777" w:rsidR="00F829E8" w:rsidRPr="001C7D14" w:rsidRDefault="00F829E8" w:rsidP="00D908B0">
            <w:pPr>
              <w:spacing w:line="240" w:lineRule="auto"/>
              <w:jc w:val="center"/>
            </w:pPr>
            <w:r w:rsidRPr="001C7D14">
              <w:t>.265</w:t>
            </w:r>
          </w:p>
        </w:tc>
        <w:tc>
          <w:tcPr>
            <w:tcW w:w="952" w:type="dxa"/>
          </w:tcPr>
          <w:p w14:paraId="66BB2BCB" w14:textId="77777777" w:rsidR="00F829E8" w:rsidRPr="001C7D14" w:rsidRDefault="00F829E8" w:rsidP="00D908B0">
            <w:pPr>
              <w:spacing w:line="240" w:lineRule="auto"/>
              <w:jc w:val="center"/>
            </w:pPr>
            <w:r w:rsidRPr="001C7D14">
              <w:t>.066</w:t>
            </w:r>
          </w:p>
        </w:tc>
        <w:tc>
          <w:tcPr>
            <w:tcW w:w="951" w:type="dxa"/>
          </w:tcPr>
          <w:p w14:paraId="358BEC27" w14:textId="77777777" w:rsidR="00F829E8" w:rsidRPr="001C7D14" w:rsidRDefault="00F829E8" w:rsidP="00D908B0">
            <w:pPr>
              <w:spacing w:line="240" w:lineRule="auto"/>
              <w:jc w:val="center"/>
            </w:pPr>
            <w:r w:rsidRPr="001C7D14">
              <w:t>.464</w:t>
            </w:r>
          </w:p>
        </w:tc>
        <w:tc>
          <w:tcPr>
            <w:tcW w:w="952" w:type="dxa"/>
          </w:tcPr>
          <w:p w14:paraId="53EF731A" w14:textId="77777777" w:rsidR="00F829E8" w:rsidRPr="001C7D14" w:rsidRDefault="00F829E8" w:rsidP="00D908B0">
            <w:pPr>
              <w:spacing w:line="240" w:lineRule="auto"/>
              <w:jc w:val="center"/>
            </w:pPr>
            <w:r w:rsidRPr="001C7D14">
              <w:t>.100</w:t>
            </w:r>
          </w:p>
        </w:tc>
        <w:tc>
          <w:tcPr>
            <w:tcW w:w="951" w:type="dxa"/>
          </w:tcPr>
          <w:p w14:paraId="241F8B9B" w14:textId="77777777" w:rsidR="00F829E8" w:rsidRPr="001C7D14" w:rsidRDefault="00F829E8" w:rsidP="00D908B0">
            <w:pPr>
              <w:spacing w:line="240" w:lineRule="auto"/>
              <w:jc w:val="center"/>
            </w:pPr>
            <w:r w:rsidRPr="001C7D14">
              <w:t>.284**</w:t>
            </w:r>
          </w:p>
        </w:tc>
        <w:tc>
          <w:tcPr>
            <w:tcW w:w="952" w:type="dxa"/>
          </w:tcPr>
          <w:p w14:paraId="693B8702" w14:textId="77777777" w:rsidR="00F829E8" w:rsidRPr="001C7D14" w:rsidRDefault="00F829E8" w:rsidP="00D908B0">
            <w:pPr>
              <w:spacing w:line="240" w:lineRule="auto"/>
              <w:jc w:val="center"/>
            </w:pPr>
          </w:p>
        </w:tc>
        <w:tc>
          <w:tcPr>
            <w:tcW w:w="952" w:type="dxa"/>
          </w:tcPr>
          <w:p w14:paraId="2BB73F6E" w14:textId="77777777" w:rsidR="00F829E8" w:rsidRPr="001C7D14" w:rsidRDefault="00F829E8" w:rsidP="00D908B0">
            <w:pPr>
              <w:spacing w:line="240" w:lineRule="auto"/>
              <w:jc w:val="center"/>
            </w:pPr>
          </w:p>
        </w:tc>
      </w:tr>
      <w:tr w:rsidR="00F829E8" w:rsidRPr="001C7D14" w14:paraId="18069473" w14:textId="77777777" w:rsidTr="00D908B0">
        <w:tc>
          <w:tcPr>
            <w:tcW w:w="2689" w:type="dxa"/>
            <w:tcBorders>
              <w:bottom w:val="single" w:sz="12" w:space="0" w:color="auto"/>
            </w:tcBorders>
          </w:tcPr>
          <w:p w14:paraId="69540A7E" w14:textId="77777777" w:rsidR="00F829E8" w:rsidRPr="001C7D14" w:rsidRDefault="00F829E8" w:rsidP="00D908B0">
            <w:pPr>
              <w:spacing w:line="240" w:lineRule="auto"/>
              <w:ind w:left="164"/>
            </w:pPr>
            <w:r w:rsidRPr="001C7D14">
              <w:t>Psychopathy</w:t>
            </w:r>
          </w:p>
        </w:tc>
        <w:tc>
          <w:tcPr>
            <w:tcW w:w="951" w:type="dxa"/>
            <w:tcBorders>
              <w:bottom w:val="single" w:sz="12" w:space="0" w:color="auto"/>
            </w:tcBorders>
          </w:tcPr>
          <w:p w14:paraId="582370F1" w14:textId="77777777" w:rsidR="00F829E8" w:rsidRPr="001C7D14" w:rsidRDefault="00F829E8" w:rsidP="00D908B0">
            <w:pPr>
              <w:spacing w:line="240" w:lineRule="auto"/>
              <w:jc w:val="center"/>
            </w:pPr>
            <w:r w:rsidRPr="001C7D14">
              <w:t>-.215</w:t>
            </w:r>
          </w:p>
        </w:tc>
        <w:tc>
          <w:tcPr>
            <w:tcW w:w="952" w:type="dxa"/>
            <w:tcBorders>
              <w:bottom w:val="single" w:sz="12" w:space="0" w:color="auto"/>
            </w:tcBorders>
          </w:tcPr>
          <w:p w14:paraId="62B0C057" w14:textId="77777777" w:rsidR="00F829E8" w:rsidRPr="001C7D14" w:rsidRDefault="00F829E8" w:rsidP="00D908B0">
            <w:pPr>
              <w:spacing w:line="240" w:lineRule="auto"/>
              <w:jc w:val="center"/>
            </w:pPr>
            <w:r w:rsidRPr="001C7D14">
              <w:t>-.461</w:t>
            </w:r>
          </w:p>
        </w:tc>
        <w:tc>
          <w:tcPr>
            <w:tcW w:w="951" w:type="dxa"/>
            <w:tcBorders>
              <w:bottom w:val="single" w:sz="12" w:space="0" w:color="auto"/>
            </w:tcBorders>
          </w:tcPr>
          <w:p w14:paraId="31CFADF0" w14:textId="77777777" w:rsidR="00F829E8" w:rsidRPr="001C7D14" w:rsidRDefault="00F829E8" w:rsidP="00D908B0">
            <w:pPr>
              <w:spacing w:line="240" w:lineRule="auto"/>
              <w:jc w:val="center"/>
            </w:pPr>
            <w:r w:rsidRPr="001C7D14">
              <w:t>.031</w:t>
            </w:r>
          </w:p>
        </w:tc>
        <w:tc>
          <w:tcPr>
            <w:tcW w:w="952" w:type="dxa"/>
            <w:tcBorders>
              <w:bottom w:val="single" w:sz="12" w:space="0" w:color="auto"/>
            </w:tcBorders>
          </w:tcPr>
          <w:p w14:paraId="07508BFC" w14:textId="77777777" w:rsidR="00F829E8" w:rsidRPr="001C7D14" w:rsidRDefault="00F829E8" w:rsidP="00D908B0">
            <w:pPr>
              <w:spacing w:line="240" w:lineRule="auto"/>
              <w:jc w:val="center"/>
            </w:pPr>
            <w:r w:rsidRPr="001C7D14">
              <w:t>.124</w:t>
            </w:r>
          </w:p>
        </w:tc>
        <w:tc>
          <w:tcPr>
            <w:tcW w:w="951" w:type="dxa"/>
            <w:tcBorders>
              <w:bottom w:val="single" w:sz="12" w:space="0" w:color="auto"/>
            </w:tcBorders>
          </w:tcPr>
          <w:p w14:paraId="3816F413" w14:textId="77777777" w:rsidR="00F829E8" w:rsidRPr="001C7D14" w:rsidRDefault="00F829E8" w:rsidP="00D908B0">
            <w:pPr>
              <w:spacing w:line="240" w:lineRule="auto"/>
              <w:jc w:val="center"/>
            </w:pPr>
            <w:r w:rsidRPr="001C7D14">
              <w:t>-.207</w:t>
            </w:r>
          </w:p>
        </w:tc>
        <w:tc>
          <w:tcPr>
            <w:tcW w:w="952" w:type="dxa"/>
            <w:tcBorders>
              <w:bottom w:val="single" w:sz="12" w:space="0" w:color="auto"/>
            </w:tcBorders>
          </w:tcPr>
          <w:p w14:paraId="639E5936" w14:textId="77777777" w:rsidR="00F829E8" w:rsidRPr="001C7D14" w:rsidRDefault="00F829E8" w:rsidP="00D908B0">
            <w:pPr>
              <w:spacing w:line="240" w:lineRule="auto"/>
              <w:jc w:val="center"/>
            </w:pPr>
          </w:p>
        </w:tc>
        <w:tc>
          <w:tcPr>
            <w:tcW w:w="952" w:type="dxa"/>
            <w:tcBorders>
              <w:bottom w:val="single" w:sz="12" w:space="0" w:color="auto"/>
            </w:tcBorders>
          </w:tcPr>
          <w:p w14:paraId="4CD1646D" w14:textId="77777777" w:rsidR="00F829E8" w:rsidRPr="001C7D14" w:rsidRDefault="00F829E8" w:rsidP="00D908B0">
            <w:pPr>
              <w:spacing w:line="240" w:lineRule="auto"/>
              <w:jc w:val="center"/>
            </w:pPr>
          </w:p>
        </w:tc>
      </w:tr>
    </w:tbl>
    <w:p w14:paraId="66F86AD0" w14:textId="291955EF" w:rsidR="00F829E8" w:rsidRPr="001C7D14" w:rsidRDefault="00F829E8" w:rsidP="00F829E8">
      <w:pPr>
        <w:spacing w:line="240" w:lineRule="auto"/>
      </w:pPr>
      <w:r w:rsidRPr="001C7D14">
        <w:rPr>
          <w:i/>
          <w:iCs/>
        </w:rPr>
        <w:t>Note. B</w:t>
      </w:r>
      <w:r w:rsidRPr="001C7D14">
        <w:t xml:space="preserve"> = unstandardized regression coefficient; CI = confidence interval; </w:t>
      </w:r>
      <w:r w:rsidRPr="001C7D14">
        <w:rPr>
          <w:i/>
          <w:iCs/>
        </w:rPr>
        <w:t>LL</w:t>
      </w:r>
      <w:r w:rsidRPr="001C7D14">
        <w:t xml:space="preserve"> = lower limit; </w:t>
      </w:r>
      <w:r w:rsidRPr="001C7D14">
        <w:rPr>
          <w:i/>
          <w:iCs/>
        </w:rPr>
        <w:t>UL</w:t>
      </w:r>
      <w:r w:rsidRPr="001C7D14">
        <w:t xml:space="preserve"> = upper limit; </w:t>
      </w:r>
      <w:r w:rsidRPr="001C7D14">
        <w:rPr>
          <w:i/>
          <w:iCs/>
        </w:rPr>
        <w:t>SE</w:t>
      </w:r>
      <w:r w:rsidRPr="001C7D14">
        <w:t xml:space="preserve"> = standard error of the coefficient; β = standardised coefficient; </w:t>
      </w:r>
      <w:r w:rsidRPr="001C7D14">
        <w:rPr>
          <w:i/>
          <w:iCs/>
        </w:rPr>
        <w:t>R</w:t>
      </w:r>
      <w:r w:rsidRPr="001C7D14">
        <w:rPr>
          <w:i/>
          <w:iCs/>
          <w:vertAlign w:val="superscript"/>
        </w:rPr>
        <w:t xml:space="preserve">2 </w:t>
      </w:r>
      <w:r w:rsidRPr="001C7D14">
        <w:rPr>
          <w:i/>
          <w:iCs/>
        </w:rPr>
        <w:t xml:space="preserve">= </w:t>
      </w:r>
      <w:r w:rsidRPr="001C7D14">
        <w:t>variance accounted for by the model; Δ</w:t>
      </w:r>
      <w:r w:rsidRPr="001C7D14">
        <w:rPr>
          <w:i/>
          <w:iCs/>
        </w:rPr>
        <w:t>R</w:t>
      </w:r>
      <w:r w:rsidRPr="001C7D14">
        <w:rPr>
          <w:i/>
          <w:iCs/>
          <w:vertAlign w:val="superscript"/>
        </w:rPr>
        <w:t xml:space="preserve">2 </w:t>
      </w:r>
      <w:r w:rsidRPr="001C7D14">
        <w:t xml:space="preserve">= adjusted </w:t>
      </w:r>
      <w:r w:rsidRPr="001C7D14">
        <w:rPr>
          <w:i/>
          <w:iCs/>
        </w:rPr>
        <w:t>R</w:t>
      </w:r>
      <w:r w:rsidRPr="001C7D14">
        <w:rPr>
          <w:i/>
          <w:iCs/>
          <w:vertAlign w:val="superscript"/>
        </w:rPr>
        <w:t>2</w:t>
      </w:r>
      <w:r w:rsidRPr="001C7D14">
        <w:rPr>
          <w:i/>
          <w:iCs/>
        </w:rPr>
        <w:t>.</w:t>
      </w:r>
      <w:r w:rsidR="0089707D">
        <w:rPr>
          <w:i/>
          <w:iCs/>
        </w:rPr>
        <w:t xml:space="preserve"> </w:t>
      </w:r>
      <w:r w:rsidRPr="001C7D14">
        <w:t xml:space="preserve">* </w:t>
      </w:r>
      <w:r w:rsidRPr="001C7D14">
        <w:rPr>
          <w:i/>
          <w:iCs/>
        </w:rPr>
        <w:t>p</w:t>
      </w:r>
      <w:r w:rsidRPr="001C7D14">
        <w:t xml:space="preserve"> ≤ 0.05</w:t>
      </w:r>
      <w:r w:rsidR="0089707D">
        <w:t xml:space="preserve">; </w:t>
      </w:r>
      <w:r w:rsidRPr="001C7D14">
        <w:rPr>
          <w:i/>
          <w:iCs/>
        </w:rPr>
        <w:t xml:space="preserve">** p </w:t>
      </w:r>
      <w:r w:rsidRPr="001C7D14">
        <w:t>≤ 0.01</w:t>
      </w:r>
      <w:r w:rsidR="0089707D">
        <w:t>.</w:t>
      </w:r>
    </w:p>
    <w:p w14:paraId="6326A5E5" w14:textId="77777777" w:rsidR="00F829E8" w:rsidRPr="001C7D14" w:rsidRDefault="00F829E8" w:rsidP="00F829E8">
      <w:pPr>
        <w:spacing w:line="240" w:lineRule="auto"/>
      </w:pPr>
    </w:p>
    <w:p w14:paraId="67CE038F" w14:textId="77777777" w:rsidR="00ED2949" w:rsidRPr="001C7D14" w:rsidRDefault="00ED2949" w:rsidP="00F829E8"/>
    <w:sectPr w:rsidR="00ED2949" w:rsidRPr="001C7D14" w:rsidSect="00211F86">
      <w:headerReference w:type="first" r:id="rId12"/>
      <w:pgSz w:w="11901" w:h="16840" w:code="9"/>
      <w:pgMar w:top="1440" w:right="1440" w:bottom="1418"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rosoft account" w:date="2022-11-01T17:45:00Z" w:initials="Ma">
    <w:p w14:paraId="4580A58D" w14:textId="442E2583" w:rsidR="00D908B0" w:rsidRDefault="00D908B0">
      <w:pPr>
        <w:pStyle w:val="CommentText"/>
      </w:pPr>
      <w:r>
        <w:rPr>
          <w:rStyle w:val="CommentReference"/>
        </w:rPr>
        <w:annotationRef/>
      </w:r>
      <w:r>
        <w:t>Please give page number for direct quotation</w:t>
      </w:r>
    </w:p>
  </w:comment>
  <w:comment w:id="0" w:author="Robyn Mooney" w:date="2022-11-07T14:53:00Z" w:initials="RM">
    <w:p w14:paraId="1736E08C" w14:textId="77777777" w:rsidR="00BE23E6" w:rsidRDefault="00BE23E6" w:rsidP="0085317D">
      <w:pPr>
        <w:pStyle w:val="CommentText"/>
      </w:pPr>
      <w:r>
        <w:rPr>
          <w:rStyle w:val="CommentReference"/>
        </w:rPr>
        <w:annotationRef/>
      </w:r>
      <w:r>
        <w:t>Thank you for pointing this out - the citation was incorrect so I have updated it (and the reference list)</w:t>
      </w:r>
    </w:p>
  </w:comment>
  <w:comment w:id="3" w:author="Microsoft account" w:date="2022-11-02T15:58:00Z" w:initials="Ma">
    <w:p w14:paraId="7668C16F" w14:textId="4EA5B18E" w:rsidR="00D908B0" w:rsidRDefault="00D908B0">
      <w:pPr>
        <w:pStyle w:val="CommentText"/>
      </w:pPr>
      <w:r>
        <w:rPr>
          <w:rStyle w:val="CommentReference"/>
        </w:rPr>
        <w:annotationRef/>
      </w:r>
      <w:r>
        <w:t>Robyn – just checking, is this right? I am not sure that your definitions of the traits all imply deliberate ill will. The other items in your list clearly relate to all three descriptions.</w:t>
      </w:r>
    </w:p>
  </w:comment>
  <w:comment w:id="2" w:author="Robyn Mooney" w:date="2022-11-07T15:12:00Z" w:initials="RM">
    <w:p w14:paraId="68844001" w14:textId="77777777" w:rsidR="000A2D4A" w:rsidRDefault="000A2D4A" w:rsidP="001F3405">
      <w:pPr>
        <w:pStyle w:val="CommentText"/>
      </w:pPr>
      <w:r>
        <w:rPr>
          <w:rStyle w:val="CommentReference"/>
        </w:rPr>
        <w:annotationRef/>
      </w:r>
      <w:r>
        <w:t>I think this is a fair point - they are usually described this way, but because I am not necessarily arguing that the DT traits are inherently bad, I've decided to remove the 'social malevolence' from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0A58D" w15:done="0"/>
  <w15:commentEx w15:paraId="1736E08C" w15:paraIdParent="4580A58D" w15:done="0"/>
  <w15:commentEx w15:paraId="7668C16F" w15:done="0"/>
  <w15:commentEx w15:paraId="68844001" w15:paraIdParent="7668C1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9A65" w16cex:dateUtc="2022-11-07T14:53:00Z"/>
  <w16cex:commentExtensible w16cex:durableId="27139EEF" w16cex:dateUtc="2022-11-07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0A58D" w16cid:durableId="2713483E"/>
  <w16cid:commentId w16cid:paraId="1736E08C" w16cid:durableId="27139A65"/>
  <w16cid:commentId w16cid:paraId="7668C16F" w16cid:durableId="27134840"/>
  <w16cid:commentId w16cid:paraId="68844001" w16cid:durableId="27139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8482" w14:textId="77777777" w:rsidR="004E602F" w:rsidRDefault="004E602F" w:rsidP="00AF2C92">
      <w:r>
        <w:separator/>
      </w:r>
    </w:p>
  </w:endnote>
  <w:endnote w:type="continuationSeparator" w:id="0">
    <w:p w14:paraId="7CE06262" w14:textId="77777777" w:rsidR="004E602F" w:rsidRDefault="004E602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9EC3" w14:textId="77777777" w:rsidR="004E602F" w:rsidRDefault="004E602F" w:rsidP="00AF2C92">
      <w:r>
        <w:separator/>
      </w:r>
    </w:p>
  </w:footnote>
  <w:footnote w:type="continuationSeparator" w:id="0">
    <w:p w14:paraId="5F7EBD15" w14:textId="77777777" w:rsidR="004E602F" w:rsidRDefault="004E602F"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61045"/>
      <w:docPartObj>
        <w:docPartGallery w:val="Page Numbers (Top of Page)"/>
        <w:docPartUnique/>
      </w:docPartObj>
    </w:sdtPr>
    <w:sdtEndPr>
      <w:rPr>
        <w:rFonts w:ascii="Arial" w:hAnsi="Arial" w:cs="Arial"/>
        <w:noProof/>
        <w:sz w:val="20"/>
        <w:szCs w:val="20"/>
      </w:rPr>
    </w:sdtEndPr>
    <w:sdtContent>
      <w:p w14:paraId="27E7B852" w14:textId="5D76EA36" w:rsidR="00D908B0" w:rsidRPr="00EA4AD6" w:rsidRDefault="00D908B0">
        <w:pPr>
          <w:pStyle w:val="Header"/>
          <w:jc w:val="right"/>
          <w:rPr>
            <w:rFonts w:ascii="Arial" w:hAnsi="Arial" w:cs="Arial"/>
            <w:sz w:val="20"/>
            <w:szCs w:val="20"/>
          </w:rPr>
        </w:pPr>
        <w:r w:rsidRPr="00EA4AD6">
          <w:rPr>
            <w:rFonts w:ascii="Arial" w:hAnsi="Arial" w:cs="Arial"/>
            <w:sz w:val="20"/>
            <w:szCs w:val="20"/>
          </w:rPr>
          <w:fldChar w:fldCharType="begin"/>
        </w:r>
        <w:r w:rsidRPr="00EA4AD6">
          <w:rPr>
            <w:rFonts w:ascii="Arial" w:hAnsi="Arial" w:cs="Arial"/>
            <w:sz w:val="20"/>
            <w:szCs w:val="20"/>
          </w:rPr>
          <w:instrText xml:space="preserve"> PAGE   \* MERGEFORMAT </w:instrText>
        </w:r>
        <w:r w:rsidRPr="00EA4AD6">
          <w:rPr>
            <w:rFonts w:ascii="Arial" w:hAnsi="Arial" w:cs="Arial"/>
            <w:sz w:val="20"/>
            <w:szCs w:val="20"/>
          </w:rPr>
          <w:fldChar w:fldCharType="separate"/>
        </w:r>
        <w:r w:rsidR="00712D98">
          <w:rPr>
            <w:rFonts w:ascii="Arial" w:hAnsi="Arial" w:cs="Arial"/>
            <w:noProof/>
            <w:sz w:val="20"/>
            <w:szCs w:val="20"/>
          </w:rPr>
          <w:t>1</w:t>
        </w:r>
        <w:r w:rsidRPr="00EA4AD6">
          <w:rPr>
            <w:rFonts w:ascii="Arial" w:hAnsi="Arial" w:cs="Arial"/>
            <w:noProof/>
            <w:sz w:val="20"/>
            <w:szCs w:val="20"/>
          </w:rPr>
          <w:fldChar w:fldCharType="end"/>
        </w:r>
      </w:p>
    </w:sdtContent>
  </w:sdt>
  <w:p w14:paraId="2A0452B3" w14:textId="0605CF20" w:rsidR="00D908B0" w:rsidRPr="00CF01A1" w:rsidRDefault="00D908B0">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31DFB"/>
    <w:multiLevelType w:val="hybridMultilevel"/>
    <w:tmpl w:val="A5AC2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653608">
    <w:abstractNumId w:val="15"/>
  </w:num>
  <w:num w:numId="2" w16cid:durableId="933249383">
    <w:abstractNumId w:val="19"/>
  </w:num>
  <w:num w:numId="3" w16cid:durableId="1077478178">
    <w:abstractNumId w:val="1"/>
  </w:num>
  <w:num w:numId="4" w16cid:durableId="1854490408">
    <w:abstractNumId w:val="2"/>
  </w:num>
  <w:num w:numId="5" w16cid:durableId="659425165">
    <w:abstractNumId w:val="3"/>
  </w:num>
  <w:num w:numId="6" w16cid:durableId="747850949">
    <w:abstractNumId w:val="4"/>
  </w:num>
  <w:num w:numId="7" w16cid:durableId="1427651705">
    <w:abstractNumId w:val="9"/>
  </w:num>
  <w:num w:numId="8" w16cid:durableId="2012676719">
    <w:abstractNumId w:val="5"/>
  </w:num>
  <w:num w:numId="9" w16cid:durableId="1882283252">
    <w:abstractNumId w:val="7"/>
  </w:num>
  <w:num w:numId="10" w16cid:durableId="503862444">
    <w:abstractNumId w:val="6"/>
  </w:num>
  <w:num w:numId="11" w16cid:durableId="1807352643">
    <w:abstractNumId w:val="10"/>
  </w:num>
  <w:num w:numId="12" w16cid:durableId="1048459648">
    <w:abstractNumId w:val="8"/>
  </w:num>
  <w:num w:numId="13" w16cid:durableId="846872292">
    <w:abstractNumId w:val="17"/>
  </w:num>
  <w:num w:numId="14" w16cid:durableId="2011911909">
    <w:abstractNumId w:val="21"/>
  </w:num>
  <w:num w:numId="15" w16cid:durableId="679889194">
    <w:abstractNumId w:val="14"/>
  </w:num>
  <w:num w:numId="16" w16cid:durableId="78217091">
    <w:abstractNumId w:val="16"/>
  </w:num>
  <w:num w:numId="17" w16cid:durableId="407651773">
    <w:abstractNumId w:val="11"/>
  </w:num>
  <w:num w:numId="18" w16cid:durableId="44263138">
    <w:abstractNumId w:val="0"/>
  </w:num>
  <w:num w:numId="19" w16cid:durableId="1071198270">
    <w:abstractNumId w:val="12"/>
  </w:num>
  <w:num w:numId="20" w16cid:durableId="2014140238">
    <w:abstractNumId w:val="21"/>
  </w:num>
  <w:num w:numId="21" w16cid:durableId="98335469">
    <w:abstractNumId w:val="21"/>
  </w:num>
  <w:num w:numId="22" w16cid:durableId="538129930">
    <w:abstractNumId w:val="21"/>
  </w:num>
  <w:num w:numId="23" w16cid:durableId="1465196093">
    <w:abstractNumId w:val="21"/>
  </w:num>
  <w:num w:numId="24" w16cid:durableId="1897818827">
    <w:abstractNumId w:val="17"/>
  </w:num>
  <w:num w:numId="25" w16cid:durableId="1218280272">
    <w:abstractNumId w:val="18"/>
  </w:num>
  <w:num w:numId="26" w16cid:durableId="1196581380">
    <w:abstractNumId w:val="22"/>
  </w:num>
  <w:num w:numId="27" w16cid:durableId="665597404">
    <w:abstractNumId w:val="23"/>
  </w:num>
  <w:num w:numId="28" w16cid:durableId="290402390">
    <w:abstractNumId w:val="21"/>
  </w:num>
  <w:num w:numId="29" w16cid:durableId="1526014506">
    <w:abstractNumId w:val="13"/>
  </w:num>
  <w:num w:numId="30" w16cid:durableId="1897933746">
    <w:abstractNumId w:val="24"/>
  </w:num>
  <w:num w:numId="31" w16cid:durableId="175944584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08162b3f3b0e80d5"/>
  </w15:person>
  <w15:person w15:author="Robyn Mooney">
    <w15:presenceInfo w15:providerId="AD" w15:userId="S::301686@derby.ac.uk::a651a4b5-b4a9-4c8f-922d-91f851e24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81"/>
    <w:rsid w:val="00001899"/>
    <w:rsid w:val="000049AD"/>
    <w:rsid w:val="0000681B"/>
    <w:rsid w:val="000133C0"/>
    <w:rsid w:val="00014C4E"/>
    <w:rsid w:val="00017107"/>
    <w:rsid w:val="000202E2"/>
    <w:rsid w:val="00022441"/>
    <w:rsid w:val="0002261E"/>
    <w:rsid w:val="00024839"/>
    <w:rsid w:val="00024DBD"/>
    <w:rsid w:val="00025FA8"/>
    <w:rsid w:val="00026871"/>
    <w:rsid w:val="00032EC4"/>
    <w:rsid w:val="00037A98"/>
    <w:rsid w:val="00041D45"/>
    <w:rsid w:val="000427FB"/>
    <w:rsid w:val="0004455E"/>
    <w:rsid w:val="00044D9F"/>
    <w:rsid w:val="000470E1"/>
    <w:rsid w:val="00047CB5"/>
    <w:rsid w:val="00051FAA"/>
    <w:rsid w:val="000572A9"/>
    <w:rsid w:val="00061325"/>
    <w:rsid w:val="00065114"/>
    <w:rsid w:val="000733AC"/>
    <w:rsid w:val="00074B81"/>
    <w:rsid w:val="00074D22"/>
    <w:rsid w:val="00075081"/>
    <w:rsid w:val="0007528A"/>
    <w:rsid w:val="000811AB"/>
    <w:rsid w:val="000814E4"/>
    <w:rsid w:val="00083C5F"/>
    <w:rsid w:val="00083D30"/>
    <w:rsid w:val="00087268"/>
    <w:rsid w:val="0009172C"/>
    <w:rsid w:val="000930EC"/>
    <w:rsid w:val="00095E61"/>
    <w:rsid w:val="000966C1"/>
    <w:rsid w:val="000970AC"/>
    <w:rsid w:val="000A1167"/>
    <w:rsid w:val="000A2D4A"/>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5E10"/>
    <w:rsid w:val="000D6409"/>
    <w:rsid w:val="000D68DF"/>
    <w:rsid w:val="000E138D"/>
    <w:rsid w:val="000E187A"/>
    <w:rsid w:val="000E2D61"/>
    <w:rsid w:val="000E450E"/>
    <w:rsid w:val="000E6259"/>
    <w:rsid w:val="000F4677"/>
    <w:rsid w:val="000F5BE0"/>
    <w:rsid w:val="000F62B9"/>
    <w:rsid w:val="00100587"/>
    <w:rsid w:val="0010284E"/>
    <w:rsid w:val="00103122"/>
    <w:rsid w:val="0010336A"/>
    <w:rsid w:val="001050F1"/>
    <w:rsid w:val="00105AEA"/>
    <w:rsid w:val="00106DAF"/>
    <w:rsid w:val="00111767"/>
    <w:rsid w:val="00114ABE"/>
    <w:rsid w:val="00116023"/>
    <w:rsid w:val="00120E66"/>
    <w:rsid w:val="001326F8"/>
    <w:rsid w:val="00134A51"/>
    <w:rsid w:val="00140727"/>
    <w:rsid w:val="00160628"/>
    <w:rsid w:val="00161344"/>
    <w:rsid w:val="00162195"/>
    <w:rsid w:val="0016322A"/>
    <w:rsid w:val="00165A21"/>
    <w:rsid w:val="001703CB"/>
    <w:rsid w:val="001705CE"/>
    <w:rsid w:val="00172A5C"/>
    <w:rsid w:val="0017714B"/>
    <w:rsid w:val="001804DF"/>
    <w:rsid w:val="00181BDC"/>
    <w:rsid w:val="00181DB0"/>
    <w:rsid w:val="001829E3"/>
    <w:rsid w:val="00184F38"/>
    <w:rsid w:val="001924C0"/>
    <w:rsid w:val="0019731E"/>
    <w:rsid w:val="001A09FE"/>
    <w:rsid w:val="001A3222"/>
    <w:rsid w:val="001A374A"/>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C7D14"/>
    <w:rsid w:val="001D647F"/>
    <w:rsid w:val="001D6857"/>
    <w:rsid w:val="001E0572"/>
    <w:rsid w:val="001E0A67"/>
    <w:rsid w:val="001E1028"/>
    <w:rsid w:val="001E14E2"/>
    <w:rsid w:val="001E1AE1"/>
    <w:rsid w:val="001E6302"/>
    <w:rsid w:val="001E7DCB"/>
    <w:rsid w:val="001F3411"/>
    <w:rsid w:val="001F34AC"/>
    <w:rsid w:val="001F4287"/>
    <w:rsid w:val="001F4DBA"/>
    <w:rsid w:val="001F616E"/>
    <w:rsid w:val="0020415E"/>
    <w:rsid w:val="00204FF4"/>
    <w:rsid w:val="0021056E"/>
    <w:rsid w:val="0021075D"/>
    <w:rsid w:val="0021165A"/>
    <w:rsid w:val="00211BC9"/>
    <w:rsid w:val="00211F86"/>
    <w:rsid w:val="0021620C"/>
    <w:rsid w:val="00216E78"/>
    <w:rsid w:val="00217275"/>
    <w:rsid w:val="002211DD"/>
    <w:rsid w:val="002339DB"/>
    <w:rsid w:val="00236F4B"/>
    <w:rsid w:val="002429E9"/>
    <w:rsid w:val="00242B0D"/>
    <w:rsid w:val="002467C6"/>
    <w:rsid w:val="0024692A"/>
    <w:rsid w:val="0024778F"/>
    <w:rsid w:val="00252BBA"/>
    <w:rsid w:val="00253123"/>
    <w:rsid w:val="00264001"/>
    <w:rsid w:val="00266354"/>
    <w:rsid w:val="00267A18"/>
    <w:rsid w:val="00273462"/>
    <w:rsid w:val="0027395B"/>
    <w:rsid w:val="00275854"/>
    <w:rsid w:val="00283B41"/>
    <w:rsid w:val="00285182"/>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900"/>
    <w:rsid w:val="002E7F3A"/>
    <w:rsid w:val="002F4EDB"/>
    <w:rsid w:val="002F6054"/>
    <w:rsid w:val="00310661"/>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2E79"/>
    <w:rsid w:val="0036340D"/>
    <w:rsid w:val="003634A5"/>
    <w:rsid w:val="0036529F"/>
    <w:rsid w:val="00366868"/>
    <w:rsid w:val="00367506"/>
    <w:rsid w:val="00370085"/>
    <w:rsid w:val="003744A7"/>
    <w:rsid w:val="00376235"/>
    <w:rsid w:val="00381FB6"/>
    <w:rsid w:val="003836D3"/>
    <w:rsid w:val="00383A52"/>
    <w:rsid w:val="00391652"/>
    <w:rsid w:val="0039507F"/>
    <w:rsid w:val="00397F04"/>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115"/>
    <w:rsid w:val="003E64DF"/>
    <w:rsid w:val="003E6A5D"/>
    <w:rsid w:val="003F193A"/>
    <w:rsid w:val="003F4207"/>
    <w:rsid w:val="003F5C46"/>
    <w:rsid w:val="003F7CBB"/>
    <w:rsid w:val="003F7D34"/>
    <w:rsid w:val="00412C8E"/>
    <w:rsid w:val="0041518D"/>
    <w:rsid w:val="0042221D"/>
    <w:rsid w:val="00423C00"/>
    <w:rsid w:val="00424DD3"/>
    <w:rsid w:val="004269C5"/>
    <w:rsid w:val="00435939"/>
    <w:rsid w:val="004370B0"/>
    <w:rsid w:val="00437CC7"/>
    <w:rsid w:val="00442B9C"/>
    <w:rsid w:val="00445EFA"/>
    <w:rsid w:val="0044738A"/>
    <w:rsid w:val="004473D3"/>
    <w:rsid w:val="00452231"/>
    <w:rsid w:val="00460C13"/>
    <w:rsid w:val="00463228"/>
    <w:rsid w:val="00463782"/>
    <w:rsid w:val="004667E0"/>
    <w:rsid w:val="0046760E"/>
    <w:rsid w:val="00470E10"/>
    <w:rsid w:val="004719E3"/>
    <w:rsid w:val="00477A97"/>
    <w:rsid w:val="004808A6"/>
    <w:rsid w:val="00481343"/>
    <w:rsid w:val="0048549E"/>
    <w:rsid w:val="00490475"/>
    <w:rsid w:val="004930C6"/>
    <w:rsid w:val="00493347"/>
    <w:rsid w:val="00496092"/>
    <w:rsid w:val="004A08DB"/>
    <w:rsid w:val="004A0F18"/>
    <w:rsid w:val="004A25D0"/>
    <w:rsid w:val="004A37E8"/>
    <w:rsid w:val="004A7549"/>
    <w:rsid w:val="004B09D4"/>
    <w:rsid w:val="004B309D"/>
    <w:rsid w:val="004B330A"/>
    <w:rsid w:val="004B7C8E"/>
    <w:rsid w:val="004C3D3C"/>
    <w:rsid w:val="004D0957"/>
    <w:rsid w:val="004D0EDC"/>
    <w:rsid w:val="004D1220"/>
    <w:rsid w:val="004D14B3"/>
    <w:rsid w:val="004D1529"/>
    <w:rsid w:val="004D2253"/>
    <w:rsid w:val="004D4763"/>
    <w:rsid w:val="004D5514"/>
    <w:rsid w:val="004D56C3"/>
    <w:rsid w:val="004E0338"/>
    <w:rsid w:val="004E4FF3"/>
    <w:rsid w:val="004E56A8"/>
    <w:rsid w:val="004E602F"/>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265DC"/>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3670"/>
    <w:rsid w:val="00584270"/>
    <w:rsid w:val="00584738"/>
    <w:rsid w:val="005920B0"/>
    <w:rsid w:val="0059380D"/>
    <w:rsid w:val="00595A8F"/>
    <w:rsid w:val="005977C2"/>
    <w:rsid w:val="00597BF2"/>
    <w:rsid w:val="005A1F54"/>
    <w:rsid w:val="005A3020"/>
    <w:rsid w:val="005B134E"/>
    <w:rsid w:val="005B2039"/>
    <w:rsid w:val="005B344F"/>
    <w:rsid w:val="005B39EB"/>
    <w:rsid w:val="005B3DB5"/>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10CB"/>
    <w:rsid w:val="005F57BA"/>
    <w:rsid w:val="005F61E6"/>
    <w:rsid w:val="005F6C45"/>
    <w:rsid w:val="00603B61"/>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56DDA"/>
    <w:rsid w:val="00661045"/>
    <w:rsid w:val="00666DA8"/>
    <w:rsid w:val="00671057"/>
    <w:rsid w:val="00671F88"/>
    <w:rsid w:val="00675AAF"/>
    <w:rsid w:val="0068031A"/>
    <w:rsid w:val="00681B2F"/>
    <w:rsid w:val="0068335F"/>
    <w:rsid w:val="00687217"/>
    <w:rsid w:val="00693302"/>
    <w:rsid w:val="0069640B"/>
    <w:rsid w:val="006A1B83"/>
    <w:rsid w:val="006A21CD"/>
    <w:rsid w:val="006A4B72"/>
    <w:rsid w:val="006A5918"/>
    <w:rsid w:val="006B21B2"/>
    <w:rsid w:val="006B4A4A"/>
    <w:rsid w:val="006C19B2"/>
    <w:rsid w:val="006C4409"/>
    <w:rsid w:val="006C5BB8"/>
    <w:rsid w:val="006C6936"/>
    <w:rsid w:val="006C7B01"/>
    <w:rsid w:val="006D0FE8"/>
    <w:rsid w:val="006D3B97"/>
    <w:rsid w:val="006D4B2B"/>
    <w:rsid w:val="006D4F3C"/>
    <w:rsid w:val="006D5C66"/>
    <w:rsid w:val="006D6CE1"/>
    <w:rsid w:val="006D7002"/>
    <w:rsid w:val="006E1B3C"/>
    <w:rsid w:val="006E23FB"/>
    <w:rsid w:val="006E325A"/>
    <w:rsid w:val="006E33EC"/>
    <w:rsid w:val="006E3802"/>
    <w:rsid w:val="006E63A2"/>
    <w:rsid w:val="006E6C02"/>
    <w:rsid w:val="006F231A"/>
    <w:rsid w:val="006F2546"/>
    <w:rsid w:val="006F2F07"/>
    <w:rsid w:val="006F5B6D"/>
    <w:rsid w:val="006F6B55"/>
    <w:rsid w:val="006F788D"/>
    <w:rsid w:val="006F78E1"/>
    <w:rsid w:val="00701072"/>
    <w:rsid w:val="00702054"/>
    <w:rsid w:val="007035A4"/>
    <w:rsid w:val="00711799"/>
    <w:rsid w:val="00712B78"/>
    <w:rsid w:val="00712D98"/>
    <w:rsid w:val="0071393B"/>
    <w:rsid w:val="00713EE2"/>
    <w:rsid w:val="007177FC"/>
    <w:rsid w:val="00720C5E"/>
    <w:rsid w:val="00721701"/>
    <w:rsid w:val="00731835"/>
    <w:rsid w:val="007341F8"/>
    <w:rsid w:val="00734372"/>
    <w:rsid w:val="00734EB8"/>
    <w:rsid w:val="00735F8B"/>
    <w:rsid w:val="0074090B"/>
    <w:rsid w:val="00741404"/>
    <w:rsid w:val="00741FDC"/>
    <w:rsid w:val="00742D1F"/>
    <w:rsid w:val="00743EBA"/>
    <w:rsid w:val="00744895"/>
    <w:rsid w:val="00744C8E"/>
    <w:rsid w:val="0074707E"/>
    <w:rsid w:val="007516DC"/>
    <w:rsid w:val="00752E58"/>
    <w:rsid w:val="00754B80"/>
    <w:rsid w:val="00755481"/>
    <w:rsid w:val="00755DC4"/>
    <w:rsid w:val="00756E9D"/>
    <w:rsid w:val="007572B1"/>
    <w:rsid w:val="00761918"/>
    <w:rsid w:val="00762F03"/>
    <w:rsid w:val="0076413B"/>
    <w:rsid w:val="007648AE"/>
    <w:rsid w:val="00764BF8"/>
    <w:rsid w:val="0076514D"/>
    <w:rsid w:val="00773D59"/>
    <w:rsid w:val="00781003"/>
    <w:rsid w:val="007911FD"/>
    <w:rsid w:val="00793930"/>
    <w:rsid w:val="00793DD1"/>
    <w:rsid w:val="00794FEC"/>
    <w:rsid w:val="007A003E"/>
    <w:rsid w:val="007A011F"/>
    <w:rsid w:val="007A1965"/>
    <w:rsid w:val="007A2ED1"/>
    <w:rsid w:val="007A325E"/>
    <w:rsid w:val="007A4122"/>
    <w:rsid w:val="007A4BE6"/>
    <w:rsid w:val="007B0DC6"/>
    <w:rsid w:val="007B1094"/>
    <w:rsid w:val="007B1762"/>
    <w:rsid w:val="007B3320"/>
    <w:rsid w:val="007C301F"/>
    <w:rsid w:val="007C4540"/>
    <w:rsid w:val="007C65AF"/>
    <w:rsid w:val="007D135D"/>
    <w:rsid w:val="007D730F"/>
    <w:rsid w:val="007D7CD8"/>
    <w:rsid w:val="007E3AA7"/>
    <w:rsid w:val="007E6D8D"/>
    <w:rsid w:val="007F1121"/>
    <w:rsid w:val="007F737D"/>
    <w:rsid w:val="0080308E"/>
    <w:rsid w:val="00805303"/>
    <w:rsid w:val="00806705"/>
    <w:rsid w:val="00806738"/>
    <w:rsid w:val="00811AF9"/>
    <w:rsid w:val="008216D5"/>
    <w:rsid w:val="008249CE"/>
    <w:rsid w:val="00831A50"/>
    <w:rsid w:val="00831B3C"/>
    <w:rsid w:val="00831C89"/>
    <w:rsid w:val="00832114"/>
    <w:rsid w:val="00832979"/>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9707D"/>
    <w:rsid w:val="008A1049"/>
    <w:rsid w:val="008A109C"/>
    <w:rsid w:val="008A1C98"/>
    <w:rsid w:val="008A322D"/>
    <w:rsid w:val="008A4D72"/>
    <w:rsid w:val="008A6285"/>
    <w:rsid w:val="008A63B2"/>
    <w:rsid w:val="008B345D"/>
    <w:rsid w:val="008C1FC2"/>
    <w:rsid w:val="008C2980"/>
    <w:rsid w:val="008C4DD6"/>
    <w:rsid w:val="008C5AFB"/>
    <w:rsid w:val="008D07FB"/>
    <w:rsid w:val="008D0C02"/>
    <w:rsid w:val="008D1057"/>
    <w:rsid w:val="008D357D"/>
    <w:rsid w:val="008D3794"/>
    <w:rsid w:val="008D435A"/>
    <w:rsid w:val="008E387B"/>
    <w:rsid w:val="008E6087"/>
    <w:rsid w:val="008E758D"/>
    <w:rsid w:val="008F10A7"/>
    <w:rsid w:val="008F6F8C"/>
    <w:rsid w:val="008F755D"/>
    <w:rsid w:val="008F7A39"/>
    <w:rsid w:val="00900385"/>
    <w:rsid w:val="00900692"/>
    <w:rsid w:val="009021E8"/>
    <w:rsid w:val="00904677"/>
    <w:rsid w:val="00905EE2"/>
    <w:rsid w:val="009109C9"/>
    <w:rsid w:val="00911440"/>
    <w:rsid w:val="00911712"/>
    <w:rsid w:val="00911B27"/>
    <w:rsid w:val="0091400B"/>
    <w:rsid w:val="009170BE"/>
    <w:rsid w:val="00920B55"/>
    <w:rsid w:val="00921BB9"/>
    <w:rsid w:val="009262C9"/>
    <w:rsid w:val="00930EB9"/>
    <w:rsid w:val="00933DC7"/>
    <w:rsid w:val="009418F4"/>
    <w:rsid w:val="00942BBC"/>
    <w:rsid w:val="00942DEE"/>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17CF"/>
    <w:rsid w:val="009B24B5"/>
    <w:rsid w:val="009B4EBC"/>
    <w:rsid w:val="009B5ABB"/>
    <w:rsid w:val="009B5C8E"/>
    <w:rsid w:val="009B685C"/>
    <w:rsid w:val="009B73CE"/>
    <w:rsid w:val="009C2461"/>
    <w:rsid w:val="009C5A15"/>
    <w:rsid w:val="009C6FE2"/>
    <w:rsid w:val="009C7674"/>
    <w:rsid w:val="009D004A"/>
    <w:rsid w:val="009D56EB"/>
    <w:rsid w:val="009D5880"/>
    <w:rsid w:val="009E1FD4"/>
    <w:rsid w:val="009E353B"/>
    <w:rsid w:val="009E3B07"/>
    <w:rsid w:val="009E51D1"/>
    <w:rsid w:val="009E5531"/>
    <w:rsid w:val="009F171E"/>
    <w:rsid w:val="009F2361"/>
    <w:rsid w:val="009F3D2F"/>
    <w:rsid w:val="009F4301"/>
    <w:rsid w:val="009F7052"/>
    <w:rsid w:val="00A02668"/>
    <w:rsid w:val="00A02801"/>
    <w:rsid w:val="00A04A8E"/>
    <w:rsid w:val="00A06A39"/>
    <w:rsid w:val="00A07F58"/>
    <w:rsid w:val="00A131CB"/>
    <w:rsid w:val="00A14847"/>
    <w:rsid w:val="00A16D6D"/>
    <w:rsid w:val="00A21383"/>
    <w:rsid w:val="00A2199F"/>
    <w:rsid w:val="00A21B31"/>
    <w:rsid w:val="00A226C1"/>
    <w:rsid w:val="00A2360E"/>
    <w:rsid w:val="00A26E0C"/>
    <w:rsid w:val="00A32FCB"/>
    <w:rsid w:val="00A34C25"/>
    <w:rsid w:val="00A3507D"/>
    <w:rsid w:val="00A3717A"/>
    <w:rsid w:val="00A4088C"/>
    <w:rsid w:val="00A4456B"/>
    <w:rsid w:val="00A448D4"/>
    <w:rsid w:val="00A452E0"/>
    <w:rsid w:val="00A454B7"/>
    <w:rsid w:val="00A45C7D"/>
    <w:rsid w:val="00A506DF"/>
    <w:rsid w:val="00A51EA5"/>
    <w:rsid w:val="00A53742"/>
    <w:rsid w:val="00A557A1"/>
    <w:rsid w:val="00A61283"/>
    <w:rsid w:val="00A63059"/>
    <w:rsid w:val="00A63AE3"/>
    <w:rsid w:val="00A651A4"/>
    <w:rsid w:val="00A71361"/>
    <w:rsid w:val="00A746E2"/>
    <w:rsid w:val="00A81FF2"/>
    <w:rsid w:val="00A83904"/>
    <w:rsid w:val="00A90A79"/>
    <w:rsid w:val="00A928B1"/>
    <w:rsid w:val="00A96B30"/>
    <w:rsid w:val="00AA442D"/>
    <w:rsid w:val="00AA59B5"/>
    <w:rsid w:val="00AA7777"/>
    <w:rsid w:val="00AA7B84"/>
    <w:rsid w:val="00AB78F0"/>
    <w:rsid w:val="00AC0B4C"/>
    <w:rsid w:val="00AC1164"/>
    <w:rsid w:val="00AC2296"/>
    <w:rsid w:val="00AC2754"/>
    <w:rsid w:val="00AC48B0"/>
    <w:rsid w:val="00AC4ACD"/>
    <w:rsid w:val="00AC5DFB"/>
    <w:rsid w:val="00AD13DC"/>
    <w:rsid w:val="00AD396A"/>
    <w:rsid w:val="00AD4AA7"/>
    <w:rsid w:val="00AD6DE2"/>
    <w:rsid w:val="00AE0A40"/>
    <w:rsid w:val="00AE1ED4"/>
    <w:rsid w:val="00AE21E1"/>
    <w:rsid w:val="00AE2F8D"/>
    <w:rsid w:val="00AE3BAE"/>
    <w:rsid w:val="00AE6A21"/>
    <w:rsid w:val="00AF1C8F"/>
    <w:rsid w:val="00AF2B68"/>
    <w:rsid w:val="00AF2C92"/>
    <w:rsid w:val="00AF2EF7"/>
    <w:rsid w:val="00AF3EC1"/>
    <w:rsid w:val="00AF5025"/>
    <w:rsid w:val="00AF519F"/>
    <w:rsid w:val="00AF5387"/>
    <w:rsid w:val="00AF55F5"/>
    <w:rsid w:val="00AF7E86"/>
    <w:rsid w:val="00B024B9"/>
    <w:rsid w:val="00B077FA"/>
    <w:rsid w:val="00B116B8"/>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0EEA"/>
    <w:rsid w:val="00B53170"/>
    <w:rsid w:val="00B5364D"/>
    <w:rsid w:val="00B544D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96F90"/>
    <w:rsid w:val="00BA020A"/>
    <w:rsid w:val="00BB025A"/>
    <w:rsid w:val="00BB02A4"/>
    <w:rsid w:val="00BB1270"/>
    <w:rsid w:val="00BB1E44"/>
    <w:rsid w:val="00BB29F2"/>
    <w:rsid w:val="00BB5267"/>
    <w:rsid w:val="00BB52B8"/>
    <w:rsid w:val="00BB59D8"/>
    <w:rsid w:val="00BB7E69"/>
    <w:rsid w:val="00BC0E51"/>
    <w:rsid w:val="00BC3C1F"/>
    <w:rsid w:val="00BC7CE7"/>
    <w:rsid w:val="00BD295E"/>
    <w:rsid w:val="00BD4664"/>
    <w:rsid w:val="00BE1193"/>
    <w:rsid w:val="00BE23E6"/>
    <w:rsid w:val="00BF0060"/>
    <w:rsid w:val="00BF1707"/>
    <w:rsid w:val="00BF2D0A"/>
    <w:rsid w:val="00BF4849"/>
    <w:rsid w:val="00BF4EA7"/>
    <w:rsid w:val="00BF6525"/>
    <w:rsid w:val="00C00EDB"/>
    <w:rsid w:val="00C02863"/>
    <w:rsid w:val="00C0383A"/>
    <w:rsid w:val="00C067FF"/>
    <w:rsid w:val="00C12862"/>
    <w:rsid w:val="00C13D28"/>
    <w:rsid w:val="00C14585"/>
    <w:rsid w:val="00C165A0"/>
    <w:rsid w:val="00C17210"/>
    <w:rsid w:val="00C216CE"/>
    <w:rsid w:val="00C2184F"/>
    <w:rsid w:val="00C22A78"/>
    <w:rsid w:val="00C23C7E"/>
    <w:rsid w:val="00C246C5"/>
    <w:rsid w:val="00C25A82"/>
    <w:rsid w:val="00C26FC7"/>
    <w:rsid w:val="00C30A2A"/>
    <w:rsid w:val="00C33993"/>
    <w:rsid w:val="00C35765"/>
    <w:rsid w:val="00C4069E"/>
    <w:rsid w:val="00C41ADC"/>
    <w:rsid w:val="00C4317F"/>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4F5E"/>
    <w:rsid w:val="00C9515F"/>
    <w:rsid w:val="00C963C5"/>
    <w:rsid w:val="00CA030C"/>
    <w:rsid w:val="00CA0C23"/>
    <w:rsid w:val="00CA1F41"/>
    <w:rsid w:val="00CA32EE"/>
    <w:rsid w:val="00CA5771"/>
    <w:rsid w:val="00CA6035"/>
    <w:rsid w:val="00CA6A1A"/>
    <w:rsid w:val="00CC1E75"/>
    <w:rsid w:val="00CC2E0E"/>
    <w:rsid w:val="00CC361C"/>
    <w:rsid w:val="00CC474B"/>
    <w:rsid w:val="00CC658C"/>
    <w:rsid w:val="00CC67BF"/>
    <w:rsid w:val="00CC7C63"/>
    <w:rsid w:val="00CD0843"/>
    <w:rsid w:val="00CD4E31"/>
    <w:rsid w:val="00CD5A78"/>
    <w:rsid w:val="00CD7345"/>
    <w:rsid w:val="00CE372E"/>
    <w:rsid w:val="00CF00C6"/>
    <w:rsid w:val="00CF01A1"/>
    <w:rsid w:val="00CF0A1B"/>
    <w:rsid w:val="00CF19F6"/>
    <w:rsid w:val="00CF1FFB"/>
    <w:rsid w:val="00CF2F4F"/>
    <w:rsid w:val="00CF536D"/>
    <w:rsid w:val="00D01494"/>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2E18"/>
    <w:rsid w:val="00D73CA4"/>
    <w:rsid w:val="00D73D71"/>
    <w:rsid w:val="00D74396"/>
    <w:rsid w:val="00D80284"/>
    <w:rsid w:val="00D804AB"/>
    <w:rsid w:val="00D81F71"/>
    <w:rsid w:val="00D8642D"/>
    <w:rsid w:val="00D908B0"/>
    <w:rsid w:val="00D90A5E"/>
    <w:rsid w:val="00D91A68"/>
    <w:rsid w:val="00D95A68"/>
    <w:rsid w:val="00DA17C7"/>
    <w:rsid w:val="00DA6A9A"/>
    <w:rsid w:val="00DB128B"/>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52772"/>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4AD6"/>
    <w:rsid w:val="00EA758A"/>
    <w:rsid w:val="00EB0678"/>
    <w:rsid w:val="00EB096F"/>
    <w:rsid w:val="00EB199F"/>
    <w:rsid w:val="00EB21A4"/>
    <w:rsid w:val="00EB27C4"/>
    <w:rsid w:val="00EB2E20"/>
    <w:rsid w:val="00EB5387"/>
    <w:rsid w:val="00EB5C10"/>
    <w:rsid w:val="00EB7322"/>
    <w:rsid w:val="00EC0FE9"/>
    <w:rsid w:val="00EC198B"/>
    <w:rsid w:val="00EC426D"/>
    <w:rsid w:val="00EC4771"/>
    <w:rsid w:val="00EC571B"/>
    <w:rsid w:val="00EC57D7"/>
    <w:rsid w:val="00EC6385"/>
    <w:rsid w:val="00ED1DE9"/>
    <w:rsid w:val="00ED23D4"/>
    <w:rsid w:val="00ED2949"/>
    <w:rsid w:val="00ED5E0B"/>
    <w:rsid w:val="00EE37B6"/>
    <w:rsid w:val="00EF0F45"/>
    <w:rsid w:val="00EF5FF0"/>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2FB9"/>
    <w:rsid w:val="00F340EB"/>
    <w:rsid w:val="00F35285"/>
    <w:rsid w:val="00F43B9D"/>
    <w:rsid w:val="00F44D5E"/>
    <w:rsid w:val="00F46092"/>
    <w:rsid w:val="00F53A35"/>
    <w:rsid w:val="00F55A3D"/>
    <w:rsid w:val="00F5744B"/>
    <w:rsid w:val="00F61209"/>
    <w:rsid w:val="00F6259E"/>
    <w:rsid w:val="00F643FD"/>
    <w:rsid w:val="00F65DD4"/>
    <w:rsid w:val="00F672B2"/>
    <w:rsid w:val="00F829E8"/>
    <w:rsid w:val="00F83973"/>
    <w:rsid w:val="00F87FA3"/>
    <w:rsid w:val="00F93D8C"/>
    <w:rsid w:val="00FA2FA0"/>
    <w:rsid w:val="00FA3102"/>
    <w:rsid w:val="00FA48D4"/>
    <w:rsid w:val="00FA54FA"/>
    <w:rsid w:val="00FA6D39"/>
    <w:rsid w:val="00FB227E"/>
    <w:rsid w:val="00FB3D61"/>
    <w:rsid w:val="00FB44CE"/>
    <w:rsid w:val="00FB4889"/>
    <w:rsid w:val="00FB5009"/>
    <w:rsid w:val="00FB76AB"/>
    <w:rsid w:val="00FD03FE"/>
    <w:rsid w:val="00FD126E"/>
    <w:rsid w:val="00FD3C36"/>
    <w:rsid w:val="00FD4D81"/>
    <w:rsid w:val="00FD5A28"/>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55432"/>
  <w14:defaultImageDpi w14:val="330"/>
  <w15:docId w15:val="{8165A47A-A99F-45F5-840C-E0043EF9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678"/>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BB29F2"/>
    <w:pPr>
      <w:spacing w:line="360" w:lineRule="auto"/>
      <w:ind w:left="284" w:hanging="284"/>
    </w:pPr>
    <w:rPr>
      <w:sz w:val="22"/>
      <w:szCs w:val="20"/>
    </w:rPr>
  </w:style>
  <w:style w:type="character" w:customStyle="1" w:styleId="FootnoteTextChar">
    <w:name w:val="Footnote Text Char"/>
    <w:basedOn w:val="DefaultParagraphFont"/>
    <w:link w:val="FootnoteText"/>
    <w:rsid w:val="00BB29F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customStyle="1" w:styleId="TableGrid1">
    <w:name w:val="Table Grid1"/>
    <w:basedOn w:val="TableNormal"/>
    <w:next w:val="TableGrid"/>
    <w:uiPriority w:val="39"/>
    <w:rsid w:val="001E1AE1"/>
    <w:pPr>
      <w:ind w:firstLine="567"/>
    </w:pPr>
    <w:rPr>
      <w:sz w:val="24"/>
      <w:szCs w:val="24"/>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1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1AE1"/>
    <w:pPr>
      <w:ind w:firstLine="567"/>
    </w:pPr>
    <w:rPr>
      <w:sz w:val="24"/>
      <w:szCs w:val="24"/>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A4AD6"/>
    <w:rPr>
      <w:color w:val="0000FF" w:themeColor="hyperlink"/>
      <w:u w:val="single"/>
    </w:rPr>
  </w:style>
  <w:style w:type="character" w:customStyle="1" w:styleId="UnresolvedMention1">
    <w:name w:val="Unresolved Mention1"/>
    <w:basedOn w:val="DefaultParagraphFont"/>
    <w:uiPriority w:val="99"/>
    <w:semiHidden/>
    <w:unhideWhenUsed/>
    <w:rsid w:val="00EA4AD6"/>
    <w:rPr>
      <w:color w:val="605E5C"/>
      <w:shd w:val="clear" w:color="auto" w:fill="E1DFDD"/>
    </w:rPr>
  </w:style>
  <w:style w:type="table" w:customStyle="1" w:styleId="TableGrid11">
    <w:name w:val="Table Grid11"/>
    <w:basedOn w:val="TableNormal"/>
    <w:next w:val="TableGrid"/>
    <w:uiPriority w:val="39"/>
    <w:rsid w:val="00F82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3DB5"/>
    <w:rPr>
      <w:sz w:val="16"/>
      <w:szCs w:val="16"/>
    </w:rPr>
  </w:style>
  <w:style w:type="paragraph" w:styleId="CommentText">
    <w:name w:val="annotation text"/>
    <w:basedOn w:val="Normal"/>
    <w:link w:val="CommentTextChar"/>
    <w:unhideWhenUsed/>
    <w:rsid w:val="005B3DB5"/>
    <w:pPr>
      <w:spacing w:line="240" w:lineRule="auto"/>
    </w:pPr>
    <w:rPr>
      <w:sz w:val="20"/>
      <w:szCs w:val="20"/>
    </w:rPr>
  </w:style>
  <w:style w:type="character" w:customStyle="1" w:styleId="CommentTextChar">
    <w:name w:val="Comment Text Char"/>
    <w:basedOn w:val="DefaultParagraphFont"/>
    <w:link w:val="CommentText"/>
    <w:rsid w:val="005B3DB5"/>
  </w:style>
  <w:style w:type="paragraph" w:styleId="CommentSubject">
    <w:name w:val="annotation subject"/>
    <w:basedOn w:val="CommentText"/>
    <w:next w:val="CommentText"/>
    <w:link w:val="CommentSubjectChar"/>
    <w:semiHidden/>
    <w:unhideWhenUsed/>
    <w:rsid w:val="005B3DB5"/>
    <w:rPr>
      <w:b/>
      <w:bCs/>
    </w:rPr>
  </w:style>
  <w:style w:type="character" w:customStyle="1" w:styleId="CommentSubjectChar">
    <w:name w:val="Comment Subject Char"/>
    <w:basedOn w:val="CommentTextChar"/>
    <w:link w:val="CommentSubject"/>
    <w:semiHidden/>
    <w:rsid w:val="005B3DB5"/>
    <w:rPr>
      <w:b/>
      <w:bCs/>
    </w:rPr>
  </w:style>
  <w:style w:type="paragraph" w:styleId="BalloonText">
    <w:name w:val="Balloon Text"/>
    <w:basedOn w:val="Normal"/>
    <w:link w:val="BalloonTextChar"/>
    <w:semiHidden/>
    <w:unhideWhenUsed/>
    <w:rsid w:val="005B3D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B3DB5"/>
    <w:rPr>
      <w:rFonts w:ascii="Segoe UI" w:hAnsi="Segoe UI" w:cs="Segoe UI"/>
      <w:sz w:val="18"/>
      <w:szCs w:val="18"/>
    </w:rPr>
  </w:style>
  <w:style w:type="character" w:styleId="UnresolvedMention">
    <w:name w:val="Unresolved Mention"/>
    <w:basedOn w:val="DefaultParagraphFont"/>
    <w:uiPriority w:val="99"/>
    <w:semiHidden/>
    <w:unhideWhenUsed/>
    <w:rsid w:val="00B5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7407">
      <w:bodyDiv w:val="1"/>
      <w:marLeft w:val="0"/>
      <w:marRight w:val="0"/>
      <w:marTop w:val="0"/>
      <w:marBottom w:val="0"/>
      <w:divBdr>
        <w:top w:val="none" w:sz="0" w:space="0" w:color="auto"/>
        <w:left w:val="none" w:sz="0" w:space="0" w:color="auto"/>
        <w:bottom w:val="none" w:sz="0" w:space="0" w:color="auto"/>
        <w:right w:val="none" w:sz="0" w:space="0" w:color="auto"/>
      </w:divBdr>
    </w:div>
    <w:div w:id="76757669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20608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yt\Desktop\School%20&amp;%20Work\My%20Publications\PGcert%20project%20publication\British%20Journal%20of%20Educational%20Studies\Template\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AC1D-D4C8-47C7-B5A7-F0590DFF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36</Pages>
  <Words>9340</Words>
  <Characters>53240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62456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Robyn Mooney</dc:creator>
  <cp:lastModifiedBy>Robyn Mooney</cp:lastModifiedBy>
  <cp:revision>3</cp:revision>
  <cp:lastPrinted>2011-07-22T14:54:00Z</cp:lastPrinted>
  <dcterms:created xsi:type="dcterms:W3CDTF">2022-11-07T14:57:00Z</dcterms:created>
  <dcterms:modified xsi:type="dcterms:W3CDTF">2022-11-07T15:14:00Z</dcterms:modified>
</cp:coreProperties>
</file>