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4FB8F" w14:textId="291EE254" w:rsidR="007441D2" w:rsidRPr="00BD0ACF" w:rsidRDefault="00B079E7" w:rsidP="00BD0ACF">
      <w:pPr>
        <w:jc w:val="center"/>
        <w:rPr>
          <w:b/>
          <w:bCs/>
          <w:iCs/>
          <w:sz w:val="36"/>
          <w:szCs w:val="36"/>
        </w:rPr>
      </w:pPr>
      <w:r>
        <w:rPr>
          <w:b/>
          <w:bCs/>
          <w:iCs/>
          <w:sz w:val="36"/>
          <w:szCs w:val="36"/>
        </w:rPr>
        <w:t>Who are the victims of electoral fraud in Great Britain? Evidence from Survey Research</w:t>
      </w:r>
    </w:p>
    <w:p w14:paraId="1EE37767" w14:textId="77777777" w:rsidR="00347885" w:rsidRDefault="00347885" w:rsidP="00347885">
      <w:pPr>
        <w:jc w:val="center"/>
        <w:rPr>
          <w:rFonts w:ascii="Calibri" w:eastAsia="Calibri" w:hAnsi="Calibri" w:cs="Times New Roman"/>
          <w:bCs/>
          <w:iCs/>
        </w:rPr>
      </w:pPr>
    </w:p>
    <w:p w14:paraId="3C853ACA" w14:textId="7F76EC04" w:rsidR="00347885" w:rsidRPr="00347885" w:rsidRDefault="00347885" w:rsidP="00347885">
      <w:pPr>
        <w:jc w:val="center"/>
        <w:rPr>
          <w:rFonts w:ascii="Calibri" w:eastAsia="Calibri" w:hAnsi="Calibri" w:cs="Times New Roman"/>
          <w:bCs/>
          <w:iCs/>
        </w:rPr>
      </w:pPr>
      <w:r w:rsidRPr="00347885">
        <w:rPr>
          <w:rFonts w:ascii="Calibri" w:eastAsia="Calibri" w:hAnsi="Calibri" w:cs="Times New Roman"/>
          <w:bCs/>
          <w:iCs/>
        </w:rPr>
        <w:t>Stephen Farrall</w:t>
      </w:r>
      <w:r w:rsidR="00D45FCB">
        <w:rPr>
          <w:rStyle w:val="FootnoteReference"/>
          <w:rFonts w:ascii="Calibri" w:eastAsia="Calibri" w:hAnsi="Calibri" w:cs="Times New Roman"/>
          <w:bCs/>
          <w:iCs/>
        </w:rPr>
        <w:footnoteReference w:id="1"/>
      </w:r>
      <w:r w:rsidRPr="00347885">
        <w:rPr>
          <w:rFonts w:ascii="Calibri" w:eastAsia="Calibri" w:hAnsi="Calibri" w:cs="Times New Roman"/>
          <w:bCs/>
          <w:iCs/>
        </w:rPr>
        <w:t>, Stuart Wilks-Heeg</w:t>
      </w:r>
      <w:r w:rsidR="00D45FCB">
        <w:rPr>
          <w:rStyle w:val="FootnoteReference"/>
          <w:rFonts w:ascii="Calibri" w:eastAsia="Calibri" w:hAnsi="Calibri" w:cs="Times New Roman"/>
          <w:bCs/>
          <w:iCs/>
        </w:rPr>
        <w:footnoteReference w:id="2"/>
      </w:r>
      <w:r w:rsidRPr="00347885">
        <w:rPr>
          <w:rFonts w:ascii="Calibri" w:eastAsia="Calibri" w:hAnsi="Calibri" w:cs="Times New Roman"/>
          <w:bCs/>
          <w:iCs/>
        </w:rPr>
        <w:t>, Robert Struthers</w:t>
      </w:r>
      <w:r w:rsidR="00D45FCB">
        <w:rPr>
          <w:rStyle w:val="FootnoteReference"/>
          <w:rFonts w:ascii="Calibri" w:eastAsia="Calibri" w:hAnsi="Calibri" w:cs="Times New Roman"/>
          <w:bCs/>
          <w:iCs/>
        </w:rPr>
        <w:footnoteReference w:id="3"/>
      </w:r>
      <w:r w:rsidRPr="00347885">
        <w:rPr>
          <w:rFonts w:ascii="Calibri" w:eastAsia="Calibri" w:hAnsi="Calibri" w:cs="Times New Roman"/>
          <w:bCs/>
          <w:iCs/>
        </w:rPr>
        <w:t>, and Emily Gray</w:t>
      </w:r>
      <w:r w:rsidR="00D45FCB">
        <w:rPr>
          <w:rStyle w:val="FootnoteReference"/>
          <w:rFonts w:ascii="Calibri" w:eastAsia="Calibri" w:hAnsi="Calibri" w:cs="Times New Roman"/>
          <w:bCs/>
          <w:iCs/>
        </w:rPr>
        <w:footnoteReference w:id="4"/>
      </w:r>
    </w:p>
    <w:p w14:paraId="5E2D2D40" w14:textId="77777777" w:rsidR="00347885" w:rsidRPr="00347885" w:rsidRDefault="00347885" w:rsidP="00347885">
      <w:pPr>
        <w:jc w:val="center"/>
        <w:rPr>
          <w:rFonts w:ascii="Calibri" w:eastAsia="Calibri" w:hAnsi="Calibri" w:cs="Times New Roman"/>
          <w:bCs/>
          <w:iCs/>
        </w:rPr>
      </w:pPr>
    </w:p>
    <w:p w14:paraId="062DD03D" w14:textId="77777777" w:rsidR="00347885" w:rsidRPr="00347885" w:rsidRDefault="00347885" w:rsidP="00347885">
      <w:pPr>
        <w:jc w:val="center"/>
        <w:rPr>
          <w:rFonts w:ascii="Calibri" w:eastAsia="Calibri" w:hAnsi="Calibri" w:cs="Times New Roman"/>
          <w:b/>
          <w:bCs/>
          <w:iCs/>
        </w:rPr>
      </w:pPr>
      <w:r w:rsidRPr="00347885">
        <w:rPr>
          <w:rFonts w:ascii="Calibri" w:eastAsia="Calibri" w:hAnsi="Calibri" w:cs="Times New Roman"/>
          <w:b/>
          <w:bCs/>
          <w:iCs/>
        </w:rPr>
        <w:t>Abstract</w:t>
      </w:r>
    </w:p>
    <w:p w14:paraId="269A5B6D" w14:textId="66CF174E" w:rsidR="00347885" w:rsidRPr="00347885" w:rsidRDefault="00347885" w:rsidP="00347885">
      <w:pPr>
        <w:rPr>
          <w:rFonts w:ascii="Calibri" w:eastAsia="Calibri" w:hAnsi="Calibri" w:cs="Times New Roman"/>
          <w:bCs/>
          <w:iCs/>
        </w:rPr>
      </w:pPr>
      <w:r w:rsidRPr="00347885">
        <w:rPr>
          <w:rFonts w:ascii="Calibri" w:eastAsia="Calibri" w:hAnsi="Calibri" w:cs="Times New Roman"/>
          <w:bCs/>
          <w:iCs/>
        </w:rPr>
        <w:t xml:space="preserve">Interest in electoral integrity and the validity and accuracy of election results has come to the fore as a topic of concern both amongst politicians and academic researchers in the last twenty years. The literature has identified a number of key variables and processes associated with electoral fraud, and lower levels of integrity. However, one deficiency with this research is that it has relied on the </w:t>
      </w:r>
      <w:r w:rsidRPr="00347885">
        <w:rPr>
          <w:rFonts w:ascii="Calibri" w:eastAsia="Calibri" w:hAnsi="Calibri" w:cs="Times New Roman"/>
          <w:bCs/>
          <w:i/>
          <w:iCs/>
        </w:rPr>
        <w:t>perceptions</w:t>
      </w:r>
      <w:r w:rsidRPr="00347885">
        <w:rPr>
          <w:rFonts w:ascii="Calibri" w:eastAsia="Calibri" w:hAnsi="Calibri" w:cs="Times New Roman"/>
          <w:bCs/>
          <w:iCs/>
        </w:rPr>
        <w:t xml:space="preserve"> of fraud and malpractice, rather than first-hand data on the extent of such behaviour.  In this paper we report on the results of a novel small-scale survey of people in Britain in which respondents reported some of their </w:t>
      </w:r>
      <w:r w:rsidRPr="00D45FCB">
        <w:rPr>
          <w:rFonts w:ascii="Calibri" w:eastAsia="Calibri" w:hAnsi="Calibri" w:cs="Times New Roman"/>
          <w:bCs/>
        </w:rPr>
        <w:t>direct experiences</w:t>
      </w:r>
      <w:r w:rsidRPr="00347885">
        <w:rPr>
          <w:rFonts w:ascii="Calibri" w:eastAsia="Calibri" w:hAnsi="Calibri" w:cs="Times New Roman"/>
          <w:bCs/>
          <w:iCs/>
        </w:rPr>
        <w:t xml:space="preserve"> of electoral fraud in recent national elections. The results indicate that the rates of electoral fraud are currently around </w:t>
      </w:r>
      <w:r>
        <w:rPr>
          <w:rFonts w:ascii="Calibri" w:eastAsia="Calibri" w:hAnsi="Calibri" w:cs="Times New Roman"/>
          <w:bCs/>
          <w:iCs/>
        </w:rPr>
        <w:t>six to eight</w:t>
      </w:r>
      <w:r w:rsidRPr="00347885">
        <w:rPr>
          <w:rFonts w:ascii="Calibri" w:eastAsia="Calibri" w:hAnsi="Calibri" w:cs="Times New Roman"/>
          <w:bCs/>
          <w:iCs/>
        </w:rPr>
        <w:t xml:space="preserve"> per cent, but that this rises for members of some ethnic minority groups. </w:t>
      </w:r>
      <w:r w:rsidR="00976F3B">
        <w:rPr>
          <w:rFonts w:ascii="Calibri" w:eastAsia="Calibri" w:hAnsi="Calibri" w:cs="Times New Roman"/>
          <w:bCs/>
          <w:iCs/>
        </w:rPr>
        <w:t xml:space="preserve">We end by raising another question: if we can identify victims of electoral fraud, how are we to redress this victimisation? </w:t>
      </w:r>
      <w:r w:rsidRPr="00347885">
        <w:rPr>
          <w:rFonts w:ascii="Calibri" w:eastAsia="Calibri" w:hAnsi="Calibri" w:cs="Times New Roman"/>
          <w:bCs/>
          <w:iCs/>
        </w:rPr>
        <w:t xml:space="preserve">  </w:t>
      </w:r>
    </w:p>
    <w:p w14:paraId="0AB21EF8" w14:textId="77777777" w:rsidR="00347885" w:rsidRPr="00347885" w:rsidRDefault="00347885" w:rsidP="00347885">
      <w:pPr>
        <w:rPr>
          <w:rFonts w:ascii="Calibri" w:eastAsia="Calibri" w:hAnsi="Calibri" w:cs="Times New Roman"/>
          <w:bCs/>
          <w:iCs/>
        </w:rPr>
      </w:pPr>
    </w:p>
    <w:p w14:paraId="6E5AD6AC" w14:textId="77777777" w:rsidR="00347885" w:rsidRPr="00347885" w:rsidRDefault="00347885" w:rsidP="00347885">
      <w:pPr>
        <w:tabs>
          <w:tab w:val="left" w:pos="6390"/>
        </w:tabs>
        <w:rPr>
          <w:rFonts w:ascii="Calibri" w:eastAsia="Calibri" w:hAnsi="Calibri" w:cs="Times New Roman"/>
          <w:bCs/>
          <w:iCs/>
        </w:rPr>
      </w:pPr>
      <w:r w:rsidRPr="00347885">
        <w:rPr>
          <w:rFonts w:ascii="Calibri" w:eastAsia="Calibri" w:hAnsi="Calibri" w:cs="Times New Roman"/>
          <w:bCs/>
          <w:iCs/>
        </w:rPr>
        <w:t>Key Words: electoral fraud; electoral integrity; elections; fraud; voters</w:t>
      </w:r>
      <w:r w:rsidRPr="00347885">
        <w:rPr>
          <w:rFonts w:ascii="Calibri" w:eastAsia="Calibri" w:hAnsi="Calibri" w:cs="Times New Roman"/>
          <w:bCs/>
          <w:iCs/>
        </w:rPr>
        <w:tab/>
      </w:r>
    </w:p>
    <w:p w14:paraId="2DEA88BC" w14:textId="77777777" w:rsidR="00347885" w:rsidRPr="00347885" w:rsidRDefault="00347885" w:rsidP="00347885">
      <w:pPr>
        <w:rPr>
          <w:rFonts w:ascii="Calibri" w:eastAsia="Calibri" w:hAnsi="Calibri" w:cs="Times New Roman"/>
          <w:bCs/>
          <w:iCs/>
        </w:rPr>
      </w:pPr>
    </w:p>
    <w:p w14:paraId="198C5EB4" w14:textId="77777777" w:rsidR="00347885" w:rsidRPr="00347885" w:rsidRDefault="00347885" w:rsidP="00347885">
      <w:pPr>
        <w:rPr>
          <w:rFonts w:ascii="Calibri" w:eastAsia="Calibri" w:hAnsi="Calibri" w:cs="Times New Roman"/>
          <w:bCs/>
          <w:iCs/>
        </w:rPr>
      </w:pPr>
      <w:r w:rsidRPr="00347885">
        <w:rPr>
          <w:rFonts w:ascii="Calibri" w:eastAsia="Calibri" w:hAnsi="Calibri" w:cs="Times New Roman"/>
          <w:bCs/>
          <w:iCs/>
        </w:rPr>
        <w:t>Funding declaration: The authors received no funding for this research.</w:t>
      </w:r>
    </w:p>
    <w:p w14:paraId="3919E107" w14:textId="77777777" w:rsidR="00347885" w:rsidRPr="00347885" w:rsidRDefault="00347885" w:rsidP="00347885">
      <w:pPr>
        <w:rPr>
          <w:rFonts w:ascii="Calibri" w:eastAsia="Calibri" w:hAnsi="Calibri" w:cs="Times New Roman"/>
          <w:bCs/>
          <w:iCs/>
        </w:rPr>
      </w:pPr>
      <w:r w:rsidRPr="00347885">
        <w:rPr>
          <w:rFonts w:ascii="Calibri" w:eastAsia="Calibri" w:hAnsi="Calibri" w:cs="Times New Roman"/>
          <w:bCs/>
          <w:iCs/>
        </w:rPr>
        <w:t>Declaration of conflicting interests: We have no conflicting interests.</w:t>
      </w:r>
    </w:p>
    <w:p w14:paraId="3AC15A3E" w14:textId="77777777" w:rsidR="002C0AD5" w:rsidRPr="002C0AD5" w:rsidRDefault="002C0AD5" w:rsidP="002C0AD5">
      <w:pPr>
        <w:rPr>
          <w:rFonts w:ascii="Calibri" w:eastAsia="Calibri" w:hAnsi="Calibri" w:cs="Times New Roman"/>
          <w:bCs/>
          <w:iCs/>
        </w:rPr>
      </w:pPr>
      <w:r w:rsidRPr="002C0AD5">
        <w:rPr>
          <w:rFonts w:ascii="Calibri" w:eastAsia="Calibri" w:hAnsi="Calibri" w:cs="Times New Roman"/>
          <w:bCs/>
          <w:iCs/>
        </w:rPr>
        <w:t>Acknowledgments: We would like to thank the reviewers for their comments on an earlier draft of this paper, and to Chris Byrne for doing an excellent job of shepherding our paper through the review process.</w:t>
      </w:r>
    </w:p>
    <w:p w14:paraId="73BAF3E7" w14:textId="0B0D0DA6" w:rsidR="00362608" w:rsidRDefault="00362608" w:rsidP="004B4D0A">
      <w:pPr>
        <w:rPr>
          <w:bCs/>
          <w:iCs/>
        </w:rPr>
      </w:pPr>
    </w:p>
    <w:p w14:paraId="63C61B6D" w14:textId="7044DE53" w:rsidR="003F5E8A" w:rsidRDefault="008E6C23">
      <w:pPr>
        <w:rPr>
          <w:rFonts w:cstheme="minorHAnsi"/>
          <w:b/>
          <w:bCs/>
          <w:iCs/>
        </w:rPr>
      </w:pPr>
      <w:r w:rsidRPr="0062432C">
        <w:rPr>
          <w:rFonts w:cstheme="minorHAnsi"/>
          <w:b/>
          <w:bCs/>
          <w:iCs/>
        </w:rPr>
        <w:t>Introduction</w:t>
      </w:r>
      <w:r>
        <w:rPr>
          <w:rFonts w:cstheme="minorHAnsi"/>
          <w:b/>
          <w:bCs/>
          <w:iCs/>
        </w:rPr>
        <w:t xml:space="preserve"> </w:t>
      </w:r>
    </w:p>
    <w:p w14:paraId="658F5282" w14:textId="026DD7B2" w:rsidR="00E771D8" w:rsidRDefault="009D62B2">
      <w:pPr>
        <w:rPr>
          <w:rFonts w:cstheme="minorHAnsi"/>
          <w:iCs/>
        </w:rPr>
      </w:pPr>
      <w:r w:rsidRPr="006C5950">
        <w:rPr>
          <w:rFonts w:cstheme="minorHAnsi"/>
          <w:iCs/>
        </w:rPr>
        <w:t xml:space="preserve">This paper uses new survey evidence to examine which social groups are most likely to report being victims of </w:t>
      </w:r>
      <w:r w:rsidR="00E713F2">
        <w:rPr>
          <w:rFonts w:cstheme="minorHAnsi"/>
          <w:iCs/>
        </w:rPr>
        <w:t xml:space="preserve">two specific forms of </w:t>
      </w:r>
      <w:r w:rsidRPr="006C5950">
        <w:rPr>
          <w:rFonts w:cstheme="minorHAnsi"/>
          <w:iCs/>
        </w:rPr>
        <w:t>electoral fraud in Great Britain</w:t>
      </w:r>
      <w:r w:rsidR="00E713F2">
        <w:rPr>
          <w:rFonts w:cstheme="minorHAnsi"/>
          <w:iCs/>
        </w:rPr>
        <w:t>: undue influence (</w:t>
      </w:r>
      <w:r w:rsidR="00D261CF">
        <w:rPr>
          <w:rFonts w:cstheme="minorHAnsi"/>
          <w:iCs/>
        </w:rPr>
        <w:t xml:space="preserve">where a voter is </w:t>
      </w:r>
      <w:r w:rsidR="00E713F2">
        <w:rPr>
          <w:rFonts w:cstheme="minorHAnsi"/>
          <w:iCs/>
        </w:rPr>
        <w:t>coerced into voting for a particular candidate or party) and personation (</w:t>
      </w:r>
      <w:r w:rsidR="00D261CF">
        <w:rPr>
          <w:rFonts w:cstheme="minorHAnsi"/>
          <w:iCs/>
        </w:rPr>
        <w:t xml:space="preserve">where a voter’s identity is used by </w:t>
      </w:r>
      <w:r w:rsidR="00E713F2">
        <w:rPr>
          <w:rFonts w:cstheme="minorHAnsi"/>
          <w:iCs/>
        </w:rPr>
        <w:t>someone</w:t>
      </w:r>
      <w:r w:rsidR="00D261CF">
        <w:rPr>
          <w:rFonts w:cstheme="minorHAnsi"/>
          <w:iCs/>
        </w:rPr>
        <w:t>,</w:t>
      </w:r>
      <w:r w:rsidR="006B6021">
        <w:rPr>
          <w:rFonts w:cstheme="minorHAnsi"/>
          <w:iCs/>
        </w:rPr>
        <w:t xml:space="preserve"> </w:t>
      </w:r>
      <w:r w:rsidR="00DC7468">
        <w:rPr>
          <w:rFonts w:cstheme="minorHAnsi"/>
          <w:iCs/>
        </w:rPr>
        <w:t xml:space="preserve">other than </w:t>
      </w:r>
      <w:r w:rsidR="00D261CF">
        <w:rPr>
          <w:rFonts w:cstheme="minorHAnsi"/>
          <w:iCs/>
        </w:rPr>
        <w:t>their designated proxy, to cast a vote)</w:t>
      </w:r>
      <w:r w:rsidRPr="006C5950">
        <w:rPr>
          <w:rFonts w:cstheme="minorHAnsi"/>
          <w:iCs/>
        </w:rPr>
        <w:t xml:space="preserve">. Despite growing academic interest in electoral fraud, as part of an expanding body of </w:t>
      </w:r>
      <w:r w:rsidR="00492A73">
        <w:rPr>
          <w:rFonts w:cstheme="minorHAnsi"/>
          <w:iCs/>
        </w:rPr>
        <w:t xml:space="preserve">international scholarship </w:t>
      </w:r>
      <w:r w:rsidRPr="006C5950">
        <w:rPr>
          <w:rFonts w:cstheme="minorHAnsi"/>
          <w:iCs/>
        </w:rPr>
        <w:t>on electoral integrity, victim-centred analys</w:t>
      </w:r>
      <w:r w:rsidR="00CC7A6E">
        <w:rPr>
          <w:rFonts w:cstheme="minorHAnsi"/>
          <w:iCs/>
        </w:rPr>
        <w:t>e</w:t>
      </w:r>
      <w:r w:rsidRPr="006C5950">
        <w:rPr>
          <w:rFonts w:cstheme="minorHAnsi"/>
          <w:iCs/>
        </w:rPr>
        <w:t xml:space="preserve">s of the incidence of electoral fraud </w:t>
      </w:r>
      <w:r w:rsidR="00CC7A6E">
        <w:rPr>
          <w:rFonts w:cstheme="minorHAnsi"/>
          <w:iCs/>
        </w:rPr>
        <w:t>are</w:t>
      </w:r>
      <w:r w:rsidRPr="006C5950">
        <w:rPr>
          <w:rFonts w:cstheme="minorHAnsi"/>
          <w:iCs/>
        </w:rPr>
        <w:t xml:space="preserve"> exceptionally rare. </w:t>
      </w:r>
      <w:r w:rsidR="00492A73">
        <w:rPr>
          <w:rFonts w:cstheme="minorHAnsi"/>
          <w:iCs/>
        </w:rPr>
        <w:t xml:space="preserve">To some extent, the </w:t>
      </w:r>
      <w:r w:rsidR="006914D1">
        <w:rPr>
          <w:rFonts w:cstheme="minorHAnsi"/>
          <w:iCs/>
        </w:rPr>
        <w:t>lack</w:t>
      </w:r>
      <w:r w:rsidR="00492A73">
        <w:rPr>
          <w:rFonts w:cstheme="minorHAnsi"/>
          <w:iCs/>
        </w:rPr>
        <w:t xml:space="preserve"> of research </w:t>
      </w:r>
      <w:r w:rsidR="00D261CF">
        <w:rPr>
          <w:rFonts w:cstheme="minorHAnsi"/>
          <w:iCs/>
        </w:rPr>
        <w:t xml:space="preserve">on this subject </w:t>
      </w:r>
      <w:r w:rsidR="00492A73">
        <w:rPr>
          <w:rFonts w:cstheme="minorHAnsi"/>
          <w:iCs/>
        </w:rPr>
        <w:t xml:space="preserve">in established democracies could </w:t>
      </w:r>
      <w:r w:rsidR="001B2B4C">
        <w:rPr>
          <w:rFonts w:cstheme="minorHAnsi"/>
          <w:iCs/>
        </w:rPr>
        <w:t xml:space="preserve">simply </w:t>
      </w:r>
      <w:r w:rsidR="00492A73">
        <w:rPr>
          <w:rFonts w:cstheme="minorHAnsi"/>
          <w:iCs/>
        </w:rPr>
        <w:t xml:space="preserve">be explained by the absence of electoral fraud victims. </w:t>
      </w:r>
      <w:r w:rsidR="00D261CF">
        <w:rPr>
          <w:rFonts w:cstheme="minorHAnsi"/>
          <w:iCs/>
        </w:rPr>
        <w:t xml:space="preserve">The clear consensus from recent </w:t>
      </w:r>
      <w:r w:rsidR="00FF7412">
        <w:rPr>
          <w:rFonts w:cstheme="minorHAnsi"/>
          <w:iCs/>
        </w:rPr>
        <w:t xml:space="preserve">US and UK </w:t>
      </w:r>
      <w:r w:rsidR="00D261CF">
        <w:rPr>
          <w:rFonts w:cstheme="minorHAnsi"/>
          <w:iCs/>
        </w:rPr>
        <w:t>research has been that cases of electoral fraud are extremely infrequ</w:t>
      </w:r>
      <w:r w:rsidR="00200A9E">
        <w:rPr>
          <w:rFonts w:cstheme="minorHAnsi"/>
          <w:iCs/>
        </w:rPr>
        <w:t>ent (</w:t>
      </w:r>
      <w:r w:rsidR="00FE7DE2">
        <w:rPr>
          <w:rFonts w:cstheme="minorHAnsi"/>
          <w:iCs/>
        </w:rPr>
        <w:t xml:space="preserve">Mebane, 2008; </w:t>
      </w:r>
      <w:r w:rsidR="00200A9E">
        <w:rPr>
          <w:rFonts w:cstheme="minorHAnsi"/>
          <w:iCs/>
        </w:rPr>
        <w:t>Minnite, 2010; Hasen, 2012; Hill et al, 2017; James and Clark, 2020</w:t>
      </w:r>
      <w:r w:rsidR="00D261CF">
        <w:rPr>
          <w:rFonts w:cstheme="minorHAnsi"/>
          <w:iCs/>
        </w:rPr>
        <w:t>). Yet</w:t>
      </w:r>
      <w:r w:rsidR="00AB2F1C">
        <w:rPr>
          <w:rFonts w:cstheme="minorHAnsi"/>
          <w:iCs/>
        </w:rPr>
        <w:t xml:space="preserve">, survey evidence from the USA and the UK </w:t>
      </w:r>
      <w:r w:rsidR="00D261CF">
        <w:rPr>
          <w:rFonts w:cstheme="minorHAnsi"/>
          <w:iCs/>
        </w:rPr>
        <w:t xml:space="preserve">also </w:t>
      </w:r>
      <w:r w:rsidR="00FF7412">
        <w:rPr>
          <w:rFonts w:cstheme="minorHAnsi"/>
          <w:iCs/>
        </w:rPr>
        <w:t>suggests</w:t>
      </w:r>
      <w:r w:rsidR="00AB2F1C">
        <w:rPr>
          <w:rFonts w:cstheme="minorHAnsi"/>
          <w:iCs/>
        </w:rPr>
        <w:t xml:space="preserve"> a sizeable proportion of the electorate </w:t>
      </w:r>
      <w:r w:rsidR="00AB2F1C" w:rsidRPr="00CC7A6E">
        <w:rPr>
          <w:rFonts w:cstheme="minorHAnsi"/>
          <w:i/>
          <w:iCs/>
        </w:rPr>
        <w:t>believe</w:t>
      </w:r>
      <w:r w:rsidR="00AB2F1C">
        <w:rPr>
          <w:rFonts w:cstheme="minorHAnsi"/>
          <w:iCs/>
        </w:rPr>
        <w:t xml:space="preserve"> that electoral fraud </w:t>
      </w:r>
      <w:r w:rsidR="003276DB">
        <w:rPr>
          <w:rFonts w:cstheme="minorHAnsi"/>
          <w:iCs/>
        </w:rPr>
        <w:t>occur</w:t>
      </w:r>
      <w:r w:rsidR="00CC7A6E">
        <w:rPr>
          <w:rFonts w:cstheme="minorHAnsi"/>
          <w:iCs/>
        </w:rPr>
        <w:t>s</w:t>
      </w:r>
      <w:r w:rsidR="00AB2F1C">
        <w:rPr>
          <w:rFonts w:cstheme="minorHAnsi"/>
          <w:iCs/>
        </w:rPr>
        <w:t>, sometimes on a scale that could affect election outcomes</w:t>
      </w:r>
      <w:r w:rsidR="00200A9E">
        <w:rPr>
          <w:rFonts w:cstheme="minorHAnsi"/>
          <w:iCs/>
        </w:rPr>
        <w:t xml:space="preserve"> (</w:t>
      </w:r>
      <w:r w:rsidR="00200A9E" w:rsidRPr="003F5E8A">
        <w:rPr>
          <w:rFonts w:cstheme="minorHAnsi"/>
        </w:rPr>
        <w:t>Ansolabehre and Persily, 2008</w:t>
      </w:r>
      <w:r w:rsidR="00200A9E">
        <w:rPr>
          <w:rFonts w:cstheme="minorHAnsi"/>
          <w:iCs/>
        </w:rPr>
        <w:t xml:space="preserve">; Stewart </w:t>
      </w:r>
      <w:r w:rsidR="00FF7412">
        <w:rPr>
          <w:rFonts w:cstheme="minorHAnsi"/>
          <w:iCs/>
        </w:rPr>
        <w:t xml:space="preserve">III </w:t>
      </w:r>
      <w:r w:rsidR="00200A9E">
        <w:rPr>
          <w:rFonts w:cstheme="minorHAnsi"/>
          <w:iCs/>
        </w:rPr>
        <w:t>et al., 2016</w:t>
      </w:r>
      <w:r w:rsidR="00B16735">
        <w:rPr>
          <w:rFonts w:cstheme="minorHAnsi"/>
          <w:iCs/>
        </w:rPr>
        <w:t xml:space="preserve">; </w:t>
      </w:r>
      <w:r w:rsidR="00B16735" w:rsidRPr="003B363E">
        <w:rPr>
          <w:rFonts w:cstheme="minorHAnsi"/>
        </w:rPr>
        <w:t xml:space="preserve">Fisher and </w:t>
      </w:r>
      <w:r w:rsidR="00B16735" w:rsidRPr="003B363E">
        <w:rPr>
          <w:rStyle w:val="Emphasis"/>
          <w:rFonts w:cstheme="minorHAnsi"/>
          <w:i w:val="0"/>
          <w:iCs w:val="0"/>
          <w:shd w:val="clear" w:color="auto" w:fill="FFFFFF"/>
        </w:rPr>
        <w:t>Sällberg</w:t>
      </w:r>
      <w:r w:rsidR="003276DB">
        <w:rPr>
          <w:rStyle w:val="Emphasis"/>
          <w:rFonts w:cstheme="minorHAnsi"/>
          <w:i w:val="0"/>
          <w:iCs w:val="0"/>
          <w:shd w:val="clear" w:color="auto" w:fill="FFFFFF"/>
        </w:rPr>
        <w:t>,</w:t>
      </w:r>
      <w:r w:rsidR="00B16735">
        <w:rPr>
          <w:rFonts w:cstheme="minorHAnsi"/>
        </w:rPr>
        <w:t xml:space="preserve"> </w:t>
      </w:r>
      <w:r w:rsidR="00B16735" w:rsidRPr="003B363E">
        <w:rPr>
          <w:rFonts w:cstheme="minorHAnsi"/>
        </w:rPr>
        <w:t>2020</w:t>
      </w:r>
      <w:r w:rsidR="00AB2F1C">
        <w:rPr>
          <w:rFonts w:cstheme="minorHAnsi"/>
          <w:iCs/>
        </w:rPr>
        <w:t>). A</w:t>
      </w:r>
      <w:r w:rsidR="0096318A">
        <w:rPr>
          <w:rFonts w:cstheme="minorHAnsi"/>
          <w:iCs/>
        </w:rPr>
        <w:t xml:space="preserve"> </w:t>
      </w:r>
      <w:r w:rsidR="00BC7FEE">
        <w:rPr>
          <w:rFonts w:cstheme="minorHAnsi"/>
          <w:iCs/>
        </w:rPr>
        <w:t xml:space="preserve">key </w:t>
      </w:r>
      <w:r w:rsidR="00992613">
        <w:rPr>
          <w:rFonts w:cstheme="minorHAnsi"/>
          <w:iCs/>
        </w:rPr>
        <w:t xml:space="preserve">focus </w:t>
      </w:r>
      <w:r w:rsidR="00BC7FEE">
        <w:rPr>
          <w:rFonts w:cstheme="minorHAnsi"/>
          <w:iCs/>
        </w:rPr>
        <w:t>of</w:t>
      </w:r>
      <w:r w:rsidR="0096318A">
        <w:rPr>
          <w:rFonts w:cstheme="minorHAnsi"/>
          <w:iCs/>
        </w:rPr>
        <w:t xml:space="preserve"> recent research</w:t>
      </w:r>
      <w:r w:rsidR="00BC7FEE">
        <w:rPr>
          <w:rFonts w:cstheme="minorHAnsi"/>
          <w:iCs/>
        </w:rPr>
        <w:t>,</w:t>
      </w:r>
      <w:r w:rsidR="0096318A">
        <w:rPr>
          <w:rFonts w:cstheme="minorHAnsi"/>
          <w:iCs/>
        </w:rPr>
        <w:t xml:space="preserve"> in the US</w:t>
      </w:r>
      <w:r w:rsidR="00BC7FEE">
        <w:rPr>
          <w:rFonts w:cstheme="minorHAnsi"/>
          <w:iCs/>
        </w:rPr>
        <w:t>A</w:t>
      </w:r>
      <w:r w:rsidR="0096318A">
        <w:rPr>
          <w:rFonts w:cstheme="minorHAnsi"/>
          <w:iCs/>
        </w:rPr>
        <w:t xml:space="preserve"> particular</w:t>
      </w:r>
      <w:r w:rsidR="00FF7412">
        <w:rPr>
          <w:rFonts w:cstheme="minorHAnsi"/>
          <w:iCs/>
        </w:rPr>
        <w:t>ly</w:t>
      </w:r>
      <w:r w:rsidR="0096318A">
        <w:rPr>
          <w:rFonts w:cstheme="minorHAnsi"/>
          <w:iCs/>
        </w:rPr>
        <w:t xml:space="preserve">, </w:t>
      </w:r>
      <w:r w:rsidR="00E771D8">
        <w:rPr>
          <w:rFonts w:cstheme="minorHAnsi"/>
          <w:iCs/>
        </w:rPr>
        <w:t xml:space="preserve">has been to try explain </w:t>
      </w:r>
      <w:r w:rsidR="00AB2F1C">
        <w:rPr>
          <w:rFonts w:cstheme="minorHAnsi"/>
          <w:iCs/>
        </w:rPr>
        <w:t>this</w:t>
      </w:r>
      <w:r w:rsidR="00BC7FEE">
        <w:rPr>
          <w:rFonts w:cstheme="minorHAnsi"/>
          <w:iCs/>
        </w:rPr>
        <w:t xml:space="preserve"> gulf between </w:t>
      </w:r>
      <w:r w:rsidR="00AB2F1C">
        <w:rPr>
          <w:rFonts w:cstheme="minorHAnsi"/>
          <w:iCs/>
        </w:rPr>
        <w:t xml:space="preserve">expert </w:t>
      </w:r>
      <w:r w:rsidR="00D261CF">
        <w:rPr>
          <w:rFonts w:cstheme="minorHAnsi"/>
          <w:iCs/>
        </w:rPr>
        <w:t xml:space="preserve">and public assessments </w:t>
      </w:r>
      <w:r w:rsidR="00B16735">
        <w:rPr>
          <w:rFonts w:cstheme="minorHAnsi"/>
          <w:iCs/>
        </w:rPr>
        <w:t>(Wolak, 2014; Ahlquist, 2014; Udani et al., 2018</w:t>
      </w:r>
      <w:r w:rsidR="00D261CF">
        <w:rPr>
          <w:rFonts w:cstheme="minorHAnsi"/>
          <w:iCs/>
        </w:rPr>
        <w:t>)</w:t>
      </w:r>
      <w:r w:rsidR="00BC7FEE">
        <w:rPr>
          <w:rFonts w:cstheme="minorHAnsi"/>
          <w:iCs/>
        </w:rPr>
        <w:t xml:space="preserve">. </w:t>
      </w:r>
      <w:r w:rsidR="00AB2F1C">
        <w:rPr>
          <w:rFonts w:cstheme="minorHAnsi"/>
          <w:iCs/>
        </w:rPr>
        <w:t>How</w:t>
      </w:r>
      <w:r w:rsidR="00D261CF">
        <w:rPr>
          <w:rFonts w:cstheme="minorHAnsi"/>
          <w:iCs/>
        </w:rPr>
        <w:t>ever, in examin</w:t>
      </w:r>
      <w:r w:rsidR="00FF7412">
        <w:rPr>
          <w:rFonts w:cstheme="minorHAnsi"/>
          <w:iCs/>
        </w:rPr>
        <w:t>ing</w:t>
      </w:r>
      <w:r w:rsidR="00D261CF">
        <w:rPr>
          <w:rFonts w:cstheme="minorHAnsi"/>
          <w:iCs/>
        </w:rPr>
        <w:t xml:space="preserve"> the UK case,</w:t>
      </w:r>
      <w:r w:rsidR="00AB2F1C">
        <w:rPr>
          <w:rFonts w:cstheme="minorHAnsi"/>
          <w:iCs/>
        </w:rPr>
        <w:t xml:space="preserve"> we take a different approach. We </w:t>
      </w:r>
      <w:r w:rsidR="00E771D8">
        <w:rPr>
          <w:rFonts w:cstheme="minorHAnsi"/>
          <w:iCs/>
        </w:rPr>
        <w:t xml:space="preserve">concur that </w:t>
      </w:r>
      <w:r w:rsidR="00AB2F1C">
        <w:rPr>
          <w:rFonts w:cstheme="minorHAnsi"/>
          <w:iCs/>
        </w:rPr>
        <w:t>p</w:t>
      </w:r>
      <w:r w:rsidR="00E771D8">
        <w:rPr>
          <w:rFonts w:cstheme="minorHAnsi"/>
          <w:iCs/>
        </w:rPr>
        <w:t>ublic perceptions o</w:t>
      </w:r>
      <w:r w:rsidR="00AB2F1C">
        <w:rPr>
          <w:rFonts w:cstheme="minorHAnsi"/>
          <w:iCs/>
        </w:rPr>
        <w:t xml:space="preserve">f electoral fraud are </w:t>
      </w:r>
      <w:r w:rsidR="00E771D8">
        <w:rPr>
          <w:rFonts w:cstheme="minorHAnsi"/>
          <w:iCs/>
        </w:rPr>
        <w:t xml:space="preserve">highly </w:t>
      </w:r>
      <w:r w:rsidR="00AB2F1C">
        <w:rPr>
          <w:rFonts w:cstheme="minorHAnsi"/>
          <w:iCs/>
        </w:rPr>
        <w:t xml:space="preserve">exaggerated, </w:t>
      </w:r>
      <w:r w:rsidR="00E771D8">
        <w:rPr>
          <w:rFonts w:cstheme="minorHAnsi"/>
          <w:iCs/>
        </w:rPr>
        <w:t xml:space="preserve">but also argue that </w:t>
      </w:r>
      <w:r w:rsidR="00AB2F1C">
        <w:rPr>
          <w:rFonts w:cstheme="minorHAnsi"/>
          <w:iCs/>
        </w:rPr>
        <w:t xml:space="preserve">they are not entirely baseless. </w:t>
      </w:r>
      <w:r w:rsidR="00FF7412">
        <w:rPr>
          <w:rFonts w:cstheme="minorHAnsi"/>
          <w:iCs/>
        </w:rPr>
        <w:t>W</w:t>
      </w:r>
      <w:r w:rsidR="00DC7468">
        <w:rPr>
          <w:rFonts w:cstheme="minorHAnsi"/>
          <w:iCs/>
        </w:rPr>
        <w:t>hile very</w:t>
      </w:r>
      <w:r w:rsidR="00D261CF">
        <w:rPr>
          <w:rFonts w:cstheme="minorHAnsi"/>
          <w:iCs/>
        </w:rPr>
        <w:t xml:space="preserve"> rar</w:t>
      </w:r>
      <w:r w:rsidR="00E771D8">
        <w:rPr>
          <w:rFonts w:cstheme="minorHAnsi"/>
          <w:iCs/>
        </w:rPr>
        <w:t xml:space="preserve">e, some </w:t>
      </w:r>
      <w:r w:rsidR="00AB2F1C">
        <w:rPr>
          <w:rFonts w:cstheme="minorHAnsi"/>
          <w:iCs/>
        </w:rPr>
        <w:t xml:space="preserve">electoral fraud </w:t>
      </w:r>
      <w:r w:rsidR="00FF7412">
        <w:rPr>
          <w:rFonts w:cstheme="minorHAnsi"/>
          <w:iCs/>
        </w:rPr>
        <w:t xml:space="preserve">clearly </w:t>
      </w:r>
      <w:r w:rsidR="00AB2F1C" w:rsidRPr="00CC7A6E">
        <w:rPr>
          <w:rFonts w:cstheme="minorHAnsi"/>
          <w:i/>
          <w:iCs/>
        </w:rPr>
        <w:t>does</w:t>
      </w:r>
      <w:r w:rsidR="00AB2F1C">
        <w:rPr>
          <w:rFonts w:cstheme="minorHAnsi"/>
          <w:iCs/>
        </w:rPr>
        <w:t xml:space="preserve"> take place</w:t>
      </w:r>
      <w:r w:rsidR="00E771D8">
        <w:rPr>
          <w:rFonts w:cstheme="minorHAnsi"/>
          <w:iCs/>
        </w:rPr>
        <w:t xml:space="preserve"> in the UK. As such, there </w:t>
      </w:r>
      <w:r w:rsidR="00CC7A6E">
        <w:rPr>
          <w:rFonts w:cstheme="minorHAnsi"/>
          <w:iCs/>
        </w:rPr>
        <w:t>ar</w:t>
      </w:r>
      <w:r w:rsidR="00E771D8">
        <w:rPr>
          <w:rFonts w:cstheme="minorHAnsi"/>
          <w:iCs/>
        </w:rPr>
        <w:t>e victims of electoral fraud, even if they represent a very small proportion of the electorate</w:t>
      </w:r>
      <w:r w:rsidR="00AB2F1C">
        <w:rPr>
          <w:rFonts w:cstheme="minorHAnsi"/>
          <w:iCs/>
        </w:rPr>
        <w:t xml:space="preserve">. </w:t>
      </w:r>
    </w:p>
    <w:p w14:paraId="2EE69EA2" w14:textId="0084330A" w:rsidR="00992613" w:rsidRDefault="00E771D8">
      <w:pPr>
        <w:rPr>
          <w:rFonts w:cstheme="minorHAnsi"/>
          <w:iCs/>
        </w:rPr>
      </w:pPr>
      <w:r>
        <w:rPr>
          <w:rFonts w:cstheme="minorHAnsi"/>
          <w:iCs/>
        </w:rPr>
        <w:t xml:space="preserve">There are strong empirical, theoretical </w:t>
      </w:r>
      <w:r w:rsidR="00C945C7">
        <w:rPr>
          <w:rFonts w:cstheme="minorHAnsi"/>
          <w:iCs/>
        </w:rPr>
        <w:t>and policy-relevant justification</w:t>
      </w:r>
      <w:r w:rsidR="00DC7468">
        <w:rPr>
          <w:rFonts w:cstheme="minorHAnsi"/>
          <w:iCs/>
        </w:rPr>
        <w:t>s</w:t>
      </w:r>
      <w:r w:rsidR="00C945C7">
        <w:rPr>
          <w:rFonts w:cstheme="minorHAnsi"/>
          <w:iCs/>
        </w:rPr>
        <w:t xml:space="preserve"> for seeking to identify the scale of electoral fraud victimisation and its socio-demographic correlates. </w:t>
      </w:r>
      <w:r w:rsidR="00AB2F1C">
        <w:rPr>
          <w:rFonts w:cstheme="minorHAnsi"/>
          <w:iCs/>
        </w:rPr>
        <w:t xml:space="preserve">By asking electors not only about their perceptions of electoral fraud but also their </w:t>
      </w:r>
      <w:r w:rsidR="00AB2F1C" w:rsidRPr="00CC7A6E">
        <w:rPr>
          <w:rFonts w:cstheme="minorHAnsi"/>
          <w:i/>
          <w:iCs/>
        </w:rPr>
        <w:t>experienc</w:t>
      </w:r>
      <w:r w:rsidR="00CC7A6E">
        <w:rPr>
          <w:rFonts w:cstheme="minorHAnsi"/>
          <w:i/>
          <w:iCs/>
        </w:rPr>
        <w:t>e(s)</w:t>
      </w:r>
      <w:r w:rsidR="00AB2F1C">
        <w:rPr>
          <w:rFonts w:cstheme="minorHAnsi"/>
          <w:iCs/>
        </w:rPr>
        <w:t xml:space="preserve"> of it, as victims, we </w:t>
      </w:r>
      <w:r w:rsidR="00CC7A6E">
        <w:rPr>
          <w:rFonts w:cstheme="minorHAnsi"/>
          <w:iCs/>
        </w:rPr>
        <w:t>ar</w:t>
      </w:r>
      <w:r w:rsidR="00AB2F1C">
        <w:rPr>
          <w:rFonts w:cstheme="minorHAnsi"/>
          <w:iCs/>
        </w:rPr>
        <w:t>e able to form more accurate estimate</w:t>
      </w:r>
      <w:r w:rsidR="003276DB">
        <w:rPr>
          <w:rFonts w:cstheme="minorHAnsi"/>
          <w:iCs/>
        </w:rPr>
        <w:t>s</w:t>
      </w:r>
      <w:r w:rsidR="00AB2F1C">
        <w:rPr>
          <w:rFonts w:cstheme="minorHAnsi"/>
          <w:iCs/>
        </w:rPr>
        <w:t xml:space="preserve"> of its prevalence. Evidence </w:t>
      </w:r>
      <w:r w:rsidR="00D261CF">
        <w:rPr>
          <w:rFonts w:cstheme="minorHAnsi"/>
          <w:iCs/>
        </w:rPr>
        <w:t xml:space="preserve">of such </w:t>
      </w:r>
      <w:r w:rsidR="00AB2F1C">
        <w:rPr>
          <w:rFonts w:cstheme="minorHAnsi"/>
          <w:iCs/>
        </w:rPr>
        <w:t xml:space="preserve">victimisation may therefore </w:t>
      </w:r>
      <w:r w:rsidR="00C945C7">
        <w:rPr>
          <w:rFonts w:cstheme="minorHAnsi"/>
          <w:iCs/>
        </w:rPr>
        <w:t>shed further</w:t>
      </w:r>
      <w:r w:rsidR="00AB2F1C">
        <w:rPr>
          <w:rFonts w:cstheme="minorHAnsi"/>
          <w:iCs/>
        </w:rPr>
        <w:t xml:space="preserve"> light on the </w:t>
      </w:r>
      <w:r w:rsidR="00C945C7">
        <w:rPr>
          <w:rFonts w:cstheme="minorHAnsi"/>
          <w:iCs/>
        </w:rPr>
        <w:t xml:space="preserve">factors responsible for the </w:t>
      </w:r>
      <w:r w:rsidR="00AB2F1C">
        <w:rPr>
          <w:rFonts w:cstheme="minorHAnsi"/>
          <w:iCs/>
        </w:rPr>
        <w:t xml:space="preserve">enormous gap between expert and popular estimations of the frequency of electoral fraud. </w:t>
      </w:r>
      <w:r w:rsidR="00D261CF">
        <w:rPr>
          <w:rFonts w:cstheme="minorHAnsi"/>
          <w:iCs/>
        </w:rPr>
        <w:t>Examining e</w:t>
      </w:r>
      <w:r w:rsidR="00C945C7">
        <w:rPr>
          <w:rFonts w:cstheme="minorHAnsi"/>
          <w:iCs/>
        </w:rPr>
        <w:t xml:space="preserve">lectoral fraud </w:t>
      </w:r>
      <w:r w:rsidR="00D261CF">
        <w:rPr>
          <w:rFonts w:cstheme="minorHAnsi"/>
          <w:iCs/>
        </w:rPr>
        <w:t xml:space="preserve">from a </w:t>
      </w:r>
      <w:r w:rsidR="00C945C7">
        <w:rPr>
          <w:rFonts w:cstheme="minorHAnsi"/>
          <w:iCs/>
        </w:rPr>
        <w:t>victimolog</w:t>
      </w:r>
      <w:r w:rsidR="001E3432">
        <w:rPr>
          <w:rFonts w:cstheme="minorHAnsi"/>
          <w:iCs/>
        </w:rPr>
        <w:t>ical</w:t>
      </w:r>
      <w:r w:rsidR="00C945C7">
        <w:rPr>
          <w:rFonts w:cstheme="minorHAnsi"/>
          <w:iCs/>
        </w:rPr>
        <w:t xml:space="preserve"> </w:t>
      </w:r>
      <w:r w:rsidR="00D261CF">
        <w:rPr>
          <w:rFonts w:cstheme="minorHAnsi"/>
          <w:iCs/>
        </w:rPr>
        <w:t xml:space="preserve">perspective </w:t>
      </w:r>
      <w:r w:rsidR="00C945C7">
        <w:rPr>
          <w:rFonts w:cstheme="minorHAnsi"/>
          <w:iCs/>
        </w:rPr>
        <w:t xml:space="preserve">also </w:t>
      </w:r>
      <w:r w:rsidR="00DC1741">
        <w:rPr>
          <w:rFonts w:cstheme="minorHAnsi"/>
          <w:iCs/>
        </w:rPr>
        <w:t xml:space="preserve">highlights potential issues of </w:t>
      </w:r>
      <w:r w:rsidR="00C945C7">
        <w:rPr>
          <w:rFonts w:cstheme="minorHAnsi"/>
          <w:iCs/>
        </w:rPr>
        <w:t xml:space="preserve">concern </w:t>
      </w:r>
      <w:r w:rsidR="00DC1741">
        <w:rPr>
          <w:rFonts w:cstheme="minorHAnsi"/>
          <w:iCs/>
        </w:rPr>
        <w:t>about</w:t>
      </w:r>
      <w:r w:rsidR="00C945C7">
        <w:rPr>
          <w:rFonts w:cstheme="minorHAnsi"/>
          <w:iCs/>
        </w:rPr>
        <w:t xml:space="preserve"> democratic </w:t>
      </w:r>
      <w:r w:rsidR="00DC1741">
        <w:rPr>
          <w:rFonts w:cstheme="minorHAnsi"/>
          <w:iCs/>
        </w:rPr>
        <w:t xml:space="preserve">participation and </w:t>
      </w:r>
      <w:r w:rsidR="00C945C7">
        <w:rPr>
          <w:rFonts w:cstheme="minorHAnsi"/>
          <w:iCs/>
        </w:rPr>
        <w:t>legitimacy. E</w:t>
      </w:r>
      <w:r w:rsidR="00AB2F1C">
        <w:rPr>
          <w:rFonts w:cstheme="minorHAnsi"/>
          <w:iCs/>
        </w:rPr>
        <w:t xml:space="preserve">ven </w:t>
      </w:r>
      <w:r w:rsidR="00C945C7">
        <w:rPr>
          <w:rFonts w:cstheme="minorHAnsi"/>
          <w:iCs/>
        </w:rPr>
        <w:t xml:space="preserve">if </w:t>
      </w:r>
      <w:r w:rsidR="00AB2F1C">
        <w:rPr>
          <w:rFonts w:cstheme="minorHAnsi"/>
          <w:iCs/>
        </w:rPr>
        <w:t>instances of victimisation</w:t>
      </w:r>
      <w:r w:rsidR="00C945C7">
        <w:rPr>
          <w:rFonts w:cstheme="minorHAnsi"/>
          <w:iCs/>
        </w:rPr>
        <w:t xml:space="preserve"> are </w:t>
      </w:r>
      <w:r w:rsidR="00DC1741">
        <w:rPr>
          <w:rFonts w:cstheme="minorHAnsi"/>
          <w:iCs/>
        </w:rPr>
        <w:t>infrequent</w:t>
      </w:r>
      <w:r w:rsidR="00DC7468">
        <w:rPr>
          <w:rFonts w:cstheme="minorHAnsi"/>
          <w:iCs/>
        </w:rPr>
        <w:t>,</w:t>
      </w:r>
      <w:r w:rsidR="00C945C7">
        <w:rPr>
          <w:rFonts w:cstheme="minorHAnsi"/>
          <w:iCs/>
        </w:rPr>
        <w:t xml:space="preserve"> and have no discernible impact on</w:t>
      </w:r>
      <w:r w:rsidR="00AB2F1C">
        <w:rPr>
          <w:rFonts w:cstheme="minorHAnsi"/>
          <w:iCs/>
        </w:rPr>
        <w:t xml:space="preserve"> election results</w:t>
      </w:r>
      <w:r w:rsidR="00C945C7">
        <w:rPr>
          <w:rFonts w:cstheme="minorHAnsi"/>
          <w:iCs/>
        </w:rPr>
        <w:t>, they nonetheless</w:t>
      </w:r>
      <w:r w:rsidR="00AB2F1C">
        <w:rPr>
          <w:rFonts w:cstheme="minorHAnsi"/>
          <w:iCs/>
        </w:rPr>
        <w:t xml:space="preserve"> represent cases where individual </w:t>
      </w:r>
      <w:r w:rsidR="00DC1741">
        <w:rPr>
          <w:rFonts w:cstheme="minorHAnsi"/>
          <w:iCs/>
        </w:rPr>
        <w:t>electors h</w:t>
      </w:r>
      <w:r w:rsidR="00AB2F1C">
        <w:rPr>
          <w:rFonts w:cstheme="minorHAnsi"/>
          <w:iCs/>
        </w:rPr>
        <w:t xml:space="preserve">ave been disenfranchised. </w:t>
      </w:r>
      <w:r w:rsidR="00DC7468">
        <w:rPr>
          <w:rFonts w:cstheme="minorHAnsi"/>
          <w:iCs/>
        </w:rPr>
        <w:t>I</w:t>
      </w:r>
      <w:r w:rsidR="00AB2F1C">
        <w:rPr>
          <w:rFonts w:cstheme="minorHAnsi"/>
          <w:iCs/>
        </w:rPr>
        <w:t>f disenfranchisement arising from electoral fraud is concentrated within particular social groups</w:t>
      </w:r>
      <w:r w:rsidR="00C945C7">
        <w:rPr>
          <w:rFonts w:cstheme="minorHAnsi"/>
          <w:iCs/>
        </w:rPr>
        <w:t xml:space="preserve"> or geographical communities</w:t>
      </w:r>
      <w:r w:rsidR="00DC1741">
        <w:rPr>
          <w:rFonts w:cstheme="minorHAnsi"/>
          <w:iCs/>
        </w:rPr>
        <w:t xml:space="preserve">, </w:t>
      </w:r>
      <w:r w:rsidR="00AB2F1C">
        <w:rPr>
          <w:rFonts w:cstheme="minorHAnsi"/>
          <w:iCs/>
        </w:rPr>
        <w:t>the democratic</w:t>
      </w:r>
      <w:r w:rsidR="00C945C7">
        <w:rPr>
          <w:rFonts w:cstheme="minorHAnsi"/>
          <w:iCs/>
        </w:rPr>
        <w:t xml:space="preserve"> imp</w:t>
      </w:r>
      <w:r w:rsidR="00DC1741">
        <w:rPr>
          <w:rFonts w:cstheme="minorHAnsi"/>
          <w:iCs/>
        </w:rPr>
        <w:t>lications arising from a victim</w:t>
      </w:r>
      <w:r w:rsidR="00C945C7">
        <w:rPr>
          <w:rFonts w:cstheme="minorHAnsi"/>
          <w:iCs/>
        </w:rPr>
        <w:t>-centred analysis</w:t>
      </w:r>
      <w:r w:rsidR="00AB2F1C">
        <w:rPr>
          <w:rFonts w:cstheme="minorHAnsi"/>
          <w:iCs/>
        </w:rPr>
        <w:t xml:space="preserve"> are all the greater.</w:t>
      </w:r>
      <w:r w:rsidR="00C945C7">
        <w:rPr>
          <w:rFonts w:cstheme="minorHAnsi"/>
          <w:iCs/>
        </w:rPr>
        <w:t xml:space="preserve"> All of these considerations have a pa</w:t>
      </w:r>
      <w:r w:rsidR="00DC1741">
        <w:rPr>
          <w:rFonts w:cstheme="minorHAnsi"/>
          <w:iCs/>
        </w:rPr>
        <w:t>rticular significance to contemporary UK</w:t>
      </w:r>
      <w:r w:rsidR="00C945C7">
        <w:rPr>
          <w:rFonts w:cstheme="minorHAnsi"/>
          <w:iCs/>
        </w:rPr>
        <w:t xml:space="preserve"> </w:t>
      </w:r>
      <w:r w:rsidR="00DC1741">
        <w:rPr>
          <w:rFonts w:cstheme="minorHAnsi"/>
          <w:iCs/>
        </w:rPr>
        <w:t>policy debate</w:t>
      </w:r>
      <w:r w:rsidR="00C945C7">
        <w:rPr>
          <w:rFonts w:cstheme="minorHAnsi"/>
          <w:iCs/>
        </w:rPr>
        <w:t>, with the current Conservative government set to introduce legislation to provide stronger safeguards against electoral fraud including, among others, photographic ID at polling stations, new legal definitions of the offence of undue influence, and restrictions on the handling of postal votes by party representatives</w:t>
      </w:r>
      <w:r w:rsidR="00B16735">
        <w:rPr>
          <w:rFonts w:cstheme="minorHAnsi"/>
          <w:iCs/>
        </w:rPr>
        <w:t xml:space="preserve"> (Kelly, 2021</w:t>
      </w:r>
      <w:r w:rsidR="00C945C7">
        <w:rPr>
          <w:rFonts w:cstheme="minorHAnsi"/>
          <w:iCs/>
        </w:rPr>
        <w:t>).</w:t>
      </w:r>
    </w:p>
    <w:p w14:paraId="158D6E75" w14:textId="4869F128" w:rsidR="00C945C7" w:rsidRDefault="00C945C7" w:rsidP="00C945C7">
      <w:pPr>
        <w:autoSpaceDE w:val="0"/>
        <w:autoSpaceDN w:val="0"/>
        <w:adjustRightInd w:val="0"/>
        <w:spacing w:after="0" w:line="276" w:lineRule="auto"/>
        <w:rPr>
          <w:rFonts w:cstheme="minorHAnsi"/>
        </w:rPr>
      </w:pPr>
      <w:r>
        <w:rPr>
          <w:rFonts w:cstheme="minorHAnsi"/>
        </w:rPr>
        <w:t>I</w:t>
      </w:r>
      <w:r w:rsidR="00E713F2">
        <w:rPr>
          <w:rFonts w:cstheme="minorHAnsi"/>
        </w:rPr>
        <w:t>n this paper we provide the first concerted attempt to measure the extent of electoral fraud victim</w:t>
      </w:r>
      <w:r w:rsidR="003276DB">
        <w:rPr>
          <w:rFonts w:cstheme="minorHAnsi"/>
        </w:rPr>
        <w:t>isation</w:t>
      </w:r>
      <w:r w:rsidR="00E713F2">
        <w:rPr>
          <w:rFonts w:cstheme="minorHAnsi"/>
        </w:rPr>
        <w:t xml:space="preserve"> </w:t>
      </w:r>
      <w:r w:rsidR="004D6940">
        <w:rPr>
          <w:rFonts w:cstheme="minorHAnsi"/>
        </w:rPr>
        <w:t xml:space="preserve">in the UK </w:t>
      </w:r>
      <w:r w:rsidR="00E713F2">
        <w:rPr>
          <w:rFonts w:cstheme="minorHAnsi"/>
        </w:rPr>
        <w:t xml:space="preserve">and to assess which social groups are at greatest risk of it. </w:t>
      </w:r>
      <w:r w:rsidR="00A82DEF">
        <w:rPr>
          <w:rFonts w:cstheme="minorHAnsi"/>
        </w:rPr>
        <w:t xml:space="preserve">The paper is presented in three main sections. </w:t>
      </w:r>
      <w:r w:rsidR="00E713F2">
        <w:rPr>
          <w:rFonts w:cstheme="minorHAnsi"/>
        </w:rPr>
        <w:t xml:space="preserve">In the first section, we </w:t>
      </w:r>
      <w:r w:rsidR="004D6940">
        <w:rPr>
          <w:rFonts w:cstheme="minorHAnsi"/>
        </w:rPr>
        <w:t>situate our research in the broader body of recent work on electoral integrity, drawing insights from</w:t>
      </w:r>
      <w:r w:rsidR="00A82DEF">
        <w:rPr>
          <w:rFonts w:cstheme="minorHAnsi"/>
        </w:rPr>
        <w:t>,</w:t>
      </w:r>
      <w:r w:rsidR="004D6940">
        <w:rPr>
          <w:rFonts w:cstheme="minorHAnsi"/>
        </w:rPr>
        <w:t xml:space="preserve"> </w:t>
      </w:r>
      <w:r w:rsidR="00A82DEF">
        <w:rPr>
          <w:rFonts w:cstheme="minorHAnsi"/>
        </w:rPr>
        <w:t>as well as identifying some limitations in, existing research on electoral fraud</w:t>
      </w:r>
      <w:r w:rsidR="004D6940">
        <w:rPr>
          <w:rFonts w:cstheme="minorHAnsi"/>
        </w:rPr>
        <w:t xml:space="preserve">. </w:t>
      </w:r>
      <w:r w:rsidR="00A82DEF">
        <w:rPr>
          <w:rFonts w:cstheme="minorHAnsi"/>
        </w:rPr>
        <w:t xml:space="preserve">In the second section, we </w:t>
      </w:r>
      <w:r>
        <w:rPr>
          <w:rFonts w:cstheme="minorHAnsi"/>
        </w:rPr>
        <w:t xml:space="preserve">propose a methodological innovation drawn from studies of criminal victimisation (namely, self-reported data on first-hand experiences of </w:t>
      </w:r>
      <w:r w:rsidR="00A82DEF">
        <w:rPr>
          <w:rFonts w:cstheme="minorHAnsi"/>
        </w:rPr>
        <w:t>criminal offences</w:t>
      </w:r>
      <w:r>
        <w:rPr>
          <w:rFonts w:cstheme="minorHAnsi"/>
        </w:rPr>
        <w:t>)</w:t>
      </w:r>
      <w:r w:rsidR="00A82DEF">
        <w:rPr>
          <w:rFonts w:cstheme="minorHAnsi"/>
        </w:rPr>
        <w:t xml:space="preserve"> and in line with this approach, o</w:t>
      </w:r>
      <w:r>
        <w:rPr>
          <w:rFonts w:cstheme="minorHAnsi"/>
        </w:rPr>
        <w:t xml:space="preserve">utline the current legal </w:t>
      </w:r>
      <w:r w:rsidR="00A82DEF">
        <w:rPr>
          <w:rFonts w:cstheme="minorHAnsi"/>
        </w:rPr>
        <w:t xml:space="preserve">definitions of </w:t>
      </w:r>
      <w:r>
        <w:rPr>
          <w:rFonts w:cstheme="minorHAnsi"/>
        </w:rPr>
        <w:t xml:space="preserve">electoral fraud </w:t>
      </w:r>
      <w:r w:rsidR="00A82DEF">
        <w:rPr>
          <w:rFonts w:cstheme="minorHAnsi"/>
        </w:rPr>
        <w:t xml:space="preserve">offences </w:t>
      </w:r>
      <w:r>
        <w:rPr>
          <w:rFonts w:cstheme="minorHAnsi"/>
        </w:rPr>
        <w:t xml:space="preserve">in the UK. </w:t>
      </w:r>
      <w:r w:rsidR="00A82DEF">
        <w:rPr>
          <w:rFonts w:cstheme="minorHAnsi"/>
        </w:rPr>
        <w:t>We also r</w:t>
      </w:r>
      <w:r>
        <w:rPr>
          <w:rFonts w:cstheme="minorHAnsi"/>
        </w:rPr>
        <w:t>eport on our methodology, including its limitations</w:t>
      </w:r>
      <w:r w:rsidR="00A82DEF">
        <w:rPr>
          <w:rFonts w:cstheme="minorHAnsi"/>
        </w:rPr>
        <w:t>,</w:t>
      </w:r>
      <w:r>
        <w:rPr>
          <w:rFonts w:cstheme="minorHAnsi"/>
        </w:rPr>
        <w:t xml:space="preserve"> and summarise our expected findings. </w:t>
      </w:r>
      <w:r w:rsidR="00A82DEF">
        <w:rPr>
          <w:rFonts w:cstheme="minorHAnsi"/>
        </w:rPr>
        <w:t xml:space="preserve">In the third main section, we </w:t>
      </w:r>
      <w:r>
        <w:rPr>
          <w:rFonts w:cstheme="minorHAnsi"/>
        </w:rPr>
        <w:t>present our findings</w:t>
      </w:r>
      <w:r w:rsidR="002A6C4D">
        <w:rPr>
          <w:rFonts w:cstheme="minorHAnsi"/>
        </w:rPr>
        <w:t xml:space="preserve"> on the extent and nature of electoral fraud in the UK</w:t>
      </w:r>
      <w:r w:rsidR="00A82DEF">
        <w:rPr>
          <w:rFonts w:cstheme="minorHAnsi"/>
        </w:rPr>
        <w:t>,</w:t>
      </w:r>
      <w:r>
        <w:rPr>
          <w:rFonts w:cstheme="minorHAnsi"/>
        </w:rPr>
        <w:t xml:space="preserve"> </w:t>
      </w:r>
      <w:r w:rsidR="00A82DEF">
        <w:rPr>
          <w:rFonts w:cstheme="minorHAnsi"/>
        </w:rPr>
        <w:t>a</w:t>
      </w:r>
      <w:r>
        <w:rPr>
          <w:rFonts w:cstheme="minorHAnsi"/>
        </w:rPr>
        <w:t xml:space="preserve">s basic frequencies and </w:t>
      </w:r>
      <w:r w:rsidR="00A82DEF">
        <w:rPr>
          <w:rFonts w:cstheme="minorHAnsi"/>
        </w:rPr>
        <w:t xml:space="preserve">using both bivariate and </w:t>
      </w:r>
      <w:r>
        <w:rPr>
          <w:rFonts w:cstheme="minorHAnsi"/>
        </w:rPr>
        <w:t>multivariate analys</w:t>
      </w:r>
      <w:r w:rsidR="00A82DEF">
        <w:rPr>
          <w:rFonts w:cstheme="minorHAnsi"/>
        </w:rPr>
        <w:t>es.</w:t>
      </w:r>
      <w:r>
        <w:rPr>
          <w:rFonts w:cstheme="minorHAnsi"/>
        </w:rPr>
        <w:t xml:space="preserve"> </w:t>
      </w:r>
      <w:r w:rsidR="00A82DEF">
        <w:rPr>
          <w:rFonts w:cstheme="minorHAnsi"/>
        </w:rPr>
        <w:t xml:space="preserve">Finally, </w:t>
      </w:r>
      <w:r>
        <w:rPr>
          <w:rFonts w:cstheme="minorHAnsi"/>
        </w:rPr>
        <w:t xml:space="preserve">we provide a conclusion and </w:t>
      </w:r>
      <w:r w:rsidR="00A82DEF">
        <w:rPr>
          <w:rFonts w:cstheme="minorHAnsi"/>
        </w:rPr>
        <w:t xml:space="preserve">offer </w:t>
      </w:r>
      <w:r>
        <w:rPr>
          <w:rFonts w:cstheme="minorHAnsi"/>
        </w:rPr>
        <w:t xml:space="preserve">some ways forward for research in this area. </w:t>
      </w:r>
    </w:p>
    <w:p w14:paraId="65658670" w14:textId="77777777" w:rsidR="00F66058" w:rsidRDefault="00F66058" w:rsidP="00C945C7">
      <w:pPr>
        <w:autoSpaceDE w:val="0"/>
        <w:autoSpaceDN w:val="0"/>
        <w:adjustRightInd w:val="0"/>
        <w:spacing w:after="0" w:line="276" w:lineRule="auto"/>
        <w:rPr>
          <w:rFonts w:cstheme="minorHAnsi"/>
        </w:rPr>
      </w:pPr>
    </w:p>
    <w:p w14:paraId="54FC35C9" w14:textId="77777777" w:rsidR="00A04982" w:rsidRPr="003F5E8A" w:rsidRDefault="00A04982" w:rsidP="003F5E8A">
      <w:pPr>
        <w:autoSpaceDE w:val="0"/>
        <w:autoSpaceDN w:val="0"/>
        <w:adjustRightInd w:val="0"/>
        <w:spacing w:after="0" w:line="276" w:lineRule="auto"/>
        <w:rPr>
          <w:rFonts w:cstheme="minorHAnsi"/>
        </w:rPr>
      </w:pPr>
    </w:p>
    <w:p w14:paraId="6AA841E0" w14:textId="6A7B3A1B" w:rsidR="003F5E8A" w:rsidRDefault="0087208F" w:rsidP="00A04982">
      <w:pPr>
        <w:autoSpaceDE w:val="0"/>
        <w:autoSpaceDN w:val="0"/>
        <w:adjustRightInd w:val="0"/>
        <w:spacing w:line="276" w:lineRule="auto"/>
        <w:rPr>
          <w:rFonts w:cstheme="minorHAnsi"/>
          <w:b/>
          <w:bCs/>
          <w:iCs/>
        </w:rPr>
      </w:pPr>
      <w:r w:rsidRPr="0062432C">
        <w:rPr>
          <w:rFonts w:cstheme="minorHAnsi"/>
          <w:b/>
          <w:bCs/>
          <w:iCs/>
        </w:rPr>
        <w:t>Studying Electoral Fraud: Approaches and E</w:t>
      </w:r>
      <w:r w:rsidR="008E6C23" w:rsidRPr="0062432C">
        <w:rPr>
          <w:rFonts w:cstheme="minorHAnsi"/>
          <w:b/>
          <w:bCs/>
          <w:iCs/>
        </w:rPr>
        <w:t>vidence</w:t>
      </w:r>
    </w:p>
    <w:p w14:paraId="5683204F" w14:textId="0D7777EB" w:rsidR="00507D39" w:rsidRDefault="00433F71" w:rsidP="00433F71">
      <w:pPr>
        <w:autoSpaceDE w:val="0"/>
        <w:autoSpaceDN w:val="0"/>
        <w:adjustRightInd w:val="0"/>
        <w:spacing w:after="0" w:line="276" w:lineRule="auto"/>
        <w:rPr>
          <w:rFonts w:cstheme="minorHAnsi"/>
        </w:rPr>
      </w:pPr>
      <w:r>
        <w:rPr>
          <w:rFonts w:cstheme="minorHAnsi"/>
        </w:rPr>
        <w:t>In recent years, the study of electoral integrity has developed from a marginal area of interest in political science to one of its</w:t>
      </w:r>
      <w:r w:rsidR="00840FBD">
        <w:rPr>
          <w:rFonts w:cstheme="minorHAnsi"/>
        </w:rPr>
        <w:t xml:space="preserve"> most dynamic sub-fields (</w:t>
      </w:r>
      <w:r>
        <w:rPr>
          <w:rFonts w:cstheme="minorHAnsi"/>
        </w:rPr>
        <w:t>Norris</w:t>
      </w:r>
      <w:r w:rsidR="00840FBD">
        <w:rPr>
          <w:rFonts w:cstheme="minorHAnsi"/>
        </w:rPr>
        <w:t>, 2014, 20</w:t>
      </w:r>
      <w:r w:rsidR="008F7622">
        <w:rPr>
          <w:rFonts w:cstheme="minorHAnsi"/>
        </w:rPr>
        <w:t>18</w:t>
      </w:r>
      <w:r>
        <w:rPr>
          <w:rFonts w:cstheme="minorHAnsi"/>
        </w:rPr>
        <w:t xml:space="preserve">). A key contribution of this </w:t>
      </w:r>
      <w:r w:rsidR="00935DF6">
        <w:rPr>
          <w:rFonts w:cstheme="minorHAnsi"/>
        </w:rPr>
        <w:t xml:space="preserve">recent scholarship </w:t>
      </w:r>
      <w:r>
        <w:rPr>
          <w:rFonts w:cstheme="minorHAnsi"/>
        </w:rPr>
        <w:t xml:space="preserve">has been </w:t>
      </w:r>
      <w:r w:rsidR="00D53C52">
        <w:rPr>
          <w:rFonts w:cstheme="minorHAnsi"/>
        </w:rPr>
        <w:t>to</w:t>
      </w:r>
      <w:r>
        <w:rPr>
          <w:rFonts w:cstheme="minorHAnsi"/>
        </w:rPr>
        <w:t xml:space="preserve"> develop</w:t>
      </w:r>
      <w:r w:rsidR="00D53C52">
        <w:rPr>
          <w:rFonts w:cstheme="minorHAnsi"/>
        </w:rPr>
        <w:t xml:space="preserve"> </w:t>
      </w:r>
      <w:r>
        <w:rPr>
          <w:rFonts w:cstheme="minorHAnsi"/>
        </w:rPr>
        <w:t>a normative framing of electoral integrity, rooted in internationally agreed definitions of human rights, against which all stages of the electoral cycle can be evaluated (Norris</w:t>
      </w:r>
      <w:r w:rsidR="00840FBD">
        <w:rPr>
          <w:rFonts w:cstheme="minorHAnsi"/>
        </w:rPr>
        <w:t>, 20</w:t>
      </w:r>
      <w:r w:rsidR="008F7622">
        <w:rPr>
          <w:rFonts w:cstheme="minorHAnsi"/>
        </w:rPr>
        <w:t>18</w:t>
      </w:r>
      <w:r>
        <w:rPr>
          <w:rFonts w:cstheme="minorHAnsi"/>
        </w:rPr>
        <w:t xml:space="preserve">). </w:t>
      </w:r>
      <w:r w:rsidR="00D53C52">
        <w:rPr>
          <w:rFonts w:cstheme="minorHAnsi"/>
        </w:rPr>
        <w:t xml:space="preserve">Alongside a </w:t>
      </w:r>
      <w:r w:rsidR="005111BF" w:rsidRPr="003F5E8A">
        <w:rPr>
          <w:rFonts w:cstheme="minorHAnsi"/>
        </w:rPr>
        <w:t xml:space="preserve">substantial literature </w:t>
      </w:r>
      <w:r w:rsidR="00D53C52">
        <w:rPr>
          <w:rFonts w:cstheme="minorHAnsi"/>
        </w:rPr>
        <w:t>on</w:t>
      </w:r>
      <w:r w:rsidR="005111BF">
        <w:rPr>
          <w:rFonts w:cstheme="minorHAnsi"/>
        </w:rPr>
        <w:t xml:space="preserve"> the</w:t>
      </w:r>
      <w:r w:rsidR="005111BF" w:rsidRPr="003F5E8A">
        <w:rPr>
          <w:rFonts w:cstheme="minorHAnsi"/>
        </w:rPr>
        <w:t xml:space="preserve"> integrity </w:t>
      </w:r>
      <w:r w:rsidR="005111BF">
        <w:rPr>
          <w:rFonts w:cstheme="minorHAnsi"/>
        </w:rPr>
        <w:t xml:space="preserve">of US elections </w:t>
      </w:r>
      <w:r w:rsidR="005111BF" w:rsidRPr="003F5E8A">
        <w:rPr>
          <w:rFonts w:cstheme="minorHAnsi"/>
        </w:rPr>
        <w:t>(Alvarez et al, 2008; Ansolabehre and Persily, 2008; Beaulieu, 2014; Wolak, 2014; Levy, 2020</w:t>
      </w:r>
      <w:r w:rsidR="00D53C52">
        <w:rPr>
          <w:rFonts w:cstheme="minorHAnsi"/>
        </w:rPr>
        <w:t xml:space="preserve">), and a </w:t>
      </w:r>
      <w:r w:rsidR="005111BF" w:rsidRPr="003F5E8A">
        <w:rPr>
          <w:rFonts w:cstheme="minorHAnsi"/>
        </w:rPr>
        <w:t>grow</w:t>
      </w:r>
      <w:r w:rsidR="00D53C52">
        <w:rPr>
          <w:rFonts w:cstheme="minorHAnsi"/>
        </w:rPr>
        <w:t>ing number</w:t>
      </w:r>
      <w:r w:rsidR="005111BF" w:rsidRPr="003F5E8A">
        <w:rPr>
          <w:rFonts w:cstheme="minorHAnsi"/>
        </w:rPr>
        <w:t xml:space="preserve"> of comparative </w:t>
      </w:r>
      <w:r w:rsidR="005111BF">
        <w:rPr>
          <w:rFonts w:cstheme="minorHAnsi"/>
        </w:rPr>
        <w:t>international studies</w:t>
      </w:r>
      <w:r w:rsidR="005111BF" w:rsidRPr="003F5E8A">
        <w:rPr>
          <w:rFonts w:cstheme="minorHAnsi"/>
        </w:rPr>
        <w:t xml:space="preserve"> (Birch, 2008; </w:t>
      </w:r>
      <w:r w:rsidR="005111BF" w:rsidRPr="003F5E8A">
        <w:rPr>
          <w:rStyle w:val="nlmarticle-title"/>
          <w:rFonts w:cstheme="minorHAnsi"/>
        </w:rPr>
        <w:t xml:space="preserve">Fortin-Rittberger, 2014; </w:t>
      </w:r>
      <w:r w:rsidR="005111BF" w:rsidRPr="003F5E8A">
        <w:rPr>
          <w:rFonts w:cstheme="minorHAnsi"/>
        </w:rPr>
        <w:t>Kerr</w:t>
      </w:r>
      <w:r w:rsidR="005111BF">
        <w:rPr>
          <w:rFonts w:cstheme="minorHAnsi"/>
        </w:rPr>
        <w:t xml:space="preserve"> </w:t>
      </w:r>
      <w:r w:rsidR="005111BF" w:rsidRPr="003F5E8A">
        <w:rPr>
          <w:rFonts w:cstheme="minorHAnsi"/>
        </w:rPr>
        <w:t>and Lührmann, 2016; Coffé 2016; Dawson, 2020)</w:t>
      </w:r>
      <w:r w:rsidR="00D53C52">
        <w:rPr>
          <w:rFonts w:cstheme="minorHAnsi"/>
        </w:rPr>
        <w:t>, a</w:t>
      </w:r>
      <w:r w:rsidR="005111BF">
        <w:rPr>
          <w:rFonts w:cstheme="minorHAnsi"/>
        </w:rPr>
        <w:t xml:space="preserve"> distinctive body of literature on </w:t>
      </w:r>
      <w:r w:rsidR="00D53C52">
        <w:rPr>
          <w:rFonts w:cstheme="minorHAnsi"/>
        </w:rPr>
        <w:t xml:space="preserve">UK electoral </w:t>
      </w:r>
      <w:r w:rsidR="005111BF">
        <w:rPr>
          <w:rFonts w:cstheme="minorHAnsi"/>
        </w:rPr>
        <w:t xml:space="preserve">integrity </w:t>
      </w:r>
      <w:r w:rsidR="00A27AFA">
        <w:rPr>
          <w:rFonts w:cstheme="minorHAnsi"/>
        </w:rPr>
        <w:t xml:space="preserve">has </w:t>
      </w:r>
      <w:r w:rsidR="00D53C52">
        <w:rPr>
          <w:rFonts w:cstheme="minorHAnsi"/>
        </w:rPr>
        <w:t xml:space="preserve">also </w:t>
      </w:r>
      <w:r w:rsidR="00A27AFA">
        <w:rPr>
          <w:rFonts w:cstheme="minorHAnsi"/>
        </w:rPr>
        <w:t xml:space="preserve">emerged </w:t>
      </w:r>
      <w:r w:rsidR="005111BF">
        <w:rPr>
          <w:rFonts w:cstheme="minorHAnsi"/>
        </w:rPr>
        <w:t>(</w:t>
      </w:r>
      <w:r w:rsidR="00B16735">
        <w:rPr>
          <w:rFonts w:cstheme="minorHAnsi"/>
        </w:rPr>
        <w:t xml:space="preserve">Wilks-Heeg, 2009; </w:t>
      </w:r>
      <w:r w:rsidR="00200A9E">
        <w:rPr>
          <w:rFonts w:cstheme="minorHAnsi"/>
        </w:rPr>
        <w:t xml:space="preserve">Clark, 2015, </w:t>
      </w:r>
      <w:r w:rsidR="00B16735" w:rsidRPr="003B363E">
        <w:rPr>
          <w:rFonts w:cstheme="minorHAnsi"/>
        </w:rPr>
        <w:t xml:space="preserve">Fisher and </w:t>
      </w:r>
      <w:r w:rsidR="00B16735" w:rsidRPr="003B363E">
        <w:rPr>
          <w:rStyle w:val="Emphasis"/>
          <w:rFonts w:cstheme="minorHAnsi"/>
          <w:i w:val="0"/>
          <w:iCs w:val="0"/>
          <w:shd w:val="clear" w:color="auto" w:fill="FFFFFF"/>
        </w:rPr>
        <w:t>Sällberg</w:t>
      </w:r>
      <w:r w:rsidR="00B16735">
        <w:rPr>
          <w:rFonts w:cstheme="minorHAnsi"/>
        </w:rPr>
        <w:t xml:space="preserve">, </w:t>
      </w:r>
      <w:r w:rsidR="00B16735" w:rsidRPr="003B363E">
        <w:rPr>
          <w:rFonts w:cstheme="minorHAnsi"/>
        </w:rPr>
        <w:t>2020</w:t>
      </w:r>
      <w:r w:rsidR="00B16735">
        <w:rPr>
          <w:rFonts w:cstheme="minorHAnsi"/>
        </w:rPr>
        <w:t xml:space="preserve">; </w:t>
      </w:r>
      <w:r w:rsidR="00200A9E">
        <w:rPr>
          <w:rFonts w:cstheme="minorHAnsi"/>
        </w:rPr>
        <w:t>James and Clark, 2021</w:t>
      </w:r>
      <w:r w:rsidR="005111BF">
        <w:rPr>
          <w:rFonts w:cstheme="minorHAnsi"/>
        </w:rPr>
        <w:t xml:space="preserve">). </w:t>
      </w:r>
    </w:p>
    <w:p w14:paraId="3C234965" w14:textId="77777777" w:rsidR="00507D39" w:rsidRDefault="00507D39" w:rsidP="00433F71">
      <w:pPr>
        <w:autoSpaceDE w:val="0"/>
        <w:autoSpaceDN w:val="0"/>
        <w:adjustRightInd w:val="0"/>
        <w:spacing w:after="0" w:line="276" w:lineRule="auto"/>
        <w:rPr>
          <w:rFonts w:cstheme="minorHAnsi"/>
        </w:rPr>
      </w:pPr>
    </w:p>
    <w:p w14:paraId="7735A22D" w14:textId="61E752A6" w:rsidR="001E3432" w:rsidRDefault="00507D39" w:rsidP="001E3432">
      <w:pPr>
        <w:autoSpaceDE w:val="0"/>
        <w:autoSpaceDN w:val="0"/>
        <w:adjustRightInd w:val="0"/>
        <w:spacing w:after="0" w:line="276" w:lineRule="auto"/>
        <w:rPr>
          <w:rFonts w:cstheme="minorHAnsi"/>
        </w:rPr>
      </w:pPr>
      <w:r>
        <w:rPr>
          <w:rFonts w:cstheme="minorHAnsi"/>
        </w:rPr>
        <w:t>R</w:t>
      </w:r>
      <w:r w:rsidR="00D53C52">
        <w:rPr>
          <w:rFonts w:cstheme="minorHAnsi"/>
        </w:rPr>
        <w:t xml:space="preserve">ecent </w:t>
      </w:r>
      <w:r w:rsidR="005111BF">
        <w:rPr>
          <w:rFonts w:cstheme="minorHAnsi"/>
        </w:rPr>
        <w:t xml:space="preserve">academic </w:t>
      </w:r>
      <w:r w:rsidR="00D53C52">
        <w:rPr>
          <w:rFonts w:cstheme="minorHAnsi"/>
        </w:rPr>
        <w:t>interest also reflect</w:t>
      </w:r>
      <w:r w:rsidR="003276DB">
        <w:rPr>
          <w:rFonts w:cstheme="minorHAnsi"/>
        </w:rPr>
        <w:t>s</w:t>
      </w:r>
      <w:r w:rsidR="00D53C52">
        <w:rPr>
          <w:rFonts w:cstheme="minorHAnsi"/>
        </w:rPr>
        <w:t xml:space="preserve"> </w:t>
      </w:r>
      <w:r w:rsidR="00433F71">
        <w:rPr>
          <w:rFonts w:cstheme="minorHAnsi"/>
        </w:rPr>
        <w:t>the politicisation of electoral integrity issues in some established democracies</w:t>
      </w:r>
      <w:r>
        <w:rPr>
          <w:rFonts w:cstheme="minorHAnsi"/>
        </w:rPr>
        <w:t xml:space="preserve">. </w:t>
      </w:r>
      <w:r w:rsidR="003276DB">
        <w:rPr>
          <w:rFonts w:cstheme="minorHAnsi"/>
        </w:rPr>
        <w:t>P</w:t>
      </w:r>
      <w:r>
        <w:rPr>
          <w:rFonts w:cstheme="minorHAnsi"/>
        </w:rPr>
        <w:t xml:space="preserve">artisan disputes about electoral malpractice </w:t>
      </w:r>
      <w:r w:rsidR="00433F71" w:rsidRPr="003F5E8A">
        <w:rPr>
          <w:rFonts w:cstheme="minorHAnsi"/>
        </w:rPr>
        <w:t>in the US</w:t>
      </w:r>
      <w:r>
        <w:rPr>
          <w:rFonts w:cstheme="minorHAnsi"/>
        </w:rPr>
        <w:t>, particular</w:t>
      </w:r>
      <w:r w:rsidR="00F07B0D">
        <w:rPr>
          <w:rFonts w:cstheme="minorHAnsi"/>
        </w:rPr>
        <w:t>ly those centred on ballot-</w:t>
      </w:r>
      <w:r>
        <w:rPr>
          <w:rFonts w:cstheme="minorHAnsi"/>
        </w:rPr>
        <w:t>rigging</w:t>
      </w:r>
      <w:r w:rsidR="003276DB">
        <w:rPr>
          <w:rFonts w:cstheme="minorHAnsi"/>
        </w:rPr>
        <w:t xml:space="preserve"> allegations</w:t>
      </w:r>
      <w:r>
        <w:rPr>
          <w:rFonts w:cstheme="minorHAnsi"/>
        </w:rPr>
        <w:t>,</w:t>
      </w:r>
      <w:r w:rsidR="00064900">
        <w:rPr>
          <w:rFonts w:cstheme="minorHAnsi"/>
        </w:rPr>
        <w:t xml:space="preserve"> </w:t>
      </w:r>
      <w:r w:rsidR="00433F71" w:rsidRPr="003F5E8A">
        <w:rPr>
          <w:rFonts w:cstheme="minorHAnsi"/>
        </w:rPr>
        <w:t>ha</w:t>
      </w:r>
      <w:r>
        <w:rPr>
          <w:rFonts w:cstheme="minorHAnsi"/>
        </w:rPr>
        <w:t>ve</w:t>
      </w:r>
      <w:r w:rsidR="00433F71" w:rsidRPr="003F5E8A">
        <w:rPr>
          <w:rFonts w:cstheme="minorHAnsi"/>
        </w:rPr>
        <w:t xml:space="preserve"> </w:t>
      </w:r>
      <w:r w:rsidR="008F6998">
        <w:rPr>
          <w:rFonts w:cstheme="minorHAnsi"/>
        </w:rPr>
        <w:t xml:space="preserve">provided </w:t>
      </w:r>
      <w:r w:rsidR="00BE423E">
        <w:rPr>
          <w:rFonts w:cstheme="minorHAnsi"/>
        </w:rPr>
        <w:t xml:space="preserve">a </w:t>
      </w:r>
      <w:r w:rsidR="003276DB">
        <w:rPr>
          <w:rFonts w:cstheme="minorHAnsi"/>
        </w:rPr>
        <w:t xml:space="preserve">notable </w:t>
      </w:r>
      <w:r w:rsidR="008F6998">
        <w:rPr>
          <w:rFonts w:cstheme="minorHAnsi"/>
        </w:rPr>
        <w:t>catalyst for research</w:t>
      </w:r>
      <w:r>
        <w:rPr>
          <w:rFonts w:cstheme="minorHAnsi"/>
        </w:rPr>
        <w:t>.</w:t>
      </w:r>
      <w:r w:rsidR="008F6998">
        <w:rPr>
          <w:rFonts w:cstheme="minorHAnsi"/>
        </w:rPr>
        <w:t xml:space="preserve"> </w:t>
      </w:r>
      <w:r>
        <w:rPr>
          <w:rFonts w:cstheme="minorHAnsi"/>
        </w:rPr>
        <w:t xml:space="preserve">One distinctive body of work, </w:t>
      </w:r>
      <w:r w:rsidR="00BF74A9">
        <w:rPr>
          <w:rFonts w:cstheme="minorHAnsi"/>
        </w:rPr>
        <w:t xml:space="preserve">known as </w:t>
      </w:r>
      <w:r w:rsidR="00AA0720">
        <w:rPr>
          <w:rFonts w:cstheme="minorHAnsi"/>
        </w:rPr>
        <w:t>‘</w:t>
      </w:r>
      <w:r w:rsidR="00433F71">
        <w:rPr>
          <w:rFonts w:cstheme="minorHAnsi"/>
        </w:rPr>
        <w:t>election forensics</w:t>
      </w:r>
      <w:r w:rsidR="00AA0720">
        <w:rPr>
          <w:rFonts w:cstheme="minorHAnsi"/>
        </w:rPr>
        <w:t>’</w:t>
      </w:r>
      <w:r w:rsidR="00433F71">
        <w:rPr>
          <w:rFonts w:cstheme="minorHAnsi"/>
        </w:rPr>
        <w:t xml:space="preserve">, has sought to develop </w:t>
      </w:r>
      <w:r w:rsidR="00D85057">
        <w:rPr>
          <w:rFonts w:cstheme="minorHAnsi"/>
        </w:rPr>
        <w:t xml:space="preserve">techniques which pinpoint cases where election data deviate from normally observed statistical patterns, as a potential indicator of manipulation </w:t>
      </w:r>
      <w:r w:rsidR="001C6BA6">
        <w:rPr>
          <w:rFonts w:cstheme="minorHAnsi"/>
        </w:rPr>
        <w:t>(Mebane, 2008; Hicken and Mebane, 2017)</w:t>
      </w:r>
      <w:r w:rsidR="00433F71">
        <w:rPr>
          <w:rFonts w:cstheme="minorHAnsi"/>
        </w:rPr>
        <w:t xml:space="preserve">. </w:t>
      </w:r>
      <w:r w:rsidR="001C6BA6">
        <w:rPr>
          <w:rFonts w:cstheme="minorHAnsi"/>
        </w:rPr>
        <w:t>However, election forensics remains an embryonic field</w:t>
      </w:r>
      <w:r w:rsidR="00FE7DE2">
        <w:rPr>
          <w:rFonts w:cstheme="minorHAnsi"/>
        </w:rPr>
        <w:t xml:space="preserve">, </w:t>
      </w:r>
      <w:r w:rsidR="006E52A5">
        <w:rPr>
          <w:rFonts w:cstheme="minorHAnsi"/>
        </w:rPr>
        <w:t xml:space="preserve">its development frustrated </w:t>
      </w:r>
      <w:r w:rsidR="00D85057">
        <w:rPr>
          <w:rFonts w:cstheme="minorHAnsi"/>
        </w:rPr>
        <w:t xml:space="preserve">by </w:t>
      </w:r>
      <w:r w:rsidR="00FE7DE2">
        <w:rPr>
          <w:rFonts w:cstheme="minorHAnsi"/>
        </w:rPr>
        <w:t xml:space="preserve">ongoing </w:t>
      </w:r>
      <w:r w:rsidR="006E52A5">
        <w:rPr>
          <w:rFonts w:cstheme="minorHAnsi"/>
        </w:rPr>
        <w:t xml:space="preserve">controversy </w:t>
      </w:r>
      <w:r w:rsidR="00FE7DE2">
        <w:rPr>
          <w:rFonts w:cstheme="minorHAnsi"/>
        </w:rPr>
        <w:t xml:space="preserve">about </w:t>
      </w:r>
      <w:r w:rsidR="006E52A5">
        <w:rPr>
          <w:rFonts w:cstheme="minorHAnsi"/>
        </w:rPr>
        <w:t>the most suitable methods</w:t>
      </w:r>
      <w:r w:rsidR="001C6BA6">
        <w:rPr>
          <w:rFonts w:cstheme="minorHAnsi"/>
        </w:rPr>
        <w:t xml:space="preserve"> </w:t>
      </w:r>
      <w:r w:rsidR="006E52A5">
        <w:rPr>
          <w:rFonts w:cstheme="minorHAnsi"/>
        </w:rPr>
        <w:t xml:space="preserve">and </w:t>
      </w:r>
      <w:r w:rsidR="00BE423E">
        <w:rPr>
          <w:rFonts w:cstheme="minorHAnsi"/>
        </w:rPr>
        <w:t>inconsisten</w:t>
      </w:r>
      <w:r w:rsidR="00D85057">
        <w:rPr>
          <w:rFonts w:cstheme="minorHAnsi"/>
        </w:rPr>
        <w:t xml:space="preserve">t </w:t>
      </w:r>
      <w:r w:rsidR="00BE423E">
        <w:rPr>
          <w:rFonts w:cstheme="minorHAnsi"/>
        </w:rPr>
        <w:t>availability of disaggregated election data (</w:t>
      </w:r>
      <w:r w:rsidR="006E52A5">
        <w:rPr>
          <w:rFonts w:cstheme="minorHAnsi"/>
        </w:rPr>
        <w:t xml:space="preserve">Deckert et al., 2011; </w:t>
      </w:r>
      <w:r w:rsidR="00BE423E">
        <w:rPr>
          <w:rFonts w:cstheme="minorHAnsi"/>
        </w:rPr>
        <w:t>Mebane, 20</w:t>
      </w:r>
      <w:r w:rsidR="006E52A5">
        <w:rPr>
          <w:rFonts w:cstheme="minorHAnsi"/>
        </w:rPr>
        <w:t>11</w:t>
      </w:r>
      <w:r w:rsidR="00BE423E">
        <w:rPr>
          <w:rFonts w:cstheme="minorHAnsi"/>
        </w:rPr>
        <w:t xml:space="preserve">; Hicken and Mebane, 2017). </w:t>
      </w:r>
      <w:r w:rsidR="006E52A5">
        <w:rPr>
          <w:rFonts w:cstheme="minorHAnsi"/>
        </w:rPr>
        <w:t xml:space="preserve">Meanwhile, a </w:t>
      </w:r>
      <w:r w:rsidR="00433F71">
        <w:rPr>
          <w:rFonts w:cstheme="minorHAnsi"/>
        </w:rPr>
        <w:t>second</w:t>
      </w:r>
      <w:r w:rsidR="006E52A5">
        <w:rPr>
          <w:rFonts w:cstheme="minorHAnsi"/>
        </w:rPr>
        <w:t>, more extensive body</w:t>
      </w:r>
      <w:r w:rsidR="00BF74A9">
        <w:rPr>
          <w:rFonts w:cstheme="minorHAnsi"/>
        </w:rPr>
        <w:t xml:space="preserve"> of </w:t>
      </w:r>
      <w:r w:rsidR="00E16075">
        <w:rPr>
          <w:rFonts w:cstheme="minorHAnsi"/>
        </w:rPr>
        <w:t>US scholarship h</w:t>
      </w:r>
      <w:r w:rsidR="00433F71">
        <w:rPr>
          <w:rFonts w:cstheme="minorHAnsi"/>
        </w:rPr>
        <w:t>as focused on using survey evidence to examine what fact</w:t>
      </w:r>
      <w:r w:rsidR="00B26382">
        <w:rPr>
          <w:rFonts w:cstheme="minorHAnsi"/>
        </w:rPr>
        <w:t xml:space="preserve">ors explain variations in </w:t>
      </w:r>
      <w:r w:rsidR="00433F71" w:rsidRPr="003F5E8A">
        <w:rPr>
          <w:rFonts w:cstheme="minorHAnsi"/>
        </w:rPr>
        <w:t>perceptions of electoral fraud</w:t>
      </w:r>
      <w:r w:rsidR="00D17BFB">
        <w:rPr>
          <w:rFonts w:cstheme="minorHAnsi"/>
        </w:rPr>
        <w:t xml:space="preserve"> </w:t>
      </w:r>
      <w:r w:rsidR="00B26382">
        <w:rPr>
          <w:rFonts w:cstheme="minorHAnsi"/>
        </w:rPr>
        <w:t xml:space="preserve">and </w:t>
      </w:r>
      <w:r w:rsidR="00B26382" w:rsidRPr="003F5E8A">
        <w:rPr>
          <w:rFonts w:cstheme="minorHAnsi"/>
        </w:rPr>
        <w:t>wider issues impacting on electoral integrity</w:t>
      </w:r>
      <w:r w:rsidR="00B26382">
        <w:rPr>
          <w:rFonts w:cstheme="minorHAnsi"/>
        </w:rPr>
        <w:t xml:space="preserve">. </w:t>
      </w:r>
      <w:r w:rsidR="00D17BFB">
        <w:rPr>
          <w:rFonts w:cstheme="minorHAnsi"/>
        </w:rPr>
        <w:t>Generally motivated by a concern to explain the persistence of the ‘myth of voter fraud’ (Minnite, 2010</w:t>
      </w:r>
      <w:r w:rsidR="00D85057">
        <w:rPr>
          <w:rFonts w:cstheme="minorHAnsi"/>
        </w:rPr>
        <w:t>),</w:t>
      </w:r>
      <w:r w:rsidR="00E16075">
        <w:rPr>
          <w:rFonts w:cstheme="minorHAnsi"/>
        </w:rPr>
        <w:t xml:space="preserve"> </w:t>
      </w:r>
      <w:r w:rsidR="00D17BFB">
        <w:rPr>
          <w:rFonts w:cstheme="minorHAnsi"/>
        </w:rPr>
        <w:t xml:space="preserve">such work has </w:t>
      </w:r>
      <w:r w:rsidR="000B1A36" w:rsidRPr="003F5E8A">
        <w:rPr>
          <w:rFonts w:cstheme="minorHAnsi"/>
        </w:rPr>
        <w:t>examined which sections of the US population are more likely to perceive fraud and why</w:t>
      </w:r>
      <w:r w:rsidR="000B1A36">
        <w:rPr>
          <w:rFonts w:cstheme="minorHAnsi"/>
        </w:rPr>
        <w:t xml:space="preserve"> (</w:t>
      </w:r>
      <w:r w:rsidR="00E16075" w:rsidRPr="003F5E8A">
        <w:rPr>
          <w:rFonts w:cstheme="minorHAnsi"/>
        </w:rPr>
        <w:t>Ansolabehre and Persily, 2008; Beaulieu, 2014; Wolak, 2014</w:t>
      </w:r>
      <w:r w:rsidR="00D85057">
        <w:rPr>
          <w:rFonts w:cstheme="minorHAnsi"/>
        </w:rPr>
        <w:t>; Udani et al, 2018</w:t>
      </w:r>
      <w:r w:rsidR="00E16075">
        <w:rPr>
          <w:rFonts w:cstheme="minorHAnsi"/>
        </w:rPr>
        <w:t>) a</w:t>
      </w:r>
      <w:r w:rsidR="00D17BFB">
        <w:rPr>
          <w:rFonts w:cstheme="minorHAnsi"/>
        </w:rPr>
        <w:t>s well as</w:t>
      </w:r>
      <w:r w:rsidR="00E16075">
        <w:rPr>
          <w:rFonts w:cstheme="minorHAnsi"/>
        </w:rPr>
        <w:t xml:space="preserve"> </w:t>
      </w:r>
      <w:r w:rsidR="000B1A36">
        <w:rPr>
          <w:rFonts w:cstheme="minorHAnsi"/>
        </w:rPr>
        <w:t>the potential</w:t>
      </w:r>
      <w:r w:rsidR="000B1A36" w:rsidRPr="003F5E8A">
        <w:rPr>
          <w:rFonts w:cstheme="minorHAnsi"/>
        </w:rPr>
        <w:t xml:space="preserve"> consequences</w:t>
      </w:r>
      <w:r w:rsidR="00D17BFB">
        <w:rPr>
          <w:rFonts w:cstheme="minorHAnsi"/>
        </w:rPr>
        <w:t xml:space="preserve"> of </w:t>
      </w:r>
      <w:r w:rsidR="000B1A36" w:rsidRPr="003F5E8A">
        <w:rPr>
          <w:rFonts w:cstheme="minorHAnsi"/>
        </w:rPr>
        <w:t xml:space="preserve">these </w:t>
      </w:r>
      <w:r w:rsidR="00D17BFB">
        <w:rPr>
          <w:rFonts w:cstheme="minorHAnsi"/>
        </w:rPr>
        <w:t xml:space="preserve">social and partisan divides </w:t>
      </w:r>
      <w:r w:rsidR="000B1A36" w:rsidRPr="003F5E8A">
        <w:rPr>
          <w:rFonts w:cstheme="minorHAnsi"/>
        </w:rPr>
        <w:t>for notions of democratic legitimacy</w:t>
      </w:r>
      <w:r w:rsidR="000B1A36">
        <w:rPr>
          <w:rFonts w:cstheme="minorHAnsi"/>
        </w:rPr>
        <w:t xml:space="preserve"> (Sances and Stewart, 2015)</w:t>
      </w:r>
      <w:r w:rsidR="000B1A36" w:rsidRPr="003F5E8A">
        <w:rPr>
          <w:rFonts w:cstheme="minorHAnsi"/>
        </w:rPr>
        <w:t xml:space="preserve">. </w:t>
      </w:r>
    </w:p>
    <w:p w14:paraId="3B407817" w14:textId="77777777" w:rsidR="001E3432" w:rsidRDefault="001E3432" w:rsidP="001E3432">
      <w:pPr>
        <w:autoSpaceDE w:val="0"/>
        <w:autoSpaceDN w:val="0"/>
        <w:adjustRightInd w:val="0"/>
        <w:spacing w:after="0" w:line="276" w:lineRule="auto"/>
        <w:rPr>
          <w:rFonts w:cstheme="minorHAnsi"/>
        </w:rPr>
      </w:pPr>
    </w:p>
    <w:p w14:paraId="016B198E" w14:textId="77777777" w:rsidR="001E3432" w:rsidRDefault="003B2F05" w:rsidP="003B2F05">
      <w:pPr>
        <w:autoSpaceDE w:val="0"/>
        <w:autoSpaceDN w:val="0"/>
        <w:adjustRightInd w:val="0"/>
        <w:spacing w:after="0" w:line="276" w:lineRule="auto"/>
        <w:rPr>
          <w:rFonts w:cstheme="minorHAnsi"/>
        </w:rPr>
      </w:pPr>
      <w:r w:rsidRPr="00B26382">
        <w:rPr>
          <w:rFonts w:cstheme="minorHAnsi"/>
        </w:rPr>
        <w:t xml:space="preserve">In the absence of research into electoral fraud victimisation, </w:t>
      </w:r>
      <w:r w:rsidR="00D17BFB">
        <w:rPr>
          <w:rFonts w:cstheme="minorHAnsi"/>
        </w:rPr>
        <w:t xml:space="preserve">this </w:t>
      </w:r>
      <w:r w:rsidRPr="00B26382">
        <w:rPr>
          <w:rFonts w:cstheme="minorHAnsi"/>
        </w:rPr>
        <w:t xml:space="preserve">research examining public </w:t>
      </w:r>
      <w:r w:rsidRPr="001E3432">
        <w:rPr>
          <w:rFonts w:cstheme="minorHAnsi"/>
          <w:i/>
        </w:rPr>
        <w:t>perceptions</w:t>
      </w:r>
      <w:r w:rsidRPr="00B26382">
        <w:rPr>
          <w:rFonts w:cstheme="minorHAnsi"/>
        </w:rPr>
        <w:t xml:space="preserve"> of electoral fraud provides </w:t>
      </w:r>
      <w:r w:rsidR="00D17BFB">
        <w:rPr>
          <w:rFonts w:cstheme="minorHAnsi"/>
        </w:rPr>
        <w:t>a</w:t>
      </w:r>
      <w:r w:rsidRPr="00B26382">
        <w:rPr>
          <w:rFonts w:cstheme="minorHAnsi"/>
        </w:rPr>
        <w:t xml:space="preserve"> </w:t>
      </w:r>
      <w:r w:rsidR="00B26382" w:rsidRPr="00B26382">
        <w:rPr>
          <w:rFonts w:cstheme="minorHAnsi"/>
        </w:rPr>
        <w:t>help</w:t>
      </w:r>
      <w:r w:rsidRPr="00B26382">
        <w:rPr>
          <w:rFonts w:cstheme="minorHAnsi"/>
        </w:rPr>
        <w:t xml:space="preserve">ful starting point for our discussion. Following Fisher and </w:t>
      </w:r>
      <w:r w:rsidRPr="00B26382">
        <w:rPr>
          <w:rStyle w:val="Emphasis"/>
          <w:rFonts w:cstheme="minorHAnsi"/>
          <w:i w:val="0"/>
          <w:iCs w:val="0"/>
          <w:shd w:val="clear" w:color="auto" w:fill="FFFFFF"/>
        </w:rPr>
        <w:t>Sällberg</w:t>
      </w:r>
      <w:r w:rsidRPr="00B26382">
        <w:rPr>
          <w:rFonts w:cstheme="minorHAnsi"/>
        </w:rPr>
        <w:t xml:space="preserve"> (2020), we can usefully distinguish between two main strands in this body of work. The first </w:t>
      </w:r>
      <w:r w:rsidR="00D85057">
        <w:rPr>
          <w:rFonts w:cstheme="minorHAnsi"/>
        </w:rPr>
        <w:t>examines</w:t>
      </w:r>
      <w:r w:rsidRPr="00B26382">
        <w:rPr>
          <w:rFonts w:cstheme="minorHAnsi"/>
        </w:rPr>
        <w:t xml:space="preserve"> the importance of </w:t>
      </w:r>
      <w:r w:rsidRPr="006C5950">
        <w:rPr>
          <w:rFonts w:cstheme="minorHAnsi"/>
        </w:rPr>
        <w:t>socio-demographic characteristics</w:t>
      </w:r>
      <w:r w:rsidRPr="00B26382">
        <w:rPr>
          <w:rFonts w:cstheme="minorHAnsi"/>
        </w:rPr>
        <w:t xml:space="preserve"> and </w:t>
      </w:r>
      <w:r w:rsidRPr="006C5950">
        <w:rPr>
          <w:rFonts w:cstheme="minorHAnsi"/>
        </w:rPr>
        <w:t>partisanship</w:t>
      </w:r>
      <w:r w:rsidRPr="00B26382">
        <w:rPr>
          <w:rFonts w:cstheme="minorHAnsi"/>
        </w:rPr>
        <w:t xml:space="preserve"> as key predictors of individual concern about electoral fraud. The second comprises studies that have highlighted the significance of </w:t>
      </w:r>
      <w:r w:rsidRPr="006C5950">
        <w:rPr>
          <w:rFonts w:cstheme="minorHAnsi"/>
        </w:rPr>
        <w:t>electoral competition</w:t>
      </w:r>
      <w:r w:rsidRPr="00B26382">
        <w:rPr>
          <w:rFonts w:cstheme="minorHAnsi"/>
        </w:rPr>
        <w:t xml:space="preserve"> and election outcomes to how voters (and candidates and agents) perceive fraud.  </w:t>
      </w:r>
    </w:p>
    <w:p w14:paraId="6E9AD3E3" w14:textId="77777777" w:rsidR="001E3432" w:rsidRDefault="001E3432" w:rsidP="003B2F05">
      <w:pPr>
        <w:autoSpaceDE w:val="0"/>
        <w:autoSpaceDN w:val="0"/>
        <w:adjustRightInd w:val="0"/>
        <w:spacing w:after="0" w:line="276" w:lineRule="auto"/>
        <w:rPr>
          <w:rFonts w:cstheme="minorHAnsi"/>
        </w:rPr>
      </w:pPr>
    </w:p>
    <w:p w14:paraId="365D04BC" w14:textId="4006DB23" w:rsidR="003B2F05" w:rsidRPr="003F5E8A" w:rsidRDefault="003B2F05" w:rsidP="003B2F05">
      <w:pPr>
        <w:autoSpaceDE w:val="0"/>
        <w:autoSpaceDN w:val="0"/>
        <w:adjustRightInd w:val="0"/>
        <w:spacing w:after="0" w:line="276" w:lineRule="auto"/>
        <w:rPr>
          <w:rFonts w:cstheme="minorHAnsi"/>
        </w:rPr>
      </w:pPr>
      <w:r>
        <w:rPr>
          <w:rFonts w:cstheme="minorHAnsi"/>
        </w:rPr>
        <w:t xml:space="preserve">A wide range </w:t>
      </w:r>
      <w:r w:rsidRPr="003F5E8A">
        <w:rPr>
          <w:rFonts w:cstheme="minorHAnsi"/>
        </w:rPr>
        <w:t xml:space="preserve">of socio-demographic variables </w:t>
      </w:r>
      <w:r>
        <w:rPr>
          <w:rFonts w:cstheme="minorHAnsi"/>
        </w:rPr>
        <w:t>h</w:t>
      </w:r>
      <w:r w:rsidRPr="003F5E8A">
        <w:rPr>
          <w:rFonts w:cstheme="minorHAnsi"/>
        </w:rPr>
        <w:t>ave been considered</w:t>
      </w:r>
      <w:r>
        <w:rPr>
          <w:rFonts w:cstheme="minorHAnsi"/>
        </w:rPr>
        <w:t xml:space="preserve"> as explanatory factors for variations in </w:t>
      </w:r>
      <w:r w:rsidR="002D2EED">
        <w:rPr>
          <w:rFonts w:cstheme="minorHAnsi"/>
        </w:rPr>
        <w:t xml:space="preserve">individual level </w:t>
      </w:r>
      <w:r>
        <w:rPr>
          <w:rFonts w:cstheme="minorHAnsi"/>
        </w:rPr>
        <w:t>perceptions of electoral fraud. T</w:t>
      </w:r>
      <w:r w:rsidRPr="003F5E8A">
        <w:rPr>
          <w:rFonts w:cstheme="minorHAnsi"/>
        </w:rPr>
        <w:t xml:space="preserve">here is consistent evidence that perceptions of electoral fraud are </w:t>
      </w:r>
      <w:r>
        <w:rPr>
          <w:rFonts w:cstheme="minorHAnsi"/>
        </w:rPr>
        <w:t xml:space="preserve">negatively </w:t>
      </w:r>
      <w:r w:rsidRPr="003F5E8A">
        <w:rPr>
          <w:rFonts w:cstheme="minorHAnsi"/>
        </w:rPr>
        <w:t xml:space="preserve">correlated with </w:t>
      </w:r>
      <w:r w:rsidR="006B478E">
        <w:rPr>
          <w:rFonts w:cstheme="minorHAnsi"/>
        </w:rPr>
        <w:t xml:space="preserve">higher </w:t>
      </w:r>
      <w:r w:rsidRPr="003F5E8A">
        <w:rPr>
          <w:rFonts w:cstheme="minorHAnsi"/>
        </w:rPr>
        <w:t>levels of education (Ansolabehre and Persily, 2008; Beaulieu, 2014; Wolak, 2014</w:t>
      </w:r>
      <w:r w:rsidR="00F07B0D">
        <w:rPr>
          <w:rFonts w:cstheme="minorHAnsi"/>
        </w:rPr>
        <w:t>,</w:t>
      </w:r>
      <w:r w:rsidRPr="003F5E8A">
        <w:rPr>
          <w:rFonts w:cstheme="minorHAnsi"/>
        </w:rPr>
        <w:t xml:space="preserve"> Karp et al., 2018). While some differences have also been found with respect to gender and ethnicity, only education remains statistically significant once other variables are added as controls. Karp et al. (2018) find a similarly strong, and independent, effect associated with levels of political knowledge. In addition to these personal characteristics, researchers have identified clear effects associated with partisanship. Multiple studies have found that </w:t>
      </w:r>
      <w:r>
        <w:rPr>
          <w:rFonts w:cstheme="minorHAnsi"/>
        </w:rPr>
        <w:t xml:space="preserve">in the USA, </w:t>
      </w:r>
      <w:r w:rsidRPr="003F5E8A">
        <w:rPr>
          <w:rFonts w:cstheme="minorHAnsi"/>
        </w:rPr>
        <w:t xml:space="preserve">Republicans </w:t>
      </w:r>
      <w:r w:rsidR="002D2EED">
        <w:rPr>
          <w:rFonts w:cstheme="minorHAnsi"/>
        </w:rPr>
        <w:t>are</w:t>
      </w:r>
      <w:r w:rsidRPr="003F5E8A">
        <w:rPr>
          <w:rFonts w:cstheme="minorHAnsi"/>
        </w:rPr>
        <w:t xml:space="preserve"> far more likely than Democrats to believe that electoral fraud is commonplace (Ansolabehre and Persily, 2008; Beaulieu 2014; </w:t>
      </w:r>
      <w:r>
        <w:rPr>
          <w:rFonts w:cstheme="minorHAnsi"/>
        </w:rPr>
        <w:t>Edelson et al, 2017</w:t>
      </w:r>
      <w:r w:rsidRPr="003F5E8A">
        <w:rPr>
          <w:rFonts w:cstheme="minorHAnsi"/>
        </w:rPr>
        <w:t xml:space="preserve">) and this finding was replicated for right-wing voters in Australia (Karp et al., 2018). </w:t>
      </w:r>
      <w:r w:rsidR="00EA30F0">
        <w:rPr>
          <w:rFonts w:cstheme="minorHAnsi"/>
        </w:rPr>
        <w:t>Set</w:t>
      </w:r>
      <w:r w:rsidR="002D2EED">
        <w:rPr>
          <w:rFonts w:cstheme="minorHAnsi"/>
        </w:rPr>
        <w:t>ting aside</w:t>
      </w:r>
      <w:r w:rsidRPr="003F5E8A">
        <w:rPr>
          <w:rFonts w:cstheme="minorHAnsi"/>
        </w:rPr>
        <w:t xml:space="preserve"> debate about the extent to which this association reflects partisan alignment rather than ideological positioning</w:t>
      </w:r>
      <w:r w:rsidR="002D2EED">
        <w:rPr>
          <w:rFonts w:cstheme="minorHAnsi"/>
        </w:rPr>
        <w:t xml:space="preserve"> (</w:t>
      </w:r>
      <w:r w:rsidRPr="003F5E8A">
        <w:rPr>
          <w:rFonts w:cstheme="minorHAnsi"/>
        </w:rPr>
        <w:t>Ansolabehre and Persily</w:t>
      </w:r>
      <w:r w:rsidR="002D2EED">
        <w:rPr>
          <w:rFonts w:cstheme="minorHAnsi"/>
        </w:rPr>
        <w:t xml:space="preserve">, </w:t>
      </w:r>
      <w:r w:rsidRPr="003F5E8A">
        <w:rPr>
          <w:rFonts w:cstheme="minorHAnsi"/>
        </w:rPr>
        <w:t>2008</w:t>
      </w:r>
      <w:r w:rsidR="002D2EED">
        <w:rPr>
          <w:rFonts w:cstheme="minorHAnsi"/>
        </w:rPr>
        <w:t xml:space="preserve">; </w:t>
      </w:r>
      <w:r w:rsidRPr="003F5E8A">
        <w:rPr>
          <w:rFonts w:cstheme="minorHAnsi"/>
        </w:rPr>
        <w:t>Beaulieu</w:t>
      </w:r>
      <w:r w:rsidR="002D2EED">
        <w:rPr>
          <w:rFonts w:cstheme="minorHAnsi"/>
        </w:rPr>
        <w:t xml:space="preserve">, </w:t>
      </w:r>
      <w:r w:rsidRPr="003F5E8A">
        <w:rPr>
          <w:rFonts w:cstheme="minorHAnsi"/>
        </w:rPr>
        <w:t>2014)</w:t>
      </w:r>
      <w:r w:rsidR="002D2EED">
        <w:rPr>
          <w:rFonts w:cstheme="minorHAnsi"/>
        </w:rPr>
        <w:t>,</w:t>
      </w:r>
      <w:r w:rsidRPr="003F5E8A">
        <w:rPr>
          <w:rFonts w:cstheme="minorHAnsi"/>
        </w:rPr>
        <w:t xml:space="preserve"> there is clear agreement that voters’ perceptions of electoral fraud are, at least in part, the product of partisan cues (Fisher and </w:t>
      </w:r>
      <w:r w:rsidRPr="003F5E8A">
        <w:rPr>
          <w:rStyle w:val="Emphasis"/>
          <w:rFonts w:cstheme="minorHAnsi"/>
          <w:i w:val="0"/>
          <w:iCs w:val="0"/>
          <w:shd w:val="clear" w:color="auto" w:fill="FFFFFF"/>
        </w:rPr>
        <w:t>Sällberg</w:t>
      </w:r>
      <w:r w:rsidRPr="003F5E8A">
        <w:rPr>
          <w:rFonts w:cstheme="minorHAnsi"/>
        </w:rPr>
        <w:t>, 2020).</w:t>
      </w:r>
    </w:p>
    <w:p w14:paraId="298B6A2E" w14:textId="77777777" w:rsidR="003B2F05" w:rsidRDefault="003B2F05" w:rsidP="003B2F05">
      <w:pPr>
        <w:autoSpaceDE w:val="0"/>
        <w:autoSpaceDN w:val="0"/>
        <w:adjustRightInd w:val="0"/>
        <w:spacing w:after="0" w:line="276" w:lineRule="auto"/>
        <w:rPr>
          <w:rFonts w:cstheme="minorHAnsi"/>
        </w:rPr>
      </w:pPr>
    </w:p>
    <w:p w14:paraId="647534EF" w14:textId="76E33E51" w:rsidR="003B2F05" w:rsidRDefault="003B2F05" w:rsidP="003B2F05">
      <w:pPr>
        <w:autoSpaceDE w:val="0"/>
        <w:autoSpaceDN w:val="0"/>
        <w:adjustRightInd w:val="0"/>
        <w:spacing w:after="0" w:line="276" w:lineRule="auto"/>
        <w:rPr>
          <w:rFonts w:cstheme="minorHAnsi"/>
        </w:rPr>
      </w:pPr>
      <w:r w:rsidRPr="003F5E8A">
        <w:rPr>
          <w:rFonts w:cstheme="minorHAnsi"/>
        </w:rPr>
        <w:t xml:space="preserve">The </w:t>
      </w:r>
      <w:r>
        <w:rPr>
          <w:rFonts w:cstheme="minorHAnsi"/>
        </w:rPr>
        <w:t>second</w:t>
      </w:r>
      <w:r w:rsidRPr="003F5E8A">
        <w:rPr>
          <w:rFonts w:cstheme="minorHAnsi"/>
        </w:rPr>
        <w:t xml:space="preserve"> set of factors that have been found to explain perceptions of electoral fraud relate to electoral outcomes and electoral competition. Perhaps the most universal tendency to emerge from the literature is the ‘sore loser’ effect (Wolak, 2014; Beaulieu, 2014; Sances and Stewart, 2015; Sinclair et al., 2019; Levy, 2020). Put simply, those who find themselves on the losing side at an election are more likely to allege that fraud took place or to </w:t>
      </w:r>
      <w:r w:rsidR="00EA30F0">
        <w:rPr>
          <w:rFonts w:cstheme="minorHAnsi"/>
        </w:rPr>
        <w:t xml:space="preserve">express doubts about </w:t>
      </w:r>
      <w:r w:rsidRPr="003F5E8A">
        <w:rPr>
          <w:rFonts w:cstheme="minorHAnsi"/>
        </w:rPr>
        <w:t xml:space="preserve">the integrity of election officials. </w:t>
      </w:r>
      <w:r w:rsidR="00EA30F0">
        <w:rPr>
          <w:rFonts w:cstheme="minorHAnsi"/>
        </w:rPr>
        <w:t xml:space="preserve">Logically, </w:t>
      </w:r>
      <w:r w:rsidR="002D2EED">
        <w:rPr>
          <w:rFonts w:cstheme="minorHAnsi"/>
        </w:rPr>
        <w:t xml:space="preserve">winner effects work in the opposite direction. </w:t>
      </w:r>
      <w:r w:rsidRPr="003F5E8A">
        <w:rPr>
          <w:rFonts w:cstheme="minorHAnsi"/>
        </w:rPr>
        <w:t xml:space="preserve">Levy (2020) examines polling data on public confidence in election outcomes from before and after the 2016 US presidential election, finding that Republican voters were significantly more positive about electoral integrity </w:t>
      </w:r>
      <w:r w:rsidRPr="00F07B0D">
        <w:rPr>
          <w:rFonts w:cstheme="minorHAnsi"/>
          <w:i/>
        </w:rPr>
        <w:t>after</w:t>
      </w:r>
      <w:r w:rsidRPr="003F5E8A">
        <w:rPr>
          <w:rFonts w:cstheme="minorHAnsi"/>
        </w:rPr>
        <w:t xml:space="preserve"> the election than they were </w:t>
      </w:r>
      <w:r w:rsidRPr="00F07B0D">
        <w:rPr>
          <w:rFonts w:cstheme="minorHAnsi"/>
          <w:i/>
        </w:rPr>
        <w:t>before</w:t>
      </w:r>
      <w:r w:rsidRPr="003F5E8A">
        <w:rPr>
          <w:rFonts w:cstheme="minorHAnsi"/>
        </w:rPr>
        <w:t xml:space="preserve"> it. </w:t>
      </w:r>
      <w:r w:rsidR="002D2EED">
        <w:rPr>
          <w:rFonts w:cstheme="minorHAnsi"/>
        </w:rPr>
        <w:t>H</w:t>
      </w:r>
      <w:r w:rsidRPr="003F5E8A">
        <w:rPr>
          <w:rFonts w:cstheme="minorHAnsi"/>
        </w:rPr>
        <w:t>ow the closeness of the election mediates such perspectives among winners and losers</w:t>
      </w:r>
      <w:r w:rsidR="002D2EED">
        <w:rPr>
          <w:rFonts w:cstheme="minorHAnsi"/>
        </w:rPr>
        <w:t xml:space="preserve"> is less clear</w:t>
      </w:r>
      <w:r w:rsidR="00EA30F0">
        <w:rPr>
          <w:rFonts w:cstheme="minorHAnsi"/>
        </w:rPr>
        <w:t>, however</w:t>
      </w:r>
      <w:r w:rsidRPr="003F5E8A">
        <w:rPr>
          <w:rFonts w:cstheme="minorHAnsi"/>
        </w:rPr>
        <w:t>. Examining 109 presidential elections intern</w:t>
      </w:r>
      <w:r>
        <w:rPr>
          <w:rFonts w:cstheme="minorHAnsi"/>
        </w:rPr>
        <w:t>ation</w:t>
      </w:r>
      <w:r w:rsidRPr="003F5E8A">
        <w:rPr>
          <w:rFonts w:cstheme="minorHAnsi"/>
        </w:rPr>
        <w:t>ally, Dawson (2020) finds that the anticipated closeness of an election (based on opinion polls) increases the perceived incidence of fraud (as reported in expert assessment</w:t>
      </w:r>
      <w:r w:rsidR="00EA30F0">
        <w:rPr>
          <w:rFonts w:cstheme="minorHAnsi"/>
        </w:rPr>
        <w:t>s</w:t>
      </w:r>
      <w:r w:rsidRPr="003F5E8A">
        <w:rPr>
          <w:rFonts w:cstheme="minorHAnsi"/>
        </w:rPr>
        <w:t xml:space="preserve">). </w:t>
      </w:r>
      <w:r w:rsidR="00EA30F0">
        <w:rPr>
          <w:rFonts w:cstheme="minorHAnsi"/>
        </w:rPr>
        <w:t xml:space="preserve">Conversely, </w:t>
      </w:r>
      <w:r w:rsidRPr="003F5E8A">
        <w:rPr>
          <w:rFonts w:cstheme="minorHAnsi"/>
        </w:rPr>
        <w:t xml:space="preserve">Wolak (2014) </w:t>
      </w:r>
      <w:r w:rsidR="002D2EED">
        <w:rPr>
          <w:rFonts w:cstheme="minorHAnsi"/>
        </w:rPr>
        <w:t>concludes</w:t>
      </w:r>
      <w:r w:rsidRPr="003F5E8A">
        <w:rPr>
          <w:rFonts w:cstheme="minorHAnsi"/>
        </w:rPr>
        <w:t xml:space="preserve"> that electoral competition in the US moderates loser effects: the more competitive the election, the greater the expressed trust in the outcome. </w:t>
      </w:r>
    </w:p>
    <w:p w14:paraId="06DA8EBC" w14:textId="29BB243C" w:rsidR="003013ED" w:rsidRDefault="003013ED" w:rsidP="003B2F05">
      <w:pPr>
        <w:autoSpaceDE w:val="0"/>
        <w:autoSpaceDN w:val="0"/>
        <w:adjustRightInd w:val="0"/>
        <w:spacing w:after="0" w:line="276" w:lineRule="auto"/>
        <w:rPr>
          <w:rFonts w:cstheme="minorHAnsi"/>
        </w:rPr>
      </w:pPr>
    </w:p>
    <w:p w14:paraId="6C1D3787" w14:textId="08167A8E" w:rsidR="003B2F05" w:rsidRPr="0062432C" w:rsidRDefault="00EA30F0" w:rsidP="003B2F05">
      <w:pPr>
        <w:spacing w:line="276" w:lineRule="auto"/>
        <w:rPr>
          <w:rFonts w:cstheme="minorHAnsi"/>
        </w:rPr>
      </w:pPr>
      <w:r>
        <w:rPr>
          <w:rFonts w:cstheme="minorHAnsi"/>
        </w:rPr>
        <w:t xml:space="preserve">While </w:t>
      </w:r>
      <w:r w:rsidR="003B2F05" w:rsidRPr="003F5E8A">
        <w:rPr>
          <w:rFonts w:cstheme="minorHAnsi"/>
        </w:rPr>
        <w:t xml:space="preserve">multivariate analysis has </w:t>
      </w:r>
      <w:r>
        <w:rPr>
          <w:rFonts w:cstheme="minorHAnsi"/>
        </w:rPr>
        <w:t xml:space="preserve">enabled significant progress to be made in </w:t>
      </w:r>
      <w:r w:rsidR="003B2F05" w:rsidRPr="003F5E8A">
        <w:rPr>
          <w:rFonts w:cstheme="minorHAnsi"/>
        </w:rPr>
        <w:t xml:space="preserve">identifying what balance of socio-demographic and political-electoral variables best explain variations in </w:t>
      </w:r>
      <w:r w:rsidR="003B2F05" w:rsidRPr="006C5950">
        <w:rPr>
          <w:rFonts w:cstheme="minorHAnsi"/>
          <w:i/>
          <w:iCs/>
        </w:rPr>
        <w:t>perceptions</w:t>
      </w:r>
      <w:r w:rsidR="003B2F05" w:rsidRPr="003F5E8A">
        <w:rPr>
          <w:rFonts w:cstheme="minorHAnsi"/>
        </w:rPr>
        <w:t xml:space="preserve"> of electoral fraud</w:t>
      </w:r>
      <w:r w:rsidR="000D4931">
        <w:rPr>
          <w:rFonts w:cstheme="minorHAnsi"/>
        </w:rPr>
        <w:t xml:space="preserve"> in the US</w:t>
      </w:r>
      <w:r>
        <w:rPr>
          <w:rFonts w:cstheme="minorHAnsi"/>
        </w:rPr>
        <w:t xml:space="preserve">, </w:t>
      </w:r>
      <w:r w:rsidR="003B2F05" w:rsidRPr="003F5E8A">
        <w:rPr>
          <w:rFonts w:cstheme="minorHAnsi"/>
        </w:rPr>
        <w:t>very few studies</w:t>
      </w:r>
      <w:r>
        <w:rPr>
          <w:rFonts w:cstheme="minorHAnsi"/>
        </w:rPr>
        <w:t xml:space="preserve"> </w:t>
      </w:r>
      <w:r w:rsidR="003B2F05" w:rsidRPr="003F5E8A">
        <w:rPr>
          <w:rFonts w:cstheme="minorHAnsi"/>
        </w:rPr>
        <w:t xml:space="preserve">ask about </w:t>
      </w:r>
      <w:r w:rsidR="003B2F05" w:rsidRPr="0087208F">
        <w:rPr>
          <w:rFonts w:cstheme="minorHAnsi"/>
          <w:i/>
        </w:rPr>
        <w:t>direct experiences</w:t>
      </w:r>
      <w:r w:rsidR="003B2F05" w:rsidRPr="003F5E8A">
        <w:rPr>
          <w:rFonts w:cstheme="minorHAnsi"/>
        </w:rPr>
        <w:t xml:space="preserve"> of fraud. The main exception, provided by Ahlquist et al (2014), provides an indication of why such survey research </w:t>
      </w:r>
      <w:r>
        <w:rPr>
          <w:rFonts w:cstheme="minorHAnsi"/>
        </w:rPr>
        <w:t>is</w:t>
      </w:r>
      <w:r w:rsidR="003B2F05" w:rsidRPr="003F5E8A">
        <w:rPr>
          <w:rFonts w:cstheme="minorHAnsi"/>
        </w:rPr>
        <w:t xml:space="preserve"> not more widely attempted – the presumption is that electoral fraud is so rare that surveys would struggle to detect any. These authors used survey list experiments conducted after the 2012 elections to test the extent to which respondents were prepared to admit to voter fraud compared to other misdemeanours or events. They found that the </w:t>
      </w:r>
      <w:r w:rsidR="003B2F05" w:rsidRPr="006C5950">
        <w:rPr>
          <w:rFonts w:cstheme="minorHAnsi"/>
        </w:rPr>
        <w:t>“proportion of the population reporting voter impersonation is indistinguishable from that reporting abduction by extra-terrestrials” (Ahlquist et al, 2014</w:t>
      </w:r>
      <w:r w:rsidR="000D4931">
        <w:rPr>
          <w:rFonts w:cstheme="minorHAnsi"/>
        </w:rPr>
        <w:t>:</w:t>
      </w:r>
      <w:r w:rsidR="00E16075" w:rsidRPr="006C5950">
        <w:rPr>
          <w:rFonts w:cstheme="minorHAnsi"/>
        </w:rPr>
        <w:t>460</w:t>
      </w:r>
      <w:r w:rsidR="003B2F05" w:rsidRPr="006C5950">
        <w:rPr>
          <w:rFonts w:cstheme="minorHAnsi"/>
        </w:rPr>
        <w:t>). It is worth noting, h</w:t>
      </w:r>
      <w:r w:rsidR="003B2F05" w:rsidRPr="003F5E8A">
        <w:rPr>
          <w:rFonts w:cstheme="minorHAnsi"/>
        </w:rPr>
        <w:t xml:space="preserve">owever, that </w:t>
      </w:r>
      <w:r w:rsidR="000D4931">
        <w:t xml:space="preserve">surveys of the general population typically find very low levels of offending behaviours and </w:t>
      </w:r>
      <w:r w:rsidR="003B2F05" w:rsidRPr="003F5E8A">
        <w:rPr>
          <w:rFonts w:cstheme="minorHAnsi"/>
        </w:rPr>
        <w:t>this study only asked if people ha</w:t>
      </w:r>
      <w:r w:rsidR="003B2F05">
        <w:rPr>
          <w:rFonts w:cstheme="minorHAnsi"/>
        </w:rPr>
        <w:t>d</w:t>
      </w:r>
      <w:r w:rsidR="003B2F05" w:rsidRPr="003F5E8A">
        <w:rPr>
          <w:rFonts w:cstheme="minorHAnsi"/>
        </w:rPr>
        <w:t xml:space="preserve"> </w:t>
      </w:r>
      <w:r w:rsidR="003B2F05" w:rsidRPr="00D45FCB">
        <w:rPr>
          <w:rFonts w:cstheme="minorHAnsi"/>
          <w:iCs/>
        </w:rPr>
        <w:t>committed</w:t>
      </w:r>
      <w:r w:rsidR="003B2F05" w:rsidRPr="003F5E8A">
        <w:rPr>
          <w:rFonts w:cstheme="minorHAnsi"/>
        </w:rPr>
        <w:t xml:space="preserve"> electoral </w:t>
      </w:r>
      <w:r w:rsidR="003B2F05" w:rsidRPr="0062432C">
        <w:rPr>
          <w:rFonts w:cstheme="minorHAnsi"/>
        </w:rPr>
        <w:t>fraud</w:t>
      </w:r>
      <w:r>
        <w:rPr>
          <w:rFonts w:cstheme="minorHAnsi"/>
        </w:rPr>
        <w:t xml:space="preserve"> </w:t>
      </w:r>
      <w:r w:rsidR="003B2F05" w:rsidRPr="0062432C">
        <w:rPr>
          <w:rFonts w:cstheme="minorHAnsi"/>
        </w:rPr>
        <w:t xml:space="preserve">– it did not seek to ascertain whether respondents were </w:t>
      </w:r>
      <w:r w:rsidR="003B2F05" w:rsidRPr="00D45FCB">
        <w:rPr>
          <w:rFonts w:cstheme="minorHAnsi"/>
          <w:iCs/>
        </w:rPr>
        <w:t>victims</w:t>
      </w:r>
      <w:r w:rsidR="003B2F05" w:rsidRPr="0062432C">
        <w:rPr>
          <w:rFonts w:cstheme="minorHAnsi"/>
        </w:rPr>
        <w:t xml:space="preserve"> of it</w:t>
      </w:r>
      <w:r w:rsidR="003B2F05">
        <w:rPr>
          <w:rFonts w:cstheme="minorHAnsi"/>
        </w:rPr>
        <w:t>.</w:t>
      </w:r>
      <w:r w:rsidR="003B2F05" w:rsidRPr="0062432C">
        <w:rPr>
          <w:rFonts w:cstheme="minorHAnsi"/>
        </w:rPr>
        <w:t xml:space="preserve"> In addition, only a single form of electoral fraud w</w:t>
      </w:r>
      <w:r w:rsidR="003B2F05">
        <w:rPr>
          <w:rFonts w:cstheme="minorHAnsi"/>
        </w:rPr>
        <w:t xml:space="preserve">as asked about, that of voter </w:t>
      </w:r>
      <w:r w:rsidR="000D4931">
        <w:rPr>
          <w:rFonts w:cstheme="minorHAnsi"/>
        </w:rPr>
        <w:t>im</w:t>
      </w:r>
      <w:r w:rsidR="003B2F05" w:rsidRPr="0062432C">
        <w:rPr>
          <w:rFonts w:cstheme="minorHAnsi"/>
        </w:rPr>
        <w:t>personation (</w:t>
      </w:r>
      <w:r w:rsidR="003B2F05" w:rsidRPr="0062432C">
        <w:t>“I cast a ballot under a name that was not my own”).</w:t>
      </w:r>
      <w:r w:rsidR="003B2F05">
        <w:t xml:space="preserve"> </w:t>
      </w:r>
    </w:p>
    <w:p w14:paraId="5C245202" w14:textId="77777777" w:rsidR="003B2F05" w:rsidRDefault="003B2F05" w:rsidP="00433F71">
      <w:pPr>
        <w:autoSpaceDE w:val="0"/>
        <w:autoSpaceDN w:val="0"/>
        <w:adjustRightInd w:val="0"/>
        <w:spacing w:after="0" w:line="276" w:lineRule="auto"/>
        <w:rPr>
          <w:rFonts w:cstheme="minorHAnsi"/>
        </w:rPr>
      </w:pPr>
    </w:p>
    <w:p w14:paraId="32BB882D" w14:textId="29D10B5F" w:rsidR="00B14B55" w:rsidRPr="003F5E8A" w:rsidRDefault="008F6998" w:rsidP="00B14B55">
      <w:pPr>
        <w:autoSpaceDE w:val="0"/>
        <w:autoSpaceDN w:val="0"/>
        <w:adjustRightInd w:val="0"/>
        <w:spacing w:after="0" w:line="276" w:lineRule="auto"/>
        <w:rPr>
          <w:rFonts w:cstheme="minorHAnsi"/>
        </w:rPr>
      </w:pPr>
      <w:r>
        <w:rPr>
          <w:rFonts w:cstheme="minorHAnsi"/>
        </w:rPr>
        <w:t xml:space="preserve">While the </w:t>
      </w:r>
      <w:r w:rsidR="000D4931">
        <w:rPr>
          <w:rFonts w:cstheme="minorHAnsi"/>
        </w:rPr>
        <w:t>polarising effects of el</w:t>
      </w:r>
      <w:r w:rsidR="00064900">
        <w:rPr>
          <w:rFonts w:cstheme="minorHAnsi"/>
        </w:rPr>
        <w:t xml:space="preserve">ectoral fraud claims in the US </w:t>
      </w:r>
      <w:r w:rsidR="000D4931">
        <w:rPr>
          <w:rFonts w:cstheme="minorHAnsi"/>
        </w:rPr>
        <w:t xml:space="preserve">are </w:t>
      </w:r>
      <w:r>
        <w:rPr>
          <w:rFonts w:cstheme="minorHAnsi"/>
        </w:rPr>
        <w:t>without parallel among established democracies</w:t>
      </w:r>
      <w:r w:rsidR="00736A03">
        <w:rPr>
          <w:rFonts w:cstheme="minorHAnsi"/>
        </w:rPr>
        <w:t xml:space="preserve">, less intensive </w:t>
      </w:r>
      <w:r w:rsidR="00064900">
        <w:rPr>
          <w:rFonts w:cstheme="minorHAnsi"/>
        </w:rPr>
        <w:t>controversies about electoral integrity</w:t>
      </w:r>
      <w:r w:rsidR="00736A03">
        <w:rPr>
          <w:rFonts w:cstheme="minorHAnsi"/>
        </w:rPr>
        <w:t xml:space="preserve"> have emerged elsewhere</w:t>
      </w:r>
      <w:r w:rsidR="00433F71" w:rsidRPr="003F5E8A">
        <w:rPr>
          <w:rFonts w:cstheme="minorHAnsi"/>
        </w:rPr>
        <w:t xml:space="preserve"> (Norris, 2014). Notably, electoral fraud allegations have be</w:t>
      </w:r>
      <w:r w:rsidR="00D60998">
        <w:rPr>
          <w:rFonts w:cstheme="minorHAnsi"/>
        </w:rPr>
        <w:t xml:space="preserve">en </w:t>
      </w:r>
      <w:r w:rsidR="00433F71" w:rsidRPr="003F5E8A">
        <w:rPr>
          <w:rFonts w:cstheme="minorHAnsi"/>
        </w:rPr>
        <w:t xml:space="preserve">a </w:t>
      </w:r>
      <w:r w:rsidR="00D60998">
        <w:rPr>
          <w:rFonts w:cstheme="minorHAnsi"/>
        </w:rPr>
        <w:t>subject</w:t>
      </w:r>
      <w:r w:rsidR="00433F71" w:rsidRPr="003F5E8A">
        <w:rPr>
          <w:rFonts w:cstheme="minorHAnsi"/>
        </w:rPr>
        <w:t xml:space="preserve"> of UK political debate, and a limited body of academic work has emerged in response (Stewart, 2006; Wilks-Heeg, 2009; </w:t>
      </w:r>
      <w:r w:rsidR="000D4931">
        <w:rPr>
          <w:rFonts w:cstheme="minorHAnsi"/>
        </w:rPr>
        <w:t>Hill</w:t>
      </w:r>
      <w:r w:rsidR="00433F71" w:rsidRPr="003F5E8A">
        <w:rPr>
          <w:rFonts w:cstheme="minorHAnsi"/>
        </w:rPr>
        <w:t xml:space="preserve"> et al., 2017; Carl, 2017; Fisher and </w:t>
      </w:r>
      <w:r w:rsidR="00433F71" w:rsidRPr="003F5E8A">
        <w:rPr>
          <w:rStyle w:val="Emphasis"/>
          <w:rFonts w:cstheme="minorHAnsi"/>
          <w:i w:val="0"/>
          <w:iCs w:val="0"/>
          <w:shd w:val="clear" w:color="auto" w:fill="FFFFFF"/>
        </w:rPr>
        <w:t>Sällberg</w:t>
      </w:r>
      <w:r w:rsidR="00433F71" w:rsidRPr="003F5E8A">
        <w:rPr>
          <w:rFonts w:cstheme="minorHAnsi"/>
        </w:rPr>
        <w:t xml:space="preserve">, 2020; James and Clark, 2020). </w:t>
      </w:r>
      <w:r w:rsidR="00736A03">
        <w:rPr>
          <w:rFonts w:cstheme="minorHAnsi"/>
        </w:rPr>
        <w:t xml:space="preserve">Studies of </w:t>
      </w:r>
      <w:r w:rsidR="00433F71">
        <w:rPr>
          <w:rFonts w:cstheme="minorHAnsi"/>
        </w:rPr>
        <w:t>e</w:t>
      </w:r>
      <w:r w:rsidR="00736A03">
        <w:rPr>
          <w:rFonts w:cstheme="minorHAnsi"/>
        </w:rPr>
        <w:t>le</w:t>
      </w:r>
      <w:r w:rsidR="00433F71">
        <w:rPr>
          <w:rFonts w:cstheme="minorHAnsi"/>
        </w:rPr>
        <w:t xml:space="preserve">ctoral fraud </w:t>
      </w:r>
      <w:r w:rsidR="00736A03">
        <w:rPr>
          <w:rFonts w:cstheme="minorHAnsi"/>
        </w:rPr>
        <w:t>i</w:t>
      </w:r>
      <w:r w:rsidR="00433F71">
        <w:rPr>
          <w:rFonts w:cstheme="minorHAnsi"/>
        </w:rPr>
        <w:t>n the UK ex</w:t>
      </w:r>
      <w:r w:rsidR="00736A03">
        <w:rPr>
          <w:rFonts w:cstheme="minorHAnsi"/>
        </w:rPr>
        <w:t>hibit notable differences to those in the</w:t>
      </w:r>
      <w:r w:rsidR="00433F71">
        <w:rPr>
          <w:rFonts w:cstheme="minorHAnsi"/>
        </w:rPr>
        <w:t xml:space="preserve"> US. Attempts at election forensics have been entirely absent from the UK literature</w:t>
      </w:r>
      <w:r w:rsidR="00D60998">
        <w:rPr>
          <w:rFonts w:cstheme="minorHAnsi"/>
        </w:rPr>
        <w:t xml:space="preserve"> and </w:t>
      </w:r>
      <w:r w:rsidR="00433F71">
        <w:rPr>
          <w:rFonts w:cstheme="minorHAnsi"/>
        </w:rPr>
        <w:t>academic work on public perceptions of electoral fraud has been extremely limited</w:t>
      </w:r>
      <w:r w:rsidR="00B24C19">
        <w:rPr>
          <w:rFonts w:cstheme="minorHAnsi"/>
        </w:rPr>
        <w:t xml:space="preserve"> (</w:t>
      </w:r>
      <w:r w:rsidR="00433F71">
        <w:rPr>
          <w:rFonts w:cstheme="minorHAnsi"/>
        </w:rPr>
        <w:t xml:space="preserve">although </w:t>
      </w:r>
      <w:r w:rsidR="00D60998">
        <w:rPr>
          <w:rFonts w:cstheme="minorHAnsi"/>
        </w:rPr>
        <w:t xml:space="preserve">relevant </w:t>
      </w:r>
      <w:r w:rsidR="00433F71">
        <w:rPr>
          <w:rFonts w:cstheme="minorHAnsi"/>
        </w:rPr>
        <w:t>survey research has been carried out by the Electoral Commission</w:t>
      </w:r>
      <w:r w:rsidR="00EC3EC7">
        <w:rPr>
          <w:rFonts w:cstheme="minorHAnsi"/>
        </w:rPr>
        <w:t>, as we note below</w:t>
      </w:r>
      <w:r w:rsidR="00B24C19">
        <w:rPr>
          <w:rFonts w:cstheme="minorHAnsi"/>
        </w:rPr>
        <w:t>)</w:t>
      </w:r>
      <w:r w:rsidR="00433F71">
        <w:rPr>
          <w:rFonts w:cstheme="minorHAnsi"/>
        </w:rPr>
        <w:t xml:space="preserve">. </w:t>
      </w:r>
      <w:r w:rsidR="00EC3EC7">
        <w:rPr>
          <w:rFonts w:cstheme="minorHAnsi"/>
        </w:rPr>
        <w:t xml:space="preserve">Instead, attempts to evaluate the incidence and significance of electoral fraud in the UK have </w:t>
      </w:r>
      <w:r w:rsidR="00433F71">
        <w:rPr>
          <w:rFonts w:cstheme="minorHAnsi"/>
        </w:rPr>
        <w:t>variously</w:t>
      </w:r>
      <w:r w:rsidR="00EC3EC7">
        <w:rPr>
          <w:rFonts w:cstheme="minorHAnsi"/>
        </w:rPr>
        <w:t xml:space="preserve"> drawn on surveys of polling station staff</w:t>
      </w:r>
      <w:r w:rsidR="00920670">
        <w:rPr>
          <w:rFonts w:cstheme="minorHAnsi"/>
        </w:rPr>
        <w:t xml:space="preserve"> (</w:t>
      </w:r>
      <w:r w:rsidR="00D8675A">
        <w:rPr>
          <w:rFonts w:cstheme="minorHAnsi"/>
        </w:rPr>
        <w:t xml:space="preserve">James and </w:t>
      </w:r>
      <w:r w:rsidR="00B24C19">
        <w:rPr>
          <w:rFonts w:cstheme="minorHAnsi"/>
        </w:rPr>
        <w:t>Clark</w:t>
      </w:r>
      <w:r w:rsidR="00D8675A">
        <w:rPr>
          <w:rFonts w:cstheme="minorHAnsi"/>
        </w:rPr>
        <w:t>, 2020</w:t>
      </w:r>
      <w:r w:rsidR="00920670">
        <w:rPr>
          <w:rFonts w:cstheme="minorHAnsi"/>
        </w:rPr>
        <w:t>)</w:t>
      </w:r>
      <w:r w:rsidR="00D8675A">
        <w:rPr>
          <w:rFonts w:cstheme="minorHAnsi"/>
        </w:rPr>
        <w:t xml:space="preserve"> or</w:t>
      </w:r>
      <w:r w:rsidR="00920670">
        <w:rPr>
          <w:rFonts w:cstheme="minorHAnsi"/>
        </w:rPr>
        <w:t xml:space="preserve"> election agents</w:t>
      </w:r>
      <w:r w:rsidR="00D8675A">
        <w:rPr>
          <w:rFonts w:cstheme="minorHAnsi"/>
        </w:rPr>
        <w:t xml:space="preserve"> (</w:t>
      </w:r>
      <w:r w:rsidR="00D8675A" w:rsidRPr="003F5E8A">
        <w:rPr>
          <w:rFonts w:cstheme="minorHAnsi"/>
        </w:rPr>
        <w:t xml:space="preserve">Fisher and </w:t>
      </w:r>
      <w:r w:rsidR="00D8675A" w:rsidRPr="003F5E8A">
        <w:rPr>
          <w:rStyle w:val="Emphasis"/>
          <w:rFonts w:cstheme="minorHAnsi"/>
          <w:i w:val="0"/>
          <w:iCs w:val="0"/>
          <w:shd w:val="clear" w:color="auto" w:fill="FFFFFF"/>
        </w:rPr>
        <w:t>Sällberg</w:t>
      </w:r>
      <w:r w:rsidR="00D8675A">
        <w:rPr>
          <w:rStyle w:val="Emphasis"/>
          <w:rFonts w:cstheme="minorHAnsi"/>
          <w:i w:val="0"/>
          <w:iCs w:val="0"/>
          <w:shd w:val="clear" w:color="auto" w:fill="FFFFFF"/>
        </w:rPr>
        <w:t>, 2020)</w:t>
      </w:r>
      <w:r w:rsidR="00920670">
        <w:rPr>
          <w:rFonts w:cstheme="minorHAnsi"/>
        </w:rPr>
        <w:t>, qualitative interviews with election candidates and campaigners (Hill et al., 2017), police data on electoral fraud allegations</w:t>
      </w:r>
      <w:r w:rsidR="00D8675A">
        <w:rPr>
          <w:rFonts w:cstheme="minorHAnsi"/>
        </w:rPr>
        <w:t xml:space="preserve"> (Carl, 2017)</w:t>
      </w:r>
      <w:r w:rsidR="00920670">
        <w:rPr>
          <w:rFonts w:cstheme="minorHAnsi"/>
        </w:rPr>
        <w:t>, and records of election petitions used to challenge election results (Morris and Wilks-Heeg, 2019).</w:t>
      </w:r>
      <w:r w:rsidR="00433F71">
        <w:rPr>
          <w:rFonts w:cstheme="minorHAnsi"/>
        </w:rPr>
        <w:t xml:space="preserve"> </w:t>
      </w:r>
      <w:r w:rsidR="00B14B55">
        <w:rPr>
          <w:rFonts w:cstheme="minorHAnsi"/>
        </w:rPr>
        <w:t>Unsurprisingly, t</w:t>
      </w:r>
      <w:r w:rsidR="00B14B55" w:rsidRPr="003F5E8A">
        <w:rPr>
          <w:rFonts w:cstheme="minorHAnsi"/>
        </w:rPr>
        <w:t xml:space="preserve">hese contrasting approaches </w:t>
      </w:r>
      <w:r w:rsidR="00D60998">
        <w:rPr>
          <w:rFonts w:cstheme="minorHAnsi"/>
        </w:rPr>
        <w:t>produce</w:t>
      </w:r>
      <w:r w:rsidR="00B14B55">
        <w:rPr>
          <w:rFonts w:cstheme="minorHAnsi"/>
        </w:rPr>
        <w:t xml:space="preserve"> </w:t>
      </w:r>
      <w:r w:rsidR="00B14B55" w:rsidRPr="003F5E8A">
        <w:rPr>
          <w:rFonts w:cstheme="minorHAnsi"/>
        </w:rPr>
        <w:t xml:space="preserve">sharply divergent assessments of the extent </w:t>
      </w:r>
      <w:r w:rsidR="00D60998">
        <w:rPr>
          <w:rFonts w:cstheme="minorHAnsi"/>
        </w:rPr>
        <w:t>of</w:t>
      </w:r>
      <w:r w:rsidR="00B14B55" w:rsidRPr="003F5E8A">
        <w:rPr>
          <w:rFonts w:cstheme="minorHAnsi"/>
        </w:rPr>
        <w:t xml:space="preserve"> electoral fraud. For instance, while 6-7</w:t>
      </w:r>
      <w:r w:rsidR="00F3012D">
        <w:rPr>
          <w:rFonts w:cstheme="minorHAnsi"/>
        </w:rPr>
        <w:t>%</w:t>
      </w:r>
      <w:r w:rsidR="00B14B55" w:rsidRPr="003F5E8A">
        <w:rPr>
          <w:rFonts w:cstheme="minorHAnsi"/>
        </w:rPr>
        <w:t xml:space="preserve"> of election agents in England said they </w:t>
      </w:r>
      <w:r w:rsidR="00B14B55" w:rsidRPr="008E6C23">
        <w:rPr>
          <w:rFonts w:cstheme="minorHAnsi"/>
          <w:i/>
        </w:rPr>
        <w:t>suspected</w:t>
      </w:r>
      <w:r w:rsidR="00B14B55" w:rsidRPr="003F5E8A">
        <w:rPr>
          <w:rFonts w:cstheme="minorHAnsi"/>
        </w:rPr>
        <w:t xml:space="preserve"> fraud in their constituencies at the 2015 and 2017 general elections, 35-38</w:t>
      </w:r>
      <w:r w:rsidR="00F3012D">
        <w:rPr>
          <w:rFonts w:cstheme="minorHAnsi"/>
        </w:rPr>
        <w:t>%</w:t>
      </w:r>
      <w:r w:rsidR="00B14B55" w:rsidRPr="003F5E8A">
        <w:rPr>
          <w:rFonts w:cstheme="minorHAnsi"/>
        </w:rPr>
        <w:t xml:space="preserve"> of electors reported </w:t>
      </w:r>
      <w:r w:rsidR="00B14B55">
        <w:rPr>
          <w:rFonts w:cstheme="minorHAnsi"/>
        </w:rPr>
        <w:t>that they held the same suspicions</w:t>
      </w:r>
      <w:r w:rsidR="00B14B55" w:rsidRPr="003F5E8A">
        <w:rPr>
          <w:rFonts w:cstheme="minorHAnsi"/>
        </w:rPr>
        <w:t xml:space="preserve"> (Fisher and </w:t>
      </w:r>
      <w:r w:rsidR="00B14B55" w:rsidRPr="003F5E8A">
        <w:rPr>
          <w:rStyle w:val="Emphasis"/>
          <w:rFonts w:cstheme="minorHAnsi"/>
          <w:i w:val="0"/>
          <w:iCs w:val="0"/>
          <w:shd w:val="clear" w:color="auto" w:fill="FFFFFF"/>
        </w:rPr>
        <w:t>Sällberg</w:t>
      </w:r>
      <w:r w:rsidR="00B14B55" w:rsidRPr="003F5E8A">
        <w:rPr>
          <w:rFonts w:cstheme="minorHAnsi"/>
        </w:rPr>
        <w:t>, 2020).</w:t>
      </w:r>
    </w:p>
    <w:p w14:paraId="79DF4D49" w14:textId="39C2D4EA" w:rsidR="00AA0720" w:rsidRDefault="00AA0720" w:rsidP="00F2006C">
      <w:pPr>
        <w:autoSpaceDE w:val="0"/>
        <w:autoSpaceDN w:val="0"/>
        <w:adjustRightInd w:val="0"/>
        <w:spacing w:after="0" w:line="276" w:lineRule="auto"/>
        <w:rPr>
          <w:rFonts w:cstheme="minorHAnsi"/>
        </w:rPr>
      </w:pPr>
    </w:p>
    <w:p w14:paraId="0017B5CC" w14:textId="6827185E" w:rsidR="00B14B55" w:rsidRPr="00F52460" w:rsidRDefault="00B14B55" w:rsidP="00B14B55">
      <w:pPr>
        <w:pStyle w:val="Default"/>
        <w:spacing w:line="276" w:lineRule="auto"/>
        <w:rPr>
          <w:rFonts w:asciiTheme="minorHAnsi" w:hAnsiTheme="minorHAnsi" w:cstheme="minorHAnsi"/>
          <w:sz w:val="22"/>
          <w:szCs w:val="22"/>
        </w:rPr>
      </w:pPr>
      <w:r w:rsidRPr="0062432C">
        <w:rPr>
          <w:rFonts w:asciiTheme="minorHAnsi" w:hAnsiTheme="minorHAnsi" w:cstheme="minorHAnsi"/>
          <w:sz w:val="22"/>
          <w:szCs w:val="22"/>
        </w:rPr>
        <w:t xml:space="preserve">Regular surveys asking about </w:t>
      </w:r>
      <w:r w:rsidRPr="001C181F">
        <w:rPr>
          <w:rFonts w:asciiTheme="minorHAnsi" w:hAnsiTheme="minorHAnsi" w:cstheme="minorHAnsi"/>
          <w:i/>
          <w:sz w:val="22"/>
          <w:szCs w:val="22"/>
        </w:rPr>
        <w:t>perceptions</w:t>
      </w:r>
      <w:r w:rsidRPr="0062432C">
        <w:rPr>
          <w:rFonts w:asciiTheme="minorHAnsi" w:hAnsiTheme="minorHAnsi" w:cstheme="minorHAnsi"/>
          <w:sz w:val="22"/>
          <w:szCs w:val="22"/>
        </w:rPr>
        <w:t xml:space="preserve"> of electoral fraud have been conducted on behalf of the Electoral Commission for over 15 years, in its annual ‘Winter Tracker’ surveys </w:t>
      </w:r>
      <w:r w:rsidR="00D60998">
        <w:rPr>
          <w:rFonts w:asciiTheme="minorHAnsi" w:hAnsiTheme="minorHAnsi" w:cstheme="minorHAnsi"/>
          <w:sz w:val="22"/>
          <w:szCs w:val="22"/>
        </w:rPr>
        <w:t>and</w:t>
      </w:r>
      <w:r w:rsidRPr="0062432C">
        <w:rPr>
          <w:rFonts w:asciiTheme="minorHAnsi" w:hAnsiTheme="minorHAnsi" w:cstheme="minorHAnsi"/>
          <w:sz w:val="22"/>
          <w:szCs w:val="22"/>
        </w:rPr>
        <w:t xml:space="preserve"> in post-election poll</w:t>
      </w:r>
      <w:r w:rsidR="00D60998">
        <w:rPr>
          <w:rFonts w:asciiTheme="minorHAnsi" w:hAnsiTheme="minorHAnsi" w:cstheme="minorHAnsi"/>
          <w:sz w:val="22"/>
          <w:szCs w:val="22"/>
        </w:rPr>
        <w:t>ing</w:t>
      </w:r>
      <w:r w:rsidR="000D4931">
        <w:rPr>
          <w:rFonts w:asciiTheme="minorHAnsi" w:hAnsiTheme="minorHAnsi" w:cstheme="minorHAnsi"/>
          <w:sz w:val="22"/>
          <w:szCs w:val="22"/>
        </w:rPr>
        <w:t xml:space="preserve"> (</w:t>
      </w:r>
      <w:r w:rsidR="004E3CE7">
        <w:rPr>
          <w:rFonts w:asciiTheme="minorHAnsi" w:hAnsiTheme="minorHAnsi" w:cstheme="minorHAnsi"/>
          <w:sz w:val="22"/>
          <w:szCs w:val="22"/>
        </w:rPr>
        <w:t>e.g.</w:t>
      </w:r>
      <w:r w:rsidR="000D4931">
        <w:rPr>
          <w:rFonts w:asciiTheme="minorHAnsi" w:hAnsiTheme="minorHAnsi" w:cstheme="minorHAnsi"/>
          <w:sz w:val="22"/>
          <w:szCs w:val="22"/>
        </w:rPr>
        <w:t xml:space="preserve"> BMG Research, 2019)</w:t>
      </w:r>
      <w:r w:rsidRPr="0062432C">
        <w:rPr>
          <w:rFonts w:asciiTheme="minorHAnsi" w:hAnsiTheme="minorHAnsi" w:cstheme="minorHAnsi"/>
          <w:sz w:val="22"/>
          <w:szCs w:val="22"/>
        </w:rPr>
        <w:t xml:space="preserve">. </w:t>
      </w:r>
      <w:r w:rsidR="000D4931">
        <w:rPr>
          <w:rFonts w:asciiTheme="minorHAnsi" w:hAnsiTheme="minorHAnsi" w:cstheme="minorHAnsi"/>
          <w:sz w:val="22"/>
          <w:szCs w:val="22"/>
        </w:rPr>
        <w:t>An</w:t>
      </w:r>
      <w:r>
        <w:rPr>
          <w:rFonts w:asciiTheme="minorHAnsi" w:hAnsiTheme="minorHAnsi" w:cstheme="minorHAnsi"/>
          <w:sz w:val="22"/>
          <w:szCs w:val="22"/>
        </w:rPr>
        <w:t xml:space="preserve"> extended battery of electoral fraud questions</w:t>
      </w:r>
      <w:r w:rsidR="00D60998">
        <w:rPr>
          <w:rFonts w:asciiTheme="minorHAnsi" w:hAnsiTheme="minorHAnsi" w:cstheme="minorHAnsi"/>
          <w:sz w:val="22"/>
          <w:szCs w:val="22"/>
        </w:rPr>
        <w:t>,</w:t>
      </w:r>
      <w:r>
        <w:rPr>
          <w:rFonts w:asciiTheme="minorHAnsi" w:hAnsiTheme="minorHAnsi" w:cstheme="minorHAnsi"/>
          <w:sz w:val="22"/>
          <w:szCs w:val="22"/>
        </w:rPr>
        <w:t xml:space="preserve"> </w:t>
      </w:r>
      <w:r w:rsidR="000D4931">
        <w:rPr>
          <w:rFonts w:asciiTheme="minorHAnsi" w:hAnsiTheme="minorHAnsi" w:cstheme="minorHAnsi"/>
          <w:sz w:val="22"/>
          <w:szCs w:val="22"/>
        </w:rPr>
        <w:t xml:space="preserve">asking </w:t>
      </w:r>
      <w:r>
        <w:rPr>
          <w:rFonts w:asciiTheme="minorHAnsi" w:hAnsiTheme="minorHAnsi" w:cstheme="minorHAnsi"/>
          <w:sz w:val="22"/>
          <w:szCs w:val="22"/>
        </w:rPr>
        <w:t>respondents about their perceptions and experiences of electoral fraud</w:t>
      </w:r>
      <w:r w:rsidR="00D60998">
        <w:rPr>
          <w:rFonts w:asciiTheme="minorHAnsi" w:hAnsiTheme="minorHAnsi" w:cstheme="minorHAnsi"/>
          <w:sz w:val="22"/>
          <w:szCs w:val="22"/>
        </w:rPr>
        <w:t>, are now included in the Winter Tracker</w:t>
      </w:r>
      <w:r>
        <w:rPr>
          <w:rFonts w:asciiTheme="minorHAnsi" w:hAnsiTheme="minorHAnsi" w:cstheme="minorHAnsi"/>
          <w:sz w:val="22"/>
          <w:szCs w:val="22"/>
        </w:rPr>
        <w:t>. A</w:t>
      </w:r>
      <w:r w:rsidRPr="0062432C">
        <w:rPr>
          <w:rFonts w:asciiTheme="minorHAnsi" w:hAnsiTheme="minorHAnsi" w:cstheme="minorHAnsi"/>
          <w:sz w:val="22"/>
          <w:szCs w:val="22"/>
        </w:rPr>
        <w:t xml:space="preserve">nalysis has typically been restricted to </w:t>
      </w:r>
      <w:r>
        <w:rPr>
          <w:rFonts w:asciiTheme="minorHAnsi" w:hAnsiTheme="minorHAnsi" w:cstheme="minorHAnsi"/>
          <w:sz w:val="22"/>
          <w:szCs w:val="22"/>
        </w:rPr>
        <w:t>simple</w:t>
      </w:r>
      <w:r w:rsidRPr="0062432C" w:rsidDel="00667CBE">
        <w:rPr>
          <w:rFonts w:asciiTheme="minorHAnsi" w:hAnsiTheme="minorHAnsi" w:cstheme="minorHAnsi"/>
          <w:sz w:val="22"/>
          <w:szCs w:val="22"/>
        </w:rPr>
        <w:t xml:space="preserve"> </w:t>
      </w:r>
      <w:r w:rsidRPr="0062432C">
        <w:rPr>
          <w:rFonts w:asciiTheme="minorHAnsi" w:hAnsiTheme="minorHAnsi" w:cstheme="minorHAnsi"/>
          <w:sz w:val="22"/>
          <w:szCs w:val="22"/>
        </w:rPr>
        <w:t>‘top</w:t>
      </w:r>
      <w:r>
        <w:rPr>
          <w:rFonts w:asciiTheme="minorHAnsi" w:hAnsiTheme="minorHAnsi" w:cstheme="minorHAnsi"/>
          <w:sz w:val="22"/>
          <w:szCs w:val="22"/>
        </w:rPr>
        <w:t xml:space="preserve"> </w:t>
      </w:r>
      <w:r w:rsidRPr="0062432C">
        <w:rPr>
          <w:rFonts w:asciiTheme="minorHAnsi" w:hAnsiTheme="minorHAnsi" w:cstheme="minorHAnsi"/>
          <w:sz w:val="22"/>
          <w:szCs w:val="22"/>
        </w:rPr>
        <w:t xml:space="preserve">line’ results from these surveys </w:t>
      </w:r>
      <w:r w:rsidR="00D60998">
        <w:rPr>
          <w:rFonts w:asciiTheme="minorHAnsi" w:hAnsiTheme="minorHAnsi" w:cstheme="minorHAnsi"/>
          <w:sz w:val="22"/>
          <w:szCs w:val="22"/>
        </w:rPr>
        <w:t xml:space="preserve">with </w:t>
      </w:r>
      <w:r w:rsidRPr="0062432C">
        <w:rPr>
          <w:rFonts w:asciiTheme="minorHAnsi" w:hAnsiTheme="minorHAnsi" w:cstheme="minorHAnsi"/>
          <w:sz w:val="22"/>
          <w:szCs w:val="22"/>
        </w:rPr>
        <w:t xml:space="preserve">only limited attempts made to identify how </w:t>
      </w:r>
      <w:r w:rsidR="00D60998">
        <w:rPr>
          <w:rFonts w:asciiTheme="minorHAnsi" w:hAnsiTheme="minorHAnsi" w:cstheme="minorHAnsi"/>
          <w:sz w:val="22"/>
          <w:szCs w:val="22"/>
        </w:rPr>
        <w:t xml:space="preserve">and why </w:t>
      </w:r>
      <w:r w:rsidRPr="0062432C">
        <w:rPr>
          <w:rFonts w:asciiTheme="minorHAnsi" w:hAnsiTheme="minorHAnsi" w:cstheme="minorHAnsi"/>
          <w:sz w:val="22"/>
          <w:szCs w:val="22"/>
        </w:rPr>
        <w:t xml:space="preserve">perceptions vary between different social groups. </w:t>
      </w:r>
      <w:r w:rsidR="00D60998">
        <w:rPr>
          <w:rFonts w:asciiTheme="minorHAnsi" w:hAnsiTheme="minorHAnsi" w:cstheme="minorHAnsi"/>
          <w:sz w:val="22"/>
          <w:szCs w:val="22"/>
        </w:rPr>
        <w:t>T</w:t>
      </w:r>
      <w:r w:rsidRPr="0062432C">
        <w:rPr>
          <w:rFonts w:asciiTheme="minorHAnsi" w:hAnsiTheme="minorHAnsi" w:cstheme="minorHAnsi"/>
          <w:sz w:val="22"/>
          <w:szCs w:val="22"/>
        </w:rPr>
        <w:t>hese surveys</w:t>
      </w:r>
      <w:r w:rsidR="00D60998">
        <w:rPr>
          <w:rFonts w:asciiTheme="minorHAnsi" w:hAnsiTheme="minorHAnsi" w:cstheme="minorHAnsi"/>
          <w:sz w:val="22"/>
          <w:szCs w:val="22"/>
        </w:rPr>
        <w:t xml:space="preserve"> show</w:t>
      </w:r>
      <w:r w:rsidRPr="0062432C">
        <w:rPr>
          <w:rFonts w:asciiTheme="minorHAnsi" w:hAnsiTheme="minorHAnsi" w:cstheme="minorHAnsi"/>
          <w:sz w:val="22"/>
          <w:szCs w:val="22"/>
        </w:rPr>
        <w:t xml:space="preserve"> a consistent tendency for about </w:t>
      </w:r>
      <w:r>
        <w:rPr>
          <w:rFonts w:asciiTheme="minorHAnsi" w:hAnsiTheme="minorHAnsi" w:cstheme="minorHAnsi"/>
          <w:sz w:val="22"/>
          <w:szCs w:val="22"/>
        </w:rPr>
        <w:t>40%</w:t>
      </w:r>
      <w:r w:rsidRPr="0062432C">
        <w:rPr>
          <w:rFonts w:asciiTheme="minorHAnsi" w:hAnsiTheme="minorHAnsi" w:cstheme="minorHAnsi"/>
          <w:sz w:val="22"/>
          <w:szCs w:val="22"/>
        </w:rPr>
        <w:t xml:space="preserve"> of the electorate to </w:t>
      </w:r>
      <w:r>
        <w:rPr>
          <w:rFonts w:asciiTheme="minorHAnsi" w:hAnsiTheme="minorHAnsi" w:cstheme="minorHAnsi"/>
          <w:sz w:val="22"/>
          <w:szCs w:val="22"/>
        </w:rPr>
        <w:t>agree with the statement that “T</w:t>
      </w:r>
      <w:r w:rsidRPr="008674A0">
        <w:rPr>
          <w:rFonts w:asciiTheme="minorHAnsi" w:hAnsiTheme="minorHAnsi" w:cstheme="minorHAnsi"/>
          <w:sz w:val="22"/>
          <w:szCs w:val="22"/>
        </w:rPr>
        <w:t>here could be enough electoral fraud in some areas to affect the election result</w:t>
      </w:r>
      <w:r>
        <w:rPr>
          <w:rFonts w:asciiTheme="minorHAnsi" w:hAnsiTheme="minorHAnsi" w:cstheme="minorHAnsi"/>
          <w:sz w:val="22"/>
          <w:szCs w:val="22"/>
        </w:rPr>
        <w:t xml:space="preserve">”. </w:t>
      </w:r>
      <w:r w:rsidR="00D60998">
        <w:rPr>
          <w:rFonts w:asciiTheme="minorHAnsi" w:hAnsiTheme="minorHAnsi" w:cstheme="minorHAnsi"/>
          <w:sz w:val="22"/>
          <w:szCs w:val="22"/>
        </w:rPr>
        <w:t xml:space="preserve">However, </w:t>
      </w:r>
      <w:r>
        <w:rPr>
          <w:rFonts w:asciiTheme="minorHAnsi" w:hAnsiTheme="minorHAnsi" w:cstheme="minorHAnsi"/>
          <w:sz w:val="22"/>
          <w:szCs w:val="22"/>
        </w:rPr>
        <w:t xml:space="preserve">the proportion </w:t>
      </w:r>
      <w:r w:rsidR="00D60998">
        <w:rPr>
          <w:rFonts w:asciiTheme="minorHAnsi" w:hAnsiTheme="minorHAnsi" w:cstheme="minorHAnsi"/>
          <w:sz w:val="22"/>
          <w:szCs w:val="22"/>
        </w:rPr>
        <w:t xml:space="preserve">agreeing </w:t>
      </w:r>
      <w:r>
        <w:rPr>
          <w:rFonts w:asciiTheme="minorHAnsi" w:hAnsiTheme="minorHAnsi" w:cstheme="minorHAnsi"/>
          <w:sz w:val="22"/>
          <w:szCs w:val="22"/>
        </w:rPr>
        <w:t>that “</w:t>
      </w:r>
      <w:r w:rsidRPr="0062432C">
        <w:rPr>
          <w:rFonts w:asciiTheme="minorHAnsi" w:hAnsiTheme="minorHAnsi" w:cstheme="minorHAnsi"/>
          <w:sz w:val="22"/>
          <w:szCs w:val="22"/>
        </w:rPr>
        <w:t xml:space="preserve">electoral fraud is </w:t>
      </w:r>
      <w:r>
        <w:rPr>
          <w:rFonts w:asciiTheme="minorHAnsi" w:hAnsiTheme="minorHAnsi" w:cstheme="minorHAnsi"/>
          <w:sz w:val="22"/>
          <w:szCs w:val="22"/>
        </w:rPr>
        <w:t>very common where I</w:t>
      </w:r>
      <w:r w:rsidRPr="0062432C">
        <w:rPr>
          <w:rFonts w:asciiTheme="minorHAnsi" w:hAnsiTheme="minorHAnsi" w:cstheme="minorHAnsi"/>
          <w:sz w:val="22"/>
          <w:szCs w:val="22"/>
        </w:rPr>
        <w:t xml:space="preserve"> live</w:t>
      </w:r>
      <w:r>
        <w:rPr>
          <w:rFonts w:asciiTheme="minorHAnsi" w:hAnsiTheme="minorHAnsi" w:cstheme="minorHAnsi"/>
          <w:sz w:val="22"/>
          <w:szCs w:val="22"/>
        </w:rPr>
        <w:t>”</w:t>
      </w:r>
      <w:r w:rsidRPr="0062432C">
        <w:rPr>
          <w:rFonts w:asciiTheme="minorHAnsi" w:hAnsiTheme="minorHAnsi" w:cstheme="minorHAnsi"/>
          <w:sz w:val="22"/>
          <w:szCs w:val="22"/>
        </w:rPr>
        <w:t xml:space="preserve"> </w:t>
      </w:r>
      <w:r>
        <w:rPr>
          <w:rFonts w:asciiTheme="minorHAnsi" w:hAnsiTheme="minorHAnsi" w:cstheme="minorHAnsi"/>
          <w:sz w:val="22"/>
          <w:szCs w:val="22"/>
        </w:rPr>
        <w:t>tends to be much lower</w:t>
      </w:r>
      <w:r w:rsidR="00F66058">
        <w:rPr>
          <w:rFonts w:asciiTheme="minorHAnsi" w:hAnsiTheme="minorHAnsi" w:cstheme="minorHAnsi"/>
          <w:sz w:val="22"/>
          <w:szCs w:val="22"/>
        </w:rPr>
        <w:t xml:space="preserve"> (</w:t>
      </w:r>
      <w:r>
        <w:rPr>
          <w:rFonts w:asciiTheme="minorHAnsi" w:hAnsiTheme="minorHAnsi" w:cstheme="minorHAnsi"/>
          <w:sz w:val="22"/>
          <w:szCs w:val="22"/>
        </w:rPr>
        <w:t xml:space="preserve">7-12%, </w:t>
      </w:r>
      <w:r w:rsidR="00D60998">
        <w:rPr>
          <w:rFonts w:asciiTheme="minorHAnsi" w:hAnsiTheme="minorHAnsi" w:cstheme="minorHAnsi"/>
          <w:sz w:val="22"/>
          <w:szCs w:val="22"/>
        </w:rPr>
        <w:t xml:space="preserve">depending on whether </w:t>
      </w:r>
      <w:r>
        <w:rPr>
          <w:rFonts w:asciiTheme="minorHAnsi" w:hAnsiTheme="minorHAnsi" w:cstheme="minorHAnsi"/>
          <w:sz w:val="22"/>
          <w:szCs w:val="22"/>
        </w:rPr>
        <w:t xml:space="preserve">“Don’t Know” </w:t>
      </w:r>
      <w:r w:rsidR="00D60998">
        <w:rPr>
          <w:rFonts w:asciiTheme="minorHAnsi" w:hAnsiTheme="minorHAnsi" w:cstheme="minorHAnsi"/>
          <w:sz w:val="22"/>
          <w:szCs w:val="22"/>
        </w:rPr>
        <w:t>is</w:t>
      </w:r>
      <w:r>
        <w:rPr>
          <w:rFonts w:asciiTheme="minorHAnsi" w:hAnsiTheme="minorHAnsi" w:cstheme="minorHAnsi"/>
          <w:sz w:val="22"/>
          <w:szCs w:val="22"/>
        </w:rPr>
        <w:t xml:space="preserve"> excluded as a response category</w:t>
      </w:r>
      <w:r w:rsidR="00F66058">
        <w:rPr>
          <w:rFonts w:asciiTheme="minorHAnsi" w:hAnsiTheme="minorHAnsi" w:cstheme="minorHAnsi"/>
          <w:sz w:val="22"/>
          <w:szCs w:val="22"/>
        </w:rPr>
        <w:t>)</w:t>
      </w:r>
      <w:r>
        <w:rPr>
          <w:rFonts w:asciiTheme="minorHAnsi" w:hAnsiTheme="minorHAnsi" w:cstheme="minorHAnsi"/>
          <w:sz w:val="22"/>
          <w:szCs w:val="22"/>
        </w:rPr>
        <w:t xml:space="preserve">. </w:t>
      </w:r>
      <w:r w:rsidRPr="0062432C">
        <w:rPr>
          <w:rFonts w:asciiTheme="minorHAnsi" w:hAnsiTheme="minorHAnsi" w:cstheme="minorHAnsi"/>
          <w:sz w:val="22"/>
          <w:szCs w:val="22"/>
        </w:rPr>
        <w:t xml:space="preserve">In the 2018 and 2019 Winter Tracker surveys </w:t>
      </w:r>
      <w:r w:rsidRPr="0062432C">
        <w:rPr>
          <w:rFonts w:asciiTheme="minorHAnsi" w:hAnsiTheme="minorHAnsi" w:cstheme="minorHAnsi"/>
          <w:sz w:val="22"/>
          <w:szCs w:val="22"/>
        </w:rPr>
        <w:fldChar w:fldCharType="begin" w:fldLock="1"/>
      </w:r>
      <w:r w:rsidRPr="0062432C">
        <w:rPr>
          <w:rFonts w:asciiTheme="minorHAnsi" w:hAnsiTheme="minorHAnsi" w:cstheme="minorHAnsi"/>
          <w:sz w:val="22"/>
          <w:szCs w:val="22"/>
        </w:rPr>
        <w:instrText>ADDIN CSL_CITATION {"citationItems":[{"id":"ITEM-1","itemData":{"author":[{"dropping-particle":"","family":"BMG Research","given":"","non-dropping-particle":"","parse-names":false,"suffix":""}],"id":"ITEM-1","issued":{"date-parts":[["2019"]]},"title":"Winter Tracking Research 2019","type":"report"},"uris":["http://www.mendeley.com/documents/?uuid=78fb0ee5-6c27-4703-a741-c51c19a8c550"]}],"mendeley":{"formattedCitation":"(BMG Research, 2019)","plainTextFormattedCitation":"(BMG Research, 2019)","previouslyFormattedCitation":"(BMG Research, 2019)"},"properties":{"noteIndex":0},"schema":"https://github.com/citation-style-language/schema/raw/master/csl-citation.json"}</w:instrText>
      </w:r>
      <w:r w:rsidRPr="0062432C">
        <w:rPr>
          <w:rFonts w:asciiTheme="minorHAnsi" w:hAnsiTheme="minorHAnsi" w:cstheme="minorHAnsi"/>
          <w:sz w:val="22"/>
          <w:szCs w:val="22"/>
        </w:rPr>
        <w:fldChar w:fldCharType="separate"/>
      </w:r>
      <w:r w:rsidRPr="0062432C">
        <w:rPr>
          <w:rFonts w:asciiTheme="minorHAnsi" w:hAnsiTheme="minorHAnsi" w:cstheme="minorHAnsi"/>
          <w:noProof/>
          <w:sz w:val="22"/>
          <w:szCs w:val="22"/>
        </w:rPr>
        <w:t>(BMG Research, 2019)</w:t>
      </w:r>
      <w:r w:rsidRPr="0062432C">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62432C">
        <w:rPr>
          <w:rFonts w:asciiTheme="minorHAnsi" w:hAnsiTheme="minorHAnsi" w:cstheme="minorHAnsi"/>
          <w:sz w:val="22"/>
          <w:szCs w:val="22"/>
        </w:rPr>
        <w:t xml:space="preserve">15-18% said they had </w:t>
      </w:r>
      <w:r w:rsidRPr="00D16F35">
        <w:rPr>
          <w:rFonts w:asciiTheme="minorHAnsi" w:hAnsiTheme="minorHAnsi" w:cstheme="minorHAnsi"/>
          <w:i/>
          <w:sz w:val="22"/>
          <w:szCs w:val="22"/>
        </w:rPr>
        <w:t>heard about</w:t>
      </w:r>
      <w:r w:rsidRPr="0062432C">
        <w:rPr>
          <w:rFonts w:asciiTheme="minorHAnsi" w:hAnsiTheme="minorHAnsi" w:cstheme="minorHAnsi"/>
          <w:sz w:val="22"/>
          <w:szCs w:val="22"/>
        </w:rPr>
        <w:t xml:space="preserve"> electoral fraud offences being committed where they live</w:t>
      </w:r>
      <w:r>
        <w:rPr>
          <w:rFonts w:asciiTheme="minorHAnsi" w:hAnsiTheme="minorHAnsi" w:cstheme="minorHAnsi"/>
          <w:sz w:val="22"/>
          <w:szCs w:val="22"/>
        </w:rPr>
        <w:t>d,</w:t>
      </w:r>
      <w:r w:rsidRPr="0062432C">
        <w:rPr>
          <w:rFonts w:asciiTheme="minorHAnsi" w:hAnsiTheme="minorHAnsi" w:cstheme="minorHAnsi"/>
          <w:sz w:val="22"/>
          <w:szCs w:val="22"/>
        </w:rPr>
        <w:t xml:space="preserve"> and 11-12% said they had </w:t>
      </w:r>
      <w:r w:rsidRPr="006C5950">
        <w:rPr>
          <w:rFonts w:asciiTheme="minorHAnsi" w:hAnsiTheme="minorHAnsi" w:cstheme="minorHAnsi"/>
          <w:i/>
          <w:iCs/>
          <w:sz w:val="22"/>
          <w:szCs w:val="22"/>
        </w:rPr>
        <w:t>personally witnessed</w:t>
      </w:r>
      <w:r w:rsidRPr="0062432C">
        <w:rPr>
          <w:rFonts w:asciiTheme="minorHAnsi" w:hAnsiTheme="minorHAnsi" w:cstheme="minorHAnsi"/>
          <w:sz w:val="22"/>
          <w:szCs w:val="22"/>
        </w:rPr>
        <w:t xml:space="preserve"> such events. </w:t>
      </w:r>
      <w:r>
        <w:rPr>
          <w:rFonts w:asciiTheme="minorHAnsi" w:hAnsiTheme="minorHAnsi" w:cstheme="minorHAnsi"/>
          <w:sz w:val="22"/>
          <w:szCs w:val="22"/>
        </w:rPr>
        <w:t xml:space="preserve">Since 2013, respondents </w:t>
      </w:r>
      <w:r w:rsidR="00D60998">
        <w:rPr>
          <w:rFonts w:asciiTheme="minorHAnsi" w:hAnsiTheme="minorHAnsi" w:cstheme="minorHAnsi"/>
          <w:sz w:val="22"/>
          <w:szCs w:val="22"/>
        </w:rPr>
        <w:t xml:space="preserve">have also been asked if they </w:t>
      </w:r>
      <w:r>
        <w:rPr>
          <w:rFonts w:asciiTheme="minorHAnsi" w:hAnsiTheme="minorHAnsi" w:cstheme="minorHAnsi"/>
          <w:sz w:val="22"/>
          <w:szCs w:val="22"/>
        </w:rPr>
        <w:t xml:space="preserve">agree that “I felt like I had little or no choice about who to vote for because of pressure from people I know”. Prior to 2018, around 5% typically </w:t>
      </w:r>
      <w:r w:rsidR="00D60998">
        <w:rPr>
          <w:rFonts w:asciiTheme="minorHAnsi" w:hAnsiTheme="minorHAnsi" w:cstheme="minorHAnsi"/>
          <w:sz w:val="22"/>
          <w:szCs w:val="22"/>
        </w:rPr>
        <w:t>did so</w:t>
      </w:r>
      <w:r>
        <w:rPr>
          <w:rFonts w:asciiTheme="minorHAnsi" w:hAnsiTheme="minorHAnsi" w:cstheme="minorHAnsi"/>
          <w:sz w:val="22"/>
          <w:szCs w:val="22"/>
        </w:rPr>
        <w:t xml:space="preserve">. However, with “Don’t Know” excluded </w:t>
      </w:r>
      <w:r w:rsidR="00DC2FBF">
        <w:rPr>
          <w:rFonts w:asciiTheme="minorHAnsi" w:hAnsiTheme="minorHAnsi" w:cstheme="minorHAnsi"/>
          <w:sz w:val="22"/>
          <w:szCs w:val="22"/>
        </w:rPr>
        <w:t xml:space="preserve">as </w:t>
      </w:r>
      <w:r>
        <w:rPr>
          <w:rFonts w:asciiTheme="minorHAnsi" w:hAnsiTheme="minorHAnsi" w:cstheme="minorHAnsi"/>
          <w:sz w:val="22"/>
          <w:szCs w:val="22"/>
        </w:rPr>
        <w:t xml:space="preserve">an option in 2018 and 2019, this rose to 15%. These responses are of particular interest to </w:t>
      </w:r>
      <w:r w:rsidR="00DC2FBF">
        <w:rPr>
          <w:rFonts w:asciiTheme="minorHAnsi" w:hAnsiTheme="minorHAnsi" w:cstheme="minorHAnsi"/>
          <w:sz w:val="22"/>
          <w:szCs w:val="22"/>
        </w:rPr>
        <w:t>us</w:t>
      </w:r>
      <w:r>
        <w:rPr>
          <w:rFonts w:asciiTheme="minorHAnsi" w:hAnsiTheme="minorHAnsi" w:cstheme="minorHAnsi"/>
          <w:sz w:val="22"/>
          <w:szCs w:val="22"/>
        </w:rPr>
        <w:t>, since the</w:t>
      </w:r>
      <w:r w:rsidR="00DC2FBF">
        <w:rPr>
          <w:rFonts w:asciiTheme="minorHAnsi" w:hAnsiTheme="minorHAnsi" w:cstheme="minorHAnsi"/>
          <w:sz w:val="22"/>
          <w:szCs w:val="22"/>
        </w:rPr>
        <w:t>y</w:t>
      </w:r>
      <w:r>
        <w:rPr>
          <w:rFonts w:asciiTheme="minorHAnsi" w:hAnsiTheme="minorHAnsi" w:cstheme="minorHAnsi"/>
          <w:sz w:val="22"/>
          <w:szCs w:val="22"/>
        </w:rPr>
        <w:t xml:space="preserve"> provide a proxy for </w:t>
      </w:r>
      <w:r w:rsidR="00DC2FBF">
        <w:rPr>
          <w:rFonts w:asciiTheme="minorHAnsi" w:hAnsiTheme="minorHAnsi" w:cstheme="minorHAnsi"/>
          <w:sz w:val="22"/>
          <w:szCs w:val="22"/>
        </w:rPr>
        <w:t>one form of electoral fraud victimisation (</w:t>
      </w:r>
      <w:r>
        <w:rPr>
          <w:rFonts w:asciiTheme="minorHAnsi" w:hAnsiTheme="minorHAnsi" w:cstheme="minorHAnsi"/>
          <w:sz w:val="22"/>
          <w:szCs w:val="22"/>
        </w:rPr>
        <w:t>‘undue influence’</w:t>
      </w:r>
      <w:r w:rsidR="00DC2FBF">
        <w:rPr>
          <w:rFonts w:asciiTheme="minorHAnsi" w:hAnsiTheme="minorHAnsi" w:cstheme="minorHAnsi"/>
          <w:sz w:val="22"/>
          <w:szCs w:val="22"/>
        </w:rPr>
        <w:t>)</w:t>
      </w:r>
      <w:r>
        <w:rPr>
          <w:rFonts w:asciiTheme="minorHAnsi" w:hAnsiTheme="minorHAnsi" w:cstheme="minorHAnsi"/>
          <w:sz w:val="22"/>
          <w:szCs w:val="22"/>
        </w:rPr>
        <w:t xml:space="preserve">, </w:t>
      </w:r>
      <w:r w:rsidR="00DC2FBF">
        <w:rPr>
          <w:rFonts w:asciiTheme="minorHAnsi" w:hAnsiTheme="minorHAnsi" w:cstheme="minorHAnsi"/>
          <w:sz w:val="22"/>
          <w:szCs w:val="22"/>
        </w:rPr>
        <w:t xml:space="preserve">as </w:t>
      </w:r>
      <w:r>
        <w:rPr>
          <w:rFonts w:asciiTheme="minorHAnsi" w:hAnsiTheme="minorHAnsi" w:cstheme="minorHAnsi"/>
          <w:sz w:val="22"/>
          <w:szCs w:val="22"/>
        </w:rPr>
        <w:t xml:space="preserve">we discuss in more detail below. </w:t>
      </w:r>
    </w:p>
    <w:p w14:paraId="2A47DB6C" w14:textId="77777777" w:rsidR="00AA0720" w:rsidRDefault="00AA0720" w:rsidP="00F2006C">
      <w:pPr>
        <w:autoSpaceDE w:val="0"/>
        <w:autoSpaceDN w:val="0"/>
        <w:adjustRightInd w:val="0"/>
        <w:spacing w:after="0" w:line="276" w:lineRule="auto"/>
        <w:rPr>
          <w:rFonts w:cstheme="minorHAnsi"/>
        </w:rPr>
      </w:pPr>
    </w:p>
    <w:p w14:paraId="6CB2B5A6" w14:textId="2F5291BC" w:rsidR="003B2F05" w:rsidRDefault="00920670" w:rsidP="006C5950">
      <w:pPr>
        <w:rPr>
          <w:rFonts w:cstheme="minorHAnsi"/>
        </w:rPr>
      </w:pPr>
      <w:r>
        <w:rPr>
          <w:rFonts w:cstheme="minorHAnsi"/>
          <w:iCs/>
        </w:rPr>
        <w:t xml:space="preserve">As in the US, there is a clear </w:t>
      </w:r>
      <w:r w:rsidR="00DC2FBF">
        <w:rPr>
          <w:rFonts w:cstheme="minorHAnsi"/>
          <w:iCs/>
        </w:rPr>
        <w:t xml:space="preserve">academic </w:t>
      </w:r>
      <w:r>
        <w:rPr>
          <w:rFonts w:cstheme="minorHAnsi"/>
          <w:iCs/>
        </w:rPr>
        <w:t>consensus that electoral fraud is ra</w:t>
      </w:r>
      <w:r w:rsidR="00E06ED3">
        <w:rPr>
          <w:rFonts w:cstheme="minorHAnsi"/>
          <w:iCs/>
        </w:rPr>
        <w:t>r</w:t>
      </w:r>
      <w:r>
        <w:rPr>
          <w:rFonts w:cstheme="minorHAnsi"/>
          <w:iCs/>
        </w:rPr>
        <w:t xml:space="preserve">e in the UK. </w:t>
      </w:r>
      <w:r w:rsidR="00C0396E">
        <w:rPr>
          <w:rFonts w:cstheme="minorHAnsi"/>
          <w:iCs/>
        </w:rPr>
        <w:t xml:space="preserve">However, </w:t>
      </w:r>
      <w:r>
        <w:rPr>
          <w:rFonts w:cstheme="minorHAnsi"/>
          <w:iCs/>
        </w:rPr>
        <w:t xml:space="preserve">a handful of cases of large-scale fraud in </w:t>
      </w:r>
      <w:r w:rsidR="00C0396E">
        <w:rPr>
          <w:rFonts w:cstheme="minorHAnsi"/>
          <w:iCs/>
        </w:rPr>
        <w:t xml:space="preserve">English </w:t>
      </w:r>
      <w:r>
        <w:rPr>
          <w:rFonts w:cstheme="minorHAnsi"/>
          <w:iCs/>
        </w:rPr>
        <w:t>local elections, sufficient to change the result, have also been documented as a resul</w:t>
      </w:r>
      <w:r w:rsidR="00F66058">
        <w:rPr>
          <w:rFonts w:cstheme="minorHAnsi"/>
          <w:iCs/>
        </w:rPr>
        <w:t>t of court cases since the late-</w:t>
      </w:r>
      <w:r>
        <w:rPr>
          <w:rFonts w:cstheme="minorHAnsi"/>
          <w:iCs/>
        </w:rPr>
        <w:t>1990s (Stewart, 2006; Wilks-Heeg, 2009; Wilks-Heeg and Morris, 2018)</w:t>
      </w:r>
      <w:r w:rsidR="00C0396E">
        <w:rPr>
          <w:rFonts w:cstheme="minorHAnsi"/>
          <w:iCs/>
        </w:rPr>
        <w:t>.</w:t>
      </w:r>
      <w:r w:rsidR="00AA0720">
        <w:rPr>
          <w:rFonts w:cstheme="minorHAnsi"/>
          <w:iCs/>
        </w:rPr>
        <w:t xml:space="preserve"> </w:t>
      </w:r>
      <w:r w:rsidR="0003384E">
        <w:t xml:space="preserve">Consideration of these cases has led to </w:t>
      </w:r>
      <w:r w:rsidR="00DC7468" w:rsidRPr="003B363E">
        <w:rPr>
          <w:rFonts w:cstheme="minorHAnsi"/>
        </w:rPr>
        <w:t xml:space="preserve">a particular focus on </w:t>
      </w:r>
      <w:r w:rsidR="0003384E">
        <w:rPr>
          <w:rFonts w:cstheme="minorHAnsi"/>
        </w:rPr>
        <w:t>socio-</w:t>
      </w:r>
      <w:r w:rsidR="00DC7468" w:rsidRPr="003B363E">
        <w:rPr>
          <w:rFonts w:cstheme="minorHAnsi"/>
        </w:rPr>
        <w:t>geographical factors</w:t>
      </w:r>
      <w:r w:rsidR="0003384E">
        <w:rPr>
          <w:rFonts w:cstheme="minorHAnsi"/>
        </w:rPr>
        <w:t xml:space="preserve"> in UK research into electoral fraud</w:t>
      </w:r>
      <w:r w:rsidR="00DC7468" w:rsidRPr="003B363E">
        <w:rPr>
          <w:rFonts w:cstheme="minorHAnsi"/>
        </w:rPr>
        <w:t xml:space="preserve">, especially since the Electoral Commission’s (2014) </w:t>
      </w:r>
      <w:r w:rsidR="00DC2FBF">
        <w:rPr>
          <w:rFonts w:cstheme="minorHAnsi"/>
        </w:rPr>
        <w:t xml:space="preserve">initial </w:t>
      </w:r>
      <w:r w:rsidR="00DC7468" w:rsidRPr="003B363E">
        <w:rPr>
          <w:rFonts w:cstheme="minorHAnsi"/>
        </w:rPr>
        <w:t>identification of 16 areas at risk of e</w:t>
      </w:r>
      <w:r w:rsidR="0003384E">
        <w:rPr>
          <w:rFonts w:cstheme="minorHAnsi"/>
        </w:rPr>
        <w:t>lectoral fraud (</w:t>
      </w:r>
      <w:r w:rsidR="0003384E" w:rsidRPr="003B363E">
        <w:t xml:space="preserve">Fisher and </w:t>
      </w:r>
      <w:r w:rsidR="0003384E" w:rsidRPr="003B363E">
        <w:rPr>
          <w:rStyle w:val="Emphasis"/>
          <w:rFonts w:cstheme="minorHAnsi"/>
          <w:i w:val="0"/>
          <w:iCs w:val="0"/>
          <w:shd w:val="clear" w:color="auto" w:fill="FFFFFF"/>
        </w:rPr>
        <w:t>Sällberg</w:t>
      </w:r>
      <w:r w:rsidR="0003384E">
        <w:t xml:space="preserve">, </w:t>
      </w:r>
      <w:r w:rsidR="0003384E" w:rsidRPr="003B363E">
        <w:t>2020)</w:t>
      </w:r>
      <w:r w:rsidR="0003384E">
        <w:t xml:space="preserve">. </w:t>
      </w:r>
      <w:r w:rsidR="00401D28">
        <w:rPr>
          <w:rFonts w:cstheme="minorHAnsi"/>
          <w:iCs/>
        </w:rPr>
        <w:t xml:space="preserve">Based on </w:t>
      </w:r>
      <w:r w:rsidR="00464BAE">
        <w:rPr>
          <w:rFonts w:cstheme="minorHAnsi"/>
          <w:iCs/>
        </w:rPr>
        <w:t xml:space="preserve">criminal justice </w:t>
      </w:r>
      <w:r w:rsidR="00401D28">
        <w:rPr>
          <w:rFonts w:cstheme="minorHAnsi"/>
          <w:iCs/>
        </w:rPr>
        <w:t xml:space="preserve">data </w:t>
      </w:r>
      <w:r w:rsidR="00464BAE">
        <w:rPr>
          <w:rFonts w:cstheme="minorHAnsi"/>
          <w:iCs/>
        </w:rPr>
        <w:t xml:space="preserve">and </w:t>
      </w:r>
      <w:r w:rsidR="00401D28">
        <w:rPr>
          <w:rFonts w:cstheme="minorHAnsi"/>
          <w:iCs/>
        </w:rPr>
        <w:t xml:space="preserve">qualitative evidence from political parties and campaigners, </w:t>
      </w:r>
      <w:r w:rsidR="00401D28" w:rsidRPr="003F5E8A">
        <w:rPr>
          <w:rFonts w:cstheme="minorHAnsi"/>
        </w:rPr>
        <w:t>the Electoral Commis</w:t>
      </w:r>
      <w:r w:rsidR="00401D28">
        <w:rPr>
          <w:rFonts w:cstheme="minorHAnsi"/>
        </w:rPr>
        <w:t>sion</w:t>
      </w:r>
      <w:r w:rsidR="0003384E">
        <w:rPr>
          <w:rFonts w:cstheme="minorHAnsi"/>
        </w:rPr>
        <w:t xml:space="preserve"> noted that these areas had</w:t>
      </w:r>
      <w:r w:rsidR="00401D28" w:rsidRPr="003F5E8A">
        <w:rPr>
          <w:rFonts w:cstheme="minorHAnsi"/>
        </w:rPr>
        <w:t xml:space="preserve"> a “previous history of allegations of electoral fraud” </w:t>
      </w:r>
      <w:r w:rsidR="00DC2FBF">
        <w:rPr>
          <w:rFonts w:cstheme="minorHAnsi"/>
        </w:rPr>
        <w:t xml:space="preserve">and </w:t>
      </w:r>
      <w:r w:rsidR="00401D28" w:rsidRPr="003F5E8A">
        <w:rPr>
          <w:rFonts w:cstheme="minorHAnsi"/>
        </w:rPr>
        <w:t xml:space="preserve">were </w:t>
      </w:r>
      <w:r w:rsidR="0003384E">
        <w:rPr>
          <w:rFonts w:cstheme="minorHAnsi"/>
        </w:rPr>
        <w:t xml:space="preserve">typically </w:t>
      </w:r>
      <w:r w:rsidR="00401D28" w:rsidRPr="003F5E8A">
        <w:rPr>
          <w:rFonts w:cstheme="minorHAnsi"/>
        </w:rPr>
        <w:t xml:space="preserve">“densely populated with a transient population, a high number of multiple occupancy houses (and) </w:t>
      </w:r>
      <w:r w:rsidR="00DC2FBF">
        <w:rPr>
          <w:rFonts w:cstheme="minorHAnsi"/>
        </w:rPr>
        <w:t>(…)</w:t>
      </w:r>
      <w:r w:rsidR="00401D28" w:rsidRPr="003F5E8A">
        <w:rPr>
          <w:rFonts w:cstheme="minorHAnsi"/>
        </w:rPr>
        <w:t xml:space="preserve"> also often home to communities with a diverse range of nationalities and ethnic backgrounds”</w:t>
      </w:r>
      <w:r w:rsidR="00401D28">
        <w:rPr>
          <w:rFonts w:cstheme="minorHAnsi"/>
        </w:rPr>
        <w:t xml:space="preserve"> </w:t>
      </w:r>
      <w:r w:rsidR="00401D28" w:rsidRPr="003F5E8A">
        <w:rPr>
          <w:rFonts w:cstheme="minorHAnsi"/>
        </w:rPr>
        <w:t xml:space="preserve">(Electoral Commission, 2014:16). </w:t>
      </w:r>
      <w:r w:rsidR="00464BAE">
        <w:rPr>
          <w:rFonts w:cstheme="minorHAnsi"/>
        </w:rPr>
        <w:t xml:space="preserve">As </w:t>
      </w:r>
      <w:r w:rsidR="00464BAE" w:rsidRPr="003B363E">
        <w:t xml:space="preserve">Fisher and </w:t>
      </w:r>
      <w:r w:rsidR="00464BAE" w:rsidRPr="003B363E">
        <w:rPr>
          <w:rStyle w:val="Emphasis"/>
          <w:rFonts w:cstheme="minorHAnsi"/>
          <w:i w:val="0"/>
          <w:iCs w:val="0"/>
          <w:shd w:val="clear" w:color="auto" w:fill="FFFFFF"/>
        </w:rPr>
        <w:t>Sällberg</w:t>
      </w:r>
      <w:r w:rsidR="00464BAE">
        <w:rPr>
          <w:rStyle w:val="Emphasis"/>
          <w:rFonts w:cstheme="minorHAnsi"/>
          <w:i w:val="0"/>
          <w:iCs w:val="0"/>
          <w:shd w:val="clear" w:color="auto" w:fill="FFFFFF"/>
        </w:rPr>
        <w:t xml:space="preserve"> (</w:t>
      </w:r>
      <w:r w:rsidR="00464BAE" w:rsidRPr="003B363E">
        <w:t>2020)</w:t>
      </w:r>
      <w:r w:rsidR="00464BAE">
        <w:t xml:space="preserve"> note, </w:t>
      </w:r>
      <w:r w:rsidR="00464BAE">
        <w:rPr>
          <w:rFonts w:cstheme="minorHAnsi"/>
        </w:rPr>
        <w:t>t</w:t>
      </w:r>
      <w:r w:rsidR="00B267A0">
        <w:rPr>
          <w:rFonts w:cstheme="minorHAnsi"/>
        </w:rPr>
        <w:t>hes</w:t>
      </w:r>
      <w:r w:rsidR="00401D28" w:rsidRPr="003F5E8A">
        <w:rPr>
          <w:rFonts w:cstheme="minorHAnsi"/>
        </w:rPr>
        <w:t xml:space="preserve">e </w:t>
      </w:r>
      <w:r w:rsidR="00B267A0">
        <w:rPr>
          <w:rFonts w:cstheme="minorHAnsi"/>
        </w:rPr>
        <w:t xml:space="preserve">observations are consistent with </w:t>
      </w:r>
      <w:r w:rsidR="00E06ED3">
        <w:rPr>
          <w:rFonts w:cstheme="minorHAnsi"/>
        </w:rPr>
        <w:t>other</w:t>
      </w:r>
      <w:r w:rsidR="00B267A0">
        <w:rPr>
          <w:rFonts w:cstheme="minorHAnsi"/>
        </w:rPr>
        <w:t xml:space="preserve"> research findings internationally</w:t>
      </w:r>
      <w:r w:rsidR="0003384E">
        <w:rPr>
          <w:rFonts w:cstheme="minorHAnsi"/>
        </w:rPr>
        <w:t xml:space="preserve"> which have </w:t>
      </w:r>
      <w:r w:rsidR="00DC2FBF">
        <w:rPr>
          <w:rFonts w:cstheme="minorHAnsi"/>
        </w:rPr>
        <w:t xml:space="preserve">identified a link between electoral fraud and either </w:t>
      </w:r>
      <w:r w:rsidR="00464BAE">
        <w:rPr>
          <w:rFonts w:cstheme="minorHAnsi"/>
        </w:rPr>
        <w:t xml:space="preserve">population density </w:t>
      </w:r>
      <w:r w:rsidR="00DC2FBF">
        <w:rPr>
          <w:rFonts w:cstheme="minorHAnsi"/>
        </w:rPr>
        <w:t>or</w:t>
      </w:r>
      <w:r w:rsidR="00464BAE">
        <w:rPr>
          <w:rFonts w:cstheme="minorHAnsi"/>
        </w:rPr>
        <w:t xml:space="preserve"> concentration of ethnic minorit</w:t>
      </w:r>
      <w:r w:rsidR="00DC2FBF">
        <w:rPr>
          <w:rFonts w:cstheme="minorHAnsi"/>
        </w:rPr>
        <w:t>y groups</w:t>
      </w:r>
      <w:r w:rsidR="00464BAE">
        <w:rPr>
          <w:rFonts w:cstheme="minorHAnsi"/>
        </w:rPr>
        <w:t>.</w:t>
      </w:r>
    </w:p>
    <w:p w14:paraId="5268BE76" w14:textId="4432B297" w:rsidR="00913920" w:rsidRDefault="00464BAE" w:rsidP="006C5950">
      <w:pPr>
        <w:rPr>
          <w:rFonts w:cstheme="minorHAnsi"/>
        </w:rPr>
      </w:pPr>
      <w:r>
        <w:rPr>
          <w:rFonts w:cstheme="minorHAnsi"/>
        </w:rPr>
        <w:t>A more</w:t>
      </w:r>
      <w:r w:rsidR="00B267A0">
        <w:rPr>
          <w:rFonts w:cstheme="minorHAnsi"/>
        </w:rPr>
        <w:t xml:space="preserve"> controversial feature of the UK</w:t>
      </w:r>
      <w:r w:rsidR="00401D28" w:rsidRPr="003F5E8A">
        <w:rPr>
          <w:rFonts w:cstheme="minorHAnsi"/>
        </w:rPr>
        <w:t xml:space="preserve"> </w:t>
      </w:r>
      <w:r w:rsidR="00B267A0">
        <w:rPr>
          <w:rFonts w:cstheme="minorHAnsi"/>
        </w:rPr>
        <w:t xml:space="preserve">literature is that it has </w:t>
      </w:r>
      <w:r w:rsidR="00B267A0" w:rsidRPr="003F5E8A">
        <w:rPr>
          <w:rFonts w:cstheme="minorHAnsi"/>
        </w:rPr>
        <w:t>highlighted specific electoral fraud vulnerabilities in some areas with large Pakistani or Bangladeshi communities (Peace and Akhtar 2015; Hill et al</w:t>
      </w:r>
      <w:r>
        <w:rPr>
          <w:rFonts w:cstheme="minorHAnsi"/>
        </w:rPr>
        <w:t>.</w:t>
      </w:r>
      <w:r w:rsidR="00B267A0" w:rsidRPr="003F5E8A">
        <w:rPr>
          <w:rFonts w:cstheme="minorHAnsi"/>
        </w:rPr>
        <w:t>, 2017)</w:t>
      </w:r>
      <w:r w:rsidR="00B267A0">
        <w:rPr>
          <w:rFonts w:cstheme="minorHAnsi"/>
        </w:rPr>
        <w:t>.</w:t>
      </w:r>
      <w:r w:rsidR="00B267A0" w:rsidRPr="003F5E8A">
        <w:rPr>
          <w:rFonts w:cstheme="minorHAnsi"/>
        </w:rPr>
        <w:t xml:space="preserve"> </w:t>
      </w:r>
      <w:r w:rsidR="00DC2FBF">
        <w:rPr>
          <w:rFonts w:cstheme="minorHAnsi"/>
        </w:rPr>
        <w:t>T</w:t>
      </w:r>
      <w:r w:rsidR="003B2F05" w:rsidRPr="003F5E8A">
        <w:rPr>
          <w:rFonts w:cstheme="minorHAnsi"/>
        </w:rPr>
        <w:t xml:space="preserve">he </w:t>
      </w:r>
      <w:r w:rsidR="00E06ED3">
        <w:rPr>
          <w:rFonts w:cstheme="minorHAnsi"/>
        </w:rPr>
        <w:t xml:space="preserve">particular </w:t>
      </w:r>
      <w:r w:rsidR="003B2F05" w:rsidRPr="003F5E8A">
        <w:rPr>
          <w:rFonts w:cstheme="minorHAnsi"/>
        </w:rPr>
        <w:t xml:space="preserve">role of </w:t>
      </w:r>
      <w:r>
        <w:rPr>
          <w:rFonts w:cstheme="minorHAnsi"/>
        </w:rPr>
        <w:t>‘</w:t>
      </w:r>
      <w:r w:rsidR="003B2F05" w:rsidRPr="003F5E8A">
        <w:rPr>
          <w:rFonts w:cstheme="minorHAnsi"/>
        </w:rPr>
        <w:t>biraderi</w:t>
      </w:r>
      <w:r>
        <w:rPr>
          <w:rFonts w:cstheme="minorHAnsi"/>
        </w:rPr>
        <w:t>’</w:t>
      </w:r>
      <w:r w:rsidR="003B2F05" w:rsidRPr="003F5E8A">
        <w:rPr>
          <w:rFonts w:cstheme="minorHAnsi"/>
        </w:rPr>
        <w:t>, or kinship, networks in some British Muslim communities</w:t>
      </w:r>
      <w:r w:rsidR="00E06ED3">
        <w:rPr>
          <w:rFonts w:cstheme="minorHAnsi"/>
        </w:rPr>
        <w:t xml:space="preserve"> has been </w:t>
      </w:r>
      <w:r w:rsidR="00DC2FBF">
        <w:rPr>
          <w:rFonts w:cstheme="minorHAnsi"/>
        </w:rPr>
        <w:t>highlighted</w:t>
      </w:r>
      <w:r>
        <w:rPr>
          <w:rFonts w:cstheme="minorHAnsi"/>
        </w:rPr>
        <w:t xml:space="preserve"> in</w:t>
      </w:r>
      <w:r w:rsidR="0094336F">
        <w:rPr>
          <w:rFonts w:cstheme="minorHAnsi"/>
        </w:rPr>
        <w:t xml:space="preserve"> a number of qualitative studies</w:t>
      </w:r>
      <w:r w:rsidR="00E06ED3">
        <w:rPr>
          <w:rFonts w:cstheme="minorHAnsi"/>
        </w:rPr>
        <w:t>. Research</w:t>
      </w:r>
      <w:r w:rsidR="00DC2FBF">
        <w:rPr>
          <w:rFonts w:cstheme="minorHAnsi"/>
        </w:rPr>
        <w:t>ers</w:t>
      </w:r>
      <w:r w:rsidR="00E06ED3">
        <w:rPr>
          <w:rFonts w:cstheme="minorHAnsi"/>
        </w:rPr>
        <w:t xml:space="preserve"> ha</w:t>
      </w:r>
      <w:r w:rsidR="00DC2FBF">
        <w:rPr>
          <w:rFonts w:cstheme="minorHAnsi"/>
        </w:rPr>
        <w:t>ve</w:t>
      </w:r>
      <w:r w:rsidR="00E06ED3">
        <w:rPr>
          <w:rFonts w:cstheme="minorHAnsi"/>
        </w:rPr>
        <w:t xml:space="preserve"> </w:t>
      </w:r>
      <w:r w:rsidR="00B649FD">
        <w:rPr>
          <w:rFonts w:cstheme="minorHAnsi"/>
        </w:rPr>
        <w:t>stressed the beneficial roles of this</w:t>
      </w:r>
      <w:r w:rsidR="00E06ED3">
        <w:rPr>
          <w:rFonts w:cstheme="minorHAnsi"/>
        </w:rPr>
        <w:t xml:space="preserve"> form of social organisation</w:t>
      </w:r>
      <w:r w:rsidR="00B649FD">
        <w:rPr>
          <w:rFonts w:cstheme="minorHAnsi"/>
        </w:rPr>
        <w:t xml:space="preserve"> in promoting community cohesion and</w:t>
      </w:r>
      <w:r w:rsidR="00E06ED3">
        <w:rPr>
          <w:rFonts w:cstheme="minorHAnsi"/>
        </w:rPr>
        <w:t xml:space="preserve"> mutual </w:t>
      </w:r>
      <w:r>
        <w:rPr>
          <w:rFonts w:cstheme="minorHAnsi"/>
        </w:rPr>
        <w:t>aid in</w:t>
      </w:r>
      <w:r w:rsidR="00E06ED3">
        <w:rPr>
          <w:rFonts w:cstheme="minorHAnsi"/>
        </w:rPr>
        <w:t xml:space="preserve"> </w:t>
      </w:r>
      <w:r w:rsidR="00B649FD">
        <w:rPr>
          <w:rFonts w:cstheme="minorHAnsi"/>
        </w:rPr>
        <w:t>c</w:t>
      </w:r>
      <w:r w:rsidR="001E388A">
        <w:rPr>
          <w:rFonts w:cstheme="minorHAnsi"/>
        </w:rPr>
        <w:t>ommunities</w:t>
      </w:r>
      <w:r w:rsidR="00406BBF">
        <w:rPr>
          <w:rFonts w:cstheme="minorHAnsi"/>
        </w:rPr>
        <w:t xml:space="preserve"> suffering socio-economic deprivation and structural racism</w:t>
      </w:r>
      <w:r w:rsidR="00B649FD">
        <w:rPr>
          <w:rFonts w:cstheme="minorHAnsi"/>
        </w:rPr>
        <w:t>. But they also note that biraderi networks</w:t>
      </w:r>
      <w:r w:rsidR="00E06ED3">
        <w:rPr>
          <w:rFonts w:cstheme="minorHAnsi"/>
        </w:rPr>
        <w:t xml:space="preserve"> have b</w:t>
      </w:r>
      <w:r w:rsidR="003B2F05" w:rsidRPr="003F5E8A">
        <w:rPr>
          <w:rFonts w:cstheme="minorHAnsi"/>
        </w:rPr>
        <w:t xml:space="preserve">een utilised by political campaigners to mobilise voters, </w:t>
      </w:r>
      <w:r>
        <w:rPr>
          <w:rFonts w:cstheme="minorHAnsi"/>
        </w:rPr>
        <w:t>sometimes involving</w:t>
      </w:r>
      <w:r w:rsidR="003B2F05" w:rsidRPr="003F5E8A">
        <w:rPr>
          <w:rFonts w:cstheme="minorHAnsi"/>
        </w:rPr>
        <w:t xml:space="preserve"> undue influence, ballot tampering and vote theft (Wilks-Heeg, 2008; Akhtar, 2013; </w:t>
      </w:r>
      <w:r w:rsidR="00406BBF">
        <w:t xml:space="preserve">NatCen Social Research, 2015; </w:t>
      </w:r>
      <w:r w:rsidR="003B2F05" w:rsidRPr="003F5E8A">
        <w:rPr>
          <w:rFonts w:cstheme="minorHAnsi"/>
        </w:rPr>
        <w:t>Hill et al</w:t>
      </w:r>
      <w:r>
        <w:rPr>
          <w:rFonts w:cstheme="minorHAnsi"/>
        </w:rPr>
        <w:t>.</w:t>
      </w:r>
      <w:r w:rsidR="003B2F05" w:rsidRPr="003F5E8A">
        <w:rPr>
          <w:rFonts w:cstheme="minorHAnsi"/>
        </w:rPr>
        <w:t xml:space="preserve">, 2017). </w:t>
      </w:r>
      <w:r w:rsidR="003B2F05">
        <w:rPr>
          <w:rFonts w:cstheme="minorHAnsi"/>
        </w:rPr>
        <w:t xml:space="preserve">A consistent </w:t>
      </w:r>
      <w:r>
        <w:rPr>
          <w:rFonts w:cstheme="minorHAnsi"/>
        </w:rPr>
        <w:t xml:space="preserve">concern </w:t>
      </w:r>
      <w:r w:rsidR="003B2F05">
        <w:rPr>
          <w:rFonts w:cstheme="minorHAnsi"/>
        </w:rPr>
        <w:t xml:space="preserve">raised in these accounts is </w:t>
      </w:r>
      <w:r>
        <w:rPr>
          <w:rFonts w:cstheme="minorHAnsi"/>
        </w:rPr>
        <w:t>t</w:t>
      </w:r>
      <w:r w:rsidR="003B2F05">
        <w:rPr>
          <w:rFonts w:cstheme="minorHAnsi"/>
        </w:rPr>
        <w:t xml:space="preserve">hat </w:t>
      </w:r>
      <w:r>
        <w:rPr>
          <w:rFonts w:cstheme="minorHAnsi"/>
        </w:rPr>
        <w:t xml:space="preserve">biraderi networks tend to be </w:t>
      </w:r>
      <w:r w:rsidR="003B2F05" w:rsidRPr="003F5E8A">
        <w:rPr>
          <w:rFonts w:cstheme="minorHAnsi"/>
        </w:rPr>
        <w:t>hierarchal and patriarchal</w:t>
      </w:r>
      <w:r w:rsidR="00B649FD">
        <w:rPr>
          <w:rFonts w:cstheme="minorHAnsi"/>
        </w:rPr>
        <w:t xml:space="preserve">, and that </w:t>
      </w:r>
      <w:r w:rsidR="003B2F05" w:rsidRPr="003F5E8A">
        <w:rPr>
          <w:rFonts w:cstheme="minorHAnsi"/>
        </w:rPr>
        <w:t xml:space="preserve">women and younger voters </w:t>
      </w:r>
      <w:r w:rsidR="00406BBF">
        <w:rPr>
          <w:rFonts w:cstheme="minorHAnsi"/>
        </w:rPr>
        <w:t>are</w:t>
      </w:r>
      <w:r w:rsidR="003B2F05" w:rsidRPr="003F5E8A">
        <w:rPr>
          <w:rFonts w:cstheme="minorHAnsi"/>
        </w:rPr>
        <w:t xml:space="preserve"> </w:t>
      </w:r>
      <w:r w:rsidR="00B649FD">
        <w:rPr>
          <w:rFonts w:cstheme="minorHAnsi"/>
        </w:rPr>
        <w:t xml:space="preserve">at particular risk of </w:t>
      </w:r>
      <w:r w:rsidR="003B2F05" w:rsidRPr="003F5E8A">
        <w:rPr>
          <w:rFonts w:cstheme="minorHAnsi"/>
        </w:rPr>
        <w:t>disenfranchise</w:t>
      </w:r>
      <w:r w:rsidR="00B649FD">
        <w:rPr>
          <w:rFonts w:cstheme="minorHAnsi"/>
        </w:rPr>
        <w:t>ment</w:t>
      </w:r>
      <w:r w:rsidR="00406BBF">
        <w:rPr>
          <w:rFonts w:cstheme="minorHAnsi"/>
        </w:rPr>
        <w:t xml:space="preserve"> (</w:t>
      </w:r>
      <w:r w:rsidR="00406BBF" w:rsidRPr="003F5E8A">
        <w:rPr>
          <w:rFonts w:cstheme="minorHAnsi"/>
        </w:rPr>
        <w:t>Akhtar, 2013</w:t>
      </w:r>
      <w:r w:rsidR="00406BBF">
        <w:rPr>
          <w:rFonts w:cstheme="minorHAnsi"/>
        </w:rPr>
        <w:t>)</w:t>
      </w:r>
      <w:r w:rsidR="003B2F05" w:rsidRPr="003F5E8A">
        <w:rPr>
          <w:rFonts w:cstheme="minorHAnsi"/>
        </w:rPr>
        <w:t xml:space="preserve">. </w:t>
      </w:r>
    </w:p>
    <w:p w14:paraId="1118F497" w14:textId="246B5B96" w:rsidR="00EC3EC7" w:rsidRDefault="0094336F" w:rsidP="00F2006C">
      <w:pPr>
        <w:autoSpaceDE w:val="0"/>
        <w:autoSpaceDN w:val="0"/>
        <w:adjustRightInd w:val="0"/>
        <w:spacing w:after="0" w:line="276" w:lineRule="auto"/>
        <w:rPr>
          <w:rFonts w:cstheme="minorHAnsi"/>
        </w:rPr>
      </w:pPr>
      <w:r>
        <w:rPr>
          <w:rFonts w:cstheme="minorHAnsi"/>
        </w:rPr>
        <w:t>T</w:t>
      </w:r>
      <w:r w:rsidR="00406BBF">
        <w:rPr>
          <w:rFonts w:cstheme="minorHAnsi"/>
        </w:rPr>
        <w:t>wo recent studies have sought to examine whether the</w:t>
      </w:r>
      <w:r w:rsidR="00B649FD">
        <w:rPr>
          <w:rFonts w:cstheme="minorHAnsi"/>
        </w:rPr>
        <w:t>se qualitative</w:t>
      </w:r>
      <w:r w:rsidR="00406BBF">
        <w:rPr>
          <w:rFonts w:cstheme="minorHAnsi"/>
        </w:rPr>
        <w:t xml:space="preserve"> findings can be generalised through quantitative assessment of the </w:t>
      </w:r>
      <w:r w:rsidR="001F7097">
        <w:rPr>
          <w:rFonts w:cstheme="minorHAnsi"/>
        </w:rPr>
        <w:t xml:space="preserve">relationship </w:t>
      </w:r>
      <w:r>
        <w:rPr>
          <w:rFonts w:cstheme="minorHAnsi"/>
        </w:rPr>
        <w:t xml:space="preserve">between electoral fraud and Pakistani and </w:t>
      </w:r>
      <w:r w:rsidR="001F7097">
        <w:rPr>
          <w:rFonts w:cstheme="minorHAnsi"/>
        </w:rPr>
        <w:t>Bangladeshi</w:t>
      </w:r>
      <w:r>
        <w:rPr>
          <w:rFonts w:cstheme="minorHAnsi"/>
        </w:rPr>
        <w:t xml:space="preserve"> </w:t>
      </w:r>
      <w:r w:rsidR="001F7097">
        <w:rPr>
          <w:rFonts w:cstheme="minorHAnsi"/>
        </w:rPr>
        <w:t>populations (Carl, 2017, James and Clark, 2020). Carl (2017) finds a</w:t>
      </w:r>
      <w:r w:rsidR="00EC3EC7" w:rsidRPr="003F5E8A">
        <w:rPr>
          <w:rFonts w:cstheme="minorHAnsi"/>
        </w:rPr>
        <w:t xml:space="preserve"> </w:t>
      </w:r>
      <w:r w:rsidR="00DF5793">
        <w:rPr>
          <w:rFonts w:cstheme="minorHAnsi"/>
        </w:rPr>
        <w:t xml:space="preserve">moderate to </w:t>
      </w:r>
      <w:r w:rsidR="00EC3EC7" w:rsidRPr="003F5E8A">
        <w:rPr>
          <w:rFonts w:cstheme="minorHAnsi"/>
        </w:rPr>
        <w:t xml:space="preserve">strong </w:t>
      </w:r>
      <w:r w:rsidR="001F7097">
        <w:rPr>
          <w:rFonts w:cstheme="minorHAnsi"/>
        </w:rPr>
        <w:t xml:space="preserve">statistical </w:t>
      </w:r>
      <w:r w:rsidR="00EC3EC7" w:rsidRPr="003F5E8A">
        <w:rPr>
          <w:rFonts w:cstheme="minorHAnsi"/>
        </w:rPr>
        <w:t xml:space="preserve">association </w:t>
      </w:r>
      <w:r w:rsidR="001F7097">
        <w:rPr>
          <w:rFonts w:cstheme="minorHAnsi"/>
        </w:rPr>
        <w:t xml:space="preserve">at a local authority level </w:t>
      </w:r>
      <w:r w:rsidR="00EC3EC7" w:rsidRPr="003F5E8A">
        <w:rPr>
          <w:rFonts w:cstheme="minorHAnsi"/>
        </w:rPr>
        <w:t>between electoral fraud allegations reported to the police and the proportion of residents with Pakistani or Bangladeshi origins</w:t>
      </w:r>
      <w:r w:rsidR="001F7097">
        <w:rPr>
          <w:rFonts w:cstheme="minorHAnsi"/>
        </w:rPr>
        <w:t>.</w:t>
      </w:r>
      <w:r w:rsidR="00EC3EC7" w:rsidRPr="003F5E8A">
        <w:rPr>
          <w:rFonts w:cstheme="minorHAnsi"/>
        </w:rPr>
        <w:t xml:space="preserve"> </w:t>
      </w:r>
      <w:r w:rsidR="001F7097">
        <w:rPr>
          <w:rFonts w:cstheme="minorHAnsi"/>
        </w:rPr>
        <w:t xml:space="preserve">While this finding is broadly in line with </w:t>
      </w:r>
      <w:r w:rsidR="00B649FD">
        <w:rPr>
          <w:rFonts w:cstheme="minorHAnsi"/>
        </w:rPr>
        <w:t>those</w:t>
      </w:r>
      <w:r w:rsidR="001F7097">
        <w:rPr>
          <w:rFonts w:cstheme="minorHAnsi"/>
        </w:rPr>
        <w:t xml:space="preserve"> highlighted above, </w:t>
      </w:r>
      <w:r w:rsidR="00406BBF">
        <w:rPr>
          <w:rFonts w:cstheme="minorHAnsi"/>
        </w:rPr>
        <w:t>Carl’s</w:t>
      </w:r>
      <w:r w:rsidR="001F7097">
        <w:rPr>
          <w:rFonts w:cstheme="minorHAnsi"/>
        </w:rPr>
        <w:t xml:space="preserve"> explanations for the relationship are at odds with th</w:t>
      </w:r>
      <w:r w:rsidR="00DF5793">
        <w:rPr>
          <w:rFonts w:cstheme="minorHAnsi"/>
        </w:rPr>
        <w:t xml:space="preserve">ose advanced </w:t>
      </w:r>
      <w:r w:rsidR="001F7097">
        <w:rPr>
          <w:rFonts w:cstheme="minorHAnsi"/>
        </w:rPr>
        <w:t xml:space="preserve">by qualitative researchers. </w:t>
      </w:r>
      <w:r w:rsidR="00DF5793">
        <w:rPr>
          <w:rFonts w:cstheme="minorHAnsi"/>
        </w:rPr>
        <w:t>Carl foregrounds high rates</w:t>
      </w:r>
      <w:r w:rsidR="00DF5793" w:rsidRPr="003F5E8A">
        <w:rPr>
          <w:rFonts w:cstheme="minorHAnsi"/>
        </w:rPr>
        <w:t xml:space="preserve"> of cousin marriage </w:t>
      </w:r>
      <w:r w:rsidR="00DF5793">
        <w:rPr>
          <w:rFonts w:cstheme="minorHAnsi"/>
        </w:rPr>
        <w:t xml:space="preserve">among </w:t>
      </w:r>
      <w:r w:rsidR="00F66058">
        <w:rPr>
          <w:rFonts w:cstheme="minorHAnsi"/>
        </w:rPr>
        <w:t>these</w:t>
      </w:r>
      <w:r w:rsidR="00DF5793">
        <w:rPr>
          <w:rFonts w:cstheme="minorHAnsi"/>
        </w:rPr>
        <w:t xml:space="preserve"> communities and use</w:t>
      </w:r>
      <w:r w:rsidR="00406BBF">
        <w:rPr>
          <w:rFonts w:cstheme="minorHAnsi"/>
        </w:rPr>
        <w:t>s</w:t>
      </w:r>
      <w:r w:rsidR="00DF5793">
        <w:rPr>
          <w:rFonts w:cstheme="minorHAnsi"/>
        </w:rPr>
        <w:t xml:space="preserve"> European Social Survey data to assert a </w:t>
      </w:r>
      <w:r w:rsidR="00EC3EC7" w:rsidRPr="003F5E8A">
        <w:rPr>
          <w:rFonts w:cstheme="minorHAnsi"/>
        </w:rPr>
        <w:t>link</w:t>
      </w:r>
      <w:r w:rsidR="00DF5793">
        <w:rPr>
          <w:rFonts w:cstheme="minorHAnsi"/>
        </w:rPr>
        <w:t xml:space="preserve"> between </w:t>
      </w:r>
      <w:r w:rsidR="005C5FE6">
        <w:rPr>
          <w:rFonts w:cstheme="minorHAnsi"/>
        </w:rPr>
        <w:t xml:space="preserve">cousin marriage </w:t>
      </w:r>
      <w:r w:rsidR="00DF5793">
        <w:rPr>
          <w:rFonts w:cstheme="minorHAnsi"/>
        </w:rPr>
        <w:t>and</w:t>
      </w:r>
      <w:r w:rsidR="00EC3EC7" w:rsidRPr="003F5E8A">
        <w:rPr>
          <w:rFonts w:cstheme="minorHAnsi"/>
        </w:rPr>
        <w:t xml:space="preserve"> </w:t>
      </w:r>
      <w:r w:rsidR="005C5FE6">
        <w:rPr>
          <w:rFonts w:cstheme="minorHAnsi"/>
        </w:rPr>
        <w:t>tolerance of bribery</w:t>
      </w:r>
      <w:r w:rsidR="00EC3EC7" w:rsidRPr="003F5E8A">
        <w:rPr>
          <w:rFonts w:cstheme="minorHAnsi"/>
        </w:rPr>
        <w:t xml:space="preserve">. </w:t>
      </w:r>
      <w:r w:rsidR="00406BBF">
        <w:rPr>
          <w:rFonts w:cstheme="minorHAnsi"/>
        </w:rPr>
        <w:t>We regard t</w:t>
      </w:r>
      <w:r w:rsidR="005C5FE6">
        <w:rPr>
          <w:rFonts w:cstheme="minorHAnsi"/>
        </w:rPr>
        <w:t xml:space="preserve">his </w:t>
      </w:r>
      <w:r w:rsidR="00B649FD">
        <w:rPr>
          <w:rFonts w:cstheme="minorHAnsi"/>
        </w:rPr>
        <w:t xml:space="preserve">approach </w:t>
      </w:r>
      <w:r w:rsidR="00406BBF">
        <w:rPr>
          <w:rFonts w:cstheme="minorHAnsi"/>
        </w:rPr>
        <w:t>a</w:t>
      </w:r>
      <w:r w:rsidR="005C5FE6">
        <w:rPr>
          <w:rFonts w:cstheme="minorHAnsi"/>
        </w:rPr>
        <w:t xml:space="preserve">s </w:t>
      </w:r>
      <w:r w:rsidR="00F66058">
        <w:rPr>
          <w:rFonts w:cstheme="minorHAnsi"/>
        </w:rPr>
        <w:t>somewhat</w:t>
      </w:r>
      <w:r w:rsidR="005C5FE6">
        <w:rPr>
          <w:rFonts w:cstheme="minorHAnsi"/>
        </w:rPr>
        <w:t xml:space="preserve"> problematic, both in </w:t>
      </w:r>
      <w:r w:rsidR="00406BBF">
        <w:rPr>
          <w:rFonts w:cstheme="minorHAnsi"/>
        </w:rPr>
        <w:t>the way it ‘j</w:t>
      </w:r>
      <w:r w:rsidR="00F66058">
        <w:rPr>
          <w:rFonts w:cstheme="minorHAnsi"/>
        </w:rPr>
        <w:t>umps scale’ from geographically-</w:t>
      </w:r>
      <w:r w:rsidR="00406BBF">
        <w:rPr>
          <w:rFonts w:cstheme="minorHAnsi"/>
        </w:rPr>
        <w:t xml:space="preserve">concentrated migrant communities in Britain to </w:t>
      </w:r>
      <w:r w:rsidR="005C5FE6">
        <w:rPr>
          <w:rFonts w:cstheme="minorHAnsi"/>
        </w:rPr>
        <w:t xml:space="preserve">European-wide survey data and for </w:t>
      </w:r>
      <w:r w:rsidR="00E809E0">
        <w:rPr>
          <w:rFonts w:cstheme="minorHAnsi"/>
        </w:rPr>
        <w:t>its</w:t>
      </w:r>
      <w:r w:rsidR="005C5FE6">
        <w:rPr>
          <w:rFonts w:cstheme="minorHAnsi"/>
        </w:rPr>
        <w:t xml:space="preserve"> conflation of bribery with electoral fraud</w:t>
      </w:r>
      <w:r w:rsidR="00E809E0">
        <w:rPr>
          <w:rFonts w:cstheme="minorHAnsi"/>
        </w:rPr>
        <w:t>.</w:t>
      </w:r>
      <w:r w:rsidR="00194344">
        <w:rPr>
          <w:rFonts w:cstheme="minorHAnsi"/>
        </w:rPr>
        <w:t xml:space="preserve"> </w:t>
      </w:r>
      <w:r w:rsidR="007E362B">
        <w:rPr>
          <w:rFonts w:cstheme="minorHAnsi"/>
        </w:rPr>
        <w:t>Yet, we also have reservations about the approach taken by</w:t>
      </w:r>
      <w:r w:rsidR="00E809E0">
        <w:rPr>
          <w:rFonts w:cstheme="minorHAnsi"/>
        </w:rPr>
        <w:t xml:space="preserve"> </w:t>
      </w:r>
      <w:r w:rsidR="00EC3EC7" w:rsidRPr="003F5E8A">
        <w:rPr>
          <w:rFonts w:cstheme="minorHAnsi"/>
        </w:rPr>
        <w:t>James and</w:t>
      </w:r>
      <w:r w:rsidR="00C0396E">
        <w:rPr>
          <w:rFonts w:cstheme="minorHAnsi"/>
        </w:rPr>
        <w:t xml:space="preserve"> Clark (2020)</w:t>
      </w:r>
      <w:r w:rsidR="007E362B">
        <w:rPr>
          <w:rFonts w:cstheme="minorHAnsi"/>
        </w:rPr>
        <w:t>, who reach the opposit</w:t>
      </w:r>
      <w:r w:rsidR="00C731A2">
        <w:rPr>
          <w:rFonts w:cstheme="minorHAnsi"/>
        </w:rPr>
        <w:t>e</w:t>
      </w:r>
      <w:r w:rsidR="007E362B">
        <w:rPr>
          <w:rFonts w:cstheme="minorHAnsi"/>
        </w:rPr>
        <w:t xml:space="preserve"> conclusion to Carl, finding no statistical correlation at a local authority level between </w:t>
      </w:r>
      <w:r w:rsidR="00EC3EC7" w:rsidRPr="003F5E8A">
        <w:rPr>
          <w:rFonts w:cstheme="minorHAnsi"/>
        </w:rPr>
        <w:t xml:space="preserve">polling station staff reporting suspected cases of personation and the size of the local Pakistani or Bangladeshi population. </w:t>
      </w:r>
      <w:r w:rsidR="00B649FD">
        <w:rPr>
          <w:rFonts w:cstheme="minorHAnsi"/>
        </w:rPr>
        <w:t>In this case, James and Clark examin</w:t>
      </w:r>
      <w:r w:rsidR="00F66058">
        <w:rPr>
          <w:rFonts w:cstheme="minorHAnsi"/>
        </w:rPr>
        <w:t>ed</w:t>
      </w:r>
      <w:r w:rsidR="00B649FD">
        <w:rPr>
          <w:rFonts w:cstheme="minorHAnsi"/>
        </w:rPr>
        <w:t xml:space="preserve"> </w:t>
      </w:r>
      <w:r w:rsidR="007E362B">
        <w:rPr>
          <w:rFonts w:cstheme="minorHAnsi"/>
        </w:rPr>
        <w:t xml:space="preserve">only </w:t>
      </w:r>
      <w:r w:rsidR="00B649FD">
        <w:rPr>
          <w:rFonts w:cstheme="minorHAnsi"/>
        </w:rPr>
        <w:t xml:space="preserve">reports of </w:t>
      </w:r>
      <w:r w:rsidR="007E362B">
        <w:rPr>
          <w:rFonts w:cstheme="minorHAnsi"/>
        </w:rPr>
        <w:t xml:space="preserve">suspected </w:t>
      </w:r>
      <w:r w:rsidR="00C0396E">
        <w:rPr>
          <w:rFonts w:cstheme="minorHAnsi"/>
        </w:rPr>
        <w:t xml:space="preserve">personation at polling stations, </w:t>
      </w:r>
      <w:r w:rsidR="00B649FD">
        <w:rPr>
          <w:rFonts w:cstheme="minorHAnsi"/>
        </w:rPr>
        <w:t xml:space="preserve">which are extremely rare. Yet, </w:t>
      </w:r>
      <w:r w:rsidR="00C0396E">
        <w:rPr>
          <w:rFonts w:cstheme="minorHAnsi"/>
        </w:rPr>
        <w:t>virtually all recently documented cases of large-scale electoral fraud</w:t>
      </w:r>
      <w:r w:rsidR="00B649FD">
        <w:rPr>
          <w:rFonts w:cstheme="minorHAnsi"/>
        </w:rPr>
        <w:t xml:space="preserve"> in Britain</w:t>
      </w:r>
      <w:r w:rsidR="00C0396E">
        <w:rPr>
          <w:rFonts w:cstheme="minorHAnsi"/>
        </w:rPr>
        <w:t xml:space="preserve"> </w:t>
      </w:r>
      <w:r w:rsidR="00194344">
        <w:rPr>
          <w:rFonts w:cstheme="minorHAnsi"/>
        </w:rPr>
        <w:t xml:space="preserve">have </w:t>
      </w:r>
      <w:r w:rsidR="00C0396E">
        <w:rPr>
          <w:rFonts w:cstheme="minorHAnsi"/>
        </w:rPr>
        <w:t>centred on postal votes</w:t>
      </w:r>
      <w:r w:rsidR="002851FF">
        <w:rPr>
          <w:rFonts w:cstheme="minorHAnsi"/>
        </w:rPr>
        <w:t xml:space="preserve"> (Morris and Wilks-Heeg, 2019)</w:t>
      </w:r>
      <w:r w:rsidR="00C0396E">
        <w:rPr>
          <w:rFonts w:cstheme="minorHAnsi"/>
        </w:rPr>
        <w:t xml:space="preserve">. </w:t>
      </w:r>
      <w:r w:rsidR="00B649FD">
        <w:rPr>
          <w:rFonts w:cstheme="minorHAnsi"/>
        </w:rPr>
        <w:t>Moreover</w:t>
      </w:r>
      <w:r w:rsidR="00194344">
        <w:rPr>
          <w:rFonts w:cstheme="minorHAnsi"/>
        </w:rPr>
        <w:t xml:space="preserve">, </w:t>
      </w:r>
      <w:r w:rsidR="007E362B">
        <w:rPr>
          <w:rFonts w:cstheme="minorHAnsi"/>
        </w:rPr>
        <w:t>using</w:t>
      </w:r>
      <w:r w:rsidR="00C0396E">
        <w:rPr>
          <w:rFonts w:cstheme="minorHAnsi"/>
        </w:rPr>
        <w:t xml:space="preserve"> </w:t>
      </w:r>
      <w:r w:rsidR="00194344">
        <w:rPr>
          <w:rFonts w:cstheme="minorHAnsi"/>
        </w:rPr>
        <w:t>local authorities</w:t>
      </w:r>
      <w:r w:rsidR="007E362B">
        <w:rPr>
          <w:rFonts w:cstheme="minorHAnsi"/>
        </w:rPr>
        <w:t xml:space="preserve"> at the unit of analysis</w:t>
      </w:r>
      <w:r w:rsidR="00E809E0">
        <w:rPr>
          <w:rFonts w:cstheme="minorHAnsi"/>
        </w:rPr>
        <w:t xml:space="preserve"> </w:t>
      </w:r>
      <w:r w:rsidR="007E362B">
        <w:rPr>
          <w:rFonts w:cstheme="minorHAnsi"/>
        </w:rPr>
        <w:t>is likely to obscure the clear tendency for</w:t>
      </w:r>
      <w:r w:rsidR="00194344">
        <w:rPr>
          <w:rFonts w:cstheme="minorHAnsi"/>
        </w:rPr>
        <w:t xml:space="preserve"> cases of large-scale electoral fraud </w:t>
      </w:r>
      <w:r w:rsidR="007E362B">
        <w:rPr>
          <w:rFonts w:cstheme="minorHAnsi"/>
        </w:rPr>
        <w:t xml:space="preserve">to centre </w:t>
      </w:r>
      <w:r w:rsidR="00194344">
        <w:rPr>
          <w:rFonts w:cstheme="minorHAnsi"/>
        </w:rPr>
        <w:t xml:space="preserve">on one or two wards within a </w:t>
      </w:r>
      <w:r w:rsidR="007E362B">
        <w:rPr>
          <w:rFonts w:cstheme="minorHAnsi"/>
        </w:rPr>
        <w:t>council district</w:t>
      </w:r>
      <w:r w:rsidR="002851FF">
        <w:rPr>
          <w:rFonts w:cstheme="minorHAnsi"/>
        </w:rPr>
        <w:t xml:space="preserve"> (Hill et al, 2017)</w:t>
      </w:r>
      <w:r w:rsidR="007E362B">
        <w:rPr>
          <w:rFonts w:cstheme="minorHAnsi"/>
        </w:rPr>
        <w:t xml:space="preserve">. </w:t>
      </w:r>
      <w:r w:rsidR="00E809E0">
        <w:rPr>
          <w:rFonts w:cstheme="minorHAnsi"/>
        </w:rPr>
        <w:t xml:space="preserve">Given the limitations of both of these studies, </w:t>
      </w:r>
      <w:r w:rsidR="00B649FD">
        <w:rPr>
          <w:rFonts w:cstheme="minorHAnsi"/>
        </w:rPr>
        <w:t>we suggest t</w:t>
      </w:r>
      <w:r w:rsidR="00E809E0">
        <w:rPr>
          <w:rFonts w:cstheme="minorHAnsi"/>
        </w:rPr>
        <w:t xml:space="preserve">here is a clear need for </w:t>
      </w:r>
      <w:r w:rsidR="00B649FD">
        <w:rPr>
          <w:rFonts w:cstheme="minorHAnsi"/>
        </w:rPr>
        <w:t>a</w:t>
      </w:r>
      <w:r w:rsidR="00E809E0">
        <w:rPr>
          <w:rFonts w:cstheme="minorHAnsi"/>
        </w:rPr>
        <w:t xml:space="preserve">lternative approaches to quantifying electoral fraud in Great Britain and any socio-demographic factors associated with it. To this end, we propose a survey-based approach rooted in criminological conceptions of victimisation. </w:t>
      </w:r>
    </w:p>
    <w:p w14:paraId="19F708AF" w14:textId="4B9AEE08" w:rsidR="00572B21" w:rsidRPr="0062432C" w:rsidRDefault="002B23C1" w:rsidP="002B23C1">
      <w:pPr>
        <w:tabs>
          <w:tab w:val="left" w:pos="8235"/>
        </w:tabs>
        <w:autoSpaceDE w:val="0"/>
        <w:autoSpaceDN w:val="0"/>
        <w:adjustRightInd w:val="0"/>
        <w:spacing w:after="0" w:line="276" w:lineRule="auto"/>
        <w:rPr>
          <w:rFonts w:cstheme="minorHAnsi"/>
        </w:rPr>
      </w:pPr>
      <w:r>
        <w:rPr>
          <w:rFonts w:cstheme="minorHAnsi"/>
        </w:rPr>
        <w:tab/>
      </w:r>
    </w:p>
    <w:p w14:paraId="540F2866" w14:textId="77777777" w:rsidR="00530611" w:rsidRDefault="00530611" w:rsidP="00530611">
      <w:pPr>
        <w:spacing w:line="276" w:lineRule="auto"/>
        <w:rPr>
          <w:rFonts w:cstheme="minorHAnsi"/>
        </w:rPr>
      </w:pPr>
    </w:p>
    <w:p w14:paraId="648DAF63" w14:textId="1B2B880B" w:rsidR="00530611" w:rsidRPr="00342B5B" w:rsidRDefault="00530611" w:rsidP="00530611">
      <w:pPr>
        <w:spacing w:line="276" w:lineRule="auto"/>
        <w:rPr>
          <w:rFonts w:cstheme="minorHAnsi"/>
          <w:b/>
        </w:rPr>
      </w:pPr>
      <w:r>
        <w:rPr>
          <w:rFonts w:cstheme="minorHAnsi"/>
          <w:b/>
        </w:rPr>
        <w:t>Re-imagining Electoral Fraud as ‘Victimisation’</w:t>
      </w:r>
      <w:r w:rsidR="005872D7">
        <w:rPr>
          <w:rFonts w:cstheme="minorHAnsi"/>
          <w:b/>
        </w:rPr>
        <w:t>: Conceptual Grounding and M</w:t>
      </w:r>
      <w:r w:rsidR="002851FF">
        <w:rPr>
          <w:rFonts w:cstheme="minorHAnsi"/>
          <w:b/>
        </w:rPr>
        <w:t>ethodology</w:t>
      </w:r>
      <w:r>
        <w:rPr>
          <w:rFonts w:cstheme="minorHAnsi"/>
          <w:b/>
        </w:rPr>
        <w:t xml:space="preserve"> </w:t>
      </w:r>
    </w:p>
    <w:p w14:paraId="3658D1E1" w14:textId="17DAD70A" w:rsidR="00530611" w:rsidRDefault="00530611" w:rsidP="00530611">
      <w:pPr>
        <w:spacing w:line="276" w:lineRule="auto"/>
        <w:rPr>
          <w:rFonts w:cstheme="minorHAnsi"/>
        </w:rPr>
      </w:pPr>
      <w:r>
        <w:rPr>
          <w:rFonts w:cstheme="minorHAnsi"/>
        </w:rPr>
        <w:t>As</w:t>
      </w:r>
      <w:r w:rsidR="0067139B">
        <w:rPr>
          <w:rFonts w:cstheme="minorHAnsi"/>
        </w:rPr>
        <w:t xml:space="preserve"> our </w:t>
      </w:r>
      <w:r>
        <w:rPr>
          <w:rFonts w:cstheme="minorHAnsi"/>
        </w:rPr>
        <w:t xml:space="preserve">review </w:t>
      </w:r>
      <w:r w:rsidR="0067139B">
        <w:rPr>
          <w:rFonts w:cstheme="minorHAnsi"/>
        </w:rPr>
        <w:t xml:space="preserve">establishes, existing </w:t>
      </w:r>
      <w:r>
        <w:rPr>
          <w:rFonts w:cstheme="minorHAnsi"/>
        </w:rPr>
        <w:t xml:space="preserve">studies of electoral fraud rely on </w:t>
      </w:r>
      <w:r w:rsidR="0067139B">
        <w:rPr>
          <w:rFonts w:cstheme="minorHAnsi"/>
        </w:rPr>
        <w:t>either</w:t>
      </w:r>
      <w:r>
        <w:rPr>
          <w:rFonts w:cstheme="minorHAnsi"/>
        </w:rPr>
        <w:t xml:space="preserve"> </w:t>
      </w:r>
      <w:r w:rsidR="0067139B">
        <w:rPr>
          <w:rFonts w:cstheme="minorHAnsi"/>
        </w:rPr>
        <w:t xml:space="preserve">the </w:t>
      </w:r>
      <w:r w:rsidRPr="00C731A2">
        <w:rPr>
          <w:rFonts w:cstheme="minorHAnsi"/>
          <w:i/>
        </w:rPr>
        <w:t>perceptions</w:t>
      </w:r>
      <w:r>
        <w:rPr>
          <w:rFonts w:cstheme="minorHAnsi"/>
        </w:rPr>
        <w:t xml:space="preserve"> of </w:t>
      </w:r>
      <w:r w:rsidR="0067139B">
        <w:rPr>
          <w:rFonts w:cstheme="minorHAnsi"/>
        </w:rPr>
        <w:t xml:space="preserve">those engaged in the electoral process (as voters, </w:t>
      </w:r>
      <w:r>
        <w:rPr>
          <w:rFonts w:cstheme="minorHAnsi"/>
        </w:rPr>
        <w:t>candidates</w:t>
      </w:r>
      <w:r w:rsidR="0067139B">
        <w:rPr>
          <w:rFonts w:cstheme="minorHAnsi"/>
        </w:rPr>
        <w:t xml:space="preserve">, agents or poll workers), or on </w:t>
      </w:r>
      <w:r w:rsidR="0067139B" w:rsidRPr="00C731A2">
        <w:rPr>
          <w:rFonts w:cstheme="minorHAnsi"/>
          <w:i/>
        </w:rPr>
        <w:t>allegations</w:t>
      </w:r>
      <w:r w:rsidR="0067139B">
        <w:rPr>
          <w:rFonts w:cstheme="minorHAnsi"/>
        </w:rPr>
        <w:t xml:space="preserve"> </w:t>
      </w:r>
      <w:r>
        <w:rPr>
          <w:rFonts w:cstheme="minorHAnsi"/>
        </w:rPr>
        <w:t xml:space="preserve">of election fraud </w:t>
      </w:r>
      <w:r w:rsidR="0067139B">
        <w:rPr>
          <w:rFonts w:cstheme="minorHAnsi"/>
        </w:rPr>
        <w:t xml:space="preserve">reported </w:t>
      </w:r>
      <w:r>
        <w:rPr>
          <w:rFonts w:cstheme="minorHAnsi"/>
        </w:rPr>
        <w:t>to the police an</w:t>
      </w:r>
      <w:r w:rsidR="0067139B">
        <w:rPr>
          <w:rFonts w:cstheme="minorHAnsi"/>
        </w:rPr>
        <w:t xml:space="preserve">d any subsequent cautions and </w:t>
      </w:r>
      <w:r>
        <w:rPr>
          <w:rFonts w:cstheme="minorHAnsi"/>
        </w:rPr>
        <w:t>convictions</w:t>
      </w:r>
      <w:r w:rsidR="0067139B">
        <w:rPr>
          <w:rFonts w:cstheme="minorHAnsi"/>
        </w:rPr>
        <w:t xml:space="preserve">. </w:t>
      </w:r>
      <w:r>
        <w:rPr>
          <w:rFonts w:cstheme="minorHAnsi"/>
        </w:rPr>
        <w:t xml:space="preserve">For an author team such as our own, comprised of criminologists as well as a political scientist and a survey researcher, these data sources </w:t>
      </w:r>
      <w:r w:rsidR="00E70ABC">
        <w:rPr>
          <w:rFonts w:cstheme="minorHAnsi"/>
        </w:rPr>
        <w:t>are</w:t>
      </w:r>
      <w:r>
        <w:rPr>
          <w:rFonts w:cstheme="minorHAnsi"/>
        </w:rPr>
        <w:t xml:space="preserve"> </w:t>
      </w:r>
      <w:r w:rsidR="00E70ABC">
        <w:rPr>
          <w:rFonts w:cstheme="minorHAnsi"/>
        </w:rPr>
        <w:t>incomplete and do not allow for an estimate of electoral fraud activity</w:t>
      </w:r>
      <w:r>
        <w:rPr>
          <w:rFonts w:cstheme="minorHAnsi"/>
        </w:rPr>
        <w:t xml:space="preserve">. Perceptions of events (even if the rapporteur is well-placed, such </w:t>
      </w:r>
      <w:r w:rsidR="00125590">
        <w:rPr>
          <w:rFonts w:cstheme="minorHAnsi"/>
        </w:rPr>
        <w:t xml:space="preserve">as </w:t>
      </w:r>
      <w:r>
        <w:rPr>
          <w:rFonts w:cstheme="minorHAnsi"/>
        </w:rPr>
        <w:t>an election agent) may not reflect actual events (since the rapporteur may misperceive events or wilfully distort their reply). Perceptions of electors are subject to various biases and may be distorted by media attention or the outcome</w:t>
      </w:r>
      <w:r w:rsidR="00125590">
        <w:rPr>
          <w:rFonts w:cstheme="minorHAnsi"/>
        </w:rPr>
        <w:t xml:space="preserve">/closeness </w:t>
      </w:r>
      <w:r>
        <w:rPr>
          <w:rFonts w:cstheme="minorHAnsi"/>
        </w:rPr>
        <w:t>of election</w:t>
      </w:r>
      <w:r w:rsidR="00125590">
        <w:rPr>
          <w:rFonts w:cstheme="minorHAnsi"/>
        </w:rPr>
        <w:t xml:space="preserve"> results. R</w:t>
      </w:r>
      <w:r>
        <w:rPr>
          <w:rFonts w:cstheme="minorHAnsi"/>
        </w:rPr>
        <w:t xml:space="preserve">eports to the police may </w:t>
      </w:r>
      <w:r w:rsidR="00125590">
        <w:rPr>
          <w:rFonts w:cstheme="minorHAnsi"/>
        </w:rPr>
        <w:t xml:space="preserve">also </w:t>
      </w:r>
      <w:r>
        <w:rPr>
          <w:rFonts w:cstheme="minorHAnsi"/>
        </w:rPr>
        <w:t>be motivated by attempts to discredit the opposition or may relate to matters which</w:t>
      </w:r>
      <w:r w:rsidR="00125590">
        <w:rPr>
          <w:rFonts w:cstheme="minorHAnsi"/>
        </w:rPr>
        <w:t>,</w:t>
      </w:r>
      <w:r>
        <w:rPr>
          <w:rFonts w:cstheme="minorHAnsi"/>
        </w:rPr>
        <w:t xml:space="preserve"> whilst a breach of electoral </w:t>
      </w:r>
      <w:r w:rsidR="0067139B">
        <w:rPr>
          <w:rFonts w:cstheme="minorHAnsi"/>
        </w:rPr>
        <w:t>law</w:t>
      </w:r>
      <w:r>
        <w:rPr>
          <w:rFonts w:cstheme="minorHAnsi"/>
        </w:rPr>
        <w:t xml:space="preserve">, do not represent major attempts to influence the result (such as failing to provide the name of the election agent on a candidate’s election literature). Such </w:t>
      </w:r>
      <w:r w:rsidR="00E70ABC">
        <w:rPr>
          <w:rFonts w:cstheme="minorHAnsi"/>
        </w:rPr>
        <w:t xml:space="preserve">measurement </w:t>
      </w:r>
      <w:r>
        <w:rPr>
          <w:rFonts w:cstheme="minorHAnsi"/>
        </w:rPr>
        <w:t xml:space="preserve">problems are well-known in criminological research, where police-recorded data is treated with some caution, and perceptions of events are known to be </w:t>
      </w:r>
      <w:r w:rsidR="00E96750">
        <w:rPr>
          <w:rFonts w:cstheme="minorHAnsi"/>
        </w:rPr>
        <w:t>distinct from their actual incidence</w:t>
      </w:r>
      <w:r w:rsidR="00C15050">
        <w:rPr>
          <w:rFonts w:cstheme="minorHAnsi"/>
        </w:rPr>
        <w:t>.</w:t>
      </w:r>
      <w:r w:rsidR="00125590">
        <w:rPr>
          <w:rFonts w:cstheme="minorHAnsi"/>
        </w:rPr>
        <w:t xml:space="preserve"> </w:t>
      </w:r>
      <w:r w:rsidR="00C15050">
        <w:rPr>
          <w:rFonts w:cstheme="minorHAnsi"/>
        </w:rPr>
        <w:t xml:space="preserve">Indeed, </w:t>
      </w:r>
      <w:r w:rsidR="00C15050" w:rsidRPr="00DB30D8">
        <w:rPr>
          <w:rFonts w:cstheme="minorHAnsi"/>
        </w:rPr>
        <w:t xml:space="preserve">perceptions of the extent to which crime was rising or falling were at odds with recorded crime data for some twenty or so </w:t>
      </w:r>
      <w:r w:rsidR="00C15050" w:rsidRPr="002A4A88">
        <w:rPr>
          <w:rFonts w:cstheme="minorHAnsi"/>
        </w:rPr>
        <w:t>years (</w:t>
      </w:r>
      <w:r w:rsidR="00C15050">
        <w:rPr>
          <w:rFonts w:cstheme="minorHAnsi"/>
        </w:rPr>
        <w:t>Home Office, 2010).</w:t>
      </w:r>
      <w:r>
        <w:rPr>
          <w:rFonts w:cstheme="minorHAnsi"/>
        </w:rPr>
        <w:t xml:space="preserve"> </w:t>
      </w:r>
      <w:r w:rsidR="002851FF">
        <w:rPr>
          <w:rFonts w:cstheme="minorHAnsi"/>
        </w:rPr>
        <w:t>Notably, r</w:t>
      </w:r>
      <w:r>
        <w:rPr>
          <w:rFonts w:cstheme="minorHAnsi"/>
        </w:rPr>
        <w:t xml:space="preserve">espondents in </w:t>
      </w:r>
      <w:r w:rsidR="00125590">
        <w:rPr>
          <w:rFonts w:cstheme="minorHAnsi"/>
        </w:rPr>
        <w:t xml:space="preserve">national </w:t>
      </w:r>
      <w:r>
        <w:rPr>
          <w:rFonts w:cstheme="minorHAnsi"/>
        </w:rPr>
        <w:t>crime surveys</w:t>
      </w:r>
      <w:r w:rsidR="00E96750">
        <w:rPr>
          <w:rFonts w:cstheme="minorHAnsi"/>
        </w:rPr>
        <w:t xml:space="preserve"> have</w:t>
      </w:r>
      <w:r>
        <w:rPr>
          <w:rFonts w:cstheme="minorHAnsi"/>
        </w:rPr>
        <w:t xml:space="preserve"> reported </w:t>
      </w:r>
      <w:r w:rsidR="00125590">
        <w:rPr>
          <w:rFonts w:cstheme="minorHAnsi"/>
        </w:rPr>
        <w:t xml:space="preserve">high levels of perceived crime, many years after official and </w:t>
      </w:r>
      <w:r w:rsidR="00E96750">
        <w:rPr>
          <w:rFonts w:cstheme="minorHAnsi"/>
        </w:rPr>
        <w:t>self-report</w:t>
      </w:r>
      <w:r w:rsidR="00125590">
        <w:rPr>
          <w:rFonts w:cstheme="minorHAnsi"/>
        </w:rPr>
        <w:t xml:space="preserve"> victimisation rates ha</w:t>
      </w:r>
      <w:r w:rsidR="00E96750">
        <w:rPr>
          <w:rFonts w:cstheme="minorHAnsi"/>
        </w:rPr>
        <w:t xml:space="preserve">ve </w:t>
      </w:r>
      <w:r w:rsidR="00125590">
        <w:rPr>
          <w:rFonts w:cstheme="minorHAnsi"/>
        </w:rPr>
        <w:t>de</w:t>
      </w:r>
      <w:r w:rsidR="00E96750">
        <w:rPr>
          <w:rFonts w:cstheme="minorHAnsi"/>
        </w:rPr>
        <w:t>c</w:t>
      </w:r>
      <w:r w:rsidR="00125590">
        <w:rPr>
          <w:rFonts w:cstheme="minorHAnsi"/>
        </w:rPr>
        <w:t>line</w:t>
      </w:r>
      <w:r w:rsidR="00E96750">
        <w:rPr>
          <w:rFonts w:cstheme="minorHAnsi"/>
        </w:rPr>
        <w:t>d (Jansson, 2008)</w:t>
      </w:r>
      <w:r>
        <w:rPr>
          <w:rFonts w:cstheme="minorHAnsi"/>
        </w:rPr>
        <w:t>.</w:t>
      </w:r>
      <w:r w:rsidR="00C15050">
        <w:rPr>
          <w:rFonts w:cstheme="minorHAnsi"/>
        </w:rPr>
        <w:t xml:space="preserve"> </w:t>
      </w:r>
      <w:r w:rsidR="00C15050" w:rsidRPr="00DB30D8">
        <w:rPr>
          <w:rFonts w:cstheme="minorHAnsi"/>
        </w:rPr>
        <w:t xml:space="preserve"> </w:t>
      </w:r>
    </w:p>
    <w:p w14:paraId="39F3F3AB" w14:textId="77777777" w:rsidR="0051239F" w:rsidRDefault="00530611" w:rsidP="006C5950">
      <w:pPr>
        <w:spacing w:line="276" w:lineRule="auto"/>
        <w:rPr>
          <w:rFonts w:cstheme="minorHAnsi"/>
        </w:rPr>
      </w:pPr>
      <w:r>
        <w:rPr>
          <w:rFonts w:cstheme="minorHAnsi"/>
        </w:rPr>
        <w:t xml:space="preserve">There are other reasons for drawing </w:t>
      </w:r>
      <w:r w:rsidR="00F45CD7">
        <w:rPr>
          <w:rFonts w:cstheme="minorHAnsi"/>
        </w:rPr>
        <w:t>on</w:t>
      </w:r>
      <w:r>
        <w:rPr>
          <w:rFonts w:cstheme="minorHAnsi"/>
        </w:rPr>
        <w:t xml:space="preserve"> criminologists</w:t>
      </w:r>
      <w:r w:rsidR="00F45CD7">
        <w:rPr>
          <w:rFonts w:cstheme="minorHAnsi"/>
        </w:rPr>
        <w:t>’ insights</w:t>
      </w:r>
      <w:r>
        <w:rPr>
          <w:rFonts w:cstheme="minorHAnsi"/>
        </w:rPr>
        <w:t xml:space="preserve">. </w:t>
      </w:r>
      <w:r w:rsidR="002851FF">
        <w:rPr>
          <w:rFonts w:cstheme="minorHAnsi"/>
        </w:rPr>
        <w:t>By conceptualising</w:t>
      </w:r>
      <w:r>
        <w:rPr>
          <w:rFonts w:cstheme="minorHAnsi"/>
        </w:rPr>
        <w:t xml:space="preserve"> electoral fraud as a form of victimisation, </w:t>
      </w:r>
      <w:r w:rsidR="002851FF">
        <w:rPr>
          <w:rFonts w:cstheme="minorHAnsi"/>
        </w:rPr>
        <w:t>we c</w:t>
      </w:r>
      <w:r>
        <w:rPr>
          <w:rFonts w:cstheme="minorHAnsi"/>
        </w:rPr>
        <w:t>an apply practices developed by criminologists (both academic and in government) to measuring electoral fraud</w:t>
      </w:r>
      <w:r w:rsidR="00E70ABC">
        <w:rPr>
          <w:rFonts w:cstheme="minorHAnsi"/>
        </w:rPr>
        <w:t xml:space="preserve"> activity</w:t>
      </w:r>
      <w:r>
        <w:rPr>
          <w:rFonts w:cstheme="minorHAnsi"/>
        </w:rPr>
        <w:t>. For example, the British Crime Survey (now known as the Crime Survey for England &amp; Wales)</w:t>
      </w:r>
      <w:r w:rsidR="00E56577">
        <w:rPr>
          <w:rFonts w:cstheme="minorHAnsi"/>
        </w:rPr>
        <w:t xml:space="preserve"> designers</w:t>
      </w:r>
      <w:r>
        <w:rPr>
          <w:rFonts w:cstheme="minorHAnsi"/>
        </w:rPr>
        <w:t xml:space="preserve"> sought to develop questions which measured actual experiences in a way that could be directly compared with offences prescribed in criminal law. The </w:t>
      </w:r>
      <w:r w:rsidR="00A14385">
        <w:rPr>
          <w:rFonts w:cstheme="minorHAnsi"/>
        </w:rPr>
        <w:t>conventional</w:t>
      </w:r>
      <w:r w:rsidR="00A14385" w:rsidDel="00A14385">
        <w:rPr>
          <w:rFonts w:cstheme="minorHAnsi"/>
        </w:rPr>
        <w:t xml:space="preserve"> </w:t>
      </w:r>
      <w:r>
        <w:rPr>
          <w:rFonts w:cstheme="minorHAnsi"/>
        </w:rPr>
        <w:t xml:space="preserve">principles for designing victimisation questions </w:t>
      </w:r>
      <w:r w:rsidR="0051239F">
        <w:rPr>
          <w:rFonts w:cstheme="minorHAnsi"/>
        </w:rPr>
        <w:t>are</w:t>
      </w:r>
    </w:p>
    <w:p w14:paraId="5E026BF5" w14:textId="053B8401" w:rsidR="0051239F" w:rsidRPr="0051239F" w:rsidRDefault="00530611" w:rsidP="0051239F">
      <w:pPr>
        <w:pStyle w:val="ListParagraph"/>
        <w:numPr>
          <w:ilvl w:val="0"/>
          <w:numId w:val="13"/>
        </w:numPr>
        <w:spacing w:line="276" w:lineRule="auto"/>
        <w:rPr>
          <w:rFonts w:cstheme="minorHAnsi"/>
        </w:rPr>
      </w:pPr>
      <w:r w:rsidRPr="0051239F">
        <w:rPr>
          <w:rFonts w:cstheme="minorHAnsi"/>
        </w:rPr>
        <w:t>that the question needs to refer to something which is unambiguously a crime</w:t>
      </w:r>
      <w:r w:rsidR="00A14385" w:rsidRPr="0051239F">
        <w:rPr>
          <w:rFonts w:cstheme="minorHAnsi"/>
        </w:rPr>
        <w:t xml:space="preserve">; </w:t>
      </w:r>
    </w:p>
    <w:p w14:paraId="7B065C96" w14:textId="77777777" w:rsidR="0051239F" w:rsidRDefault="00530611" w:rsidP="0051239F">
      <w:pPr>
        <w:pStyle w:val="ListParagraph"/>
        <w:numPr>
          <w:ilvl w:val="0"/>
          <w:numId w:val="13"/>
        </w:numPr>
        <w:spacing w:line="276" w:lineRule="auto"/>
        <w:rPr>
          <w:rFonts w:cstheme="minorHAnsi"/>
        </w:rPr>
      </w:pPr>
      <w:r w:rsidRPr="0051239F">
        <w:rPr>
          <w:rFonts w:cstheme="minorHAnsi"/>
        </w:rPr>
        <w:t xml:space="preserve">is likely to have been </w:t>
      </w:r>
      <w:r w:rsidR="00E56577" w:rsidRPr="0051239F">
        <w:rPr>
          <w:rFonts w:cstheme="minorHAnsi"/>
        </w:rPr>
        <w:t>detected</w:t>
      </w:r>
      <w:r w:rsidRPr="0051239F">
        <w:rPr>
          <w:rFonts w:cstheme="minorHAnsi"/>
        </w:rPr>
        <w:t xml:space="preserve"> by the respondent as having happened to themselves</w:t>
      </w:r>
      <w:r w:rsidR="00A14385" w:rsidRPr="0051239F">
        <w:rPr>
          <w:rFonts w:cstheme="minorHAnsi"/>
        </w:rPr>
        <w:t xml:space="preserve">; </w:t>
      </w:r>
    </w:p>
    <w:p w14:paraId="25746839" w14:textId="77777777" w:rsidR="0051239F" w:rsidRDefault="00530611" w:rsidP="0051239F">
      <w:pPr>
        <w:pStyle w:val="ListParagraph"/>
        <w:numPr>
          <w:ilvl w:val="0"/>
          <w:numId w:val="13"/>
        </w:numPr>
        <w:spacing w:line="276" w:lineRule="auto"/>
        <w:rPr>
          <w:rFonts w:cstheme="minorHAnsi"/>
        </w:rPr>
      </w:pPr>
      <w:r w:rsidRPr="0051239F">
        <w:rPr>
          <w:rFonts w:cstheme="minorHAnsi"/>
        </w:rPr>
        <w:t>is sufficiently broad for</w:t>
      </w:r>
      <w:r w:rsidR="00A14385" w:rsidRPr="0051239F">
        <w:rPr>
          <w:rFonts w:cstheme="minorHAnsi"/>
        </w:rPr>
        <w:t xml:space="preserve"> a wide population of </w:t>
      </w:r>
      <w:r w:rsidRPr="0051239F">
        <w:rPr>
          <w:rFonts w:cstheme="minorHAnsi"/>
        </w:rPr>
        <w:t>respondents to have experienced, and</w:t>
      </w:r>
      <w:r w:rsidR="00A14385" w:rsidRPr="0051239F">
        <w:rPr>
          <w:rFonts w:cstheme="minorHAnsi"/>
        </w:rPr>
        <w:t xml:space="preserve"> </w:t>
      </w:r>
    </w:p>
    <w:p w14:paraId="62526DAF" w14:textId="77777777" w:rsidR="0051239F" w:rsidRDefault="00530611" w:rsidP="0051239F">
      <w:pPr>
        <w:pStyle w:val="ListParagraph"/>
        <w:numPr>
          <w:ilvl w:val="0"/>
          <w:numId w:val="13"/>
        </w:numPr>
        <w:spacing w:line="276" w:lineRule="auto"/>
        <w:rPr>
          <w:rFonts w:cstheme="minorHAnsi"/>
        </w:rPr>
      </w:pPr>
      <w:r w:rsidRPr="0051239F">
        <w:rPr>
          <w:rFonts w:cstheme="minorHAnsi"/>
        </w:rPr>
        <w:t xml:space="preserve">is worded to enable enumeration (i.e. an estimation of the frequency of such events). </w:t>
      </w:r>
    </w:p>
    <w:p w14:paraId="39B5C739" w14:textId="423E1A25" w:rsidR="0067139B" w:rsidRPr="0051239F" w:rsidRDefault="00530611" w:rsidP="0051239F">
      <w:pPr>
        <w:spacing w:line="276" w:lineRule="auto"/>
        <w:rPr>
          <w:rFonts w:cstheme="minorHAnsi"/>
        </w:rPr>
      </w:pPr>
      <w:r w:rsidRPr="0051239F">
        <w:rPr>
          <w:rFonts w:cstheme="minorHAnsi"/>
        </w:rPr>
        <w:t xml:space="preserve">Typically, such questions refer to victimisation in the past year (so as to enable comparison with recorded crime data). There are exceptions, of course. Domestic violence and coercive control – which may be </w:t>
      </w:r>
      <w:r w:rsidR="00C731A2" w:rsidRPr="0051239F">
        <w:rPr>
          <w:rFonts w:cstheme="minorHAnsi"/>
        </w:rPr>
        <w:t xml:space="preserve">so </w:t>
      </w:r>
      <w:r w:rsidRPr="0051239F">
        <w:rPr>
          <w:rFonts w:cstheme="minorHAnsi"/>
        </w:rPr>
        <w:t xml:space="preserve">pervasive as to defy counting – </w:t>
      </w:r>
      <w:r w:rsidR="003808E1">
        <w:rPr>
          <w:rFonts w:cstheme="minorHAnsi"/>
        </w:rPr>
        <w:t>being</w:t>
      </w:r>
      <w:r w:rsidRPr="0051239F">
        <w:rPr>
          <w:rFonts w:cstheme="minorHAnsi"/>
        </w:rPr>
        <w:t xml:space="preserve"> one </w:t>
      </w:r>
      <w:r w:rsidR="005D7C2C" w:rsidRPr="0051239F">
        <w:rPr>
          <w:rFonts w:cstheme="minorHAnsi"/>
        </w:rPr>
        <w:t>(Walby et al, 2017)</w:t>
      </w:r>
      <w:r w:rsidRPr="0051239F">
        <w:rPr>
          <w:rFonts w:cstheme="minorHAnsi"/>
        </w:rPr>
        <w:t>. Nevertheless, criminologists h</w:t>
      </w:r>
      <w:r w:rsidR="003808E1">
        <w:rPr>
          <w:rFonts w:cstheme="minorHAnsi"/>
        </w:rPr>
        <w:t>ave fielded questions on a wide-</w:t>
      </w:r>
      <w:r w:rsidRPr="0051239F">
        <w:rPr>
          <w:rFonts w:cstheme="minorHAnsi"/>
        </w:rPr>
        <w:t xml:space="preserve">range of victimisations, including, burglary, theft, physical assault, sexual </w:t>
      </w:r>
      <w:r w:rsidR="005D7C2C" w:rsidRPr="0051239F">
        <w:rPr>
          <w:rFonts w:cstheme="minorHAnsi"/>
        </w:rPr>
        <w:t>and ‘hate</w:t>
      </w:r>
      <w:r w:rsidR="00D9647F" w:rsidRPr="0051239F">
        <w:rPr>
          <w:rFonts w:cstheme="minorHAnsi"/>
        </w:rPr>
        <w:t xml:space="preserve"> </w:t>
      </w:r>
      <w:r w:rsidRPr="0051239F">
        <w:rPr>
          <w:rFonts w:cstheme="minorHAnsi"/>
        </w:rPr>
        <w:t>crime</w:t>
      </w:r>
      <w:r w:rsidR="005D7C2C" w:rsidRPr="0051239F">
        <w:rPr>
          <w:rFonts w:cstheme="minorHAnsi"/>
        </w:rPr>
        <w:t>s’</w:t>
      </w:r>
      <w:r w:rsidRPr="0051239F">
        <w:rPr>
          <w:rFonts w:cstheme="minorHAnsi"/>
        </w:rPr>
        <w:t xml:space="preserve"> (</w:t>
      </w:r>
      <w:r w:rsidR="003808E1">
        <w:rPr>
          <w:rFonts w:cstheme="minorHAnsi"/>
        </w:rPr>
        <w:t>e.g.</w:t>
      </w:r>
      <w:r w:rsidRPr="0051239F">
        <w:rPr>
          <w:rFonts w:cstheme="minorHAnsi"/>
        </w:rPr>
        <w:t xml:space="preserve"> racist</w:t>
      </w:r>
      <w:r w:rsidR="005D7C2C" w:rsidRPr="0051239F">
        <w:rPr>
          <w:rFonts w:cstheme="minorHAnsi"/>
        </w:rPr>
        <w:t>,</w:t>
      </w:r>
      <w:r w:rsidR="00D9647F" w:rsidRPr="0051239F">
        <w:rPr>
          <w:rFonts w:cstheme="minorHAnsi"/>
        </w:rPr>
        <w:t xml:space="preserve"> </w:t>
      </w:r>
      <w:r w:rsidR="005D7C2C" w:rsidRPr="0051239F">
        <w:rPr>
          <w:rFonts w:cstheme="minorHAnsi"/>
        </w:rPr>
        <w:t>religious</w:t>
      </w:r>
      <w:r w:rsidRPr="0051239F">
        <w:rPr>
          <w:rFonts w:cstheme="minorHAnsi"/>
        </w:rPr>
        <w:t xml:space="preserve"> or homophobic </w:t>
      </w:r>
      <w:r w:rsidR="005D7C2C" w:rsidRPr="0051239F">
        <w:rPr>
          <w:rFonts w:cstheme="minorHAnsi"/>
        </w:rPr>
        <w:t>violence</w:t>
      </w:r>
      <w:r w:rsidRPr="0051239F">
        <w:rPr>
          <w:rFonts w:cstheme="minorHAnsi"/>
        </w:rPr>
        <w:t>). Given that the British laws relating to electoral fraud (which we outline in more detail below) are const</w:t>
      </w:r>
      <w:r w:rsidR="005D7C2C" w:rsidRPr="0051239F">
        <w:rPr>
          <w:rFonts w:cstheme="minorHAnsi"/>
        </w:rPr>
        <w:t>ructed as ‘observable deeds’ (or victimisation</w:t>
      </w:r>
      <w:r w:rsidR="00C731A2" w:rsidRPr="0051239F">
        <w:rPr>
          <w:rFonts w:cstheme="minorHAnsi"/>
        </w:rPr>
        <w:t>s</w:t>
      </w:r>
      <w:r w:rsidR="005D7C2C" w:rsidRPr="0051239F">
        <w:rPr>
          <w:rFonts w:cstheme="minorHAnsi"/>
        </w:rPr>
        <w:t xml:space="preserve">) – such </w:t>
      </w:r>
      <w:r w:rsidRPr="0051239F">
        <w:rPr>
          <w:rFonts w:cstheme="minorHAnsi"/>
        </w:rPr>
        <w:t xml:space="preserve">as </w:t>
      </w:r>
      <w:r w:rsidR="005D7C2C" w:rsidRPr="0051239F">
        <w:rPr>
          <w:rFonts w:cstheme="minorHAnsi"/>
        </w:rPr>
        <w:t>‘</w:t>
      </w:r>
      <w:r w:rsidRPr="0051239F">
        <w:rPr>
          <w:rFonts w:cstheme="minorHAnsi"/>
        </w:rPr>
        <w:t>inducing or threatening</w:t>
      </w:r>
      <w:r w:rsidR="005D7C2C" w:rsidRPr="0051239F">
        <w:rPr>
          <w:rFonts w:cstheme="minorHAnsi"/>
        </w:rPr>
        <w:t>’</w:t>
      </w:r>
      <w:r w:rsidRPr="0051239F">
        <w:rPr>
          <w:rFonts w:cstheme="minorHAnsi"/>
        </w:rPr>
        <w:t xml:space="preserve"> individuals to vote in a particular way</w:t>
      </w:r>
      <w:r w:rsidR="005D7C2C" w:rsidRPr="0051239F">
        <w:rPr>
          <w:rFonts w:cstheme="minorHAnsi"/>
        </w:rPr>
        <w:t>; ‘</w:t>
      </w:r>
      <w:r w:rsidRPr="0051239F">
        <w:rPr>
          <w:rFonts w:cstheme="minorHAnsi"/>
        </w:rPr>
        <w:t>impersonating</w:t>
      </w:r>
      <w:r w:rsidR="005D7C2C" w:rsidRPr="0051239F">
        <w:rPr>
          <w:rFonts w:cstheme="minorHAnsi"/>
        </w:rPr>
        <w:t>’</w:t>
      </w:r>
      <w:r w:rsidRPr="0051239F">
        <w:rPr>
          <w:rFonts w:cstheme="minorHAnsi"/>
        </w:rPr>
        <w:t xml:space="preserve"> them at the voting station or via postal votes</w:t>
      </w:r>
      <w:r w:rsidR="005D7C2C" w:rsidRPr="0051239F">
        <w:rPr>
          <w:rFonts w:cstheme="minorHAnsi"/>
        </w:rPr>
        <w:t xml:space="preserve"> etc. </w:t>
      </w:r>
      <w:r w:rsidR="002851FF" w:rsidRPr="0051239F">
        <w:rPr>
          <w:rFonts w:cstheme="minorHAnsi"/>
        </w:rPr>
        <w:t>–</w:t>
      </w:r>
      <w:r w:rsidRPr="0051239F">
        <w:rPr>
          <w:rFonts w:cstheme="minorHAnsi"/>
        </w:rPr>
        <w:t xml:space="preserve"> </w:t>
      </w:r>
      <w:r w:rsidR="002851FF" w:rsidRPr="0051239F">
        <w:rPr>
          <w:rFonts w:cstheme="minorHAnsi"/>
        </w:rPr>
        <w:t>t</w:t>
      </w:r>
      <w:r w:rsidRPr="0051239F">
        <w:rPr>
          <w:rFonts w:cstheme="minorHAnsi"/>
        </w:rPr>
        <w:t xml:space="preserve">his </w:t>
      </w:r>
      <w:r w:rsidR="009E21F6">
        <w:rPr>
          <w:rFonts w:cstheme="minorHAnsi"/>
        </w:rPr>
        <w:t xml:space="preserve">approach </w:t>
      </w:r>
      <w:r w:rsidRPr="0051239F">
        <w:rPr>
          <w:rFonts w:cstheme="minorHAnsi"/>
        </w:rPr>
        <w:t xml:space="preserve">works </w:t>
      </w:r>
      <w:r w:rsidR="009E21F6">
        <w:rPr>
          <w:rFonts w:cstheme="minorHAnsi"/>
        </w:rPr>
        <w:t>at the individual-</w:t>
      </w:r>
      <w:r w:rsidRPr="0051239F">
        <w:rPr>
          <w:rFonts w:cstheme="minorHAnsi"/>
        </w:rPr>
        <w:t>level</w:t>
      </w:r>
      <w:r w:rsidR="002851FF" w:rsidRPr="0051239F">
        <w:rPr>
          <w:rFonts w:cstheme="minorHAnsi"/>
        </w:rPr>
        <w:t>.</w:t>
      </w:r>
      <w:r w:rsidRPr="0051239F">
        <w:rPr>
          <w:rFonts w:cstheme="minorHAnsi"/>
        </w:rPr>
        <w:t xml:space="preserve"> </w:t>
      </w:r>
      <w:r w:rsidR="002851FF" w:rsidRPr="0051239F">
        <w:rPr>
          <w:rFonts w:cstheme="minorHAnsi"/>
        </w:rPr>
        <w:t xml:space="preserve">Of </w:t>
      </w:r>
      <w:r w:rsidRPr="0051239F">
        <w:rPr>
          <w:rFonts w:cstheme="minorHAnsi"/>
        </w:rPr>
        <w:t xml:space="preserve">course what is at stake </w:t>
      </w:r>
      <w:r w:rsidR="002851FF" w:rsidRPr="0051239F">
        <w:rPr>
          <w:rFonts w:cstheme="minorHAnsi"/>
        </w:rPr>
        <w:t xml:space="preserve">democratically </w:t>
      </w:r>
      <w:r w:rsidRPr="0051239F">
        <w:rPr>
          <w:rFonts w:cstheme="minorHAnsi"/>
        </w:rPr>
        <w:t xml:space="preserve">goes beyond the individual; in theory, if one fraudulent vote </w:t>
      </w:r>
      <w:r w:rsidR="002851FF" w:rsidRPr="0051239F">
        <w:rPr>
          <w:rFonts w:cstheme="minorHAnsi"/>
        </w:rPr>
        <w:t>changes which party controls an elected body</w:t>
      </w:r>
      <w:r w:rsidRPr="0051239F">
        <w:rPr>
          <w:rFonts w:cstheme="minorHAnsi"/>
        </w:rPr>
        <w:t xml:space="preserve">, then </w:t>
      </w:r>
      <w:r w:rsidRPr="0051239F">
        <w:rPr>
          <w:rFonts w:cstheme="minorHAnsi"/>
          <w:i/>
        </w:rPr>
        <w:t>all</w:t>
      </w:r>
      <w:r w:rsidRPr="0051239F">
        <w:rPr>
          <w:rFonts w:cstheme="minorHAnsi"/>
        </w:rPr>
        <w:t xml:space="preserve"> electors are defrauded (of the correct outcome). </w:t>
      </w:r>
      <w:r w:rsidR="002851FF" w:rsidRPr="0051239F">
        <w:rPr>
          <w:rFonts w:cstheme="minorHAnsi"/>
        </w:rPr>
        <w:t>However, s</w:t>
      </w:r>
      <w:r w:rsidRPr="0051239F">
        <w:rPr>
          <w:rFonts w:cstheme="minorHAnsi"/>
        </w:rPr>
        <w:t xml:space="preserve">uch outcomes, </w:t>
      </w:r>
      <w:r w:rsidR="002851FF" w:rsidRPr="0051239F">
        <w:rPr>
          <w:rFonts w:cstheme="minorHAnsi"/>
        </w:rPr>
        <w:t xml:space="preserve">while possible, are exceptionally </w:t>
      </w:r>
      <w:r w:rsidRPr="0051239F">
        <w:rPr>
          <w:rFonts w:cstheme="minorHAnsi"/>
        </w:rPr>
        <w:t xml:space="preserve">rare. Our </w:t>
      </w:r>
      <w:r w:rsidR="002851FF" w:rsidRPr="0051239F">
        <w:rPr>
          <w:rFonts w:cstheme="minorHAnsi"/>
        </w:rPr>
        <w:t xml:space="preserve">primary </w:t>
      </w:r>
      <w:r w:rsidRPr="0051239F">
        <w:rPr>
          <w:rFonts w:cstheme="minorHAnsi"/>
        </w:rPr>
        <w:t>task here</w:t>
      </w:r>
      <w:r w:rsidR="002851FF" w:rsidRPr="0051239F">
        <w:rPr>
          <w:rFonts w:cstheme="minorHAnsi"/>
        </w:rPr>
        <w:t xml:space="preserve"> </w:t>
      </w:r>
      <w:r w:rsidRPr="0051239F">
        <w:rPr>
          <w:rFonts w:cstheme="minorHAnsi"/>
        </w:rPr>
        <w:t xml:space="preserve">is to assess the extent to which </w:t>
      </w:r>
      <w:r w:rsidR="002851FF" w:rsidRPr="0051239F">
        <w:rPr>
          <w:rFonts w:cstheme="minorHAnsi"/>
        </w:rPr>
        <w:t xml:space="preserve">conceiving of </w:t>
      </w:r>
      <w:r w:rsidRPr="0051239F">
        <w:rPr>
          <w:rFonts w:cstheme="minorHAnsi"/>
        </w:rPr>
        <w:t xml:space="preserve">electoral fraud as victimisation is </w:t>
      </w:r>
      <w:r w:rsidR="002851FF" w:rsidRPr="0051239F">
        <w:rPr>
          <w:rFonts w:cstheme="minorHAnsi"/>
        </w:rPr>
        <w:t xml:space="preserve">empirically </w:t>
      </w:r>
      <w:r w:rsidRPr="0051239F">
        <w:rPr>
          <w:rFonts w:cstheme="minorHAnsi"/>
        </w:rPr>
        <w:t>valid.</w:t>
      </w:r>
    </w:p>
    <w:p w14:paraId="626BB0A9" w14:textId="6056EABB" w:rsidR="00B14B55" w:rsidRPr="0062432C" w:rsidRDefault="002851FF" w:rsidP="00B14B55">
      <w:pPr>
        <w:autoSpaceDE w:val="0"/>
        <w:autoSpaceDN w:val="0"/>
        <w:adjustRightInd w:val="0"/>
        <w:spacing w:after="0" w:line="276" w:lineRule="auto"/>
        <w:rPr>
          <w:rFonts w:cstheme="minorHAnsi"/>
        </w:rPr>
      </w:pPr>
      <w:r>
        <w:rPr>
          <w:rFonts w:cstheme="minorHAnsi"/>
        </w:rPr>
        <w:t xml:space="preserve">Translating </w:t>
      </w:r>
      <w:r w:rsidR="00C15050">
        <w:rPr>
          <w:rFonts w:cstheme="minorHAnsi"/>
        </w:rPr>
        <w:t xml:space="preserve">principles from criminological studies of victimisation to the study of electoral fraud requires fresh </w:t>
      </w:r>
      <w:r w:rsidR="00174EFE">
        <w:rPr>
          <w:rFonts w:cstheme="minorHAnsi"/>
        </w:rPr>
        <w:t xml:space="preserve">survey </w:t>
      </w:r>
      <w:r w:rsidR="00C15050">
        <w:rPr>
          <w:rFonts w:cstheme="minorHAnsi"/>
        </w:rPr>
        <w:t>approaches</w:t>
      </w:r>
      <w:r w:rsidR="00174EFE">
        <w:rPr>
          <w:rFonts w:cstheme="minorHAnsi"/>
        </w:rPr>
        <w:t>.</w:t>
      </w:r>
      <w:r w:rsidR="00C15050">
        <w:rPr>
          <w:rFonts w:cstheme="minorHAnsi"/>
        </w:rPr>
        <w:t xml:space="preserve"> </w:t>
      </w:r>
      <w:r w:rsidR="00F45CD7">
        <w:rPr>
          <w:rFonts w:cstheme="minorHAnsi"/>
        </w:rPr>
        <w:t xml:space="preserve">Previously employed </w:t>
      </w:r>
      <w:r w:rsidR="00B14B55">
        <w:rPr>
          <w:rFonts w:cstheme="minorHAnsi"/>
        </w:rPr>
        <w:t xml:space="preserve">survey </w:t>
      </w:r>
      <w:r w:rsidR="00B14B55" w:rsidRPr="0062432C">
        <w:rPr>
          <w:rFonts w:cstheme="minorHAnsi"/>
        </w:rPr>
        <w:t xml:space="preserve">questions have tended to </w:t>
      </w:r>
      <w:r w:rsidR="00B14B55">
        <w:rPr>
          <w:rFonts w:cstheme="minorHAnsi"/>
        </w:rPr>
        <w:t>be vague</w:t>
      </w:r>
      <w:r w:rsidR="00B14B55" w:rsidRPr="0062432C">
        <w:rPr>
          <w:rFonts w:cstheme="minorHAnsi"/>
        </w:rPr>
        <w:t xml:space="preserve"> </w:t>
      </w:r>
      <w:r w:rsidR="00174EFE">
        <w:rPr>
          <w:rFonts w:cstheme="minorHAnsi"/>
        </w:rPr>
        <w:t>about what constitutes electoral fraud</w:t>
      </w:r>
      <w:r w:rsidR="00B14B55" w:rsidRPr="0062432C">
        <w:rPr>
          <w:rFonts w:cstheme="minorHAnsi"/>
        </w:rPr>
        <w:t>, rather than</w:t>
      </w:r>
      <w:r w:rsidR="00B14B55">
        <w:rPr>
          <w:rFonts w:cstheme="minorHAnsi"/>
        </w:rPr>
        <w:t xml:space="preserve"> designed in line with </w:t>
      </w:r>
      <w:r w:rsidR="00B14B55" w:rsidRPr="0062432C">
        <w:rPr>
          <w:rFonts w:cstheme="minorHAnsi"/>
        </w:rPr>
        <w:t>the</w:t>
      </w:r>
      <w:r w:rsidR="00B14B55">
        <w:rPr>
          <w:rFonts w:cstheme="minorHAnsi"/>
        </w:rPr>
        <w:t xml:space="preserve"> relevant legal definitions. </w:t>
      </w:r>
      <w:r w:rsidR="00174EFE">
        <w:rPr>
          <w:rFonts w:cstheme="minorHAnsi"/>
        </w:rPr>
        <w:t xml:space="preserve">To some extent this approach is understandable. </w:t>
      </w:r>
      <w:r>
        <w:rPr>
          <w:rFonts w:cstheme="minorHAnsi"/>
        </w:rPr>
        <w:t>Most</w:t>
      </w:r>
      <w:r w:rsidR="00174EFE">
        <w:rPr>
          <w:rFonts w:cstheme="minorHAnsi"/>
        </w:rPr>
        <w:t xml:space="preserve"> </w:t>
      </w:r>
      <w:r w:rsidR="00BD1BBD">
        <w:rPr>
          <w:rFonts w:cstheme="minorHAnsi"/>
        </w:rPr>
        <w:t xml:space="preserve">UK </w:t>
      </w:r>
      <w:r w:rsidR="00174EFE">
        <w:rPr>
          <w:rFonts w:cstheme="minorHAnsi"/>
        </w:rPr>
        <w:t xml:space="preserve">electoral </w:t>
      </w:r>
      <w:r w:rsidR="00BD1BBD">
        <w:rPr>
          <w:rFonts w:cstheme="minorHAnsi"/>
        </w:rPr>
        <w:t>offences were defined in the Victorian era and terms such as ‘personation’, ‘undue influence’ and ‘treating’ carry little or no meaning for most electors.</w:t>
      </w:r>
      <w:r w:rsidR="00174EFE">
        <w:rPr>
          <w:rFonts w:cstheme="minorHAnsi"/>
        </w:rPr>
        <w:t xml:space="preserve"> </w:t>
      </w:r>
      <w:r w:rsidR="00BD1BBD">
        <w:rPr>
          <w:rFonts w:cstheme="minorHAnsi"/>
        </w:rPr>
        <w:t xml:space="preserve">On the rare occasions where </w:t>
      </w:r>
      <w:r w:rsidR="00B14B55" w:rsidRPr="0062432C">
        <w:rPr>
          <w:rFonts w:cstheme="minorHAnsi"/>
        </w:rPr>
        <w:t xml:space="preserve">surveys have asked respondents </w:t>
      </w:r>
      <w:r w:rsidR="00BD1BBD">
        <w:rPr>
          <w:rFonts w:cstheme="minorHAnsi"/>
        </w:rPr>
        <w:t xml:space="preserve">about their direct experience of an electoral offence, plain English versions have been used. </w:t>
      </w:r>
      <w:r w:rsidR="00F45CD7">
        <w:rPr>
          <w:rFonts w:cstheme="minorHAnsi"/>
        </w:rPr>
        <w:t>A</w:t>
      </w:r>
      <w:r w:rsidR="00BD1BBD">
        <w:rPr>
          <w:rFonts w:cstheme="minorHAnsi"/>
        </w:rPr>
        <w:t xml:space="preserve">s noted above, </w:t>
      </w:r>
      <w:r w:rsidR="0032267C">
        <w:rPr>
          <w:rFonts w:cstheme="minorHAnsi"/>
        </w:rPr>
        <w:t xml:space="preserve">whilst </w:t>
      </w:r>
      <w:r w:rsidR="00BD1BBD">
        <w:rPr>
          <w:rFonts w:cstheme="minorHAnsi"/>
        </w:rPr>
        <w:t xml:space="preserve">questions asking whether respondents </w:t>
      </w:r>
      <w:r w:rsidR="00B14B55" w:rsidRPr="0062432C">
        <w:rPr>
          <w:rFonts w:cstheme="minorHAnsi"/>
        </w:rPr>
        <w:t xml:space="preserve">have been made to feel that they had little or no choice about who to vote for </w:t>
      </w:r>
      <w:r w:rsidR="00BD1BBD">
        <w:rPr>
          <w:rFonts w:cstheme="minorHAnsi"/>
        </w:rPr>
        <w:t>constitute a proxy for undue influence,</w:t>
      </w:r>
      <w:r w:rsidR="00174EFE">
        <w:rPr>
          <w:rFonts w:cstheme="minorHAnsi"/>
        </w:rPr>
        <w:t xml:space="preserve"> </w:t>
      </w:r>
      <w:r w:rsidR="00B14B55" w:rsidRPr="0062432C">
        <w:rPr>
          <w:rFonts w:cstheme="minorHAnsi"/>
        </w:rPr>
        <w:t xml:space="preserve">it is </w:t>
      </w:r>
      <w:r w:rsidR="00174EFE">
        <w:rPr>
          <w:rFonts w:cstheme="minorHAnsi"/>
        </w:rPr>
        <w:t xml:space="preserve">also </w:t>
      </w:r>
      <w:r w:rsidR="00B14B55" w:rsidRPr="0062432C">
        <w:rPr>
          <w:rFonts w:cstheme="minorHAnsi"/>
        </w:rPr>
        <w:t xml:space="preserve">possible that affirmative answers </w:t>
      </w:r>
      <w:r w:rsidR="00BD1BBD">
        <w:rPr>
          <w:rFonts w:cstheme="minorHAnsi"/>
        </w:rPr>
        <w:t xml:space="preserve">to this question </w:t>
      </w:r>
      <w:r w:rsidR="00B14B55" w:rsidRPr="0062432C">
        <w:rPr>
          <w:rFonts w:cstheme="minorHAnsi"/>
        </w:rPr>
        <w:t xml:space="preserve">reflect generalised frustration about a lack of choices on the ballot paper </w:t>
      </w:r>
      <w:r w:rsidR="0032267C">
        <w:rPr>
          <w:rFonts w:cstheme="minorHAnsi"/>
        </w:rPr>
        <w:t>(</w:t>
      </w:r>
      <w:r w:rsidR="00B14B55" w:rsidRPr="0062432C">
        <w:rPr>
          <w:rFonts w:cstheme="minorHAnsi"/>
        </w:rPr>
        <w:t xml:space="preserve">rather than a scenario </w:t>
      </w:r>
      <w:r>
        <w:rPr>
          <w:rFonts w:cstheme="minorHAnsi"/>
        </w:rPr>
        <w:t>that</w:t>
      </w:r>
      <w:r w:rsidR="00BD1BBD">
        <w:rPr>
          <w:rFonts w:cstheme="minorHAnsi"/>
        </w:rPr>
        <w:t xml:space="preserve"> would be recognised in law as </w:t>
      </w:r>
      <w:r w:rsidR="00B14B55" w:rsidRPr="0062432C">
        <w:rPr>
          <w:rFonts w:cstheme="minorHAnsi"/>
        </w:rPr>
        <w:t xml:space="preserve">undue influence </w:t>
      </w:r>
      <w:r w:rsidR="00BD1BBD">
        <w:rPr>
          <w:rFonts w:cstheme="minorHAnsi"/>
        </w:rPr>
        <w:t>by a candidate, campaigner or elector</w:t>
      </w:r>
      <w:r w:rsidR="0032267C">
        <w:rPr>
          <w:rFonts w:cstheme="minorHAnsi"/>
        </w:rPr>
        <w:t>)</w:t>
      </w:r>
      <w:r w:rsidR="00B14B55" w:rsidRPr="0062432C">
        <w:rPr>
          <w:rFonts w:cstheme="minorHAnsi"/>
        </w:rPr>
        <w:t>.</w:t>
      </w:r>
      <w:r w:rsidR="00B14B55">
        <w:rPr>
          <w:rFonts w:cstheme="minorHAnsi"/>
        </w:rPr>
        <w:t xml:space="preserve"> </w:t>
      </w:r>
      <w:r w:rsidR="0032267C">
        <w:rPr>
          <w:rFonts w:cstheme="minorHAnsi"/>
        </w:rPr>
        <w:t>O</w:t>
      </w:r>
      <w:r w:rsidR="00B14B55" w:rsidRPr="0062432C">
        <w:rPr>
          <w:rFonts w:cstheme="minorHAnsi"/>
        </w:rPr>
        <w:t xml:space="preserve">ur </w:t>
      </w:r>
      <w:r w:rsidR="00BD1BBD">
        <w:rPr>
          <w:rFonts w:cstheme="minorHAnsi"/>
        </w:rPr>
        <w:t xml:space="preserve">approach to </w:t>
      </w:r>
      <w:r w:rsidR="00B14B55" w:rsidRPr="0062432C">
        <w:rPr>
          <w:rFonts w:cstheme="minorHAnsi"/>
        </w:rPr>
        <w:t>explor</w:t>
      </w:r>
      <w:r w:rsidR="00BD1BBD">
        <w:rPr>
          <w:rFonts w:cstheme="minorHAnsi"/>
        </w:rPr>
        <w:t>ing</w:t>
      </w:r>
      <w:r w:rsidR="00B14B55" w:rsidRPr="0062432C">
        <w:rPr>
          <w:rFonts w:cstheme="minorHAnsi"/>
        </w:rPr>
        <w:t xml:space="preserve"> the extent of electoral fraud </w:t>
      </w:r>
      <w:r w:rsidR="00BD1BBD">
        <w:rPr>
          <w:rFonts w:cstheme="minorHAnsi"/>
        </w:rPr>
        <w:t xml:space="preserve">victimisation </w:t>
      </w:r>
      <w:r w:rsidR="00B14B55" w:rsidRPr="0062432C">
        <w:rPr>
          <w:rFonts w:cstheme="minorHAnsi"/>
        </w:rPr>
        <w:t>relat</w:t>
      </w:r>
      <w:r w:rsidR="00BD1BBD">
        <w:rPr>
          <w:rFonts w:cstheme="minorHAnsi"/>
        </w:rPr>
        <w:t>es</w:t>
      </w:r>
      <w:r w:rsidR="00B14B55" w:rsidRPr="0062432C">
        <w:rPr>
          <w:rFonts w:cstheme="minorHAnsi"/>
        </w:rPr>
        <w:t xml:space="preserve"> to two specific forms of electoral fraud</w:t>
      </w:r>
      <w:r w:rsidR="00B14B55">
        <w:rPr>
          <w:rFonts w:cstheme="minorHAnsi"/>
        </w:rPr>
        <w:t xml:space="preserve"> activity</w:t>
      </w:r>
      <w:r w:rsidR="00B14B55" w:rsidRPr="0062432C">
        <w:rPr>
          <w:rFonts w:cstheme="minorHAnsi"/>
        </w:rPr>
        <w:t>, as defined in the Representation of the People Act 1983.</w:t>
      </w:r>
      <w:r w:rsidR="00BD1BBD">
        <w:rPr>
          <w:rFonts w:cstheme="minorHAnsi"/>
        </w:rPr>
        <w:t xml:space="preserve"> </w:t>
      </w:r>
      <w:r w:rsidR="00F45CD7">
        <w:rPr>
          <w:rFonts w:cstheme="minorHAnsi"/>
        </w:rPr>
        <w:t>As we explain below, t</w:t>
      </w:r>
      <w:r w:rsidR="00BD1BBD">
        <w:rPr>
          <w:rFonts w:cstheme="minorHAnsi"/>
        </w:rPr>
        <w:t>he two forms of electoral fraud we examine</w:t>
      </w:r>
      <w:r w:rsidR="0056183E">
        <w:rPr>
          <w:rFonts w:cstheme="minorHAnsi"/>
        </w:rPr>
        <w:t xml:space="preserve"> – personation and undue influence </w:t>
      </w:r>
      <w:r>
        <w:rPr>
          <w:rFonts w:cstheme="minorHAnsi"/>
        </w:rPr>
        <w:t>–</w:t>
      </w:r>
      <w:r w:rsidR="0056183E">
        <w:rPr>
          <w:rFonts w:cstheme="minorHAnsi"/>
        </w:rPr>
        <w:t xml:space="preserve"> </w:t>
      </w:r>
      <w:r w:rsidR="00BD1BBD">
        <w:rPr>
          <w:rFonts w:cstheme="minorHAnsi"/>
        </w:rPr>
        <w:t xml:space="preserve">are also those where </w:t>
      </w:r>
      <w:r w:rsidR="0056183E">
        <w:rPr>
          <w:rFonts w:cstheme="minorHAnsi"/>
        </w:rPr>
        <w:t>the lens of victimisation is arguably most appropriat</w:t>
      </w:r>
      <w:r w:rsidR="00F45CD7">
        <w:rPr>
          <w:rFonts w:cstheme="minorHAnsi"/>
        </w:rPr>
        <w:t>e</w:t>
      </w:r>
      <w:r w:rsidR="0056183E">
        <w:rPr>
          <w:rFonts w:cstheme="minorHAnsi"/>
        </w:rPr>
        <w:t>.</w:t>
      </w:r>
    </w:p>
    <w:p w14:paraId="1FDEA20F" w14:textId="77777777" w:rsidR="000529C8" w:rsidRPr="0062432C" w:rsidRDefault="000529C8" w:rsidP="003F5E8A">
      <w:pPr>
        <w:autoSpaceDE w:val="0"/>
        <w:autoSpaceDN w:val="0"/>
        <w:adjustRightInd w:val="0"/>
        <w:spacing w:after="0" w:line="276" w:lineRule="auto"/>
        <w:rPr>
          <w:rFonts w:cstheme="minorHAnsi"/>
        </w:rPr>
      </w:pPr>
    </w:p>
    <w:p w14:paraId="3AFBDF0F" w14:textId="3C3EB3C1" w:rsidR="000529C8" w:rsidRPr="006C5950" w:rsidRDefault="00572B21" w:rsidP="003B7579">
      <w:pPr>
        <w:autoSpaceDE w:val="0"/>
        <w:autoSpaceDN w:val="0"/>
        <w:adjustRightInd w:val="0"/>
        <w:spacing w:line="276" w:lineRule="auto"/>
        <w:rPr>
          <w:rFonts w:cstheme="minorHAnsi"/>
          <w:bCs/>
          <w:i/>
          <w:iCs/>
        </w:rPr>
      </w:pPr>
      <w:r w:rsidRPr="006C5950">
        <w:rPr>
          <w:rFonts w:cstheme="minorHAnsi"/>
          <w:bCs/>
          <w:i/>
          <w:iCs/>
        </w:rPr>
        <w:t>The Legal</w:t>
      </w:r>
      <w:r w:rsidR="000529C8" w:rsidRPr="006C5950">
        <w:rPr>
          <w:rFonts w:cstheme="minorHAnsi"/>
          <w:bCs/>
          <w:i/>
          <w:iCs/>
        </w:rPr>
        <w:t xml:space="preserve"> Framework Relating to Electoral Fraud in Britain</w:t>
      </w:r>
    </w:p>
    <w:p w14:paraId="6BA91278" w14:textId="55224B4E" w:rsidR="000529C8" w:rsidRPr="0062432C" w:rsidRDefault="001118A2" w:rsidP="000529C8">
      <w:pPr>
        <w:autoSpaceDE w:val="0"/>
        <w:autoSpaceDN w:val="0"/>
        <w:adjustRightInd w:val="0"/>
        <w:spacing w:after="0" w:line="276" w:lineRule="auto"/>
        <w:rPr>
          <w:rFonts w:cstheme="minorHAnsi"/>
          <w:bCs/>
          <w:iCs/>
        </w:rPr>
      </w:pPr>
      <w:r>
        <w:rPr>
          <w:rFonts w:cstheme="minorHAnsi"/>
          <w:bCs/>
          <w:iCs/>
        </w:rPr>
        <w:t>Unusually for the UK (in which there are three main criminal justice systems, covering England &amp; Wales, Scotland and Northern Ireland, each of which has its own legal code) the laws relating to electoral fraud cover all four countries and the</w:t>
      </w:r>
      <w:r w:rsidR="009F0F4E">
        <w:rPr>
          <w:rFonts w:cstheme="minorHAnsi"/>
          <w:bCs/>
          <w:iCs/>
        </w:rPr>
        <w:t>ir</w:t>
      </w:r>
      <w:r>
        <w:rPr>
          <w:rFonts w:cstheme="minorHAnsi"/>
          <w:bCs/>
          <w:iCs/>
        </w:rPr>
        <w:t xml:space="preserve"> three legal systems. </w:t>
      </w:r>
      <w:r w:rsidR="000529C8" w:rsidRPr="0062432C">
        <w:rPr>
          <w:rFonts w:cstheme="minorHAnsi"/>
          <w:bCs/>
          <w:iCs/>
        </w:rPr>
        <w:t xml:space="preserve">In </w:t>
      </w:r>
      <w:r w:rsidR="008F57C6">
        <w:rPr>
          <w:rFonts w:cstheme="minorHAnsi"/>
          <w:bCs/>
          <w:iCs/>
        </w:rPr>
        <w:t>the UK</w:t>
      </w:r>
      <w:r w:rsidR="000529C8" w:rsidRPr="0062432C">
        <w:rPr>
          <w:rFonts w:cstheme="minorHAnsi"/>
          <w:bCs/>
          <w:iCs/>
        </w:rPr>
        <w:t xml:space="preserve">, there are five offences which electors, election agents or candidates could commit </w:t>
      </w:r>
      <w:r w:rsidR="008F57C6">
        <w:rPr>
          <w:rFonts w:cstheme="minorHAnsi"/>
          <w:bCs/>
          <w:iCs/>
        </w:rPr>
        <w:t>which specifically relate to election</w:t>
      </w:r>
      <w:r w:rsidR="002851FF">
        <w:rPr>
          <w:rFonts w:cstheme="minorHAnsi"/>
          <w:bCs/>
          <w:iCs/>
        </w:rPr>
        <w:t>s</w:t>
      </w:r>
      <w:r w:rsidR="008F57C6">
        <w:rPr>
          <w:rFonts w:cstheme="minorHAnsi"/>
          <w:bCs/>
          <w:iCs/>
        </w:rPr>
        <w:t xml:space="preserve"> </w:t>
      </w:r>
      <w:r w:rsidR="000529C8" w:rsidRPr="0062432C">
        <w:rPr>
          <w:rFonts w:cstheme="minorHAnsi"/>
          <w:bCs/>
          <w:iCs/>
        </w:rPr>
        <w:t>(</w:t>
      </w:r>
      <w:r w:rsidR="009B4514">
        <w:rPr>
          <w:rFonts w:cstheme="minorHAnsi"/>
          <w:bCs/>
          <w:iCs/>
        </w:rPr>
        <w:t>White and Johnson, 2017</w:t>
      </w:r>
      <w:r w:rsidR="000529C8" w:rsidRPr="0062432C">
        <w:rPr>
          <w:rFonts w:cstheme="minorHAnsi"/>
          <w:bCs/>
          <w:iCs/>
        </w:rPr>
        <w:t>). These are:</w:t>
      </w:r>
    </w:p>
    <w:p w14:paraId="5036857F" w14:textId="77777777" w:rsidR="000529C8" w:rsidRPr="0062432C" w:rsidRDefault="000529C8" w:rsidP="000529C8">
      <w:pPr>
        <w:autoSpaceDE w:val="0"/>
        <w:autoSpaceDN w:val="0"/>
        <w:adjustRightInd w:val="0"/>
        <w:spacing w:after="0" w:line="276" w:lineRule="auto"/>
        <w:rPr>
          <w:rFonts w:cstheme="minorHAnsi"/>
          <w:bCs/>
          <w:iCs/>
        </w:rPr>
      </w:pPr>
    </w:p>
    <w:p w14:paraId="56AC355F" w14:textId="77777777" w:rsidR="000529C8" w:rsidRPr="0062432C" w:rsidRDefault="000529C8" w:rsidP="000529C8">
      <w:pPr>
        <w:autoSpaceDE w:val="0"/>
        <w:autoSpaceDN w:val="0"/>
        <w:adjustRightInd w:val="0"/>
        <w:spacing w:after="0" w:line="276" w:lineRule="auto"/>
        <w:rPr>
          <w:rFonts w:cstheme="minorHAnsi"/>
          <w:bCs/>
          <w:iCs/>
        </w:rPr>
      </w:pPr>
      <w:r w:rsidRPr="0062432C">
        <w:rPr>
          <w:rFonts w:cstheme="minorHAnsi"/>
          <w:bCs/>
          <w:iCs/>
        </w:rPr>
        <w:t>1: Undue influence (Section 115, Representation of the Peoples Act, 1983)</w:t>
      </w:r>
    </w:p>
    <w:p w14:paraId="27886E5B" w14:textId="41B3A6E5" w:rsidR="000529C8" w:rsidRPr="0062432C" w:rsidRDefault="000529C8" w:rsidP="000529C8">
      <w:pPr>
        <w:autoSpaceDE w:val="0"/>
        <w:autoSpaceDN w:val="0"/>
        <w:adjustRightInd w:val="0"/>
        <w:spacing w:after="0" w:line="276" w:lineRule="auto"/>
        <w:rPr>
          <w:rFonts w:cstheme="minorHAnsi"/>
          <w:bCs/>
          <w:iCs/>
        </w:rPr>
      </w:pPr>
      <w:r w:rsidRPr="0062432C">
        <w:rPr>
          <w:rFonts w:cstheme="minorHAnsi"/>
          <w:bCs/>
          <w:iCs/>
        </w:rPr>
        <w:t>This covers directly or indirectly making use of, or threats to make use of</w:t>
      </w:r>
      <w:r w:rsidR="008B219D">
        <w:rPr>
          <w:rFonts w:cstheme="minorHAnsi"/>
          <w:bCs/>
          <w:iCs/>
        </w:rPr>
        <w:t>,</w:t>
      </w:r>
      <w:r w:rsidRPr="0062432C">
        <w:rPr>
          <w:rFonts w:cstheme="minorHAnsi"/>
          <w:bCs/>
          <w:iCs/>
        </w:rPr>
        <w:t xml:space="preserve"> force</w:t>
      </w:r>
      <w:r w:rsidR="008B219D">
        <w:rPr>
          <w:rFonts w:cstheme="minorHAnsi"/>
          <w:bCs/>
          <w:iCs/>
        </w:rPr>
        <w:t>,</w:t>
      </w:r>
      <w:r w:rsidRPr="0062432C">
        <w:rPr>
          <w:rFonts w:cstheme="minorHAnsi"/>
          <w:bCs/>
          <w:iCs/>
        </w:rPr>
        <w:t xml:space="preserve"> violence or restraint or inflicting</w:t>
      </w:r>
      <w:r w:rsidR="008B219D">
        <w:rPr>
          <w:rFonts w:cstheme="minorHAnsi"/>
          <w:bCs/>
          <w:iCs/>
        </w:rPr>
        <w:t>,</w:t>
      </w:r>
      <w:r w:rsidRPr="0062432C">
        <w:rPr>
          <w:rFonts w:cstheme="minorHAnsi"/>
          <w:bCs/>
          <w:iCs/>
        </w:rPr>
        <w:t xml:space="preserve"> or threatening to inflict</w:t>
      </w:r>
      <w:r w:rsidR="008B219D">
        <w:rPr>
          <w:rFonts w:cstheme="minorHAnsi"/>
          <w:bCs/>
          <w:iCs/>
        </w:rPr>
        <w:t>,</w:t>
      </w:r>
      <w:r w:rsidRPr="0062432C">
        <w:rPr>
          <w:rFonts w:cstheme="minorHAnsi"/>
          <w:bCs/>
          <w:iCs/>
        </w:rPr>
        <w:t xml:space="preserve"> injury or damage or harm</w:t>
      </w:r>
      <w:r w:rsidR="008B219D">
        <w:rPr>
          <w:rFonts w:cstheme="minorHAnsi"/>
          <w:bCs/>
          <w:iCs/>
        </w:rPr>
        <w:t>,</w:t>
      </w:r>
      <w:r w:rsidRPr="0062432C">
        <w:rPr>
          <w:rFonts w:cstheme="minorHAnsi"/>
          <w:bCs/>
          <w:iCs/>
        </w:rPr>
        <w:t xml:space="preserve"> in order to induce a voter to vote a particular way or to refrain from voting.</w:t>
      </w:r>
    </w:p>
    <w:p w14:paraId="37FE61AA" w14:textId="77777777" w:rsidR="000529C8" w:rsidRPr="0062432C" w:rsidRDefault="000529C8" w:rsidP="000529C8">
      <w:pPr>
        <w:autoSpaceDE w:val="0"/>
        <w:autoSpaceDN w:val="0"/>
        <w:adjustRightInd w:val="0"/>
        <w:spacing w:after="0" w:line="276" w:lineRule="auto"/>
        <w:rPr>
          <w:rFonts w:cstheme="minorHAnsi"/>
          <w:bCs/>
          <w:iCs/>
        </w:rPr>
      </w:pPr>
    </w:p>
    <w:p w14:paraId="34F590F9" w14:textId="77777777" w:rsidR="000529C8" w:rsidRPr="0062432C" w:rsidRDefault="000529C8" w:rsidP="000529C8">
      <w:pPr>
        <w:autoSpaceDE w:val="0"/>
        <w:autoSpaceDN w:val="0"/>
        <w:adjustRightInd w:val="0"/>
        <w:spacing w:after="0" w:line="276" w:lineRule="auto"/>
        <w:rPr>
          <w:rFonts w:cstheme="minorHAnsi"/>
          <w:bCs/>
          <w:iCs/>
        </w:rPr>
      </w:pPr>
      <w:r w:rsidRPr="0062432C">
        <w:rPr>
          <w:rFonts w:cstheme="minorHAnsi"/>
          <w:bCs/>
          <w:iCs/>
        </w:rPr>
        <w:t>2: Personation (Section 60, Representation of the Peoples Act, 1983)</w:t>
      </w:r>
    </w:p>
    <w:p w14:paraId="4BC76E9B" w14:textId="6B6D13BF" w:rsidR="000529C8" w:rsidRPr="0062432C" w:rsidRDefault="000529C8" w:rsidP="000529C8">
      <w:pPr>
        <w:autoSpaceDE w:val="0"/>
        <w:autoSpaceDN w:val="0"/>
        <w:adjustRightInd w:val="0"/>
        <w:spacing w:after="0" w:line="276" w:lineRule="auto"/>
        <w:rPr>
          <w:rFonts w:cstheme="minorHAnsi"/>
          <w:bCs/>
          <w:iCs/>
        </w:rPr>
      </w:pPr>
      <w:r w:rsidRPr="0062432C">
        <w:rPr>
          <w:rFonts w:cstheme="minorHAnsi"/>
          <w:bCs/>
          <w:iCs/>
        </w:rPr>
        <w:t xml:space="preserve">This covers voting for someone else (either in person, by proxy or via a postal vote) and covers either </w:t>
      </w:r>
      <w:r w:rsidR="009F0F4E">
        <w:rPr>
          <w:rFonts w:cstheme="minorHAnsi"/>
          <w:bCs/>
          <w:iCs/>
        </w:rPr>
        <w:t>living, dead or fictitious people</w:t>
      </w:r>
      <w:r w:rsidRPr="0062432C">
        <w:rPr>
          <w:rFonts w:cstheme="minorHAnsi"/>
          <w:bCs/>
          <w:iCs/>
        </w:rPr>
        <w:t>.</w:t>
      </w:r>
    </w:p>
    <w:p w14:paraId="3CEB1B75" w14:textId="77777777" w:rsidR="000529C8" w:rsidRPr="0062432C" w:rsidRDefault="000529C8" w:rsidP="000529C8">
      <w:pPr>
        <w:autoSpaceDE w:val="0"/>
        <w:autoSpaceDN w:val="0"/>
        <w:adjustRightInd w:val="0"/>
        <w:spacing w:after="0" w:line="276" w:lineRule="auto"/>
        <w:rPr>
          <w:rFonts w:cstheme="minorHAnsi"/>
          <w:bCs/>
          <w:iCs/>
        </w:rPr>
      </w:pPr>
    </w:p>
    <w:p w14:paraId="2289279B" w14:textId="77777777" w:rsidR="000529C8" w:rsidRPr="0062432C" w:rsidRDefault="000529C8" w:rsidP="000529C8">
      <w:pPr>
        <w:autoSpaceDE w:val="0"/>
        <w:autoSpaceDN w:val="0"/>
        <w:adjustRightInd w:val="0"/>
        <w:spacing w:after="0" w:line="276" w:lineRule="auto"/>
        <w:rPr>
          <w:rFonts w:cstheme="minorHAnsi"/>
          <w:bCs/>
          <w:iCs/>
        </w:rPr>
      </w:pPr>
      <w:r w:rsidRPr="0062432C">
        <w:rPr>
          <w:rFonts w:cstheme="minorHAnsi"/>
          <w:bCs/>
          <w:iCs/>
        </w:rPr>
        <w:t>3: Bribery (Section 113 Representation of the Peoples Act, 1983)</w:t>
      </w:r>
    </w:p>
    <w:p w14:paraId="02C11F75" w14:textId="40908FBB" w:rsidR="000529C8" w:rsidRPr="0062432C" w:rsidRDefault="000529C8" w:rsidP="000529C8">
      <w:pPr>
        <w:autoSpaceDE w:val="0"/>
        <w:autoSpaceDN w:val="0"/>
        <w:adjustRightInd w:val="0"/>
        <w:spacing w:after="0" w:line="276" w:lineRule="auto"/>
        <w:rPr>
          <w:rFonts w:cstheme="minorHAnsi"/>
          <w:bCs/>
          <w:iCs/>
        </w:rPr>
      </w:pPr>
      <w:r w:rsidRPr="0062432C">
        <w:rPr>
          <w:rFonts w:cstheme="minorHAnsi"/>
          <w:bCs/>
          <w:iCs/>
        </w:rPr>
        <w:t>This covers directly or indirectly giving money or office to anyone in order that they vote a particular way or refrain from voting.</w:t>
      </w:r>
    </w:p>
    <w:p w14:paraId="45E07D2E" w14:textId="77777777" w:rsidR="000529C8" w:rsidRPr="000529C8" w:rsidRDefault="000529C8" w:rsidP="000529C8">
      <w:pPr>
        <w:autoSpaceDE w:val="0"/>
        <w:autoSpaceDN w:val="0"/>
        <w:adjustRightInd w:val="0"/>
        <w:spacing w:after="0" w:line="276" w:lineRule="auto"/>
        <w:rPr>
          <w:rFonts w:cstheme="minorHAnsi"/>
          <w:bCs/>
          <w:iCs/>
          <w:highlight w:val="yellow"/>
        </w:rPr>
      </w:pPr>
    </w:p>
    <w:p w14:paraId="502F37F6" w14:textId="77777777" w:rsidR="000529C8" w:rsidRPr="0062432C" w:rsidRDefault="000529C8" w:rsidP="000529C8">
      <w:pPr>
        <w:autoSpaceDE w:val="0"/>
        <w:autoSpaceDN w:val="0"/>
        <w:adjustRightInd w:val="0"/>
        <w:spacing w:after="0" w:line="276" w:lineRule="auto"/>
        <w:rPr>
          <w:rFonts w:cstheme="minorHAnsi"/>
          <w:bCs/>
          <w:iCs/>
        </w:rPr>
      </w:pPr>
      <w:r w:rsidRPr="0062432C">
        <w:rPr>
          <w:rFonts w:cstheme="minorHAnsi"/>
          <w:bCs/>
          <w:iCs/>
        </w:rPr>
        <w:t>4: Treating (Section 114, Representation of the Peoples Act, 1983)</w:t>
      </w:r>
    </w:p>
    <w:p w14:paraId="3E82B893" w14:textId="142F8F5B" w:rsidR="000529C8" w:rsidRPr="0062432C" w:rsidRDefault="000529C8" w:rsidP="000529C8">
      <w:pPr>
        <w:autoSpaceDE w:val="0"/>
        <w:autoSpaceDN w:val="0"/>
        <w:adjustRightInd w:val="0"/>
        <w:spacing w:after="0" w:line="276" w:lineRule="auto"/>
        <w:rPr>
          <w:rFonts w:cstheme="minorHAnsi"/>
          <w:bCs/>
          <w:iCs/>
        </w:rPr>
      </w:pPr>
      <w:r w:rsidRPr="0062432C">
        <w:rPr>
          <w:rFonts w:cstheme="minorHAnsi"/>
          <w:bCs/>
          <w:iCs/>
        </w:rPr>
        <w:t>This covers (before, during or after) an election directly or indirectly giv</w:t>
      </w:r>
      <w:r w:rsidR="008B219D">
        <w:rPr>
          <w:rFonts w:cstheme="minorHAnsi"/>
          <w:bCs/>
          <w:iCs/>
        </w:rPr>
        <w:t>ing</w:t>
      </w:r>
      <w:r w:rsidRPr="0062432C">
        <w:rPr>
          <w:rFonts w:cstheme="minorHAnsi"/>
          <w:bCs/>
          <w:iCs/>
        </w:rPr>
        <w:t xml:space="preserve"> or pay</w:t>
      </w:r>
      <w:r w:rsidR="008B219D">
        <w:rPr>
          <w:rFonts w:cstheme="minorHAnsi"/>
          <w:bCs/>
          <w:iCs/>
        </w:rPr>
        <w:t>ing</w:t>
      </w:r>
      <w:r w:rsidRPr="0062432C">
        <w:rPr>
          <w:rFonts w:cstheme="minorHAnsi"/>
          <w:bCs/>
          <w:iCs/>
        </w:rPr>
        <w:t xml:space="preserve"> for (either wholly or in part) food, drink, entertainment or </w:t>
      </w:r>
      <w:r w:rsidR="008B219D">
        <w:rPr>
          <w:rFonts w:cstheme="minorHAnsi"/>
          <w:bCs/>
          <w:iCs/>
        </w:rPr>
        <w:t xml:space="preserve">other </w:t>
      </w:r>
      <w:r w:rsidRPr="0062432C">
        <w:rPr>
          <w:rFonts w:cstheme="minorHAnsi"/>
          <w:bCs/>
          <w:iCs/>
        </w:rPr>
        <w:t xml:space="preserve">provision </w:t>
      </w:r>
      <w:r w:rsidR="008B219D">
        <w:rPr>
          <w:rFonts w:cstheme="minorHAnsi"/>
          <w:bCs/>
          <w:iCs/>
        </w:rPr>
        <w:t xml:space="preserve">in return </w:t>
      </w:r>
      <w:r w:rsidRPr="0062432C">
        <w:rPr>
          <w:rFonts w:cstheme="minorHAnsi"/>
          <w:bCs/>
          <w:iCs/>
        </w:rPr>
        <w:t xml:space="preserve">for voting in a particular way or </w:t>
      </w:r>
      <w:r w:rsidR="008B219D">
        <w:rPr>
          <w:rFonts w:cstheme="minorHAnsi"/>
          <w:bCs/>
          <w:iCs/>
        </w:rPr>
        <w:t xml:space="preserve">for </w:t>
      </w:r>
      <w:r w:rsidRPr="0062432C">
        <w:rPr>
          <w:rFonts w:cstheme="minorHAnsi"/>
          <w:bCs/>
          <w:iCs/>
        </w:rPr>
        <w:t>refrain</w:t>
      </w:r>
      <w:r w:rsidR="008B219D">
        <w:rPr>
          <w:rFonts w:cstheme="minorHAnsi"/>
          <w:bCs/>
          <w:iCs/>
        </w:rPr>
        <w:t>ing</w:t>
      </w:r>
      <w:r w:rsidRPr="0062432C">
        <w:rPr>
          <w:rFonts w:cstheme="minorHAnsi"/>
          <w:bCs/>
          <w:iCs/>
        </w:rPr>
        <w:t xml:space="preserve"> from voting.</w:t>
      </w:r>
    </w:p>
    <w:p w14:paraId="37EFC1EF" w14:textId="77777777" w:rsidR="000529C8" w:rsidRPr="0062432C" w:rsidRDefault="000529C8" w:rsidP="000529C8">
      <w:pPr>
        <w:autoSpaceDE w:val="0"/>
        <w:autoSpaceDN w:val="0"/>
        <w:adjustRightInd w:val="0"/>
        <w:spacing w:after="0" w:line="276" w:lineRule="auto"/>
        <w:rPr>
          <w:rFonts w:cstheme="minorHAnsi"/>
          <w:bCs/>
          <w:iCs/>
        </w:rPr>
      </w:pPr>
    </w:p>
    <w:p w14:paraId="03EFC233" w14:textId="77777777" w:rsidR="000529C8" w:rsidRPr="0062432C" w:rsidRDefault="000529C8" w:rsidP="000529C8">
      <w:pPr>
        <w:autoSpaceDE w:val="0"/>
        <w:autoSpaceDN w:val="0"/>
        <w:adjustRightInd w:val="0"/>
        <w:spacing w:after="0" w:line="276" w:lineRule="auto"/>
        <w:rPr>
          <w:rFonts w:cstheme="minorHAnsi"/>
          <w:bCs/>
          <w:iCs/>
        </w:rPr>
      </w:pPr>
      <w:r w:rsidRPr="0062432C">
        <w:rPr>
          <w:rFonts w:cstheme="minorHAnsi"/>
          <w:bCs/>
          <w:iCs/>
        </w:rPr>
        <w:t>5: Other offences (Electoral Administration Act, 2006)</w:t>
      </w:r>
    </w:p>
    <w:p w14:paraId="1FF9BFDF" w14:textId="77777777" w:rsidR="000529C8" w:rsidRPr="0062432C" w:rsidRDefault="000529C8" w:rsidP="000529C8">
      <w:pPr>
        <w:autoSpaceDE w:val="0"/>
        <w:autoSpaceDN w:val="0"/>
        <w:adjustRightInd w:val="0"/>
        <w:spacing w:after="0" w:line="276" w:lineRule="auto"/>
        <w:rPr>
          <w:rFonts w:cstheme="minorHAnsi"/>
          <w:bCs/>
          <w:iCs/>
        </w:rPr>
      </w:pPr>
      <w:r w:rsidRPr="0062432C">
        <w:rPr>
          <w:rFonts w:cstheme="minorHAnsi"/>
          <w:bCs/>
          <w:iCs/>
        </w:rPr>
        <w:t xml:space="preserve">This covers giving false information when applying for a proxy or postal vote with the intention of redirecting their vote to another candidate. </w:t>
      </w:r>
    </w:p>
    <w:p w14:paraId="4B42A155" w14:textId="77777777" w:rsidR="009C290D" w:rsidRPr="0062432C" w:rsidRDefault="009C290D" w:rsidP="000529C8">
      <w:pPr>
        <w:autoSpaceDE w:val="0"/>
        <w:autoSpaceDN w:val="0"/>
        <w:adjustRightInd w:val="0"/>
        <w:spacing w:after="0" w:line="276" w:lineRule="auto"/>
        <w:rPr>
          <w:rFonts w:cstheme="minorHAnsi"/>
          <w:bCs/>
          <w:iCs/>
        </w:rPr>
      </w:pPr>
    </w:p>
    <w:p w14:paraId="6108EE0D" w14:textId="1D002281" w:rsidR="003F5E8A" w:rsidRPr="009C290D" w:rsidRDefault="009C290D" w:rsidP="006C5950">
      <w:pPr>
        <w:autoSpaceDE w:val="0"/>
        <w:autoSpaceDN w:val="0"/>
        <w:adjustRightInd w:val="0"/>
        <w:spacing w:after="0" w:line="276" w:lineRule="auto"/>
        <w:rPr>
          <w:rFonts w:cstheme="minorHAnsi"/>
          <w:color w:val="000000" w:themeColor="text1"/>
        </w:rPr>
      </w:pPr>
      <w:r w:rsidRPr="0062432C">
        <w:rPr>
          <w:rFonts w:cstheme="minorHAnsi"/>
          <w:bCs/>
          <w:iCs/>
        </w:rPr>
        <w:t xml:space="preserve">We developed and fielded </w:t>
      </w:r>
      <w:r w:rsidR="005F1B1B">
        <w:rPr>
          <w:rFonts w:cstheme="minorHAnsi"/>
          <w:bCs/>
          <w:iCs/>
        </w:rPr>
        <w:t xml:space="preserve">a series of survey </w:t>
      </w:r>
      <w:r w:rsidRPr="0062432C">
        <w:rPr>
          <w:rFonts w:cstheme="minorHAnsi"/>
          <w:bCs/>
          <w:iCs/>
        </w:rPr>
        <w:t>questions</w:t>
      </w:r>
      <w:r w:rsidR="005F1B1B">
        <w:rPr>
          <w:rFonts w:cstheme="minorHAnsi"/>
          <w:bCs/>
          <w:iCs/>
        </w:rPr>
        <w:t xml:space="preserve"> based specifically </w:t>
      </w:r>
      <w:r w:rsidRPr="0062432C">
        <w:rPr>
          <w:rFonts w:cstheme="minorHAnsi"/>
          <w:bCs/>
          <w:iCs/>
        </w:rPr>
        <w:t xml:space="preserve">on </w:t>
      </w:r>
      <w:r w:rsidR="0056183E">
        <w:rPr>
          <w:rFonts w:cstheme="minorHAnsi"/>
          <w:bCs/>
          <w:iCs/>
        </w:rPr>
        <w:t xml:space="preserve">perceptions and personal experiences of the first </w:t>
      </w:r>
      <w:r w:rsidRPr="0062432C">
        <w:rPr>
          <w:rFonts w:cstheme="minorHAnsi"/>
          <w:bCs/>
          <w:iCs/>
        </w:rPr>
        <w:t>two of th</w:t>
      </w:r>
      <w:r w:rsidR="005F1B1B">
        <w:rPr>
          <w:rFonts w:cstheme="minorHAnsi"/>
          <w:bCs/>
          <w:iCs/>
        </w:rPr>
        <w:t>e above (</w:t>
      </w:r>
      <w:r w:rsidR="0056183E">
        <w:rPr>
          <w:rFonts w:cstheme="minorHAnsi"/>
          <w:bCs/>
          <w:iCs/>
        </w:rPr>
        <w:t xml:space="preserve">undue </w:t>
      </w:r>
      <w:r w:rsidR="005F1B1B">
        <w:rPr>
          <w:bCs/>
          <w:iCs/>
        </w:rPr>
        <w:t>influence and personation</w:t>
      </w:r>
      <w:r w:rsidR="0056183E">
        <w:rPr>
          <w:bCs/>
          <w:iCs/>
        </w:rPr>
        <w:t xml:space="preserve">). The </w:t>
      </w:r>
      <w:r w:rsidR="005F1B1B">
        <w:rPr>
          <w:rFonts w:cstheme="minorHAnsi"/>
          <w:bCs/>
          <w:iCs/>
        </w:rPr>
        <w:t>wording of the</w:t>
      </w:r>
      <w:r w:rsidR="0056183E">
        <w:rPr>
          <w:rFonts w:cstheme="minorHAnsi"/>
          <w:bCs/>
          <w:iCs/>
        </w:rPr>
        <w:t>se</w:t>
      </w:r>
      <w:r w:rsidR="005F1B1B">
        <w:rPr>
          <w:rFonts w:cstheme="minorHAnsi"/>
          <w:bCs/>
          <w:iCs/>
        </w:rPr>
        <w:t xml:space="preserve"> </w:t>
      </w:r>
      <w:r w:rsidRPr="0062432C">
        <w:rPr>
          <w:rFonts w:cstheme="minorHAnsi"/>
          <w:bCs/>
          <w:iCs/>
        </w:rPr>
        <w:t>items</w:t>
      </w:r>
      <w:r w:rsidR="008020DC">
        <w:rPr>
          <w:rFonts w:cstheme="minorHAnsi"/>
          <w:bCs/>
          <w:iCs/>
        </w:rPr>
        <w:t xml:space="preserve"> </w:t>
      </w:r>
      <w:r w:rsidR="0056183E">
        <w:rPr>
          <w:rFonts w:cstheme="minorHAnsi"/>
          <w:bCs/>
          <w:iCs/>
        </w:rPr>
        <w:t xml:space="preserve">is set out </w:t>
      </w:r>
      <w:r w:rsidR="008020DC">
        <w:rPr>
          <w:rFonts w:cstheme="minorHAnsi"/>
          <w:bCs/>
          <w:iCs/>
        </w:rPr>
        <w:t>below</w:t>
      </w:r>
      <w:r w:rsidR="0056183E">
        <w:rPr>
          <w:rFonts w:cstheme="minorHAnsi"/>
          <w:bCs/>
          <w:iCs/>
        </w:rPr>
        <w:t>.</w:t>
      </w:r>
      <w:r w:rsidR="001242A4">
        <w:rPr>
          <w:rFonts w:cstheme="minorHAnsi"/>
          <w:bCs/>
          <w:iCs/>
        </w:rPr>
        <w:t xml:space="preserve"> </w:t>
      </w:r>
      <w:r w:rsidR="0056183E">
        <w:rPr>
          <w:rFonts w:cstheme="minorHAnsi"/>
          <w:bCs/>
          <w:iCs/>
        </w:rPr>
        <w:t>In line with the approach taken in mainstream victimisation studies, o</w:t>
      </w:r>
      <w:r w:rsidR="00FC3CDF">
        <w:rPr>
          <w:rFonts w:cstheme="minorHAnsi"/>
          <w:bCs/>
          <w:iCs/>
        </w:rPr>
        <w:t xml:space="preserve">ur definition of electoral fraud is, therefore, a primarily legalistic one and based on </w:t>
      </w:r>
      <w:r w:rsidR="009B4514">
        <w:rPr>
          <w:rFonts w:cstheme="minorHAnsi"/>
          <w:bCs/>
          <w:iCs/>
        </w:rPr>
        <w:t>UK</w:t>
      </w:r>
      <w:r w:rsidR="00FC3CDF">
        <w:rPr>
          <w:rFonts w:cstheme="minorHAnsi"/>
          <w:bCs/>
          <w:iCs/>
        </w:rPr>
        <w:t xml:space="preserve"> electoral law. </w:t>
      </w:r>
      <w:r w:rsidR="0056183E">
        <w:rPr>
          <w:rFonts w:cstheme="minorHAnsi"/>
          <w:bCs/>
          <w:iCs/>
        </w:rPr>
        <w:t xml:space="preserve">In addition, we have chosen offences </w:t>
      </w:r>
      <w:r w:rsidR="009B4514">
        <w:rPr>
          <w:rFonts w:cstheme="minorHAnsi"/>
          <w:bCs/>
          <w:iCs/>
        </w:rPr>
        <w:t xml:space="preserve">where instances of being </w:t>
      </w:r>
      <w:r w:rsidR="0056183E">
        <w:rPr>
          <w:rFonts w:cstheme="minorHAnsi"/>
          <w:bCs/>
          <w:iCs/>
        </w:rPr>
        <w:t>personally affected would unambiguous</w:t>
      </w:r>
      <w:r w:rsidR="009B4514">
        <w:rPr>
          <w:rFonts w:cstheme="minorHAnsi"/>
          <w:bCs/>
          <w:iCs/>
        </w:rPr>
        <w:t>ly</w:t>
      </w:r>
      <w:r w:rsidR="0056183E">
        <w:rPr>
          <w:rFonts w:cstheme="minorHAnsi"/>
          <w:bCs/>
          <w:iCs/>
        </w:rPr>
        <w:t xml:space="preserve"> </w:t>
      </w:r>
      <w:r w:rsidR="009B4514">
        <w:rPr>
          <w:rFonts w:cstheme="minorHAnsi"/>
          <w:bCs/>
          <w:iCs/>
        </w:rPr>
        <w:t>constitute</w:t>
      </w:r>
      <w:r w:rsidR="0056183E">
        <w:rPr>
          <w:rFonts w:cstheme="minorHAnsi"/>
          <w:bCs/>
          <w:iCs/>
        </w:rPr>
        <w:t xml:space="preserve"> victimisation. In cases of treating or bribery, by contra</w:t>
      </w:r>
      <w:r w:rsidR="009B4514">
        <w:rPr>
          <w:rFonts w:cstheme="minorHAnsi"/>
          <w:bCs/>
          <w:iCs/>
        </w:rPr>
        <w:t>s</w:t>
      </w:r>
      <w:r w:rsidR="0056183E">
        <w:rPr>
          <w:rFonts w:cstheme="minorHAnsi"/>
          <w:bCs/>
          <w:iCs/>
        </w:rPr>
        <w:t xml:space="preserve">t, an elector would be extracting some form of personal gain in exchange for their vote. </w:t>
      </w:r>
      <w:r w:rsidR="00F45CD7">
        <w:rPr>
          <w:rFonts w:cstheme="minorHAnsi"/>
          <w:bCs/>
          <w:iCs/>
        </w:rPr>
        <w:t>A</w:t>
      </w:r>
      <w:r w:rsidR="0056183E">
        <w:rPr>
          <w:rFonts w:cstheme="minorHAnsi"/>
          <w:bCs/>
          <w:iCs/>
        </w:rPr>
        <w:t xml:space="preserve">vailable evidence </w:t>
      </w:r>
      <w:r w:rsidR="00F45CD7">
        <w:rPr>
          <w:rFonts w:cstheme="minorHAnsi"/>
          <w:bCs/>
          <w:iCs/>
        </w:rPr>
        <w:t xml:space="preserve">also </w:t>
      </w:r>
      <w:r w:rsidR="0056183E">
        <w:rPr>
          <w:rFonts w:cstheme="minorHAnsi"/>
          <w:bCs/>
          <w:iCs/>
        </w:rPr>
        <w:t xml:space="preserve">suggests that </w:t>
      </w:r>
      <w:r w:rsidR="0008675C">
        <w:rPr>
          <w:rFonts w:cstheme="minorHAnsi"/>
          <w:bCs/>
          <w:iCs/>
        </w:rPr>
        <w:t xml:space="preserve">cases of </w:t>
      </w:r>
      <w:r w:rsidR="0056183E">
        <w:rPr>
          <w:rFonts w:cstheme="minorHAnsi"/>
          <w:bCs/>
          <w:iCs/>
        </w:rPr>
        <w:t>undue influence and personation, while rare, are more common than br</w:t>
      </w:r>
      <w:r w:rsidR="0008675C">
        <w:rPr>
          <w:rFonts w:cstheme="minorHAnsi"/>
          <w:bCs/>
          <w:iCs/>
        </w:rPr>
        <w:t>ibery or treating. No proven cases of electoral fraud since 2000 have involved either of the latter two offences.</w:t>
      </w:r>
    </w:p>
    <w:p w14:paraId="2EA15AC4" w14:textId="77777777" w:rsidR="003F5E8A" w:rsidRPr="009C290D" w:rsidRDefault="003F5E8A">
      <w:pPr>
        <w:rPr>
          <w:b/>
          <w:bCs/>
          <w:iCs/>
          <w:color w:val="000000" w:themeColor="text1"/>
        </w:rPr>
      </w:pPr>
    </w:p>
    <w:p w14:paraId="7F23D635" w14:textId="77777777" w:rsidR="007441D2" w:rsidRPr="006C5950" w:rsidRDefault="009C290D" w:rsidP="004C3DDA">
      <w:pPr>
        <w:tabs>
          <w:tab w:val="left" w:pos="720"/>
          <w:tab w:val="left" w:pos="1440"/>
          <w:tab w:val="left" w:pos="7710"/>
        </w:tabs>
        <w:rPr>
          <w:i/>
        </w:rPr>
      </w:pPr>
      <w:r w:rsidRPr="006C5950">
        <w:rPr>
          <w:i/>
        </w:rPr>
        <w:t>Methodology</w:t>
      </w:r>
      <w:r w:rsidR="00640003" w:rsidRPr="006C5950">
        <w:rPr>
          <w:i/>
        </w:rPr>
        <w:t xml:space="preserve"> </w:t>
      </w:r>
      <w:r w:rsidR="00640003" w:rsidRPr="006C5950">
        <w:rPr>
          <w:i/>
        </w:rPr>
        <w:tab/>
      </w:r>
      <w:r w:rsidR="004C3DDA" w:rsidRPr="006C5950">
        <w:rPr>
          <w:i/>
        </w:rPr>
        <w:tab/>
      </w:r>
    </w:p>
    <w:p w14:paraId="775CFA09" w14:textId="77777777" w:rsidR="00073CB5" w:rsidRPr="00C4235F" w:rsidRDefault="00073CB5" w:rsidP="00073CB5">
      <w:pPr>
        <w:rPr>
          <w:bCs/>
          <w:iCs/>
        </w:rPr>
      </w:pPr>
      <w:r>
        <w:rPr>
          <w:bCs/>
          <w:iCs/>
        </w:rPr>
        <w:t xml:space="preserve">Our data comes from an online omnibus survey fielded by BMG Research in early-February 2020. The survey relied on soft targets for gender, age, region of Britain, socio-economic group and index of multiple deprivation to ensure a representative sample was produced (although this was not a quota sample). This approach worked well in that the estimates generated after weighting was applied were extremely similar to those derived from the raw data. </w:t>
      </w:r>
      <w:r w:rsidRPr="00C4235F">
        <w:rPr>
          <w:bCs/>
          <w:iCs/>
        </w:rPr>
        <w:t xml:space="preserve">Invites were sent to members of online panels using </w:t>
      </w:r>
      <w:r>
        <w:rPr>
          <w:bCs/>
          <w:iCs/>
        </w:rPr>
        <w:t xml:space="preserve">BMG’s </w:t>
      </w:r>
      <w:r w:rsidRPr="00C4235F">
        <w:rPr>
          <w:bCs/>
          <w:iCs/>
        </w:rPr>
        <w:t>‘panel blend’ approach which uses simultaneous survey invitations across multiple panels to spread fieldwork.</w:t>
      </w:r>
      <w:r w:rsidRPr="006C5950">
        <w:rPr>
          <w:rStyle w:val="FootnoteReference"/>
        </w:rPr>
        <w:footnoteReference w:id="5"/>
      </w:r>
      <w:r w:rsidRPr="00C4235F">
        <w:rPr>
          <w:bCs/>
          <w:iCs/>
        </w:rPr>
        <w:t xml:space="preserve"> Th</w:t>
      </w:r>
      <w:r>
        <w:rPr>
          <w:bCs/>
          <w:iCs/>
        </w:rPr>
        <w:t>is</w:t>
      </w:r>
      <w:r w:rsidRPr="00C4235F">
        <w:rPr>
          <w:bCs/>
          <w:iCs/>
        </w:rPr>
        <w:t xml:space="preserve"> method improve</w:t>
      </w:r>
      <w:r>
        <w:rPr>
          <w:bCs/>
          <w:iCs/>
        </w:rPr>
        <w:t>s</w:t>
      </w:r>
      <w:r w:rsidRPr="00C4235F">
        <w:rPr>
          <w:bCs/>
          <w:iCs/>
        </w:rPr>
        <w:t xml:space="preserve"> </w:t>
      </w:r>
      <w:r>
        <w:rPr>
          <w:bCs/>
          <w:iCs/>
        </w:rPr>
        <w:t xml:space="preserve">sample representativeness </w:t>
      </w:r>
      <w:r w:rsidRPr="00C4235F">
        <w:rPr>
          <w:bCs/>
          <w:iCs/>
        </w:rPr>
        <w:t>by hedging against the risk of selecting a single panel provider. To ensure maximum accessibility, in addition to desktop and laptop PCs, respondents were able to complete the survey on tablet and mobile devices.</w:t>
      </w:r>
      <w:r>
        <w:rPr>
          <w:bCs/>
          <w:iCs/>
        </w:rPr>
        <w:t xml:space="preserve"> The f</w:t>
      </w:r>
      <w:r w:rsidRPr="00C4235F">
        <w:rPr>
          <w:bCs/>
          <w:iCs/>
        </w:rPr>
        <w:t>ieldwork was conducted between 4th and 7th February 2020. A small pilot (‘soft launch’) was conducted on the evening of the 4th of February. Th</w:t>
      </w:r>
      <w:r>
        <w:rPr>
          <w:bCs/>
          <w:iCs/>
        </w:rPr>
        <w:t>is</w:t>
      </w:r>
      <w:r w:rsidRPr="00C4235F">
        <w:rPr>
          <w:bCs/>
          <w:iCs/>
        </w:rPr>
        <w:t xml:space="preserve"> consisted of 85 completes, with the responses </w:t>
      </w:r>
      <w:r>
        <w:rPr>
          <w:bCs/>
          <w:iCs/>
        </w:rPr>
        <w:t xml:space="preserve">also </w:t>
      </w:r>
      <w:r w:rsidRPr="00C4235F">
        <w:rPr>
          <w:bCs/>
          <w:iCs/>
        </w:rPr>
        <w:t>used to allow checks that data was being captured correctly and that the script was working as intended. No issues were identified following th</w:t>
      </w:r>
      <w:r>
        <w:rPr>
          <w:bCs/>
          <w:iCs/>
        </w:rPr>
        <w:t xml:space="preserve">is, </w:t>
      </w:r>
      <w:r w:rsidRPr="00C4235F">
        <w:rPr>
          <w:bCs/>
          <w:iCs/>
        </w:rPr>
        <w:t xml:space="preserve">and the survey was launched fully on 5th February, with pilot completes included in the final dataset. </w:t>
      </w:r>
    </w:p>
    <w:p w14:paraId="0AB35273" w14:textId="40DADEF6" w:rsidR="00FB176E" w:rsidRPr="00FF2FF3" w:rsidRDefault="00E70ABC" w:rsidP="00FB176E">
      <w:pPr>
        <w:rPr>
          <w:iCs/>
        </w:rPr>
      </w:pPr>
      <w:r>
        <w:rPr>
          <w:bCs/>
          <w:iCs/>
        </w:rPr>
        <w:t xml:space="preserve">Following </w:t>
      </w:r>
      <w:r w:rsidR="00616042">
        <w:rPr>
          <w:bCs/>
          <w:iCs/>
        </w:rPr>
        <w:t xml:space="preserve">established </w:t>
      </w:r>
      <w:r>
        <w:rPr>
          <w:bCs/>
          <w:iCs/>
        </w:rPr>
        <w:t xml:space="preserve">victimisation survey methodology, our </w:t>
      </w:r>
      <w:r w:rsidR="009E6A14">
        <w:rPr>
          <w:bCs/>
          <w:iCs/>
        </w:rPr>
        <w:t>questions</w:t>
      </w:r>
      <w:r>
        <w:rPr>
          <w:bCs/>
          <w:iCs/>
        </w:rPr>
        <w:t xml:space="preserve"> focused on identifying behaviours that would reflect illegal practices and could be counted.  </w:t>
      </w:r>
      <w:r w:rsidR="007441D2" w:rsidRPr="00FF2FF3">
        <w:rPr>
          <w:bCs/>
          <w:iCs/>
        </w:rPr>
        <w:t xml:space="preserve">The questions on </w:t>
      </w:r>
      <w:r w:rsidR="007441D2" w:rsidRPr="00D45FCB">
        <w:rPr>
          <w:iCs/>
        </w:rPr>
        <w:t>undue influence</w:t>
      </w:r>
      <w:r w:rsidR="009C290D">
        <w:rPr>
          <w:bCs/>
          <w:iCs/>
        </w:rPr>
        <w:t xml:space="preserve"> </w:t>
      </w:r>
      <w:r w:rsidR="004C70AF">
        <w:rPr>
          <w:bCs/>
          <w:iCs/>
        </w:rPr>
        <w:t xml:space="preserve">started with asking about the </w:t>
      </w:r>
      <w:r w:rsidR="004C70AF" w:rsidRPr="00D45FCB">
        <w:rPr>
          <w:iCs/>
        </w:rPr>
        <w:t>frequency</w:t>
      </w:r>
      <w:r w:rsidR="004C70AF">
        <w:rPr>
          <w:bCs/>
          <w:iCs/>
        </w:rPr>
        <w:t xml:space="preserve"> of such offences generally. </w:t>
      </w:r>
      <w:r w:rsidR="004B4D0A">
        <w:rPr>
          <w:bCs/>
          <w:iCs/>
        </w:rPr>
        <w:t>T</w:t>
      </w:r>
      <w:r w:rsidR="004C70AF">
        <w:rPr>
          <w:bCs/>
          <w:iCs/>
        </w:rPr>
        <w:t>his</w:t>
      </w:r>
      <w:r w:rsidR="004B4D0A">
        <w:rPr>
          <w:bCs/>
          <w:iCs/>
        </w:rPr>
        <w:t xml:space="preserve"> was</w:t>
      </w:r>
      <w:r w:rsidR="004C70AF">
        <w:rPr>
          <w:bCs/>
          <w:iCs/>
        </w:rPr>
        <w:t xml:space="preserve"> </w:t>
      </w:r>
      <w:r w:rsidR="007441D2" w:rsidRPr="00FF2FF3">
        <w:rPr>
          <w:bCs/>
          <w:iCs/>
        </w:rPr>
        <w:t>worded as follows: “W</w:t>
      </w:r>
      <w:r w:rsidR="008C0FA5" w:rsidRPr="00FF2FF3">
        <w:rPr>
          <w:bCs/>
          <w:iCs/>
        </w:rPr>
        <w:t>hen we vote in election</w:t>
      </w:r>
      <w:r w:rsidR="008226D4" w:rsidRPr="00FF2FF3">
        <w:rPr>
          <w:bCs/>
          <w:iCs/>
        </w:rPr>
        <w:t>s</w:t>
      </w:r>
      <w:r w:rsidR="008C0FA5" w:rsidRPr="00FF2FF3">
        <w:rPr>
          <w:bCs/>
          <w:iCs/>
        </w:rPr>
        <w:t xml:space="preserve">, some people might be forced into voting for a candidate by a family member or someone else in a position of power over them. </w:t>
      </w:r>
      <w:r w:rsidR="00007F83" w:rsidRPr="00FF2FF3">
        <w:rPr>
          <w:bCs/>
          <w:iCs/>
        </w:rPr>
        <w:t>This include</w:t>
      </w:r>
      <w:r w:rsidR="008F134B">
        <w:rPr>
          <w:bCs/>
          <w:iCs/>
        </w:rPr>
        <w:t>s</w:t>
      </w:r>
      <w:r w:rsidR="00007F83" w:rsidRPr="00FF2FF3">
        <w:rPr>
          <w:bCs/>
          <w:iCs/>
        </w:rPr>
        <w:t xml:space="preserve"> through use of violence, or</w:t>
      </w:r>
      <w:r w:rsidR="008226D4" w:rsidRPr="00FF2FF3">
        <w:rPr>
          <w:bCs/>
          <w:iCs/>
        </w:rPr>
        <w:t xml:space="preserve"> threats of violence. </w:t>
      </w:r>
      <w:r w:rsidR="008C0FA5" w:rsidRPr="00FF2FF3">
        <w:rPr>
          <w:bCs/>
          <w:iCs/>
        </w:rPr>
        <w:t xml:space="preserve">How often, if at all, would you say this happens </w:t>
      </w:r>
      <w:r w:rsidR="00370670" w:rsidRPr="00FF2FF3">
        <w:rPr>
          <w:bCs/>
          <w:iCs/>
        </w:rPr>
        <w:t>at</w:t>
      </w:r>
      <w:r w:rsidR="008C0FA5" w:rsidRPr="00FF2FF3">
        <w:rPr>
          <w:bCs/>
          <w:iCs/>
        </w:rPr>
        <w:t xml:space="preserve"> elections in your constituency?</w:t>
      </w:r>
      <w:r w:rsidR="007441D2" w:rsidRPr="00FF2FF3">
        <w:rPr>
          <w:bCs/>
          <w:iCs/>
        </w:rPr>
        <w:t>”</w:t>
      </w:r>
      <w:r w:rsidR="008C0FA5" w:rsidRPr="00FF2FF3">
        <w:rPr>
          <w:bCs/>
          <w:iCs/>
        </w:rPr>
        <w:t xml:space="preserve"> </w:t>
      </w:r>
      <w:r w:rsidR="007441D2" w:rsidRPr="00FF2FF3">
        <w:rPr>
          <w:bCs/>
          <w:iCs/>
        </w:rPr>
        <w:t xml:space="preserve">(1 = </w:t>
      </w:r>
      <w:r w:rsidR="008C0FA5" w:rsidRPr="00FF2FF3">
        <w:rPr>
          <w:iCs/>
        </w:rPr>
        <w:t>Very often</w:t>
      </w:r>
      <w:r w:rsidR="007441D2" w:rsidRPr="00FF2FF3">
        <w:rPr>
          <w:iCs/>
        </w:rPr>
        <w:t xml:space="preserve">, </w:t>
      </w:r>
      <w:r w:rsidR="008C0FA5" w:rsidRPr="00FF2FF3">
        <w:rPr>
          <w:iCs/>
        </w:rPr>
        <w:t>Fairly often</w:t>
      </w:r>
      <w:r w:rsidR="007441D2" w:rsidRPr="00FF2FF3">
        <w:rPr>
          <w:iCs/>
        </w:rPr>
        <w:t xml:space="preserve">, </w:t>
      </w:r>
      <w:r w:rsidR="008C0FA5" w:rsidRPr="00FF2FF3">
        <w:rPr>
          <w:iCs/>
        </w:rPr>
        <w:t>From time to time</w:t>
      </w:r>
      <w:r w:rsidR="007441D2" w:rsidRPr="00FF2FF3">
        <w:rPr>
          <w:iCs/>
        </w:rPr>
        <w:t xml:space="preserve">, </w:t>
      </w:r>
      <w:r w:rsidR="008C0FA5" w:rsidRPr="00FF2FF3">
        <w:rPr>
          <w:iCs/>
        </w:rPr>
        <w:t>Fairly rarely</w:t>
      </w:r>
      <w:r w:rsidR="007441D2" w:rsidRPr="00FF2FF3">
        <w:rPr>
          <w:iCs/>
        </w:rPr>
        <w:t xml:space="preserve">, 5 = </w:t>
      </w:r>
      <w:r w:rsidR="008C0FA5" w:rsidRPr="00FF2FF3">
        <w:rPr>
          <w:iCs/>
        </w:rPr>
        <w:t>Very rarely</w:t>
      </w:r>
      <w:r w:rsidR="004365B4">
        <w:rPr>
          <w:iCs/>
        </w:rPr>
        <w:t xml:space="preserve">, including </w:t>
      </w:r>
      <w:r w:rsidR="007441D2" w:rsidRPr="00FF2FF3">
        <w:rPr>
          <w:iCs/>
        </w:rPr>
        <w:t>a ‘</w:t>
      </w:r>
      <w:r w:rsidR="008C0FA5" w:rsidRPr="00FF2FF3">
        <w:rPr>
          <w:iCs/>
        </w:rPr>
        <w:t>Don’t know</w:t>
      </w:r>
      <w:r w:rsidR="007441D2" w:rsidRPr="00FF2FF3">
        <w:rPr>
          <w:iCs/>
        </w:rPr>
        <w:t>’ option</w:t>
      </w:r>
      <w:r w:rsidR="004365B4">
        <w:rPr>
          <w:iCs/>
        </w:rPr>
        <w:t>)</w:t>
      </w:r>
      <w:r w:rsidR="007441D2" w:rsidRPr="00FF2FF3">
        <w:rPr>
          <w:iCs/>
        </w:rPr>
        <w:t xml:space="preserve">. This was followed by a question which sought to assess </w:t>
      </w:r>
      <w:r w:rsidR="007441D2" w:rsidRPr="00D45FCB">
        <w:rPr>
          <w:bCs/>
          <w:iCs/>
        </w:rPr>
        <w:t>knowledge of specific instances</w:t>
      </w:r>
      <w:r w:rsidR="007441D2" w:rsidRPr="00FF2FF3">
        <w:rPr>
          <w:iCs/>
        </w:rPr>
        <w:t xml:space="preserve"> of this (“</w:t>
      </w:r>
      <w:r w:rsidR="008C0FA5" w:rsidRPr="00FF2FF3">
        <w:rPr>
          <w:bCs/>
          <w:iCs/>
        </w:rPr>
        <w:t xml:space="preserve">Are you aware of any specific cases of this happening in this constituency at the last </w:t>
      </w:r>
      <w:r w:rsidR="0008675C">
        <w:rPr>
          <w:bCs/>
          <w:iCs/>
        </w:rPr>
        <w:t>g</w:t>
      </w:r>
      <w:r w:rsidR="008C0FA5" w:rsidRPr="00FF2FF3">
        <w:rPr>
          <w:bCs/>
          <w:iCs/>
        </w:rPr>
        <w:t>eneral election held in December of last year?</w:t>
      </w:r>
      <w:r w:rsidR="007441D2" w:rsidRPr="00FF2FF3">
        <w:rPr>
          <w:bCs/>
          <w:iCs/>
        </w:rPr>
        <w:t>”, with the answer codes ‘</w:t>
      </w:r>
      <w:r w:rsidR="008C0FA5" w:rsidRPr="00FF2FF3">
        <w:rPr>
          <w:iCs/>
        </w:rPr>
        <w:t>I am aware of specific cases</w:t>
      </w:r>
      <w:r w:rsidR="007441D2" w:rsidRPr="00FF2FF3">
        <w:rPr>
          <w:iCs/>
        </w:rPr>
        <w:t>’, ‘</w:t>
      </w:r>
      <w:r w:rsidR="008C0FA5" w:rsidRPr="00FF2FF3">
        <w:rPr>
          <w:iCs/>
        </w:rPr>
        <w:t>I am not aware of specific cases</w:t>
      </w:r>
      <w:r w:rsidR="007441D2" w:rsidRPr="00FF2FF3">
        <w:rPr>
          <w:iCs/>
        </w:rPr>
        <w:t>’ and ‘</w:t>
      </w:r>
      <w:r w:rsidR="00370670" w:rsidRPr="00FF2FF3">
        <w:rPr>
          <w:iCs/>
        </w:rPr>
        <w:t>Prefer not to say</w:t>
      </w:r>
      <w:r w:rsidR="007441D2" w:rsidRPr="00FF2FF3">
        <w:rPr>
          <w:iCs/>
        </w:rPr>
        <w:t xml:space="preserve">’. Respondents </w:t>
      </w:r>
      <w:r w:rsidR="007441D2" w:rsidRPr="0062432C">
        <w:rPr>
          <w:iCs/>
        </w:rPr>
        <w:t xml:space="preserve">were then asked </w:t>
      </w:r>
      <w:r w:rsidR="009C290D" w:rsidRPr="0062432C">
        <w:rPr>
          <w:iCs/>
        </w:rPr>
        <w:t xml:space="preserve">a question about their own </w:t>
      </w:r>
      <w:r w:rsidR="009C290D" w:rsidRPr="00D45FCB">
        <w:rPr>
          <w:bCs/>
          <w:iCs/>
        </w:rPr>
        <w:t>victimisation</w:t>
      </w:r>
      <w:r w:rsidR="009C290D" w:rsidRPr="0062432C">
        <w:rPr>
          <w:iCs/>
        </w:rPr>
        <w:t xml:space="preserve">, which was worded: </w:t>
      </w:r>
      <w:r w:rsidR="007441D2" w:rsidRPr="0062432C">
        <w:rPr>
          <w:iCs/>
        </w:rPr>
        <w:t>“</w:t>
      </w:r>
      <w:r w:rsidR="00AB7708" w:rsidRPr="0062432C">
        <w:rPr>
          <w:bCs/>
          <w:iCs/>
        </w:rPr>
        <w:t>Have you ever been</w:t>
      </w:r>
      <w:r w:rsidR="00D948D3" w:rsidRPr="00FF2FF3">
        <w:rPr>
          <w:bCs/>
          <w:iCs/>
        </w:rPr>
        <w:t xml:space="preserve"> seriously</w:t>
      </w:r>
      <w:r w:rsidR="00AB7708" w:rsidRPr="00FF2FF3">
        <w:rPr>
          <w:bCs/>
          <w:iCs/>
        </w:rPr>
        <w:t xml:space="preserve"> threatened </w:t>
      </w:r>
      <w:r w:rsidR="00D948D3" w:rsidRPr="00FF2FF3">
        <w:rPr>
          <w:bCs/>
          <w:iCs/>
        </w:rPr>
        <w:t xml:space="preserve">to vote </w:t>
      </w:r>
      <w:r w:rsidR="00370670" w:rsidRPr="00FF2FF3">
        <w:rPr>
          <w:bCs/>
          <w:iCs/>
        </w:rPr>
        <w:t xml:space="preserve">a </w:t>
      </w:r>
      <w:r w:rsidR="00AB7708" w:rsidRPr="00FF2FF3">
        <w:rPr>
          <w:bCs/>
          <w:iCs/>
        </w:rPr>
        <w:t>way that you didn’t want to by anyone?</w:t>
      </w:r>
      <w:r w:rsidR="007441D2" w:rsidRPr="00FF2FF3">
        <w:rPr>
          <w:bCs/>
          <w:iCs/>
        </w:rPr>
        <w:t xml:space="preserve"> </w:t>
      </w:r>
      <w:r w:rsidR="00AB7708" w:rsidRPr="00FF2FF3">
        <w:rPr>
          <w:bCs/>
          <w:iCs/>
        </w:rPr>
        <w:t>This could include being forced to vote for a particular party or candidate, or not voting at al</w:t>
      </w:r>
      <w:r w:rsidR="00D948D3" w:rsidRPr="00FF2FF3">
        <w:rPr>
          <w:bCs/>
          <w:iCs/>
        </w:rPr>
        <w:t>l.</w:t>
      </w:r>
      <w:r w:rsidR="00370670" w:rsidRPr="00FF2FF3">
        <w:rPr>
          <w:bCs/>
          <w:iCs/>
        </w:rPr>
        <w:t xml:space="preserve"> Remember, all </w:t>
      </w:r>
      <w:r w:rsidR="0011513F" w:rsidRPr="00FF2FF3">
        <w:rPr>
          <w:bCs/>
          <w:iCs/>
        </w:rPr>
        <w:t xml:space="preserve">responses </w:t>
      </w:r>
      <w:r w:rsidR="00370670" w:rsidRPr="00FF2FF3">
        <w:rPr>
          <w:bCs/>
          <w:iCs/>
        </w:rPr>
        <w:t>wi</w:t>
      </w:r>
      <w:r w:rsidR="007441D2" w:rsidRPr="00FF2FF3">
        <w:rPr>
          <w:bCs/>
          <w:iCs/>
        </w:rPr>
        <w:t>ll remain entirely confidential”, with the following answer codes offered: ‘</w:t>
      </w:r>
      <w:r w:rsidR="00D948D3" w:rsidRPr="00FF2FF3">
        <w:rPr>
          <w:iCs/>
        </w:rPr>
        <w:t>Yes – at the 2019 General Election (held in December last year)</w:t>
      </w:r>
      <w:r w:rsidR="007441D2" w:rsidRPr="00FF2FF3">
        <w:rPr>
          <w:iCs/>
        </w:rPr>
        <w:t>’, ‘</w:t>
      </w:r>
      <w:r w:rsidR="00D948D3" w:rsidRPr="00FF2FF3">
        <w:rPr>
          <w:iCs/>
        </w:rPr>
        <w:t>Yes – in an election prior to the 2019 General Election</w:t>
      </w:r>
      <w:r w:rsidR="007441D2" w:rsidRPr="00FF2FF3">
        <w:rPr>
          <w:iCs/>
        </w:rPr>
        <w:t>’, ‘</w:t>
      </w:r>
      <w:r w:rsidR="00D948D3" w:rsidRPr="00FF2FF3">
        <w:rPr>
          <w:iCs/>
        </w:rPr>
        <w:t>No</w:t>
      </w:r>
      <w:r w:rsidR="007441D2" w:rsidRPr="00FF2FF3">
        <w:rPr>
          <w:iCs/>
        </w:rPr>
        <w:t>’, ‘</w:t>
      </w:r>
      <w:r w:rsidR="00D948D3" w:rsidRPr="00FF2FF3">
        <w:rPr>
          <w:iCs/>
        </w:rPr>
        <w:t>Prefer not to say</w:t>
      </w:r>
      <w:r w:rsidR="007441D2" w:rsidRPr="00FF2FF3">
        <w:rPr>
          <w:iCs/>
        </w:rPr>
        <w:t>’</w:t>
      </w:r>
      <w:r w:rsidR="0077570B" w:rsidRPr="00FF2FF3">
        <w:rPr>
          <w:iCs/>
        </w:rPr>
        <w:t xml:space="preserve">. </w:t>
      </w:r>
      <w:r w:rsidR="007441D2" w:rsidRPr="00FF2FF3">
        <w:rPr>
          <w:iCs/>
        </w:rPr>
        <w:t>(Respondents could tick both of the first two options if they so wished to).</w:t>
      </w:r>
      <w:r w:rsidR="00565CF6" w:rsidRPr="00FF2FF3">
        <w:rPr>
          <w:iCs/>
        </w:rPr>
        <w:t xml:space="preserve"> </w:t>
      </w:r>
      <w:r w:rsidR="00FF2FF3" w:rsidRPr="00FF2FF3">
        <w:rPr>
          <w:iCs/>
        </w:rPr>
        <w:t xml:space="preserve">This strategy and question structure was </w:t>
      </w:r>
      <w:r w:rsidR="008F134B">
        <w:rPr>
          <w:iCs/>
        </w:rPr>
        <w:t xml:space="preserve">also </w:t>
      </w:r>
      <w:r w:rsidR="00FF2FF3" w:rsidRPr="00FF2FF3">
        <w:rPr>
          <w:iCs/>
        </w:rPr>
        <w:t xml:space="preserve">employed for questions relating to </w:t>
      </w:r>
      <w:r w:rsidR="004C70AF">
        <w:rPr>
          <w:iCs/>
        </w:rPr>
        <w:t>personation (</w:t>
      </w:r>
      <w:r w:rsidR="00FF2FF3" w:rsidRPr="00FF2FF3">
        <w:rPr>
          <w:iCs/>
        </w:rPr>
        <w:t>“</w:t>
      </w:r>
      <w:r w:rsidR="00FB176E" w:rsidRPr="00FF2FF3">
        <w:rPr>
          <w:bCs/>
          <w:iCs/>
        </w:rPr>
        <w:t>some people might vote or register to vote by pretending to be someone else. This could include either registering to vote or voting, and could include voting in person, by post, or by proxy</w:t>
      </w:r>
      <w:r w:rsidR="00FF2FF3" w:rsidRPr="00FF2FF3">
        <w:rPr>
          <w:bCs/>
          <w:iCs/>
        </w:rPr>
        <w:t>”</w:t>
      </w:r>
      <w:r w:rsidR="004C70AF">
        <w:rPr>
          <w:bCs/>
          <w:iCs/>
        </w:rPr>
        <w:t>)</w:t>
      </w:r>
      <w:r w:rsidR="00FB176E" w:rsidRPr="00FF2FF3">
        <w:rPr>
          <w:bCs/>
          <w:iCs/>
        </w:rPr>
        <w:t xml:space="preserve">. </w:t>
      </w:r>
      <w:r w:rsidR="00D25AF6">
        <w:rPr>
          <w:bCs/>
          <w:iCs/>
        </w:rPr>
        <w:t xml:space="preserve">Questions </w:t>
      </w:r>
      <w:r w:rsidR="004365B4">
        <w:rPr>
          <w:bCs/>
          <w:iCs/>
        </w:rPr>
        <w:t>we</w:t>
      </w:r>
      <w:r w:rsidR="00D25AF6">
        <w:rPr>
          <w:bCs/>
          <w:iCs/>
        </w:rPr>
        <w:t>re rotated to avoid order effects.</w:t>
      </w:r>
    </w:p>
    <w:p w14:paraId="1C6EBF1A" w14:textId="77777777" w:rsidR="00936CB4" w:rsidRDefault="00936CB4"/>
    <w:p w14:paraId="5FA605B3" w14:textId="77777777" w:rsidR="00C5626E" w:rsidRPr="00C5626E" w:rsidRDefault="00C5626E">
      <w:pPr>
        <w:rPr>
          <w:i/>
        </w:rPr>
      </w:pPr>
      <w:r w:rsidRPr="00C5626E">
        <w:rPr>
          <w:i/>
        </w:rPr>
        <w:t>Limitations of Research Design</w:t>
      </w:r>
    </w:p>
    <w:p w14:paraId="7F357D87" w14:textId="175C075A" w:rsidR="00C5626E" w:rsidRDefault="00C5626E">
      <w:r>
        <w:t xml:space="preserve">Whilst </w:t>
      </w:r>
      <w:r w:rsidR="00B90AD8">
        <w:t xml:space="preserve">our </w:t>
      </w:r>
      <w:r w:rsidR="00B96CD0">
        <w:t>approach</w:t>
      </w:r>
      <w:r w:rsidR="00B96CD0">
        <w:t xml:space="preserve"> </w:t>
      </w:r>
      <w:r w:rsidR="00B90AD8">
        <w:t>has some significant strengths (</w:t>
      </w:r>
      <w:r>
        <w:t xml:space="preserve">such as the collection of </w:t>
      </w:r>
      <w:r w:rsidR="003E06A1">
        <w:t xml:space="preserve">data relating to </w:t>
      </w:r>
      <w:r w:rsidRPr="00671E52">
        <w:rPr>
          <w:i/>
        </w:rPr>
        <w:t>first</w:t>
      </w:r>
      <w:r w:rsidR="003E06A1" w:rsidRPr="00671E52">
        <w:rPr>
          <w:i/>
        </w:rPr>
        <w:t>-</w:t>
      </w:r>
      <w:r w:rsidRPr="00671E52">
        <w:rPr>
          <w:i/>
        </w:rPr>
        <w:t xml:space="preserve">hand </w:t>
      </w:r>
      <w:r w:rsidR="003E06A1" w:rsidRPr="00671E52">
        <w:rPr>
          <w:i/>
        </w:rPr>
        <w:t>accounts</w:t>
      </w:r>
      <w:r w:rsidR="003E06A1">
        <w:t xml:space="preserve"> of electoral fraud, rather than </w:t>
      </w:r>
      <w:r w:rsidR="003E06A1" w:rsidRPr="00671E52">
        <w:rPr>
          <w:i/>
        </w:rPr>
        <w:t>perceptions</w:t>
      </w:r>
      <w:r w:rsidR="003E06A1">
        <w:t xml:space="preserve"> or the thoughts of electoral agents or reports to the police) </w:t>
      </w:r>
      <w:r w:rsidR="00B90AD8">
        <w:t xml:space="preserve">it also has </w:t>
      </w:r>
      <w:r w:rsidR="003E06A1">
        <w:t>some limitations. The first is that with only 1,503 cases and exploring a relatively rare event, our estimates of the extent of this form of victimisation have to remain tentative. Additionally, we cannot rule out the possibility that a larger sample would have produced slightly different estimates in terms of the associated variables or prevalence rates. Further, because this was designed as a representative sample, there was</w:t>
      </w:r>
      <w:r w:rsidR="002F40FC">
        <w:t xml:space="preserve"> no</w:t>
      </w:r>
      <w:r w:rsidR="003E06A1">
        <w:t xml:space="preserve"> attempt </w:t>
      </w:r>
      <w:r w:rsidR="00697548">
        <w:t>at</w:t>
      </w:r>
      <w:r w:rsidR="003E06A1">
        <w:t xml:space="preserve"> oversampl</w:t>
      </w:r>
      <w:r w:rsidR="00697548">
        <w:t>ing</w:t>
      </w:r>
      <w:r w:rsidR="003E06A1">
        <w:t xml:space="preserve"> </w:t>
      </w:r>
      <w:r w:rsidR="00697548">
        <w:t xml:space="preserve">key groups </w:t>
      </w:r>
      <w:r w:rsidR="003E06A1">
        <w:t xml:space="preserve">(such as ethnic minority groups) and our estimates for these groups may have been different with a larger sample.  </w:t>
      </w:r>
      <w:r w:rsidR="00421BED">
        <w:t>As this was an online survey, households without access to the internet will have been excluded from the sampl</w:t>
      </w:r>
      <w:r w:rsidR="00697548">
        <w:t>ing</w:t>
      </w:r>
      <w:r w:rsidR="00421BED">
        <w:t xml:space="preserve"> frame</w:t>
      </w:r>
      <w:r w:rsidR="0008675C">
        <w:t>.</w:t>
      </w:r>
      <w:r w:rsidR="002B2E46" w:rsidRPr="00F36B16">
        <w:rPr>
          <w:rStyle w:val="FootnoteReference"/>
        </w:rPr>
        <w:footnoteReference w:id="6"/>
      </w:r>
      <w:r w:rsidR="002F40FC">
        <w:t xml:space="preserve"> </w:t>
      </w:r>
      <w:r w:rsidR="0008675C">
        <w:rPr>
          <w:rFonts w:cstheme="minorHAnsi"/>
        </w:rPr>
        <w:t>H</w:t>
      </w:r>
      <w:r w:rsidR="00B90AD8" w:rsidRPr="002B2E46">
        <w:rPr>
          <w:rFonts w:cstheme="minorHAnsi"/>
        </w:rPr>
        <w:t>owever</w:t>
      </w:r>
      <w:r w:rsidR="0008675C">
        <w:rPr>
          <w:rFonts w:cstheme="minorHAnsi"/>
        </w:rPr>
        <w:t>,</w:t>
      </w:r>
      <w:r w:rsidR="00B90AD8" w:rsidRPr="002B2E46">
        <w:rPr>
          <w:rFonts w:cstheme="minorHAnsi"/>
        </w:rPr>
        <w:t xml:space="preserve"> </w:t>
      </w:r>
      <w:r w:rsidR="0008675C">
        <w:rPr>
          <w:rFonts w:cstheme="minorHAnsi"/>
        </w:rPr>
        <w:t xml:space="preserve">we believe that </w:t>
      </w:r>
      <w:r w:rsidR="00B90AD8" w:rsidRPr="002B2E46">
        <w:rPr>
          <w:rFonts w:cstheme="minorHAnsi"/>
        </w:rPr>
        <w:t>the advantages of web-based surveys</w:t>
      </w:r>
      <w:r w:rsidR="0008675C">
        <w:rPr>
          <w:rFonts w:cstheme="minorHAnsi"/>
        </w:rPr>
        <w:t>, notably</w:t>
      </w:r>
      <w:r w:rsidR="00B90AD8" w:rsidRPr="002B2E46">
        <w:rPr>
          <w:rFonts w:cstheme="minorHAnsi"/>
        </w:rPr>
        <w:t xml:space="preserve"> </w:t>
      </w:r>
      <w:r w:rsidR="0008675C">
        <w:rPr>
          <w:rFonts w:eastAsia="Times New Roman" w:cstheme="minorHAnsi"/>
          <w:color w:val="000000"/>
        </w:rPr>
        <w:t>a</w:t>
      </w:r>
      <w:r w:rsidR="004F336C" w:rsidRPr="002F40FC">
        <w:rPr>
          <w:rFonts w:eastAsia="Times New Roman" w:cstheme="minorHAnsi"/>
          <w:color w:val="000000"/>
        </w:rPr>
        <w:t xml:space="preserve">ccess to a geographically wide sample, the convenience and privacy afforded to respondents </w:t>
      </w:r>
      <w:r w:rsidR="002B2E46">
        <w:rPr>
          <w:rFonts w:eastAsia="Times New Roman" w:cstheme="minorHAnsi"/>
          <w:color w:val="000000"/>
        </w:rPr>
        <w:t xml:space="preserve">by </w:t>
      </w:r>
      <w:r w:rsidR="004F336C" w:rsidRPr="002F40FC">
        <w:rPr>
          <w:rFonts w:eastAsia="Times New Roman" w:cstheme="minorHAnsi"/>
          <w:color w:val="000000"/>
        </w:rPr>
        <w:t>completing</w:t>
      </w:r>
      <w:r w:rsidR="002B2E46">
        <w:rPr>
          <w:rFonts w:eastAsia="Times New Roman" w:cstheme="minorHAnsi"/>
          <w:color w:val="000000"/>
        </w:rPr>
        <w:t xml:space="preserve"> it</w:t>
      </w:r>
      <w:r w:rsidR="004F336C" w:rsidRPr="002F40FC">
        <w:rPr>
          <w:rFonts w:eastAsia="Times New Roman" w:cstheme="minorHAnsi"/>
          <w:color w:val="000000"/>
        </w:rPr>
        <w:t xml:space="preserve"> at their own pace and the absence of interviewer-specific bias (Callegaro et al., 2015)</w:t>
      </w:r>
      <w:r w:rsidR="0008675C">
        <w:rPr>
          <w:rFonts w:eastAsia="Times New Roman" w:cstheme="minorHAnsi"/>
          <w:color w:val="000000"/>
        </w:rPr>
        <w:t xml:space="preserve">, </w:t>
      </w:r>
      <w:r w:rsidR="004F336C" w:rsidRPr="002F40FC">
        <w:rPr>
          <w:rFonts w:eastAsia="Times New Roman" w:cstheme="minorHAnsi"/>
          <w:color w:val="000000"/>
        </w:rPr>
        <w:t>outweighed th</w:t>
      </w:r>
      <w:r w:rsidR="0008675C">
        <w:rPr>
          <w:rFonts w:eastAsia="Times New Roman" w:cstheme="minorHAnsi"/>
          <w:color w:val="000000"/>
        </w:rPr>
        <w:t>is</w:t>
      </w:r>
      <w:r w:rsidR="004F336C" w:rsidRPr="002F40FC">
        <w:rPr>
          <w:rFonts w:eastAsia="Times New Roman" w:cstheme="minorHAnsi"/>
          <w:color w:val="000000"/>
        </w:rPr>
        <w:t xml:space="preserve"> drawback. </w:t>
      </w:r>
      <w:r w:rsidR="00260882">
        <w:rPr>
          <w:rFonts w:eastAsia="Times New Roman" w:cstheme="minorHAnsi"/>
          <w:color w:val="000000"/>
        </w:rPr>
        <w:t>Because we focus on victimisation, we are unable to say anything about the perpetrators of electoral fraud.</w:t>
      </w:r>
      <w:r w:rsidR="003E06A1" w:rsidRPr="002B2E46">
        <w:rPr>
          <w:rFonts w:cstheme="minorHAnsi"/>
        </w:rPr>
        <w:t xml:space="preserve"> </w:t>
      </w:r>
      <w:r w:rsidR="00B90AD8" w:rsidRPr="002B2E46">
        <w:rPr>
          <w:rFonts w:cstheme="minorHAnsi"/>
        </w:rPr>
        <w:t>Finally, for the sake of brevity,</w:t>
      </w:r>
      <w:r w:rsidR="00B90AD8">
        <w:t xml:space="preserve"> w</w:t>
      </w:r>
      <w:r w:rsidR="00421BED">
        <w:t>e opted to ask about only two types of electoral fraud (rather than all five offence types as outlined above).</w:t>
      </w:r>
    </w:p>
    <w:p w14:paraId="30A8D30B" w14:textId="19B4638E" w:rsidR="00CC5554" w:rsidRDefault="00CC5554"/>
    <w:p w14:paraId="385C1102" w14:textId="6D5693AD" w:rsidR="00CC5554" w:rsidRPr="006C5950" w:rsidRDefault="00CC5554">
      <w:pPr>
        <w:rPr>
          <w:i/>
        </w:rPr>
      </w:pPr>
      <w:r>
        <w:rPr>
          <w:i/>
        </w:rPr>
        <w:t>Anticipated Results</w:t>
      </w:r>
    </w:p>
    <w:p w14:paraId="1D55BE49" w14:textId="064624C2" w:rsidR="00CC5554" w:rsidRPr="00CC5554" w:rsidRDefault="00CC5554" w:rsidP="00CC5554">
      <w:pPr>
        <w:rPr>
          <w:bCs/>
          <w:iCs/>
        </w:rPr>
      </w:pPr>
      <w:r w:rsidRPr="00CC5554">
        <w:t>Based on our review of the literature, we expected to find the following:</w:t>
      </w:r>
    </w:p>
    <w:p w14:paraId="0D2BC675" w14:textId="3B5ADC18" w:rsidR="00CC5554" w:rsidRPr="00CC5554" w:rsidRDefault="00CC5554" w:rsidP="00CC5554">
      <w:pPr>
        <w:numPr>
          <w:ilvl w:val="0"/>
          <w:numId w:val="7"/>
        </w:numPr>
      </w:pPr>
      <w:r w:rsidRPr="00CC5554">
        <w:t>Relatively few respondents (we estimated around 10</w:t>
      </w:r>
      <w:r w:rsidR="009B4514">
        <w:t>%</w:t>
      </w:r>
      <w:r w:rsidRPr="00CC5554">
        <w:t>, based on past surveys for the Electoral Commission</w:t>
      </w:r>
      <w:r w:rsidR="00EB5F24">
        <w:t xml:space="preserve"> using similar questions</w:t>
      </w:r>
      <w:r w:rsidRPr="00CC5554">
        <w:t xml:space="preserve">), will </w:t>
      </w:r>
      <w:r w:rsidRPr="00181FFA">
        <w:rPr>
          <w:i/>
        </w:rPr>
        <w:t>perceive</w:t>
      </w:r>
      <w:r w:rsidRPr="00CC5554">
        <w:t xml:space="preserve"> </w:t>
      </w:r>
      <w:r w:rsidR="00EB5F24">
        <w:t>either undue influence or personation</w:t>
      </w:r>
      <w:r w:rsidRPr="00CC5554">
        <w:t xml:space="preserve"> </w:t>
      </w:r>
      <w:r w:rsidR="00EB5F24">
        <w:t>to</w:t>
      </w:r>
      <w:r w:rsidRPr="00CC5554">
        <w:t xml:space="preserve"> </w:t>
      </w:r>
      <w:r w:rsidR="00EB5F24">
        <w:t xml:space="preserve">occur either ‘very often’ or ‘fairly often’ in their constituency. </w:t>
      </w:r>
    </w:p>
    <w:p w14:paraId="56314032" w14:textId="20ACF56E" w:rsidR="00CC5554" w:rsidRPr="00CC5554" w:rsidRDefault="00CC5554" w:rsidP="00CC5554">
      <w:pPr>
        <w:numPr>
          <w:ilvl w:val="0"/>
          <w:numId w:val="7"/>
        </w:numPr>
      </w:pPr>
      <w:r w:rsidRPr="00CC5554">
        <w:t xml:space="preserve">A slightly smaller proportion </w:t>
      </w:r>
      <w:r w:rsidR="00E51074">
        <w:t xml:space="preserve">than those perceiving electoral fraud to be common </w:t>
      </w:r>
      <w:r w:rsidRPr="00CC5554">
        <w:t xml:space="preserve">will report </w:t>
      </w:r>
      <w:r w:rsidR="00587638">
        <w:t xml:space="preserve">either </w:t>
      </w:r>
      <w:r w:rsidRPr="00181FFA">
        <w:rPr>
          <w:i/>
        </w:rPr>
        <w:t xml:space="preserve">personal </w:t>
      </w:r>
      <w:r w:rsidR="00587638" w:rsidRPr="00181FFA">
        <w:rPr>
          <w:i/>
        </w:rPr>
        <w:t>knowledge</w:t>
      </w:r>
      <w:r w:rsidR="00587638">
        <w:t xml:space="preserve">, or </w:t>
      </w:r>
      <w:r w:rsidR="00587638" w:rsidRPr="00181FFA">
        <w:rPr>
          <w:i/>
        </w:rPr>
        <w:t>victim</w:t>
      </w:r>
      <w:r w:rsidR="00181FFA" w:rsidRPr="00181FFA">
        <w:rPr>
          <w:i/>
        </w:rPr>
        <w:t>isation</w:t>
      </w:r>
      <w:r w:rsidR="00181FFA">
        <w:t xml:space="preserve"> relating to</w:t>
      </w:r>
      <w:r w:rsidR="00587638">
        <w:t xml:space="preserve">, undue influence or personation </w:t>
      </w:r>
      <w:r w:rsidRPr="00CC5554">
        <w:t xml:space="preserve">(we estimated 5-8%, </w:t>
      </w:r>
      <w:r w:rsidR="00EB5F24">
        <w:t xml:space="preserve">based on the responses to past Electoral Commission surveys and </w:t>
      </w:r>
      <w:r w:rsidR="00587638">
        <w:t xml:space="preserve">our </w:t>
      </w:r>
      <w:r w:rsidR="00EB5F24">
        <w:t>use of a tighter legal definition than that used by the Commission</w:t>
      </w:r>
      <w:r w:rsidRPr="00CC5554">
        <w:t>).</w:t>
      </w:r>
    </w:p>
    <w:p w14:paraId="4337C453" w14:textId="5A7C9AD5" w:rsidR="00CC5554" w:rsidRPr="00CC5554" w:rsidRDefault="009B4514" w:rsidP="00CC5554">
      <w:pPr>
        <w:numPr>
          <w:ilvl w:val="0"/>
          <w:numId w:val="7"/>
        </w:numPr>
      </w:pPr>
      <w:r>
        <w:t>E</w:t>
      </w:r>
      <w:r w:rsidR="00CC5554" w:rsidRPr="00CC5554">
        <w:t xml:space="preserve">lectoral fraud </w:t>
      </w:r>
      <w:r w:rsidR="00587638">
        <w:t xml:space="preserve">victimisation rates </w:t>
      </w:r>
      <w:r>
        <w:t xml:space="preserve">will </w:t>
      </w:r>
      <w:r w:rsidR="00587638">
        <w:t xml:space="preserve">be </w:t>
      </w:r>
      <w:r w:rsidR="00CC5554" w:rsidRPr="00181FFA">
        <w:rPr>
          <w:i/>
        </w:rPr>
        <w:t>greater</w:t>
      </w:r>
      <w:r w:rsidR="00CC5554" w:rsidRPr="00CC5554">
        <w:t xml:space="preserve"> among those with lower levels of formal education and among supporters of right-wing parties</w:t>
      </w:r>
      <w:r>
        <w:t>, as we assume that factors identified in the literature as influencing variations in perceptions of electoral fraud are likely to be reflected in reported e</w:t>
      </w:r>
      <w:r w:rsidRPr="00CC5554">
        <w:t xml:space="preserve">xperiences of </w:t>
      </w:r>
      <w:r>
        <w:t>it.</w:t>
      </w:r>
      <w:r w:rsidR="00CC5554" w:rsidRPr="00CC5554">
        <w:t xml:space="preserve"> </w:t>
      </w:r>
    </w:p>
    <w:p w14:paraId="60DDE027" w14:textId="794CB591" w:rsidR="00CC5554" w:rsidRPr="00CC5554" w:rsidRDefault="00CB2D96" w:rsidP="00CC5554">
      <w:pPr>
        <w:numPr>
          <w:ilvl w:val="0"/>
          <w:numId w:val="7"/>
        </w:numPr>
      </w:pPr>
      <w:r>
        <w:t xml:space="preserve">Reports of electoral fraud victimisation </w:t>
      </w:r>
      <w:r w:rsidR="00CC5554" w:rsidRPr="00CC5554">
        <w:t xml:space="preserve">will be </w:t>
      </w:r>
      <w:r w:rsidR="00CC5554" w:rsidRPr="00181FFA">
        <w:rPr>
          <w:i/>
        </w:rPr>
        <w:t>greater</w:t>
      </w:r>
      <w:r w:rsidR="00CC5554" w:rsidRPr="00CC5554">
        <w:t xml:space="preserve"> among those who were on the losing side at the 2019 General Election.</w:t>
      </w:r>
      <w:r>
        <w:t xml:space="preserve"> We anticipate this result as a result of the ‘sore loser’ effect identified in the literature rather than based on an assumption that the 2019 election was rigged.</w:t>
      </w:r>
    </w:p>
    <w:p w14:paraId="3753C04F" w14:textId="0EDE73DD" w:rsidR="00CC5554" w:rsidRPr="00CC5554" w:rsidRDefault="00CB2D96" w:rsidP="00CC5554">
      <w:pPr>
        <w:numPr>
          <w:ilvl w:val="0"/>
          <w:numId w:val="7"/>
        </w:numPr>
      </w:pPr>
      <w:r>
        <w:t>In line with past academic and Electoral Commission research, we expect that r</w:t>
      </w:r>
      <w:r w:rsidR="00CC5554" w:rsidRPr="00CC5554">
        <w:t xml:space="preserve">eports of electoral fraud victimisation will be </w:t>
      </w:r>
      <w:r w:rsidR="00CC5554" w:rsidRPr="00181FFA">
        <w:rPr>
          <w:i/>
        </w:rPr>
        <w:t>greater</w:t>
      </w:r>
      <w:r w:rsidR="00CC5554" w:rsidRPr="00CC5554">
        <w:t xml:space="preserve"> among younger voters, among Asian voters and among those living in areas with higher levels of ethnic diversity.</w:t>
      </w:r>
    </w:p>
    <w:p w14:paraId="60DDE94B" w14:textId="77777777" w:rsidR="00CC5554" w:rsidRDefault="00CC5554"/>
    <w:p w14:paraId="1F36C1E3" w14:textId="0E1F60C0" w:rsidR="00C51D75" w:rsidRPr="00C51D75" w:rsidRDefault="00C51D75" w:rsidP="00A04982">
      <w:pPr>
        <w:rPr>
          <w:b/>
        </w:rPr>
      </w:pPr>
      <w:r w:rsidRPr="00C51D75">
        <w:rPr>
          <w:b/>
        </w:rPr>
        <w:t>Results</w:t>
      </w:r>
      <w:r w:rsidR="003768EA">
        <w:rPr>
          <w:b/>
        </w:rPr>
        <w:t>: Perception</w:t>
      </w:r>
      <w:r w:rsidR="006B67BB">
        <w:rPr>
          <w:b/>
        </w:rPr>
        <w:t>s</w:t>
      </w:r>
      <w:r w:rsidR="003768EA">
        <w:rPr>
          <w:b/>
        </w:rPr>
        <w:t xml:space="preserve"> and Experience</w:t>
      </w:r>
      <w:r w:rsidR="006B67BB">
        <w:rPr>
          <w:b/>
        </w:rPr>
        <w:t>s</w:t>
      </w:r>
      <w:r w:rsidR="003768EA">
        <w:rPr>
          <w:b/>
        </w:rPr>
        <w:t xml:space="preserve"> of Electoral Fraud in </w:t>
      </w:r>
      <w:r w:rsidR="001C4E51">
        <w:rPr>
          <w:b/>
        </w:rPr>
        <w:t>UK</w:t>
      </w:r>
      <w:r w:rsidR="003768EA">
        <w:rPr>
          <w:b/>
        </w:rPr>
        <w:t xml:space="preserve"> </w:t>
      </w:r>
    </w:p>
    <w:p w14:paraId="456FAA91" w14:textId="530E3A09" w:rsidR="00181FFA" w:rsidRDefault="00C51D75">
      <w:r>
        <w:t xml:space="preserve">Table </w:t>
      </w:r>
      <w:r w:rsidR="00E943ED">
        <w:t>One</w:t>
      </w:r>
      <w:r>
        <w:t xml:space="preserve"> reports the basic frequencies for the item asking respondents to give their </w:t>
      </w:r>
      <w:r w:rsidR="00CD7AB8" w:rsidRPr="005B2783">
        <w:rPr>
          <w:i/>
        </w:rPr>
        <w:t xml:space="preserve">perceived </w:t>
      </w:r>
      <w:r>
        <w:t xml:space="preserve">assessment of the occurrence of undue influence in recent British elections. </w:t>
      </w:r>
      <w:r w:rsidR="00A552F7">
        <w:t>Very few sa</w:t>
      </w:r>
      <w:r w:rsidR="00CD7AB8">
        <w:t xml:space="preserve">id </w:t>
      </w:r>
      <w:r w:rsidR="00A552F7">
        <w:t xml:space="preserve">that they </w:t>
      </w:r>
      <w:r w:rsidR="00CD7AB8">
        <w:t xml:space="preserve">believed it was </w:t>
      </w:r>
      <w:r w:rsidR="00A552F7" w:rsidRPr="0062432C">
        <w:t>common</w:t>
      </w:r>
      <w:r w:rsidR="00E943ED" w:rsidRPr="0062432C">
        <w:t>, in keeping with our expectations</w:t>
      </w:r>
      <w:r w:rsidR="00A552F7" w:rsidRPr="0062432C">
        <w:t xml:space="preserve"> (7.2% said that they thought that it was </w:t>
      </w:r>
      <w:r w:rsidR="00CD7AB8">
        <w:t>‘</w:t>
      </w:r>
      <w:r w:rsidR="00A552F7" w:rsidRPr="0062432C">
        <w:t>very</w:t>
      </w:r>
      <w:r w:rsidR="00CD7AB8">
        <w:t>’</w:t>
      </w:r>
      <w:r w:rsidR="00A552F7" w:rsidRPr="0062432C">
        <w:t xml:space="preserve"> or</w:t>
      </w:r>
      <w:r w:rsidR="00A552F7">
        <w:t xml:space="preserve"> </w:t>
      </w:r>
      <w:r w:rsidR="00CD7AB8">
        <w:t>‘</w:t>
      </w:r>
      <w:r w:rsidR="00A552F7">
        <w:t>fairly common</w:t>
      </w:r>
      <w:r w:rsidR="00CD7AB8">
        <w:t>’</w:t>
      </w:r>
      <w:r w:rsidR="00A552F7">
        <w:t xml:space="preserve">). </w:t>
      </w:r>
      <w:r>
        <w:t xml:space="preserve"> </w:t>
      </w:r>
      <w:r w:rsidR="00A552F7">
        <w:t xml:space="preserve">Almost a quarter </w:t>
      </w:r>
      <w:r w:rsidR="00CD7AB8">
        <w:t>thought</w:t>
      </w:r>
      <w:r w:rsidR="00A552F7">
        <w:t xml:space="preserve"> it </w:t>
      </w:r>
      <w:r w:rsidR="00CD7AB8">
        <w:t>was</w:t>
      </w:r>
      <w:r w:rsidR="00A552F7">
        <w:t xml:space="preserve"> </w:t>
      </w:r>
      <w:r w:rsidR="00CD7AB8">
        <w:t>‘</w:t>
      </w:r>
      <w:r w:rsidR="00A552F7">
        <w:t>very rare</w:t>
      </w:r>
      <w:r w:rsidR="00CD7AB8">
        <w:t>’</w:t>
      </w:r>
      <w:r w:rsidR="00A552F7">
        <w:t>, whilst the largest single response code was</w:t>
      </w:r>
      <w:r w:rsidR="00181FFA">
        <w:t xml:space="preserve"> ‘don’t know’ (at almost 43%).</w:t>
      </w:r>
    </w:p>
    <w:p w14:paraId="586EEBFB" w14:textId="77777777" w:rsidR="00C51D75" w:rsidRPr="00C51D75" w:rsidRDefault="00C51D75" w:rsidP="00C51D75">
      <w:pPr>
        <w:jc w:val="center"/>
        <w:rPr>
          <w:b/>
        </w:rPr>
      </w:pPr>
      <w:r>
        <w:rPr>
          <w:b/>
        </w:rPr>
        <w:t xml:space="preserve">Table </w:t>
      </w:r>
      <w:r w:rsidR="00E943ED">
        <w:rPr>
          <w:b/>
        </w:rPr>
        <w:t>One</w:t>
      </w:r>
      <w:r>
        <w:rPr>
          <w:b/>
        </w:rPr>
        <w:t xml:space="preserve">: Undue Influence (Number Assessing </w:t>
      </w:r>
      <w:r w:rsidR="00A552F7">
        <w:rPr>
          <w:b/>
        </w:rPr>
        <w:t>Its</w:t>
      </w:r>
      <w:r>
        <w:rPr>
          <w:b/>
        </w:rPr>
        <w:t xml:space="preserve"> Occurrence)</w:t>
      </w:r>
    </w:p>
    <w:tbl>
      <w:tblPr>
        <w:tblStyle w:val="TableGrid"/>
        <w:tblW w:w="0" w:type="auto"/>
        <w:tblLook w:val="04A0" w:firstRow="1" w:lastRow="0" w:firstColumn="1" w:lastColumn="0" w:noHBand="0" w:noVBand="1"/>
      </w:tblPr>
      <w:tblGrid>
        <w:gridCol w:w="3005"/>
        <w:gridCol w:w="3005"/>
        <w:gridCol w:w="3006"/>
      </w:tblGrid>
      <w:tr w:rsidR="00C51D75" w:rsidRPr="00C51D75" w14:paraId="3206B6E1" w14:textId="77777777" w:rsidTr="00C51D75">
        <w:tc>
          <w:tcPr>
            <w:tcW w:w="3005" w:type="dxa"/>
          </w:tcPr>
          <w:p w14:paraId="325FD4FA" w14:textId="77777777" w:rsidR="00C51D75" w:rsidRPr="00C51D75" w:rsidRDefault="00C51D75" w:rsidP="00C51D75">
            <w:pPr>
              <w:jc w:val="center"/>
              <w:rPr>
                <w:b/>
              </w:rPr>
            </w:pPr>
            <w:r w:rsidRPr="00C51D75">
              <w:rPr>
                <w:b/>
              </w:rPr>
              <w:t>Response</w:t>
            </w:r>
          </w:p>
        </w:tc>
        <w:tc>
          <w:tcPr>
            <w:tcW w:w="3005" w:type="dxa"/>
          </w:tcPr>
          <w:p w14:paraId="217A37AA" w14:textId="77777777" w:rsidR="00C51D75" w:rsidRPr="00C51D75" w:rsidRDefault="00C51D75" w:rsidP="00C51D75">
            <w:pPr>
              <w:jc w:val="center"/>
              <w:rPr>
                <w:b/>
              </w:rPr>
            </w:pPr>
            <w:r w:rsidRPr="00C51D75">
              <w:rPr>
                <w:b/>
              </w:rPr>
              <w:t>Number</w:t>
            </w:r>
          </w:p>
        </w:tc>
        <w:tc>
          <w:tcPr>
            <w:tcW w:w="3006" w:type="dxa"/>
          </w:tcPr>
          <w:p w14:paraId="68B63B1D" w14:textId="77777777" w:rsidR="00C51D75" w:rsidRPr="00C51D75" w:rsidRDefault="00C51D75" w:rsidP="00C51D75">
            <w:pPr>
              <w:jc w:val="center"/>
              <w:rPr>
                <w:b/>
              </w:rPr>
            </w:pPr>
            <w:r w:rsidRPr="00C51D75">
              <w:rPr>
                <w:b/>
              </w:rPr>
              <w:t>Percentage</w:t>
            </w:r>
          </w:p>
        </w:tc>
      </w:tr>
      <w:tr w:rsidR="00C51D75" w14:paraId="6CFD20F9" w14:textId="77777777" w:rsidTr="00C51D75">
        <w:tc>
          <w:tcPr>
            <w:tcW w:w="3005" w:type="dxa"/>
          </w:tcPr>
          <w:p w14:paraId="46A2AC6E" w14:textId="77777777" w:rsidR="00C51D75" w:rsidRDefault="00C51D75">
            <w:r>
              <w:t>Very often</w:t>
            </w:r>
          </w:p>
        </w:tc>
        <w:tc>
          <w:tcPr>
            <w:tcW w:w="3005" w:type="dxa"/>
          </w:tcPr>
          <w:p w14:paraId="69BDD7DE" w14:textId="77777777" w:rsidR="00C51D75" w:rsidRDefault="00C51D75" w:rsidP="00C51D75">
            <w:pPr>
              <w:jc w:val="right"/>
            </w:pPr>
            <w:r>
              <w:t>36</w:t>
            </w:r>
          </w:p>
        </w:tc>
        <w:tc>
          <w:tcPr>
            <w:tcW w:w="3006" w:type="dxa"/>
          </w:tcPr>
          <w:p w14:paraId="330F4CAC" w14:textId="77777777" w:rsidR="00C51D75" w:rsidRDefault="00C51D75" w:rsidP="00C51D75">
            <w:pPr>
              <w:jc w:val="right"/>
            </w:pPr>
            <w:r>
              <w:t>2.4</w:t>
            </w:r>
          </w:p>
        </w:tc>
      </w:tr>
      <w:tr w:rsidR="00C51D75" w14:paraId="752B4BAA" w14:textId="77777777" w:rsidTr="00C51D75">
        <w:tc>
          <w:tcPr>
            <w:tcW w:w="3005" w:type="dxa"/>
          </w:tcPr>
          <w:p w14:paraId="45E6DD07" w14:textId="2F98E780" w:rsidR="00C51D75" w:rsidRDefault="00C51D75">
            <w:r>
              <w:t>Fair</w:t>
            </w:r>
            <w:r w:rsidR="00992F92">
              <w:t>ly</w:t>
            </w:r>
            <w:r>
              <w:t xml:space="preserve"> often</w:t>
            </w:r>
          </w:p>
        </w:tc>
        <w:tc>
          <w:tcPr>
            <w:tcW w:w="3005" w:type="dxa"/>
          </w:tcPr>
          <w:p w14:paraId="44BA3706" w14:textId="77777777" w:rsidR="00C51D75" w:rsidRDefault="00C51D75" w:rsidP="00C51D75">
            <w:pPr>
              <w:jc w:val="right"/>
            </w:pPr>
            <w:r>
              <w:t>72</w:t>
            </w:r>
          </w:p>
        </w:tc>
        <w:tc>
          <w:tcPr>
            <w:tcW w:w="3006" w:type="dxa"/>
          </w:tcPr>
          <w:p w14:paraId="36DDC715" w14:textId="77777777" w:rsidR="00C51D75" w:rsidRDefault="00C51D75" w:rsidP="00C51D75">
            <w:pPr>
              <w:jc w:val="right"/>
            </w:pPr>
            <w:r>
              <w:t>4.8</w:t>
            </w:r>
          </w:p>
        </w:tc>
      </w:tr>
      <w:tr w:rsidR="00C51D75" w14:paraId="453CAC5A" w14:textId="77777777" w:rsidTr="00C51D75">
        <w:tc>
          <w:tcPr>
            <w:tcW w:w="3005" w:type="dxa"/>
          </w:tcPr>
          <w:p w14:paraId="1902AD33" w14:textId="77777777" w:rsidR="00C51D75" w:rsidRDefault="00C51D75">
            <w:r>
              <w:t>From time to time</w:t>
            </w:r>
          </w:p>
        </w:tc>
        <w:tc>
          <w:tcPr>
            <w:tcW w:w="3005" w:type="dxa"/>
          </w:tcPr>
          <w:p w14:paraId="16BB3B7F" w14:textId="77777777" w:rsidR="00C51D75" w:rsidRDefault="00C51D75" w:rsidP="00C51D75">
            <w:pPr>
              <w:jc w:val="right"/>
            </w:pPr>
            <w:r>
              <w:t>197</w:t>
            </w:r>
          </w:p>
        </w:tc>
        <w:tc>
          <w:tcPr>
            <w:tcW w:w="3006" w:type="dxa"/>
          </w:tcPr>
          <w:p w14:paraId="27E632EE" w14:textId="77777777" w:rsidR="00C51D75" w:rsidRDefault="00C51D75" w:rsidP="00C51D75">
            <w:pPr>
              <w:jc w:val="right"/>
            </w:pPr>
            <w:r>
              <w:t>13.1</w:t>
            </w:r>
          </w:p>
        </w:tc>
      </w:tr>
      <w:tr w:rsidR="00C51D75" w14:paraId="0CC9B6F8" w14:textId="77777777" w:rsidTr="00C51D75">
        <w:tc>
          <w:tcPr>
            <w:tcW w:w="3005" w:type="dxa"/>
          </w:tcPr>
          <w:p w14:paraId="43ACD502" w14:textId="77777777" w:rsidR="00C51D75" w:rsidRDefault="00C51D75">
            <w:r>
              <w:t>Fairly rarely</w:t>
            </w:r>
          </w:p>
        </w:tc>
        <w:tc>
          <w:tcPr>
            <w:tcW w:w="3005" w:type="dxa"/>
          </w:tcPr>
          <w:p w14:paraId="58747F2C" w14:textId="77777777" w:rsidR="00C51D75" w:rsidRDefault="00C51D75" w:rsidP="00C51D75">
            <w:pPr>
              <w:jc w:val="right"/>
            </w:pPr>
            <w:r>
              <w:t>204</w:t>
            </w:r>
          </w:p>
        </w:tc>
        <w:tc>
          <w:tcPr>
            <w:tcW w:w="3006" w:type="dxa"/>
          </w:tcPr>
          <w:p w14:paraId="083FA5D6" w14:textId="77777777" w:rsidR="00C51D75" w:rsidRDefault="00C51D75" w:rsidP="00C51D75">
            <w:pPr>
              <w:jc w:val="right"/>
            </w:pPr>
            <w:r>
              <w:t>13.6</w:t>
            </w:r>
          </w:p>
        </w:tc>
      </w:tr>
      <w:tr w:rsidR="00C51D75" w14:paraId="1E9B041C" w14:textId="77777777" w:rsidTr="00C51D75">
        <w:tc>
          <w:tcPr>
            <w:tcW w:w="3005" w:type="dxa"/>
          </w:tcPr>
          <w:p w14:paraId="317D12B9" w14:textId="77777777" w:rsidR="00C51D75" w:rsidRDefault="00C51D75">
            <w:r>
              <w:t>Very rarely</w:t>
            </w:r>
          </w:p>
        </w:tc>
        <w:tc>
          <w:tcPr>
            <w:tcW w:w="3005" w:type="dxa"/>
          </w:tcPr>
          <w:p w14:paraId="264419C0" w14:textId="77777777" w:rsidR="00C51D75" w:rsidRDefault="00C51D75" w:rsidP="00C51D75">
            <w:pPr>
              <w:jc w:val="right"/>
            </w:pPr>
            <w:r>
              <w:t>352</w:t>
            </w:r>
          </w:p>
        </w:tc>
        <w:tc>
          <w:tcPr>
            <w:tcW w:w="3006" w:type="dxa"/>
          </w:tcPr>
          <w:p w14:paraId="1D9CACB9" w14:textId="77777777" w:rsidR="00C51D75" w:rsidRDefault="00C51D75" w:rsidP="00C51D75">
            <w:pPr>
              <w:jc w:val="right"/>
            </w:pPr>
            <w:r>
              <w:t>23.4</w:t>
            </w:r>
          </w:p>
        </w:tc>
      </w:tr>
      <w:tr w:rsidR="00C51D75" w14:paraId="3FBE979F" w14:textId="77777777" w:rsidTr="00C51D75">
        <w:tc>
          <w:tcPr>
            <w:tcW w:w="3005" w:type="dxa"/>
          </w:tcPr>
          <w:p w14:paraId="3BF963EA" w14:textId="77777777" w:rsidR="00C51D75" w:rsidRDefault="00C51D75">
            <w:r>
              <w:t>Don’t know</w:t>
            </w:r>
          </w:p>
        </w:tc>
        <w:tc>
          <w:tcPr>
            <w:tcW w:w="3005" w:type="dxa"/>
          </w:tcPr>
          <w:p w14:paraId="697AD542" w14:textId="77777777" w:rsidR="00C51D75" w:rsidRDefault="00C51D75" w:rsidP="00C51D75">
            <w:pPr>
              <w:jc w:val="right"/>
            </w:pPr>
            <w:r>
              <w:t>642</w:t>
            </w:r>
          </w:p>
        </w:tc>
        <w:tc>
          <w:tcPr>
            <w:tcW w:w="3006" w:type="dxa"/>
          </w:tcPr>
          <w:p w14:paraId="2854293B" w14:textId="77777777" w:rsidR="00C51D75" w:rsidRDefault="00C51D75" w:rsidP="00C51D75">
            <w:pPr>
              <w:jc w:val="right"/>
            </w:pPr>
            <w:r>
              <w:t>42.7</w:t>
            </w:r>
          </w:p>
        </w:tc>
      </w:tr>
      <w:tr w:rsidR="00C51D75" w14:paraId="4C724C7D" w14:textId="77777777" w:rsidTr="00C51D75">
        <w:tc>
          <w:tcPr>
            <w:tcW w:w="3005" w:type="dxa"/>
          </w:tcPr>
          <w:p w14:paraId="0DCB8AC7" w14:textId="77777777" w:rsidR="00C51D75" w:rsidRDefault="00C51D75">
            <w:r>
              <w:t>TOTAL</w:t>
            </w:r>
          </w:p>
        </w:tc>
        <w:tc>
          <w:tcPr>
            <w:tcW w:w="3005" w:type="dxa"/>
          </w:tcPr>
          <w:p w14:paraId="5497A9DE" w14:textId="77777777" w:rsidR="00C51D75" w:rsidRDefault="00C51D75" w:rsidP="00C51D75">
            <w:pPr>
              <w:jc w:val="right"/>
            </w:pPr>
            <w:r>
              <w:t>1503</w:t>
            </w:r>
          </w:p>
        </w:tc>
        <w:tc>
          <w:tcPr>
            <w:tcW w:w="3006" w:type="dxa"/>
          </w:tcPr>
          <w:p w14:paraId="595C7E9E" w14:textId="77777777" w:rsidR="00C51D75" w:rsidRDefault="00C51D75" w:rsidP="00C51D75">
            <w:pPr>
              <w:jc w:val="right"/>
            </w:pPr>
            <w:r>
              <w:t>100.0</w:t>
            </w:r>
          </w:p>
        </w:tc>
      </w:tr>
    </w:tbl>
    <w:p w14:paraId="57ED3020" w14:textId="2BA5A7AF" w:rsidR="00C51D75" w:rsidRPr="00182EF0" w:rsidRDefault="00570A1F" w:rsidP="006B67BB">
      <w:pPr>
        <w:ind w:right="-397"/>
        <w:rPr>
          <w:sz w:val="16"/>
          <w:szCs w:val="16"/>
        </w:rPr>
      </w:pPr>
      <w:r w:rsidRPr="00570A1F">
        <w:rPr>
          <w:sz w:val="16"/>
          <w:szCs w:val="16"/>
        </w:rPr>
        <w:t>The data has been weighted for</w:t>
      </w:r>
      <w:r w:rsidR="002F40FC">
        <w:rPr>
          <w:sz w:val="16"/>
          <w:szCs w:val="16"/>
        </w:rPr>
        <w:t xml:space="preserve"> Index of Multiple Deprivation and Household income</w:t>
      </w:r>
      <w:r w:rsidR="002F40FC">
        <w:rPr>
          <w:color w:val="FF0000"/>
          <w:sz w:val="16"/>
          <w:szCs w:val="16"/>
        </w:rPr>
        <w:t>.</w:t>
      </w:r>
      <w:r w:rsidR="00182EF0">
        <w:rPr>
          <w:color w:val="FF0000"/>
          <w:sz w:val="16"/>
          <w:szCs w:val="16"/>
        </w:rPr>
        <w:t xml:space="preserve"> </w:t>
      </w:r>
      <w:r w:rsidR="00182EF0" w:rsidRPr="00182EF0">
        <w:rPr>
          <w:sz w:val="16"/>
          <w:szCs w:val="16"/>
        </w:rPr>
        <w:t xml:space="preserve">The weighted data were identical to the unweighted data. </w:t>
      </w:r>
    </w:p>
    <w:p w14:paraId="05B08396" w14:textId="77777777" w:rsidR="00181FFA" w:rsidRDefault="00181FFA"/>
    <w:p w14:paraId="050C43C5" w14:textId="4D2E3F63" w:rsidR="00C85212" w:rsidRDefault="00C85212">
      <w:r>
        <w:t xml:space="preserve">Let us now look at the reported experiences of </w:t>
      </w:r>
      <w:r w:rsidR="008F134B">
        <w:t>undue influence</w:t>
      </w:r>
      <w:r w:rsidR="00273369">
        <w:t xml:space="preserve"> victimisation</w:t>
      </w:r>
      <w:r>
        <w:t xml:space="preserve">. Table </w:t>
      </w:r>
      <w:r w:rsidR="00E943ED">
        <w:t>Two r</w:t>
      </w:r>
      <w:r>
        <w:t xml:space="preserve">eports </w:t>
      </w:r>
      <w:r w:rsidR="00E943ED">
        <w:t xml:space="preserve">that </w:t>
      </w:r>
      <w:r>
        <w:t xml:space="preserve">the overwhelming </w:t>
      </w:r>
      <w:r w:rsidR="00E943ED">
        <w:t>responses were</w:t>
      </w:r>
      <w:r w:rsidR="00D73035">
        <w:t xml:space="preserve"> of no experience (92</w:t>
      </w:r>
      <w:r>
        <w:t>%</w:t>
      </w:r>
      <w:r w:rsidR="00D73035">
        <w:t xml:space="preserve"> when weighted</w:t>
      </w:r>
      <w:r>
        <w:t xml:space="preserve">). Some </w:t>
      </w:r>
      <w:r w:rsidR="00285F2E">
        <w:t>2%</w:t>
      </w:r>
      <w:r>
        <w:t xml:space="preserve"> had </w:t>
      </w:r>
      <w:r w:rsidR="003B179A">
        <w:t xml:space="preserve">directly </w:t>
      </w:r>
      <w:r>
        <w:t>experienced undue influence prior to the 2019 General Election,</w:t>
      </w:r>
      <w:r w:rsidR="00D73035">
        <w:t xml:space="preserve"> with a further </w:t>
      </w:r>
      <w:r w:rsidR="00285F2E">
        <w:t>4%</w:t>
      </w:r>
      <w:r>
        <w:t xml:space="preserve"> reporting </w:t>
      </w:r>
      <w:r w:rsidR="00D73035">
        <w:t>it during that election</w:t>
      </w:r>
      <w:r w:rsidR="005B2783">
        <w:t>,</w:t>
      </w:r>
      <w:r w:rsidR="00D73035" w:rsidRPr="00F36B16">
        <w:rPr>
          <w:rStyle w:val="FootnoteReference"/>
        </w:rPr>
        <w:footnoteReference w:id="7"/>
      </w:r>
      <w:r w:rsidR="00D73035">
        <w:t xml:space="preserve"> and 0.3</w:t>
      </w:r>
      <w:r>
        <w:t xml:space="preserve">% report experiencing </w:t>
      </w:r>
      <w:r w:rsidR="003B179A">
        <w:t xml:space="preserve">this offence </w:t>
      </w:r>
      <w:r>
        <w:t>both prior</w:t>
      </w:r>
      <w:r w:rsidR="003B179A">
        <w:t xml:space="preserve"> and during</w:t>
      </w:r>
      <w:r>
        <w:t xml:space="preserve"> </w:t>
      </w:r>
      <w:r w:rsidRPr="00D06AA5">
        <w:t xml:space="preserve">the 2019 </w:t>
      </w:r>
      <w:r w:rsidRPr="006B3854">
        <w:t xml:space="preserve">General Election. There were a small number of respondents </w:t>
      </w:r>
      <w:r w:rsidR="00D06AA5" w:rsidRPr="006B3854">
        <w:t>(</w:t>
      </w:r>
      <w:r w:rsidR="00F3012D" w:rsidRPr="006B3854">
        <w:t>3%</w:t>
      </w:r>
      <w:r w:rsidR="00D06AA5" w:rsidRPr="006B3854">
        <w:t xml:space="preserve">) </w:t>
      </w:r>
      <w:r w:rsidRPr="006B3854">
        <w:t xml:space="preserve">who </w:t>
      </w:r>
      <w:r w:rsidR="006B3854" w:rsidRPr="006B3854">
        <w:t>p</w:t>
      </w:r>
      <w:r w:rsidR="00FB6A90" w:rsidRPr="006B3854">
        <w:t>referred not to answer</w:t>
      </w:r>
      <w:r w:rsidRPr="006B3854">
        <w:t>.</w:t>
      </w:r>
      <w:r w:rsidRPr="00D06AA5">
        <w:t xml:space="preserve">  </w:t>
      </w:r>
      <w:r w:rsidR="00DD2DD8" w:rsidRPr="00D06AA5">
        <w:t>Generally, however, these findings are in keeping with our expectations</w:t>
      </w:r>
      <w:r w:rsidR="00DD2DD8">
        <w:t xml:space="preserve"> based on the existing literature. </w:t>
      </w:r>
      <w:r>
        <w:t xml:space="preserve">  </w:t>
      </w:r>
    </w:p>
    <w:p w14:paraId="3C5DA56A" w14:textId="7E69AB3B" w:rsidR="00D45FF9" w:rsidRDefault="00D45FF9" w:rsidP="00D45FF9">
      <w:pPr>
        <w:jc w:val="center"/>
        <w:rPr>
          <w:b/>
        </w:rPr>
      </w:pPr>
      <w:r>
        <w:rPr>
          <w:b/>
        </w:rPr>
        <w:t xml:space="preserve">Table </w:t>
      </w:r>
      <w:r w:rsidR="00E943ED">
        <w:rPr>
          <w:b/>
        </w:rPr>
        <w:t>Two</w:t>
      </w:r>
      <w:r>
        <w:rPr>
          <w:b/>
        </w:rPr>
        <w:t>: Personal Experiences of Undue Influence</w:t>
      </w:r>
      <w:r w:rsidR="00273369">
        <w:rPr>
          <w:b/>
        </w:rPr>
        <w:t xml:space="preserve"> (Number saying the</w:t>
      </w:r>
      <w:r w:rsidR="00587638">
        <w:rPr>
          <w:b/>
        </w:rPr>
        <w:t>y</w:t>
      </w:r>
      <w:r w:rsidR="00273369">
        <w:rPr>
          <w:b/>
        </w:rPr>
        <w:t xml:space="preserve"> were Victimised)</w:t>
      </w:r>
    </w:p>
    <w:tbl>
      <w:tblPr>
        <w:tblStyle w:val="TableGrid"/>
        <w:tblW w:w="9756" w:type="dxa"/>
        <w:tblInd w:w="-431" w:type="dxa"/>
        <w:tblLook w:val="04A0" w:firstRow="1" w:lastRow="0" w:firstColumn="1" w:lastColumn="0" w:noHBand="0" w:noVBand="1"/>
      </w:tblPr>
      <w:tblGrid>
        <w:gridCol w:w="2978"/>
        <w:gridCol w:w="1694"/>
        <w:gridCol w:w="1695"/>
        <w:gridCol w:w="1694"/>
        <w:gridCol w:w="1695"/>
      </w:tblGrid>
      <w:tr w:rsidR="00AB466D" w:rsidRPr="00C51D75" w14:paraId="6827D777" w14:textId="77777777" w:rsidTr="00CD504C">
        <w:tc>
          <w:tcPr>
            <w:tcW w:w="2978" w:type="dxa"/>
          </w:tcPr>
          <w:p w14:paraId="25EB61C4" w14:textId="77777777" w:rsidR="00AB466D" w:rsidRPr="00C51D75" w:rsidRDefault="00AB466D" w:rsidP="00CD504C">
            <w:pPr>
              <w:jc w:val="center"/>
              <w:rPr>
                <w:b/>
              </w:rPr>
            </w:pPr>
            <w:r w:rsidRPr="00C51D75">
              <w:rPr>
                <w:b/>
              </w:rPr>
              <w:t>Response</w:t>
            </w:r>
          </w:p>
        </w:tc>
        <w:tc>
          <w:tcPr>
            <w:tcW w:w="3389" w:type="dxa"/>
            <w:gridSpan w:val="2"/>
          </w:tcPr>
          <w:p w14:paraId="521268AF" w14:textId="77777777" w:rsidR="00AB466D" w:rsidRPr="00C51D75" w:rsidRDefault="00AB466D" w:rsidP="00CD504C">
            <w:pPr>
              <w:jc w:val="center"/>
              <w:rPr>
                <w:b/>
              </w:rPr>
            </w:pPr>
            <w:r w:rsidRPr="00C51D75">
              <w:rPr>
                <w:b/>
              </w:rPr>
              <w:t>Number</w:t>
            </w:r>
          </w:p>
        </w:tc>
        <w:tc>
          <w:tcPr>
            <w:tcW w:w="3389" w:type="dxa"/>
            <w:gridSpan w:val="2"/>
          </w:tcPr>
          <w:p w14:paraId="2746F4BE" w14:textId="77777777" w:rsidR="00AB466D" w:rsidRPr="00C51D75" w:rsidRDefault="00AB466D" w:rsidP="00CD504C">
            <w:pPr>
              <w:jc w:val="center"/>
              <w:rPr>
                <w:b/>
              </w:rPr>
            </w:pPr>
            <w:r w:rsidRPr="00C51D75">
              <w:rPr>
                <w:b/>
              </w:rPr>
              <w:t>Percentage</w:t>
            </w:r>
          </w:p>
        </w:tc>
      </w:tr>
      <w:tr w:rsidR="00AB466D" w:rsidRPr="00C51D75" w14:paraId="66274483" w14:textId="77777777" w:rsidTr="00CD504C">
        <w:tc>
          <w:tcPr>
            <w:tcW w:w="2978" w:type="dxa"/>
          </w:tcPr>
          <w:p w14:paraId="5B81E425" w14:textId="77777777" w:rsidR="00AB466D" w:rsidRPr="00C51D75" w:rsidRDefault="00AB466D" w:rsidP="00CD504C">
            <w:pPr>
              <w:jc w:val="center"/>
              <w:rPr>
                <w:b/>
              </w:rPr>
            </w:pPr>
          </w:p>
        </w:tc>
        <w:tc>
          <w:tcPr>
            <w:tcW w:w="3389" w:type="dxa"/>
            <w:gridSpan w:val="2"/>
          </w:tcPr>
          <w:p w14:paraId="211A3935" w14:textId="77777777" w:rsidR="00AB466D" w:rsidRPr="00C51D75" w:rsidRDefault="00AB466D" w:rsidP="00CD504C">
            <w:pPr>
              <w:jc w:val="center"/>
              <w:rPr>
                <w:b/>
              </w:rPr>
            </w:pPr>
            <w:r>
              <w:rPr>
                <w:b/>
              </w:rPr>
              <w:t>Raw                     Weighted</w:t>
            </w:r>
          </w:p>
        </w:tc>
        <w:tc>
          <w:tcPr>
            <w:tcW w:w="3389" w:type="dxa"/>
            <w:gridSpan w:val="2"/>
          </w:tcPr>
          <w:p w14:paraId="061170F6" w14:textId="77777777" w:rsidR="00AB466D" w:rsidRPr="00C51D75" w:rsidRDefault="00AB466D" w:rsidP="00CD504C">
            <w:pPr>
              <w:jc w:val="center"/>
              <w:rPr>
                <w:b/>
              </w:rPr>
            </w:pPr>
            <w:r>
              <w:rPr>
                <w:b/>
              </w:rPr>
              <w:t>Raw                     Weighted</w:t>
            </w:r>
          </w:p>
        </w:tc>
      </w:tr>
      <w:tr w:rsidR="00AB466D" w14:paraId="6988A4E8" w14:textId="77777777" w:rsidTr="00CD504C">
        <w:tc>
          <w:tcPr>
            <w:tcW w:w="2978" w:type="dxa"/>
          </w:tcPr>
          <w:p w14:paraId="0B7C49CF" w14:textId="77777777" w:rsidR="00AB466D" w:rsidRDefault="00AB466D" w:rsidP="00CD504C">
            <w:r>
              <w:t>No</w:t>
            </w:r>
          </w:p>
        </w:tc>
        <w:tc>
          <w:tcPr>
            <w:tcW w:w="1694" w:type="dxa"/>
          </w:tcPr>
          <w:p w14:paraId="3A28331C" w14:textId="77777777" w:rsidR="00AB466D" w:rsidRDefault="00AB466D" w:rsidP="00CD504C">
            <w:pPr>
              <w:jc w:val="right"/>
            </w:pPr>
            <w:r>
              <w:t>1362</w:t>
            </w:r>
          </w:p>
        </w:tc>
        <w:tc>
          <w:tcPr>
            <w:tcW w:w="1695" w:type="dxa"/>
          </w:tcPr>
          <w:p w14:paraId="333D99C1" w14:textId="77777777" w:rsidR="00AB466D" w:rsidRDefault="00AB466D" w:rsidP="00CD504C">
            <w:pPr>
              <w:jc w:val="right"/>
            </w:pPr>
            <w:r>
              <w:t>1375</w:t>
            </w:r>
          </w:p>
        </w:tc>
        <w:tc>
          <w:tcPr>
            <w:tcW w:w="1694" w:type="dxa"/>
          </w:tcPr>
          <w:p w14:paraId="5D40601F" w14:textId="77777777" w:rsidR="00AB466D" w:rsidRDefault="00AB466D" w:rsidP="00CD504C">
            <w:pPr>
              <w:jc w:val="right"/>
            </w:pPr>
            <w:r>
              <w:t>91</w:t>
            </w:r>
          </w:p>
        </w:tc>
        <w:tc>
          <w:tcPr>
            <w:tcW w:w="1695" w:type="dxa"/>
          </w:tcPr>
          <w:p w14:paraId="09B46B65" w14:textId="77777777" w:rsidR="00AB466D" w:rsidRDefault="00AB466D" w:rsidP="00CD504C">
            <w:pPr>
              <w:jc w:val="right"/>
            </w:pPr>
            <w:r>
              <w:t>92</w:t>
            </w:r>
          </w:p>
        </w:tc>
      </w:tr>
      <w:tr w:rsidR="00AB466D" w14:paraId="1C1FC801" w14:textId="77777777" w:rsidTr="00CD504C">
        <w:tc>
          <w:tcPr>
            <w:tcW w:w="2978" w:type="dxa"/>
          </w:tcPr>
          <w:p w14:paraId="3A2B405B" w14:textId="77777777" w:rsidR="00AB466D" w:rsidRDefault="00AB466D" w:rsidP="00CD504C">
            <w:r>
              <w:t>Prior to 2019 General Election</w:t>
            </w:r>
          </w:p>
        </w:tc>
        <w:tc>
          <w:tcPr>
            <w:tcW w:w="1694" w:type="dxa"/>
          </w:tcPr>
          <w:p w14:paraId="2850C85D" w14:textId="77777777" w:rsidR="00AB466D" w:rsidRDefault="00AB466D" w:rsidP="00CD504C">
            <w:pPr>
              <w:jc w:val="right"/>
            </w:pPr>
            <w:r>
              <w:t>49</w:t>
            </w:r>
          </w:p>
        </w:tc>
        <w:tc>
          <w:tcPr>
            <w:tcW w:w="1695" w:type="dxa"/>
          </w:tcPr>
          <w:p w14:paraId="3E236171" w14:textId="77777777" w:rsidR="00AB466D" w:rsidRDefault="00AB466D" w:rsidP="00CD504C">
            <w:pPr>
              <w:jc w:val="right"/>
            </w:pPr>
            <w:r>
              <w:t>29</w:t>
            </w:r>
          </w:p>
        </w:tc>
        <w:tc>
          <w:tcPr>
            <w:tcW w:w="1694" w:type="dxa"/>
          </w:tcPr>
          <w:p w14:paraId="6E5DF4BB" w14:textId="77777777" w:rsidR="00AB466D" w:rsidRDefault="00AB466D" w:rsidP="00CD504C">
            <w:pPr>
              <w:jc w:val="right"/>
            </w:pPr>
            <w:r>
              <w:t>3</w:t>
            </w:r>
          </w:p>
        </w:tc>
        <w:tc>
          <w:tcPr>
            <w:tcW w:w="1695" w:type="dxa"/>
          </w:tcPr>
          <w:p w14:paraId="25828B1E" w14:textId="77777777" w:rsidR="00AB466D" w:rsidRDefault="00AB466D" w:rsidP="00CD504C">
            <w:pPr>
              <w:jc w:val="right"/>
            </w:pPr>
            <w:r>
              <w:t>2</w:t>
            </w:r>
          </w:p>
        </w:tc>
      </w:tr>
      <w:tr w:rsidR="00AB466D" w14:paraId="04640945" w14:textId="77777777" w:rsidTr="00CD504C">
        <w:tc>
          <w:tcPr>
            <w:tcW w:w="2978" w:type="dxa"/>
          </w:tcPr>
          <w:p w14:paraId="0A489A7E" w14:textId="77777777" w:rsidR="00AB466D" w:rsidRDefault="00AB466D" w:rsidP="00CD504C">
            <w:r>
              <w:t>During 2019 General Election</w:t>
            </w:r>
          </w:p>
        </w:tc>
        <w:tc>
          <w:tcPr>
            <w:tcW w:w="1694" w:type="dxa"/>
          </w:tcPr>
          <w:p w14:paraId="1E5B9C3B" w14:textId="77777777" w:rsidR="00AB466D" w:rsidRDefault="00AB466D" w:rsidP="00CD504C">
            <w:pPr>
              <w:jc w:val="right"/>
            </w:pPr>
            <w:r>
              <w:t>47</w:t>
            </w:r>
          </w:p>
        </w:tc>
        <w:tc>
          <w:tcPr>
            <w:tcW w:w="1695" w:type="dxa"/>
          </w:tcPr>
          <w:p w14:paraId="3B854FB6" w14:textId="77777777" w:rsidR="00AB466D" w:rsidRDefault="00AB466D" w:rsidP="00CD504C">
            <w:pPr>
              <w:jc w:val="right"/>
            </w:pPr>
            <w:r>
              <w:t>54</w:t>
            </w:r>
          </w:p>
        </w:tc>
        <w:tc>
          <w:tcPr>
            <w:tcW w:w="1694" w:type="dxa"/>
          </w:tcPr>
          <w:p w14:paraId="044FCF83" w14:textId="77777777" w:rsidR="00AB466D" w:rsidRDefault="00AB466D" w:rsidP="00CD504C">
            <w:pPr>
              <w:jc w:val="right"/>
            </w:pPr>
            <w:r>
              <w:t>3</w:t>
            </w:r>
          </w:p>
        </w:tc>
        <w:tc>
          <w:tcPr>
            <w:tcW w:w="1695" w:type="dxa"/>
          </w:tcPr>
          <w:p w14:paraId="04D898A1" w14:textId="77777777" w:rsidR="00AB466D" w:rsidRDefault="00AB466D" w:rsidP="00CD504C">
            <w:pPr>
              <w:jc w:val="right"/>
            </w:pPr>
            <w:r>
              <w:t>4</w:t>
            </w:r>
          </w:p>
        </w:tc>
      </w:tr>
      <w:tr w:rsidR="00AB466D" w14:paraId="1FB8DDCF" w14:textId="77777777" w:rsidTr="00CD504C">
        <w:tc>
          <w:tcPr>
            <w:tcW w:w="2978" w:type="dxa"/>
          </w:tcPr>
          <w:p w14:paraId="0CC45910" w14:textId="77777777" w:rsidR="00AB466D" w:rsidRDefault="00AB466D" w:rsidP="00CD504C">
            <w:r>
              <w:t>Both of the Above</w:t>
            </w:r>
          </w:p>
        </w:tc>
        <w:tc>
          <w:tcPr>
            <w:tcW w:w="1694" w:type="dxa"/>
          </w:tcPr>
          <w:p w14:paraId="639968BE" w14:textId="77777777" w:rsidR="00AB466D" w:rsidRDefault="00AB466D" w:rsidP="00CD504C">
            <w:pPr>
              <w:jc w:val="right"/>
            </w:pPr>
            <w:r>
              <w:t>3</w:t>
            </w:r>
          </w:p>
        </w:tc>
        <w:tc>
          <w:tcPr>
            <w:tcW w:w="1695" w:type="dxa"/>
          </w:tcPr>
          <w:p w14:paraId="0F542821" w14:textId="77777777" w:rsidR="00AB466D" w:rsidRDefault="00AB466D" w:rsidP="00CD504C">
            <w:pPr>
              <w:jc w:val="right"/>
            </w:pPr>
            <w:r>
              <w:t>4</w:t>
            </w:r>
          </w:p>
        </w:tc>
        <w:tc>
          <w:tcPr>
            <w:tcW w:w="1694" w:type="dxa"/>
          </w:tcPr>
          <w:p w14:paraId="2A942B11" w14:textId="77777777" w:rsidR="00AB466D" w:rsidRDefault="00AB466D" w:rsidP="00CD504C">
            <w:pPr>
              <w:jc w:val="right"/>
            </w:pPr>
            <w:r>
              <w:t>&lt;.5</w:t>
            </w:r>
          </w:p>
        </w:tc>
        <w:tc>
          <w:tcPr>
            <w:tcW w:w="1695" w:type="dxa"/>
          </w:tcPr>
          <w:p w14:paraId="1145040B" w14:textId="77777777" w:rsidR="00AB466D" w:rsidRDefault="00AB466D" w:rsidP="00CD504C">
            <w:pPr>
              <w:jc w:val="right"/>
            </w:pPr>
            <w:r>
              <w:t>&lt;.5</w:t>
            </w:r>
          </w:p>
        </w:tc>
      </w:tr>
      <w:tr w:rsidR="00AB466D" w14:paraId="675A0ABB" w14:textId="77777777" w:rsidTr="00CD504C">
        <w:tc>
          <w:tcPr>
            <w:tcW w:w="2978" w:type="dxa"/>
          </w:tcPr>
          <w:p w14:paraId="12221070" w14:textId="1863B7D5" w:rsidR="00AB466D" w:rsidRPr="006B3854" w:rsidRDefault="006B3854" w:rsidP="006B3854">
            <w:r w:rsidRPr="006B3854">
              <w:t>P</w:t>
            </w:r>
            <w:r w:rsidR="00FB6A90" w:rsidRPr="006B3854">
              <w:t>refer not to answer</w:t>
            </w:r>
            <w:r w:rsidR="00D06AA5" w:rsidRPr="006B3854">
              <w:t xml:space="preserve"> </w:t>
            </w:r>
          </w:p>
        </w:tc>
        <w:tc>
          <w:tcPr>
            <w:tcW w:w="1694" w:type="dxa"/>
          </w:tcPr>
          <w:p w14:paraId="3FDD620B" w14:textId="77777777" w:rsidR="00AB466D" w:rsidRPr="006B3854" w:rsidRDefault="00AB466D" w:rsidP="00CD504C">
            <w:pPr>
              <w:jc w:val="right"/>
            </w:pPr>
            <w:r w:rsidRPr="006B3854">
              <w:t>42</w:t>
            </w:r>
          </w:p>
        </w:tc>
        <w:tc>
          <w:tcPr>
            <w:tcW w:w="1695" w:type="dxa"/>
          </w:tcPr>
          <w:p w14:paraId="2B07132B" w14:textId="77777777" w:rsidR="00AB466D" w:rsidRPr="006B3854" w:rsidRDefault="00AB466D" w:rsidP="00CD504C">
            <w:pPr>
              <w:jc w:val="right"/>
            </w:pPr>
            <w:r w:rsidRPr="006B3854">
              <w:t>41</w:t>
            </w:r>
          </w:p>
        </w:tc>
        <w:tc>
          <w:tcPr>
            <w:tcW w:w="1694" w:type="dxa"/>
          </w:tcPr>
          <w:p w14:paraId="497723EC" w14:textId="77777777" w:rsidR="00AB466D" w:rsidRPr="006B3854" w:rsidRDefault="00AB466D" w:rsidP="00CD504C">
            <w:pPr>
              <w:jc w:val="right"/>
            </w:pPr>
            <w:r w:rsidRPr="006B3854">
              <w:t>3</w:t>
            </w:r>
          </w:p>
        </w:tc>
        <w:tc>
          <w:tcPr>
            <w:tcW w:w="1695" w:type="dxa"/>
          </w:tcPr>
          <w:p w14:paraId="7AAA03A0" w14:textId="77777777" w:rsidR="00AB466D" w:rsidRDefault="00AB466D" w:rsidP="00CD504C">
            <w:pPr>
              <w:jc w:val="right"/>
            </w:pPr>
            <w:r w:rsidRPr="006B3854">
              <w:t>3</w:t>
            </w:r>
          </w:p>
        </w:tc>
      </w:tr>
      <w:tr w:rsidR="00AB466D" w14:paraId="5B9B2EC3" w14:textId="77777777" w:rsidTr="00CD504C">
        <w:tc>
          <w:tcPr>
            <w:tcW w:w="2978" w:type="dxa"/>
          </w:tcPr>
          <w:p w14:paraId="045AA0A6" w14:textId="77777777" w:rsidR="00AB466D" w:rsidRDefault="00AB466D" w:rsidP="00CD504C">
            <w:r>
              <w:t>TOTAL</w:t>
            </w:r>
          </w:p>
        </w:tc>
        <w:tc>
          <w:tcPr>
            <w:tcW w:w="1694" w:type="dxa"/>
          </w:tcPr>
          <w:p w14:paraId="23D1A552" w14:textId="77777777" w:rsidR="00AB466D" w:rsidRDefault="00AB466D" w:rsidP="00CD504C">
            <w:pPr>
              <w:jc w:val="right"/>
            </w:pPr>
            <w:r>
              <w:t>1503</w:t>
            </w:r>
          </w:p>
        </w:tc>
        <w:tc>
          <w:tcPr>
            <w:tcW w:w="1695" w:type="dxa"/>
          </w:tcPr>
          <w:p w14:paraId="3CC00A4A" w14:textId="77777777" w:rsidR="00AB466D" w:rsidRDefault="00AB466D" w:rsidP="00CD504C">
            <w:pPr>
              <w:jc w:val="right"/>
            </w:pPr>
            <w:r>
              <w:t>1503</w:t>
            </w:r>
          </w:p>
        </w:tc>
        <w:tc>
          <w:tcPr>
            <w:tcW w:w="1694" w:type="dxa"/>
          </w:tcPr>
          <w:p w14:paraId="2E578802" w14:textId="0A637259" w:rsidR="00AB466D" w:rsidRDefault="00254171" w:rsidP="00CD504C">
            <w:pPr>
              <w:jc w:val="right"/>
            </w:pPr>
            <w:r>
              <w:t>100</w:t>
            </w:r>
          </w:p>
        </w:tc>
        <w:tc>
          <w:tcPr>
            <w:tcW w:w="1695" w:type="dxa"/>
          </w:tcPr>
          <w:p w14:paraId="6F09875F" w14:textId="585CE0DE" w:rsidR="00AB466D" w:rsidRDefault="00254171" w:rsidP="00CD504C">
            <w:pPr>
              <w:jc w:val="right"/>
            </w:pPr>
            <w:r>
              <w:t>100</w:t>
            </w:r>
          </w:p>
        </w:tc>
      </w:tr>
    </w:tbl>
    <w:p w14:paraId="39E9893D" w14:textId="5207E3C8" w:rsidR="005B2783" w:rsidRPr="00254171" w:rsidRDefault="005B2783" w:rsidP="006B67BB">
      <w:pPr>
        <w:ind w:right="-170"/>
        <w:rPr>
          <w:color w:val="000000" w:themeColor="text1"/>
          <w:sz w:val="16"/>
          <w:szCs w:val="16"/>
        </w:rPr>
      </w:pPr>
      <w:r w:rsidRPr="00254171">
        <w:rPr>
          <w:color w:val="000000" w:themeColor="text1"/>
          <w:sz w:val="16"/>
          <w:szCs w:val="16"/>
        </w:rPr>
        <w:t>The data has been weighted for Index of Multiple Deprivation and Household income.</w:t>
      </w:r>
      <w:r w:rsidR="00254171" w:rsidRPr="00254171">
        <w:rPr>
          <w:color w:val="000000" w:themeColor="text1"/>
          <w:sz w:val="16"/>
          <w:szCs w:val="16"/>
        </w:rPr>
        <w:t xml:space="preserve"> Due to rounding the </w:t>
      </w:r>
      <w:r w:rsidR="00254171">
        <w:rPr>
          <w:color w:val="000000" w:themeColor="text1"/>
          <w:sz w:val="16"/>
          <w:szCs w:val="16"/>
        </w:rPr>
        <w:t>percentage</w:t>
      </w:r>
      <w:r w:rsidR="00254171" w:rsidRPr="00254171">
        <w:rPr>
          <w:color w:val="000000" w:themeColor="text1"/>
          <w:sz w:val="16"/>
          <w:szCs w:val="16"/>
        </w:rPr>
        <w:t>s may not sum to 100.</w:t>
      </w:r>
    </w:p>
    <w:p w14:paraId="4F3418EE" w14:textId="77777777" w:rsidR="00C777CB" w:rsidRDefault="00C777CB"/>
    <w:p w14:paraId="757A267F" w14:textId="7B9295D9" w:rsidR="00562E41" w:rsidRDefault="0080219C">
      <w:r>
        <w:t>Turning</w:t>
      </w:r>
      <w:r w:rsidR="004F336C" w:rsidRPr="001943FA">
        <w:t xml:space="preserve"> to the items on personation (Table Three)</w:t>
      </w:r>
      <w:r>
        <w:t>, t</w:t>
      </w:r>
      <w:r w:rsidR="004F336C" w:rsidRPr="001943FA">
        <w:t>hese again suggest very low levels of</w:t>
      </w:r>
      <w:r w:rsidR="00665A48">
        <w:t xml:space="preserve"> assessments of its occurrence</w:t>
      </w:r>
      <w:r>
        <w:t>.</w:t>
      </w:r>
      <w:r w:rsidR="00665A48">
        <w:t xml:space="preserve"> </w:t>
      </w:r>
      <w:r>
        <w:t>O</w:t>
      </w:r>
      <w:r w:rsidR="00665A48">
        <w:t xml:space="preserve">nly </w:t>
      </w:r>
      <w:r w:rsidR="00F3012D">
        <w:t>9%</w:t>
      </w:r>
      <w:r w:rsidR="00665A48">
        <w:t xml:space="preserve"> think that it happens ‘very’ or ‘fairly’ often.</w:t>
      </w:r>
      <w:r w:rsidR="00866B9C">
        <w:t xml:space="preserve"> There is </w:t>
      </w:r>
      <w:r w:rsidR="00665A48">
        <w:t>again a very high</w:t>
      </w:r>
      <w:r w:rsidR="00C777CB">
        <w:t xml:space="preserve"> ‘don’t know’ assessment (43%).</w:t>
      </w:r>
    </w:p>
    <w:p w14:paraId="6A23DEA7" w14:textId="77777777" w:rsidR="00562E41" w:rsidRPr="00C51D75" w:rsidRDefault="00562E41" w:rsidP="00562E41">
      <w:pPr>
        <w:jc w:val="center"/>
        <w:rPr>
          <w:b/>
        </w:rPr>
      </w:pPr>
      <w:r>
        <w:rPr>
          <w:b/>
        </w:rPr>
        <w:t xml:space="preserve">Table </w:t>
      </w:r>
      <w:r w:rsidR="0022259A">
        <w:rPr>
          <w:b/>
        </w:rPr>
        <w:t>Three</w:t>
      </w:r>
      <w:r>
        <w:rPr>
          <w:b/>
        </w:rPr>
        <w:t>: Person</w:t>
      </w:r>
      <w:r w:rsidR="009355F6">
        <w:rPr>
          <w:b/>
        </w:rPr>
        <w:t>ation</w:t>
      </w:r>
      <w:r>
        <w:rPr>
          <w:b/>
        </w:rPr>
        <w:t xml:space="preserve"> (Number Assessing Its Occurrence)</w:t>
      </w:r>
    </w:p>
    <w:tbl>
      <w:tblPr>
        <w:tblStyle w:val="TableGrid"/>
        <w:tblW w:w="0" w:type="auto"/>
        <w:tblLook w:val="04A0" w:firstRow="1" w:lastRow="0" w:firstColumn="1" w:lastColumn="0" w:noHBand="0" w:noVBand="1"/>
      </w:tblPr>
      <w:tblGrid>
        <w:gridCol w:w="3005"/>
        <w:gridCol w:w="3005"/>
        <w:gridCol w:w="3006"/>
      </w:tblGrid>
      <w:tr w:rsidR="00562E41" w:rsidRPr="00C51D75" w14:paraId="378F0ED5" w14:textId="77777777" w:rsidTr="00FD78D8">
        <w:tc>
          <w:tcPr>
            <w:tcW w:w="3005" w:type="dxa"/>
          </w:tcPr>
          <w:p w14:paraId="7D21AB12" w14:textId="77777777" w:rsidR="00562E41" w:rsidRPr="00C51D75" w:rsidRDefault="00562E41" w:rsidP="00FD78D8">
            <w:pPr>
              <w:jc w:val="center"/>
              <w:rPr>
                <w:b/>
              </w:rPr>
            </w:pPr>
            <w:r w:rsidRPr="00C51D75">
              <w:rPr>
                <w:b/>
              </w:rPr>
              <w:t>Response</w:t>
            </w:r>
          </w:p>
        </w:tc>
        <w:tc>
          <w:tcPr>
            <w:tcW w:w="3005" w:type="dxa"/>
          </w:tcPr>
          <w:p w14:paraId="0FACBBCA" w14:textId="77777777" w:rsidR="00562E41" w:rsidRPr="00C51D75" w:rsidRDefault="00562E41" w:rsidP="00FD78D8">
            <w:pPr>
              <w:jc w:val="center"/>
              <w:rPr>
                <w:b/>
              </w:rPr>
            </w:pPr>
            <w:r w:rsidRPr="00C51D75">
              <w:rPr>
                <w:b/>
              </w:rPr>
              <w:t>Number</w:t>
            </w:r>
          </w:p>
        </w:tc>
        <w:tc>
          <w:tcPr>
            <w:tcW w:w="3006" w:type="dxa"/>
          </w:tcPr>
          <w:p w14:paraId="70ACFDBC" w14:textId="77777777" w:rsidR="00562E41" w:rsidRPr="00C51D75" w:rsidRDefault="00562E41" w:rsidP="00FD78D8">
            <w:pPr>
              <w:jc w:val="center"/>
              <w:rPr>
                <w:b/>
              </w:rPr>
            </w:pPr>
            <w:r w:rsidRPr="00C51D75">
              <w:rPr>
                <w:b/>
              </w:rPr>
              <w:t>Percentage</w:t>
            </w:r>
          </w:p>
        </w:tc>
      </w:tr>
      <w:tr w:rsidR="00562E41" w14:paraId="36791CC3" w14:textId="77777777" w:rsidTr="00FD78D8">
        <w:tc>
          <w:tcPr>
            <w:tcW w:w="3005" w:type="dxa"/>
          </w:tcPr>
          <w:p w14:paraId="0638CCD6" w14:textId="77777777" w:rsidR="00562E41" w:rsidRDefault="00562E41" w:rsidP="00FD78D8">
            <w:r>
              <w:t>Very often</w:t>
            </w:r>
          </w:p>
        </w:tc>
        <w:tc>
          <w:tcPr>
            <w:tcW w:w="3005" w:type="dxa"/>
          </w:tcPr>
          <w:p w14:paraId="4C16DDD9" w14:textId="77777777" w:rsidR="00562E41" w:rsidRDefault="00562E41" w:rsidP="00FD78D8">
            <w:pPr>
              <w:jc w:val="right"/>
            </w:pPr>
            <w:r>
              <w:t>39</w:t>
            </w:r>
          </w:p>
        </w:tc>
        <w:tc>
          <w:tcPr>
            <w:tcW w:w="3006" w:type="dxa"/>
          </w:tcPr>
          <w:p w14:paraId="244998D6" w14:textId="77777777" w:rsidR="00562E41" w:rsidRDefault="00562E41" w:rsidP="00FD78D8">
            <w:pPr>
              <w:jc w:val="right"/>
            </w:pPr>
            <w:r>
              <w:t>2.6</w:t>
            </w:r>
          </w:p>
        </w:tc>
      </w:tr>
      <w:tr w:rsidR="00562E41" w14:paraId="307EBFC4" w14:textId="77777777" w:rsidTr="00FD78D8">
        <w:tc>
          <w:tcPr>
            <w:tcW w:w="3005" w:type="dxa"/>
          </w:tcPr>
          <w:p w14:paraId="5F514891" w14:textId="2E9878D7" w:rsidR="00562E41" w:rsidRDefault="00562E41" w:rsidP="00FD78D8">
            <w:r>
              <w:t>Fair</w:t>
            </w:r>
            <w:r w:rsidR="008F7622">
              <w:t>ly</w:t>
            </w:r>
            <w:r>
              <w:t xml:space="preserve"> often</w:t>
            </w:r>
          </w:p>
        </w:tc>
        <w:tc>
          <w:tcPr>
            <w:tcW w:w="3005" w:type="dxa"/>
          </w:tcPr>
          <w:p w14:paraId="4C59D9D0" w14:textId="77777777" w:rsidR="00562E41" w:rsidRDefault="00562E41" w:rsidP="00FD78D8">
            <w:pPr>
              <w:jc w:val="right"/>
            </w:pPr>
            <w:r>
              <w:t>96</w:t>
            </w:r>
          </w:p>
        </w:tc>
        <w:tc>
          <w:tcPr>
            <w:tcW w:w="3006" w:type="dxa"/>
          </w:tcPr>
          <w:p w14:paraId="2E05D30F" w14:textId="77777777" w:rsidR="00562E41" w:rsidRDefault="00562E41" w:rsidP="00FD78D8">
            <w:pPr>
              <w:jc w:val="right"/>
            </w:pPr>
            <w:r>
              <w:t>6.4</w:t>
            </w:r>
          </w:p>
        </w:tc>
      </w:tr>
      <w:tr w:rsidR="00562E41" w14:paraId="27072D88" w14:textId="77777777" w:rsidTr="00FD78D8">
        <w:tc>
          <w:tcPr>
            <w:tcW w:w="3005" w:type="dxa"/>
          </w:tcPr>
          <w:p w14:paraId="098F8977" w14:textId="77777777" w:rsidR="00562E41" w:rsidRDefault="00562E41" w:rsidP="00FD78D8">
            <w:r>
              <w:t>From time to time</w:t>
            </w:r>
          </w:p>
        </w:tc>
        <w:tc>
          <w:tcPr>
            <w:tcW w:w="3005" w:type="dxa"/>
          </w:tcPr>
          <w:p w14:paraId="629943BD" w14:textId="77777777" w:rsidR="00562E41" w:rsidRDefault="00562E41" w:rsidP="00FD78D8">
            <w:pPr>
              <w:jc w:val="right"/>
            </w:pPr>
            <w:r>
              <w:t>210</w:t>
            </w:r>
          </w:p>
        </w:tc>
        <w:tc>
          <w:tcPr>
            <w:tcW w:w="3006" w:type="dxa"/>
          </w:tcPr>
          <w:p w14:paraId="2CC89BA1" w14:textId="77777777" w:rsidR="00562E41" w:rsidRDefault="00562E41" w:rsidP="00FD78D8">
            <w:pPr>
              <w:jc w:val="right"/>
            </w:pPr>
            <w:r>
              <w:t>14.0</w:t>
            </w:r>
          </w:p>
        </w:tc>
      </w:tr>
      <w:tr w:rsidR="00562E41" w14:paraId="052FDA62" w14:textId="77777777" w:rsidTr="00FD78D8">
        <w:tc>
          <w:tcPr>
            <w:tcW w:w="3005" w:type="dxa"/>
          </w:tcPr>
          <w:p w14:paraId="596A7D2B" w14:textId="77777777" w:rsidR="00562E41" w:rsidRDefault="00562E41" w:rsidP="00FD78D8">
            <w:r>
              <w:t>Fairly rarely</w:t>
            </w:r>
          </w:p>
        </w:tc>
        <w:tc>
          <w:tcPr>
            <w:tcW w:w="3005" w:type="dxa"/>
          </w:tcPr>
          <w:p w14:paraId="6550AE64" w14:textId="77777777" w:rsidR="00562E41" w:rsidRDefault="00562E41" w:rsidP="00FD78D8">
            <w:pPr>
              <w:jc w:val="right"/>
            </w:pPr>
            <w:r>
              <w:t>189</w:t>
            </w:r>
          </w:p>
        </w:tc>
        <w:tc>
          <w:tcPr>
            <w:tcW w:w="3006" w:type="dxa"/>
          </w:tcPr>
          <w:p w14:paraId="633F0F03" w14:textId="77777777" w:rsidR="00562E41" w:rsidRDefault="00562E41" w:rsidP="00FD78D8">
            <w:pPr>
              <w:jc w:val="right"/>
            </w:pPr>
            <w:r>
              <w:t>12.6</w:t>
            </w:r>
          </w:p>
        </w:tc>
      </w:tr>
      <w:tr w:rsidR="00562E41" w14:paraId="7B11BB41" w14:textId="77777777" w:rsidTr="00FD78D8">
        <w:tc>
          <w:tcPr>
            <w:tcW w:w="3005" w:type="dxa"/>
          </w:tcPr>
          <w:p w14:paraId="17D9917C" w14:textId="77777777" w:rsidR="00562E41" w:rsidRDefault="00562E41" w:rsidP="00FD78D8">
            <w:r>
              <w:t>Very rarely</w:t>
            </w:r>
          </w:p>
        </w:tc>
        <w:tc>
          <w:tcPr>
            <w:tcW w:w="3005" w:type="dxa"/>
          </w:tcPr>
          <w:p w14:paraId="10AEF826" w14:textId="77777777" w:rsidR="00562E41" w:rsidRDefault="00562E41" w:rsidP="00FD78D8">
            <w:pPr>
              <w:jc w:val="right"/>
            </w:pPr>
            <w:r>
              <w:t>318</w:t>
            </w:r>
          </w:p>
        </w:tc>
        <w:tc>
          <w:tcPr>
            <w:tcW w:w="3006" w:type="dxa"/>
          </w:tcPr>
          <w:p w14:paraId="237282D4" w14:textId="77777777" w:rsidR="00562E41" w:rsidRDefault="00562E41" w:rsidP="00FD78D8">
            <w:pPr>
              <w:jc w:val="right"/>
            </w:pPr>
            <w:r>
              <w:t>21.2</w:t>
            </w:r>
          </w:p>
        </w:tc>
      </w:tr>
      <w:tr w:rsidR="00562E41" w14:paraId="0D237181" w14:textId="77777777" w:rsidTr="00FD78D8">
        <w:tc>
          <w:tcPr>
            <w:tcW w:w="3005" w:type="dxa"/>
          </w:tcPr>
          <w:p w14:paraId="7249AE50" w14:textId="77777777" w:rsidR="00562E41" w:rsidRDefault="00562E41" w:rsidP="00FD78D8">
            <w:r>
              <w:t>Don’t know</w:t>
            </w:r>
          </w:p>
        </w:tc>
        <w:tc>
          <w:tcPr>
            <w:tcW w:w="3005" w:type="dxa"/>
          </w:tcPr>
          <w:p w14:paraId="0FB11D17" w14:textId="77777777" w:rsidR="00562E41" w:rsidRDefault="00562E41" w:rsidP="00FD78D8">
            <w:pPr>
              <w:jc w:val="right"/>
            </w:pPr>
            <w:r>
              <w:t>650</w:t>
            </w:r>
          </w:p>
        </w:tc>
        <w:tc>
          <w:tcPr>
            <w:tcW w:w="3006" w:type="dxa"/>
          </w:tcPr>
          <w:p w14:paraId="18B5AFBC" w14:textId="77777777" w:rsidR="00562E41" w:rsidRDefault="00562E41" w:rsidP="00FD78D8">
            <w:pPr>
              <w:jc w:val="right"/>
            </w:pPr>
            <w:r>
              <w:t>43.2</w:t>
            </w:r>
          </w:p>
        </w:tc>
      </w:tr>
      <w:tr w:rsidR="00562E41" w14:paraId="78845F25" w14:textId="77777777" w:rsidTr="00FD78D8">
        <w:tc>
          <w:tcPr>
            <w:tcW w:w="3005" w:type="dxa"/>
          </w:tcPr>
          <w:p w14:paraId="23C609CD" w14:textId="77777777" w:rsidR="00562E41" w:rsidRDefault="00562E41" w:rsidP="00FD78D8">
            <w:r>
              <w:t>TOTAL</w:t>
            </w:r>
          </w:p>
        </w:tc>
        <w:tc>
          <w:tcPr>
            <w:tcW w:w="3005" w:type="dxa"/>
          </w:tcPr>
          <w:p w14:paraId="7F72D031" w14:textId="77777777" w:rsidR="00562E41" w:rsidRDefault="00562E41" w:rsidP="00FD78D8">
            <w:pPr>
              <w:jc w:val="right"/>
            </w:pPr>
            <w:r>
              <w:t>1503</w:t>
            </w:r>
          </w:p>
        </w:tc>
        <w:tc>
          <w:tcPr>
            <w:tcW w:w="3006" w:type="dxa"/>
          </w:tcPr>
          <w:p w14:paraId="72A9D604" w14:textId="77777777" w:rsidR="00562E41" w:rsidRDefault="00562E41" w:rsidP="00FD78D8">
            <w:pPr>
              <w:jc w:val="right"/>
            </w:pPr>
            <w:r>
              <w:t>100.0</w:t>
            </w:r>
          </w:p>
        </w:tc>
      </w:tr>
    </w:tbl>
    <w:p w14:paraId="5FDEC5D6" w14:textId="77777777" w:rsidR="005B2783" w:rsidRPr="00182EF0" w:rsidRDefault="005B2783" w:rsidP="006B67BB">
      <w:pPr>
        <w:ind w:right="-397"/>
        <w:rPr>
          <w:sz w:val="16"/>
          <w:szCs w:val="16"/>
        </w:rPr>
      </w:pPr>
      <w:r w:rsidRPr="00570A1F">
        <w:rPr>
          <w:sz w:val="16"/>
          <w:szCs w:val="16"/>
        </w:rPr>
        <w:t>The data has been weighted for</w:t>
      </w:r>
      <w:r>
        <w:rPr>
          <w:sz w:val="16"/>
          <w:szCs w:val="16"/>
        </w:rPr>
        <w:t xml:space="preserve"> Index of Multiple Deprivation and Household income</w:t>
      </w:r>
      <w:r>
        <w:rPr>
          <w:color w:val="FF0000"/>
          <w:sz w:val="16"/>
          <w:szCs w:val="16"/>
        </w:rPr>
        <w:t xml:space="preserve">. </w:t>
      </w:r>
      <w:r w:rsidRPr="00182EF0">
        <w:rPr>
          <w:sz w:val="16"/>
          <w:szCs w:val="16"/>
        </w:rPr>
        <w:t xml:space="preserve">The weighted data were identical to the unweighted data. </w:t>
      </w:r>
    </w:p>
    <w:p w14:paraId="259C24B0" w14:textId="77777777" w:rsidR="00C777CB" w:rsidRDefault="00C777CB" w:rsidP="00665A48"/>
    <w:p w14:paraId="0B835CF5" w14:textId="39053A8B" w:rsidR="00572B21" w:rsidRDefault="00866B9C" w:rsidP="00665A48">
      <w:r>
        <w:t xml:space="preserve">When asked </w:t>
      </w:r>
      <w:r w:rsidR="00C777CB">
        <w:t xml:space="preserve">about </w:t>
      </w:r>
      <w:r>
        <w:t xml:space="preserve">their </w:t>
      </w:r>
      <w:r w:rsidR="00273369">
        <w:t>own experience</w:t>
      </w:r>
      <w:r>
        <w:t xml:space="preserve"> of specific instances of personation</w:t>
      </w:r>
      <w:r w:rsidR="00C27D9C">
        <w:t xml:space="preserve"> </w:t>
      </w:r>
      <w:r w:rsidR="00273369">
        <w:t xml:space="preserve">victimisation </w:t>
      </w:r>
      <w:r w:rsidR="00C27D9C">
        <w:t xml:space="preserve">(Table </w:t>
      </w:r>
      <w:r w:rsidR="000E2001">
        <w:t>F</w:t>
      </w:r>
      <w:r w:rsidR="00C27D9C">
        <w:t>our)</w:t>
      </w:r>
      <w:r w:rsidR="00D06AA5">
        <w:t xml:space="preserve">, </w:t>
      </w:r>
      <w:r w:rsidR="00FB6A90">
        <w:t>120</w:t>
      </w:r>
      <w:r>
        <w:t xml:space="preserve"> respondents (</w:t>
      </w:r>
      <w:r w:rsidR="00FB6A90">
        <w:t>7</w:t>
      </w:r>
      <w:r>
        <w:t xml:space="preserve">%) said that they </w:t>
      </w:r>
      <w:r w:rsidR="002A5134">
        <w:t>had been victimised</w:t>
      </w:r>
      <w:r>
        <w:t>. In</w:t>
      </w:r>
      <w:r w:rsidR="00D06AA5">
        <w:t xml:space="preserve"> all, 3</w:t>
      </w:r>
      <w:r>
        <w:t xml:space="preserve">8 respondents said that this was prior to the 2019 General Election, </w:t>
      </w:r>
      <w:r w:rsidR="00D06AA5">
        <w:t>with 53</w:t>
      </w:r>
      <w:r w:rsidR="00412F44">
        <w:t xml:space="preserve"> saying it happening during the 2019 General Election (respectively </w:t>
      </w:r>
      <w:r w:rsidR="00F3012D">
        <w:t>3%</w:t>
      </w:r>
      <w:r w:rsidR="00412F44">
        <w:t xml:space="preserve"> and </w:t>
      </w:r>
      <w:r w:rsidR="00F3012D">
        <w:t>4%</w:t>
      </w:r>
      <w:r w:rsidR="00412F44">
        <w:t>)</w:t>
      </w:r>
      <w:r w:rsidR="00D06AA5">
        <w:t>, and nine respondents (</w:t>
      </w:r>
      <w:r w:rsidR="00C777CB">
        <w:t>&lt;</w:t>
      </w:r>
      <w:r w:rsidR="00F3012D">
        <w:t>1%</w:t>
      </w:r>
      <w:r w:rsidR="00D06AA5">
        <w:t xml:space="preserve">) saying that they had experienced it both at </w:t>
      </w:r>
      <w:r w:rsidR="00D06AA5" w:rsidRPr="006B3854">
        <w:t>the 2019 General Election and prior to that too</w:t>
      </w:r>
      <w:r w:rsidR="00412F44" w:rsidRPr="006B3854">
        <w:t xml:space="preserve">. </w:t>
      </w:r>
      <w:r w:rsidR="00D06AA5" w:rsidRPr="006B3854">
        <w:t>Some 48 (</w:t>
      </w:r>
      <w:r w:rsidR="00F3012D" w:rsidRPr="006B3854">
        <w:t>3%</w:t>
      </w:r>
      <w:r w:rsidR="008F134B" w:rsidRPr="006B3854">
        <w:t>)</w:t>
      </w:r>
      <w:r w:rsidR="00D06AA5" w:rsidRPr="006B3854">
        <w:t xml:space="preserve"> </w:t>
      </w:r>
      <w:r w:rsidR="00FB6A90" w:rsidRPr="006B3854">
        <w:t>preferred not to answer</w:t>
      </w:r>
      <w:r w:rsidR="006B3854" w:rsidRPr="006B3854">
        <w:t xml:space="preserve"> the question</w:t>
      </w:r>
      <w:r w:rsidR="00FB6A90" w:rsidRPr="006B3854">
        <w:t>.</w:t>
      </w:r>
      <w:r w:rsidR="00FB6A90" w:rsidRPr="00FB6A90">
        <w:t xml:space="preserve"> </w:t>
      </w:r>
      <w:r w:rsidR="002A4D85">
        <w:t xml:space="preserve">In terms of personal experiences of personation, these were again very low (see Table </w:t>
      </w:r>
      <w:r w:rsidR="00DD2DD8">
        <w:t>Four</w:t>
      </w:r>
      <w:r w:rsidR="002A4D85">
        <w:t xml:space="preserve">). Again, about 90% of the respondents had had no direct </w:t>
      </w:r>
      <w:r w:rsidR="00273369">
        <w:t>experiences of this themselves.</w:t>
      </w:r>
    </w:p>
    <w:p w14:paraId="6CCECFEB" w14:textId="28824FEE" w:rsidR="00665A48" w:rsidRPr="00C51D75" w:rsidRDefault="00665A48" w:rsidP="00665A48">
      <w:pPr>
        <w:jc w:val="center"/>
        <w:rPr>
          <w:b/>
        </w:rPr>
      </w:pPr>
      <w:r>
        <w:rPr>
          <w:b/>
        </w:rPr>
        <w:t xml:space="preserve">Table </w:t>
      </w:r>
      <w:r w:rsidR="00DD2DD8">
        <w:rPr>
          <w:b/>
        </w:rPr>
        <w:t>Four</w:t>
      </w:r>
      <w:r>
        <w:rPr>
          <w:b/>
        </w:rPr>
        <w:t xml:space="preserve">: </w:t>
      </w:r>
      <w:r w:rsidR="00816196">
        <w:rPr>
          <w:b/>
        </w:rPr>
        <w:t xml:space="preserve">Personal </w:t>
      </w:r>
      <w:r>
        <w:rPr>
          <w:b/>
        </w:rPr>
        <w:t>Experiences of Personation</w:t>
      </w:r>
      <w:r w:rsidR="00273369">
        <w:rPr>
          <w:b/>
        </w:rPr>
        <w:t xml:space="preserve"> (Number saying th</w:t>
      </w:r>
      <w:r w:rsidR="00587638">
        <w:rPr>
          <w:b/>
        </w:rPr>
        <w:t>ey</w:t>
      </w:r>
      <w:r w:rsidR="00273369">
        <w:rPr>
          <w:b/>
        </w:rPr>
        <w:t xml:space="preserve"> were Victimised)</w:t>
      </w:r>
    </w:p>
    <w:tbl>
      <w:tblPr>
        <w:tblStyle w:val="TableGrid"/>
        <w:tblW w:w="0" w:type="auto"/>
        <w:tblInd w:w="-431" w:type="dxa"/>
        <w:tblLook w:val="04A0" w:firstRow="1" w:lastRow="0" w:firstColumn="1" w:lastColumn="0" w:noHBand="0" w:noVBand="1"/>
      </w:tblPr>
      <w:tblGrid>
        <w:gridCol w:w="3120"/>
        <w:gridCol w:w="1581"/>
        <w:gridCol w:w="1582"/>
        <w:gridCol w:w="1582"/>
        <w:gridCol w:w="1582"/>
      </w:tblGrid>
      <w:tr w:rsidR="00496586" w:rsidRPr="00C51D75" w14:paraId="5A51CFDA" w14:textId="77777777" w:rsidTr="007541F7">
        <w:tc>
          <w:tcPr>
            <w:tcW w:w="3120" w:type="dxa"/>
          </w:tcPr>
          <w:p w14:paraId="550B51FF" w14:textId="77777777" w:rsidR="00496586" w:rsidRPr="00C51D75" w:rsidRDefault="00496586" w:rsidP="00FD78D8">
            <w:pPr>
              <w:jc w:val="center"/>
              <w:rPr>
                <w:b/>
              </w:rPr>
            </w:pPr>
            <w:r w:rsidRPr="00C51D75">
              <w:rPr>
                <w:b/>
              </w:rPr>
              <w:t>Response</w:t>
            </w:r>
          </w:p>
        </w:tc>
        <w:tc>
          <w:tcPr>
            <w:tcW w:w="3163" w:type="dxa"/>
            <w:gridSpan w:val="2"/>
          </w:tcPr>
          <w:p w14:paraId="2E558592" w14:textId="77777777" w:rsidR="00496586" w:rsidRPr="00C51D75" w:rsidRDefault="00496586" w:rsidP="00FD78D8">
            <w:pPr>
              <w:jc w:val="center"/>
              <w:rPr>
                <w:b/>
              </w:rPr>
            </w:pPr>
            <w:r w:rsidRPr="00C51D75">
              <w:rPr>
                <w:b/>
              </w:rPr>
              <w:t>Number</w:t>
            </w:r>
          </w:p>
        </w:tc>
        <w:tc>
          <w:tcPr>
            <w:tcW w:w="3164" w:type="dxa"/>
            <w:gridSpan w:val="2"/>
          </w:tcPr>
          <w:p w14:paraId="21F1F507" w14:textId="77777777" w:rsidR="00496586" w:rsidRPr="00C51D75" w:rsidRDefault="00496586" w:rsidP="00FD78D8">
            <w:pPr>
              <w:jc w:val="center"/>
              <w:rPr>
                <w:b/>
              </w:rPr>
            </w:pPr>
            <w:r w:rsidRPr="00C51D75">
              <w:rPr>
                <w:b/>
              </w:rPr>
              <w:t>Percentage</w:t>
            </w:r>
          </w:p>
        </w:tc>
      </w:tr>
      <w:tr w:rsidR="00496586" w:rsidRPr="00C51D75" w14:paraId="7D4279D7" w14:textId="77777777" w:rsidTr="007541F7">
        <w:tc>
          <w:tcPr>
            <w:tcW w:w="3120" w:type="dxa"/>
          </w:tcPr>
          <w:p w14:paraId="0F9FD4E3" w14:textId="77777777" w:rsidR="00496586" w:rsidRPr="00C51D75" w:rsidRDefault="00496586" w:rsidP="00496586">
            <w:pPr>
              <w:jc w:val="center"/>
              <w:rPr>
                <w:b/>
              </w:rPr>
            </w:pPr>
          </w:p>
        </w:tc>
        <w:tc>
          <w:tcPr>
            <w:tcW w:w="3163" w:type="dxa"/>
            <w:gridSpan w:val="2"/>
          </w:tcPr>
          <w:p w14:paraId="01B6B128" w14:textId="77777777" w:rsidR="00496586" w:rsidRPr="00C51D75" w:rsidRDefault="00496586" w:rsidP="00496586">
            <w:pPr>
              <w:jc w:val="center"/>
              <w:rPr>
                <w:b/>
              </w:rPr>
            </w:pPr>
            <w:r>
              <w:rPr>
                <w:b/>
              </w:rPr>
              <w:t>Raw                     Weighted</w:t>
            </w:r>
          </w:p>
        </w:tc>
        <w:tc>
          <w:tcPr>
            <w:tcW w:w="3164" w:type="dxa"/>
            <w:gridSpan w:val="2"/>
          </w:tcPr>
          <w:p w14:paraId="58B6F0D8" w14:textId="77777777" w:rsidR="00496586" w:rsidRPr="00C51D75" w:rsidRDefault="00496586" w:rsidP="00496586">
            <w:pPr>
              <w:jc w:val="center"/>
              <w:rPr>
                <w:b/>
              </w:rPr>
            </w:pPr>
            <w:r>
              <w:rPr>
                <w:b/>
              </w:rPr>
              <w:t>Raw                     Weighted</w:t>
            </w:r>
          </w:p>
        </w:tc>
      </w:tr>
      <w:tr w:rsidR="00496586" w14:paraId="5EA16FF3" w14:textId="77777777" w:rsidTr="007541F7">
        <w:tc>
          <w:tcPr>
            <w:tcW w:w="3120" w:type="dxa"/>
          </w:tcPr>
          <w:p w14:paraId="7A49291C" w14:textId="77777777" w:rsidR="00496586" w:rsidRDefault="00496586" w:rsidP="00FD78D8">
            <w:r>
              <w:t>No</w:t>
            </w:r>
          </w:p>
        </w:tc>
        <w:tc>
          <w:tcPr>
            <w:tcW w:w="1581" w:type="dxa"/>
          </w:tcPr>
          <w:p w14:paraId="63BB08B0" w14:textId="77777777" w:rsidR="00496586" w:rsidRDefault="00496586" w:rsidP="00FD78D8">
            <w:pPr>
              <w:jc w:val="right"/>
            </w:pPr>
            <w:r>
              <w:t>1355</w:t>
            </w:r>
          </w:p>
        </w:tc>
        <w:tc>
          <w:tcPr>
            <w:tcW w:w="1582" w:type="dxa"/>
          </w:tcPr>
          <w:p w14:paraId="194928F9" w14:textId="77777777" w:rsidR="00496586" w:rsidRDefault="008D22EF" w:rsidP="00FD78D8">
            <w:pPr>
              <w:jc w:val="right"/>
            </w:pPr>
            <w:r>
              <w:t>1355</w:t>
            </w:r>
          </w:p>
        </w:tc>
        <w:tc>
          <w:tcPr>
            <w:tcW w:w="1582" w:type="dxa"/>
          </w:tcPr>
          <w:p w14:paraId="26B5948D" w14:textId="77777777" w:rsidR="00496586" w:rsidRDefault="00496586" w:rsidP="00FD78D8">
            <w:pPr>
              <w:jc w:val="right"/>
            </w:pPr>
            <w:r>
              <w:t>90</w:t>
            </w:r>
          </w:p>
        </w:tc>
        <w:tc>
          <w:tcPr>
            <w:tcW w:w="1582" w:type="dxa"/>
          </w:tcPr>
          <w:p w14:paraId="1F10B2A0" w14:textId="77777777" w:rsidR="00496586" w:rsidRDefault="008D22EF" w:rsidP="00FD78D8">
            <w:pPr>
              <w:jc w:val="right"/>
            </w:pPr>
            <w:r>
              <w:t>90</w:t>
            </w:r>
          </w:p>
        </w:tc>
      </w:tr>
      <w:tr w:rsidR="00496586" w14:paraId="03B448E5" w14:textId="77777777" w:rsidTr="007541F7">
        <w:tc>
          <w:tcPr>
            <w:tcW w:w="3120" w:type="dxa"/>
          </w:tcPr>
          <w:p w14:paraId="7250B695" w14:textId="77777777" w:rsidR="00496586" w:rsidRDefault="00496586" w:rsidP="00FD78D8">
            <w:r>
              <w:t>Prior to 2019 General Election</w:t>
            </w:r>
          </w:p>
        </w:tc>
        <w:tc>
          <w:tcPr>
            <w:tcW w:w="1581" w:type="dxa"/>
          </w:tcPr>
          <w:p w14:paraId="1D797542" w14:textId="77777777" w:rsidR="00496586" w:rsidRDefault="00496586" w:rsidP="00FD78D8">
            <w:pPr>
              <w:jc w:val="right"/>
            </w:pPr>
            <w:r>
              <w:t>38</w:t>
            </w:r>
          </w:p>
        </w:tc>
        <w:tc>
          <w:tcPr>
            <w:tcW w:w="1582" w:type="dxa"/>
          </w:tcPr>
          <w:p w14:paraId="579413A8" w14:textId="77777777" w:rsidR="00496586" w:rsidRDefault="008D22EF" w:rsidP="00FD78D8">
            <w:pPr>
              <w:jc w:val="right"/>
            </w:pPr>
            <w:r>
              <w:t>38</w:t>
            </w:r>
          </w:p>
        </w:tc>
        <w:tc>
          <w:tcPr>
            <w:tcW w:w="1582" w:type="dxa"/>
          </w:tcPr>
          <w:p w14:paraId="66C2F416" w14:textId="77777777" w:rsidR="00496586" w:rsidRDefault="00496586" w:rsidP="00FD78D8">
            <w:pPr>
              <w:jc w:val="right"/>
            </w:pPr>
            <w:r>
              <w:t>3</w:t>
            </w:r>
          </w:p>
        </w:tc>
        <w:tc>
          <w:tcPr>
            <w:tcW w:w="1582" w:type="dxa"/>
          </w:tcPr>
          <w:p w14:paraId="601AEAF3" w14:textId="77777777" w:rsidR="00496586" w:rsidRDefault="008D22EF" w:rsidP="00FD78D8">
            <w:pPr>
              <w:jc w:val="right"/>
            </w:pPr>
            <w:r>
              <w:t>3</w:t>
            </w:r>
          </w:p>
        </w:tc>
      </w:tr>
      <w:tr w:rsidR="00496586" w14:paraId="20FC06E4" w14:textId="77777777" w:rsidTr="007541F7">
        <w:tc>
          <w:tcPr>
            <w:tcW w:w="3120" w:type="dxa"/>
          </w:tcPr>
          <w:p w14:paraId="365D19C9" w14:textId="77777777" w:rsidR="00496586" w:rsidRDefault="00496586" w:rsidP="00FD78D8">
            <w:r>
              <w:t>During 2019 General Election</w:t>
            </w:r>
          </w:p>
        </w:tc>
        <w:tc>
          <w:tcPr>
            <w:tcW w:w="1581" w:type="dxa"/>
          </w:tcPr>
          <w:p w14:paraId="2CB30E62" w14:textId="77777777" w:rsidR="00496586" w:rsidRDefault="00496586" w:rsidP="00FD78D8">
            <w:pPr>
              <w:jc w:val="right"/>
            </w:pPr>
            <w:r>
              <w:t>53</w:t>
            </w:r>
          </w:p>
        </w:tc>
        <w:tc>
          <w:tcPr>
            <w:tcW w:w="1582" w:type="dxa"/>
          </w:tcPr>
          <w:p w14:paraId="6C3BA1B0" w14:textId="77777777" w:rsidR="00496586" w:rsidRDefault="008D22EF" w:rsidP="00FD78D8">
            <w:pPr>
              <w:jc w:val="right"/>
            </w:pPr>
            <w:r>
              <w:t>53</w:t>
            </w:r>
          </w:p>
        </w:tc>
        <w:tc>
          <w:tcPr>
            <w:tcW w:w="1582" w:type="dxa"/>
          </w:tcPr>
          <w:p w14:paraId="46B6BFD8" w14:textId="77777777" w:rsidR="00496586" w:rsidRDefault="00496586" w:rsidP="00FD78D8">
            <w:pPr>
              <w:jc w:val="right"/>
            </w:pPr>
            <w:r>
              <w:t>4</w:t>
            </w:r>
          </w:p>
        </w:tc>
        <w:tc>
          <w:tcPr>
            <w:tcW w:w="1582" w:type="dxa"/>
          </w:tcPr>
          <w:p w14:paraId="6BEA9250" w14:textId="77777777" w:rsidR="00496586" w:rsidRDefault="008D22EF" w:rsidP="00FD78D8">
            <w:pPr>
              <w:jc w:val="right"/>
            </w:pPr>
            <w:r>
              <w:t>4</w:t>
            </w:r>
          </w:p>
        </w:tc>
      </w:tr>
      <w:tr w:rsidR="00496586" w14:paraId="50A86355" w14:textId="77777777" w:rsidTr="007541F7">
        <w:tc>
          <w:tcPr>
            <w:tcW w:w="3120" w:type="dxa"/>
          </w:tcPr>
          <w:p w14:paraId="7FA12E2B" w14:textId="77777777" w:rsidR="00496586" w:rsidRDefault="00496586" w:rsidP="00FD78D8">
            <w:r>
              <w:t>Both of the Above</w:t>
            </w:r>
          </w:p>
        </w:tc>
        <w:tc>
          <w:tcPr>
            <w:tcW w:w="1581" w:type="dxa"/>
          </w:tcPr>
          <w:p w14:paraId="6575238D" w14:textId="77777777" w:rsidR="00496586" w:rsidRDefault="00496586" w:rsidP="00FD78D8">
            <w:pPr>
              <w:jc w:val="right"/>
            </w:pPr>
            <w:r>
              <w:t>9</w:t>
            </w:r>
          </w:p>
        </w:tc>
        <w:tc>
          <w:tcPr>
            <w:tcW w:w="1582" w:type="dxa"/>
          </w:tcPr>
          <w:p w14:paraId="59E1C2D8" w14:textId="77777777" w:rsidR="00496586" w:rsidRDefault="008D22EF" w:rsidP="00FD78D8">
            <w:pPr>
              <w:jc w:val="right"/>
            </w:pPr>
            <w:r>
              <w:t>9</w:t>
            </w:r>
          </w:p>
        </w:tc>
        <w:tc>
          <w:tcPr>
            <w:tcW w:w="1582" w:type="dxa"/>
          </w:tcPr>
          <w:p w14:paraId="44FCC484" w14:textId="77777777" w:rsidR="00496586" w:rsidRDefault="00496586" w:rsidP="00FD78D8">
            <w:pPr>
              <w:jc w:val="right"/>
            </w:pPr>
            <w:r>
              <w:t>1</w:t>
            </w:r>
          </w:p>
        </w:tc>
        <w:tc>
          <w:tcPr>
            <w:tcW w:w="1582" w:type="dxa"/>
          </w:tcPr>
          <w:p w14:paraId="300BD2F2" w14:textId="77777777" w:rsidR="00496586" w:rsidRDefault="008D22EF" w:rsidP="00FD78D8">
            <w:pPr>
              <w:jc w:val="right"/>
            </w:pPr>
            <w:r>
              <w:t>1</w:t>
            </w:r>
          </w:p>
        </w:tc>
      </w:tr>
      <w:tr w:rsidR="00496586" w14:paraId="360EB0FB" w14:textId="77777777" w:rsidTr="007541F7">
        <w:tc>
          <w:tcPr>
            <w:tcW w:w="3120" w:type="dxa"/>
            <w:tcBorders>
              <w:bottom w:val="single" w:sz="4" w:space="0" w:color="auto"/>
            </w:tcBorders>
          </w:tcPr>
          <w:p w14:paraId="66F7906A" w14:textId="1A253EB4" w:rsidR="00496586" w:rsidRPr="006B3854" w:rsidRDefault="006B3854" w:rsidP="006B3854">
            <w:r w:rsidRPr="006B3854">
              <w:t>P</w:t>
            </w:r>
            <w:r w:rsidR="00FB6A90" w:rsidRPr="006B3854">
              <w:t>refer not to answer</w:t>
            </w:r>
          </w:p>
        </w:tc>
        <w:tc>
          <w:tcPr>
            <w:tcW w:w="1581" w:type="dxa"/>
            <w:tcBorders>
              <w:bottom w:val="single" w:sz="4" w:space="0" w:color="auto"/>
            </w:tcBorders>
          </w:tcPr>
          <w:p w14:paraId="426C18DC" w14:textId="77777777" w:rsidR="00496586" w:rsidRPr="006B3854" w:rsidRDefault="00496586" w:rsidP="00FD78D8">
            <w:pPr>
              <w:jc w:val="right"/>
            </w:pPr>
            <w:r w:rsidRPr="006B3854">
              <w:t>48</w:t>
            </w:r>
          </w:p>
        </w:tc>
        <w:tc>
          <w:tcPr>
            <w:tcW w:w="1582" w:type="dxa"/>
            <w:tcBorders>
              <w:bottom w:val="single" w:sz="4" w:space="0" w:color="auto"/>
            </w:tcBorders>
          </w:tcPr>
          <w:p w14:paraId="48028E68" w14:textId="77777777" w:rsidR="00496586" w:rsidRPr="006B3854" w:rsidRDefault="008D22EF" w:rsidP="00FD78D8">
            <w:pPr>
              <w:jc w:val="right"/>
            </w:pPr>
            <w:r w:rsidRPr="006B3854">
              <w:t>48</w:t>
            </w:r>
          </w:p>
        </w:tc>
        <w:tc>
          <w:tcPr>
            <w:tcW w:w="1582" w:type="dxa"/>
            <w:tcBorders>
              <w:bottom w:val="single" w:sz="4" w:space="0" w:color="auto"/>
            </w:tcBorders>
          </w:tcPr>
          <w:p w14:paraId="251E077F" w14:textId="77777777" w:rsidR="00496586" w:rsidRPr="006B3854" w:rsidRDefault="00496586" w:rsidP="00FD78D8">
            <w:pPr>
              <w:jc w:val="right"/>
            </w:pPr>
            <w:r w:rsidRPr="006B3854">
              <w:t>3</w:t>
            </w:r>
          </w:p>
        </w:tc>
        <w:tc>
          <w:tcPr>
            <w:tcW w:w="1582" w:type="dxa"/>
            <w:tcBorders>
              <w:bottom w:val="single" w:sz="4" w:space="0" w:color="auto"/>
            </w:tcBorders>
          </w:tcPr>
          <w:p w14:paraId="0C125334" w14:textId="77777777" w:rsidR="00496586" w:rsidRDefault="008D22EF" w:rsidP="00FD78D8">
            <w:pPr>
              <w:jc w:val="right"/>
            </w:pPr>
            <w:r w:rsidRPr="006B3854">
              <w:t>3</w:t>
            </w:r>
          </w:p>
        </w:tc>
      </w:tr>
      <w:tr w:rsidR="00496586" w14:paraId="3103E65E" w14:textId="77777777" w:rsidTr="007541F7">
        <w:tc>
          <w:tcPr>
            <w:tcW w:w="3120" w:type="dxa"/>
          </w:tcPr>
          <w:p w14:paraId="6CA864C6" w14:textId="77777777" w:rsidR="00496586" w:rsidRDefault="00496586" w:rsidP="00FD78D8">
            <w:r>
              <w:t>TOTAL</w:t>
            </w:r>
          </w:p>
        </w:tc>
        <w:tc>
          <w:tcPr>
            <w:tcW w:w="1581" w:type="dxa"/>
          </w:tcPr>
          <w:p w14:paraId="132EE6BC" w14:textId="77777777" w:rsidR="00496586" w:rsidRDefault="00496586" w:rsidP="00FD78D8">
            <w:pPr>
              <w:jc w:val="right"/>
            </w:pPr>
            <w:r>
              <w:t>1503</w:t>
            </w:r>
          </w:p>
        </w:tc>
        <w:tc>
          <w:tcPr>
            <w:tcW w:w="1582" w:type="dxa"/>
          </w:tcPr>
          <w:p w14:paraId="095675DE" w14:textId="77777777" w:rsidR="00496586" w:rsidRDefault="008D22EF" w:rsidP="00FD78D8">
            <w:pPr>
              <w:jc w:val="right"/>
            </w:pPr>
            <w:r>
              <w:t>1503</w:t>
            </w:r>
          </w:p>
        </w:tc>
        <w:tc>
          <w:tcPr>
            <w:tcW w:w="1582" w:type="dxa"/>
          </w:tcPr>
          <w:p w14:paraId="54F488A2" w14:textId="366FF12E" w:rsidR="00496586" w:rsidRDefault="00496586" w:rsidP="00FD78D8">
            <w:pPr>
              <w:jc w:val="right"/>
            </w:pPr>
            <w:r>
              <w:t>100</w:t>
            </w:r>
          </w:p>
        </w:tc>
        <w:tc>
          <w:tcPr>
            <w:tcW w:w="1582" w:type="dxa"/>
          </w:tcPr>
          <w:p w14:paraId="442A9787" w14:textId="77777777" w:rsidR="00496586" w:rsidRDefault="00C27D9C" w:rsidP="00FD78D8">
            <w:pPr>
              <w:jc w:val="right"/>
            </w:pPr>
            <w:r>
              <w:t>100</w:t>
            </w:r>
          </w:p>
        </w:tc>
      </w:tr>
    </w:tbl>
    <w:p w14:paraId="68B53734" w14:textId="6937586D" w:rsidR="00267955" w:rsidRDefault="008D22EF" w:rsidP="006B67BB">
      <w:pPr>
        <w:spacing w:after="0" w:line="240" w:lineRule="auto"/>
        <w:ind w:right="-227"/>
      </w:pPr>
      <w:r w:rsidRPr="00254171">
        <w:rPr>
          <w:color w:val="000000" w:themeColor="text1"/>
          <w:sz w:val="16"/>
          <w:szCs w:val="16"/>
        </w:rPr>
        <w:t>The data has been weighted for</w:t>
      </w:r>
      <w:r w:rsidR="00254171" w:rsidRPr="00254171">
        <w:rPr>
          <w:color w:val="000000" w:themeColor="text1"/>
          <w:sz w:val="16"/>
          <w:szCs w:val="16"/>
        </w:rPr>
        <w:t xml:space="preserve"> Index of Multiple Deprivation and Household income. Due to rounding the percentages may not sum to 100.</w:t>
      </w:r>
    </w:p>
    <w:p w14:paraId="16517CD1" w14:textId="77777777" w:rsidR="00273369" w:rsidRDefault="00273369" w:rsidP="004B4D0A">
      <w:pPr>
        <w:rPr>
          <w:b/>
        </w:rPr>
      </w:pPr>
    </w:p>
    <w:p w14:paraId="0B13B16B" w14:textId="3C294539" w:rsidR="00562E41" w:rsidRPr="006C5950" w:rsidRDefault="004B4D0A" w:rsidP="004B4D0A">
      <w:pPr>
        <w:rPr>
          <w:i/>
        </w:rPr>
      </w:pPr>
      <w:r w:rsidRPr="006C5950">
        <w:rPr>
          <w:i/>
        </w:rPr>
        <w:t>Who Reports being a Victim of Electoral Fraud?</w:t>
      </w:r>
    </w:p>
    <w:p w14:paraId="0D89FC17" w14:textId="5ECC46FB" w:rsidR="00267955" w:rsidRDefault="00267955" w:rsidP="00267955">
      <w:r>
        <w:t xml:space="preserve">By combining answers to the questions on </w:t>
      </w:r>
      <w:r w:rsidR="00F3716E">
        <w:t xml:space="preserve">specific instances of </w:t>
      </w:r>
      <w:r>
        <w:t xml:space="preserve">either of the </w:t>
      </w:r>
      <w:r w:rsidR="006A7D5F">
        <w:t xml:space="preserve">two </w:t>
      </w:r>
      <w:r>
        <w:t>forms of electoral fraud</w:t>
      </w:r>
      <w:r w:rsidR="00F3716E">
        <w:t xml:space="preserve"> described above</w:t>
      </w:r>
      <w:r w:rsidR="00273369">
        <w:t xml:space="preserve"> (Tables Two and Four)</w:t>
      </w:r>
      <w:r>
        <w:t xml:space="preserve">, </w:t>
      </w:r>
      <w:r w:rsidR="00694542">
        <w:t xml:space="preserve">we were able to ascertain which social groups were </w:t>
      </w:r>
      <w:r w:rsidR="00694542" w:rsidRPr="00FB6A90">
        <w:t>more likely to have</w:t>
      </w:r>
      <w:r w:rsidR="007A5CB4" w:rsidRPr="00FB6A90">
        <w:t xml:space="preserve"> </w:t>
      </w:r>
      <w:r w:rsidR="00273369" w:rsidRPr="00FB6A90">
        <w:t>experienced</w:t>
      </w:r>
      <w:r w:rsidR="007A5CB4" w:rsidRPr="00FB6A90">
        <w:t xml:space="preserve"> electoral fraud</w:t>
      </w:r>
      <w:r w:rsidR="00694542" w:rsidRPr="00FB6A90">
        <w:t>. In all, 136 (</w:t>
      </w:r>
      <w:r w:rsidR="00F3012D" w:rsidRPr="00FB6A90">
        <w:t>9%</w:t>
      </w:r>
      <w:r w:rsidR="00694542" w:rsidRPr="00FB6A90">
        <w:t>) of the sample reported</w:t>
      </w:r>
      <w:r w:rsidR="00F3716E" w:rsidRPr="00FB6A90">
        <w:t xml:space="preserve"> instances of</w:t>
      </w:r>
      <w:r w:rsidR="00F3716E">
        <w:t xml:space="preserve"> one or more incidences of </w:t>
      </w:r>
      <w:r w:rsidR="007A5CB4">
        <w:t>electoral fraud</w:t>
      </w:r>
      <w:r w:rsidR="00694542">
        <w:t xml:space="preserve">. </w:t>
      </w:r>
      <w:r w:rsidR="005B0958" w:rsidRPr="005B0958">
        <w:t>The data allowed us to assess the degree of victimisation for the following socio-demographic variables:</w:t>
      </w:r>
    </w:p>
    <w:p w14:paraId="0198A3E6" w14:textId="77777777" w:rsidR="00694542" w:rsidRDefault="00694542" w:rsidP="005B0958">
      <w:pPr>
        <w:pStyle w:val="ListParagraph"/>
        <w:numPr>
          <w:ilvl w:val="0"/>
          <w:numId w:val="6"/>
        </w:numPr>
      </w:pPr>
      <w:r>
        <w:t>Age</w:t>
      </w:r>
    </w:p>
    <w:p w14:paraId="57D4621B" w14:textId="77777777" w:rsidR="00694542" w:rsidRDefault="00694542" w:rsidP="00694542">
      <w:pPr>
        <w:pStyle w:val="ListParagraph"/>
        <w:numPr>
          <w:ilvl w:val="0"/>
          <w:numId w:val="6"/>
        </w:numPr>
      </w:pPr>
      <w:r>
        <w:t>Gender</w:t>
      </w:r>
    </w:p>
    <w:p w14:paraId="09C47E74" w14:textId="77777777" w:rsidR="00694542" w:rsidRDefault="00694542" w:rsidP="00694542">
      <w:pPr>
        <w:pStyle w:val="ListParagraph"/>
        <w:numPr>
          <w:ilvl w:val="0"/>
          <w:numId w:val="6"/>
        </w:numPr>
      </w:pPr>
      <w:r>
        <w:t>Educational qualification</w:t>
      </w:r>
    </w:p>
    <w:p w14:paraId="5233E282" w14:textId="77777777" w:rsidR="00694542" w:rsidRDefault="00694542" w:rsidP="00694542">
      <w:pPr>
        <w:pStyle w:val="ListParagraph"/>
        <w:numPr>
          <w:ilvl w:val="0"/>
          <w:numId w:val="6"/>
        </w:numPr>
      </w:pPr>
      <w:r>
        <w:t>Household income</w:t>
      </w:r>
    </w:p>
    <w:p w14:paraId="2B85822D" w14:textId="77777777" w:rsidR="00694542" w:rsidRDefault="00694542" w:rsidP="00694542">
      <w:pPr>
        <w:pStyle w:val="ListParagraph"/>
        <w:numPr>
          <w:ilvl w:val="0"/>
          <w:numId w:val="6"/>
        </w:numPr>
      </w:pPr>
      <w:r>
        <w:t>Ethnicity</w:t>
      </w:r>
    </w:p>
    <w:p w14:paraId="3BDFAFDF" w14:textId="77777777" w:rsidR="00694542" w:rsidRDefault="00694542" w:rsidP="00694542">
      <w:pPr>
        <w:pStyle w:val="ListParagraph"/>
        <w:numPr>
          <w:ilvl w:val="0"/>
          <w:numId w:val="6"/>
        </w:numPr>
      </w:pPr>
      <w:r>
        <w:t>Housing tenure</w:t>
      </w:r>
    </w:p>
    <w:p w14:paraId="0F6AC858" w14:textId="77777777" w:rsidR="00694542" w:rsidRDefault="00694542" w:rsidP="00694542">
      <w:pPr>
        <w:pStyle w:val="ListParagraph"/>
        <w:numPr>
          <w:ilvl w:val="0"/>
          <w:numId w:val="6"/>
        </w:numPr>
      </w:pPr>
      <w:r>
        <w:t>Socio-economic group</w:t>
      </w:r>
    </w:p>
    <w:p w14:paraId="0E9492A4" w14:textId="77777777" w:rsidR="00694542" w:rsidRDefault="00694542" w:rsidP="00694542">
      <w:pPr>
        <w:pStyle w:val="ListParagraph"/>
        <w:numPr>
          <w:ilvl w:val="0"/>
          <w:numId w:val="6"/>
        </w:numPr>
      </w:pPr>
      <w:r>
        <w:t>Region of Britain they were living in</w:t>
      </w:r>
    </w:p>
    <w:p w14:paraId="74CA59AB" w14:textId="77777777" w:rsidR="00694542" w:rsidRDefault="00694542" w:rsidP="00694542">
      <w:pPr>
        <w:pStyle w:val="ListParagraph"/>
        <w:numPr>
          <w:ilvl w:val="0"/>
          <w:numId w:val="6"/>
        </w:numPr>
      </w:pPr>
      <w:r>
        <w:t>Output Area Classification</w:t>
      </w:r>
    </w:p>
    <w:p w14:paraId="11DEE8E3" w14:textId="77777777" w:rsidR="00694542" w:rsidRDefault="00694542" w:rsidP="00694542">
      <w:pPr>
        <w:pStyle w:val="ListParagraph"/>
        <w:numPr>
          <w:ilvl w:val="0"/>
          <w:numId w:val="6"/>
        </w:numPr>
      </w:pPr>
      <w:r>
        <w:t>If they voted at the 2016 EU Referendum</w:t>
      </w:r>
    </w:p>
    <w:p w14:paraId="2F99185E" w14:textId="77777777" w:rsidR="00694542" w:rsidRDefault="00694542" w:rsidP="00694542">
      <w:pPr>
        <w:pStyle w:val="ListParagraph"/>
        <w:numPr>
          <w:ilvl w:val="0"/>
          <w:numId w:val="6"/>
        </w:numPr>
      </w:pPr>
      <w:r>
        <w:t>Which way they voted at the 2016 EU Referendum</w:t>
      </w:r>
    </w:p>
    <w:p w14:paraId="1F48A811" w14:textId="77777777" w:rsidR="00694542" w:rsidRDefault="00694542" w:rsidP="00694542">
      <w:pPr>
        <w:pStyle w:val="ListParagraph"/>
        <w:numPr>
          <w:ilvl w:val="0"/>
          <w:numId w:val="6"/>
        </w:numPr>
      </w:pPr>
      <w:r>
        <w:t>If they voted at the 2019 General Election</w:t>
      </w:r>
    </w:p>
    <w:p w14:paraId="41644674" w14:textId="77777777" w:rsidR="00694542" w:rsidRDefault="00694542" w:rsidP="004B4D0A">
      <w:pPr>
        <w:pStyle w:val="ListParagraph"/>
        <w:numPr>
          <w:ilvl w:val="0"/>
          <w:numId w:val="6"/>
        </w:numPr>
      </w:pPr>
      <w:r>
        <w:t xml:space="preserve">Which sort of party </w:t>
      </w:r>
      <w:r w:rsidR="004B4D0A">
        <w:t xml:space="preserve">(pro- or anti-Brexit) </w:t>
      </w:r>
      <w:r>
        <w:t>the</w:t>
      </w:r>
      <w:r w:rsidR="004B4D0A">
        <w:t>y</w:t>
      </w:r>
      <w:r>
        <w:t xml:space="preserve"> voted for at the 2019 General Election.</w:t>
      </w:r>
    </w:p>
    <w:p w14:paraId="3EEFA569" w14:textId="16FF3E1D" w:rsidR="009E2E09" w:rsidRDefault="005B0958" w:rsidP="00C62778">
      <w:r>
        <w:t>Using Chi-Square tests, w</w:t>
      </w:r>
      <w:r w:rsidR="005244E3">
        <w:t xml:space="preserve">e found that </w:t>
      </w:r>
      <w:r w:rsidR="005244E3" w:rsidRPr="00D45FCB">
        <w:rPr>
          <w:bCs/>
        </w:rPr>
        <w:t>younger people</w:t>
      </w:r>
      <w:r w:rsidR="005244E3">
        <w:t xml:space="preserve"> were more likely than older people to have experienced these forms of electoral fraud (for those aged 18-24, 20% had been victimised, dropping in a more or less linear fashion to less than </w:t>
      </w:r>
      <w:r w:rsidR="004E3CE7">
        <w:t>1%</w:t>
      </w:r>
      <w:r w:rsidR="005244E3">
        <w:t xml:space="preserve"> for those aged </w:t>
      </w:r>
      <w:r w:rsidR="004E3CE7">
        <w:t>&gt;</w:t>
      </w:r>
      <w:r w:rsidR="005244E3">
        <w:t xml:space="preserve">75, p = &lt;.000). </w:t>
      </w:r>
      <w:r w:rsidR="004B4D0A" w:rsidRPr="00D45FCB">
        <w:rPr>
          <w:bCs/>
        </w:rPr>
        <w:t>M</w:t>
      </w:r>
      <w:r w:rsidR="005244E3" w:rsidRPr="00D45FCB">
        <w:rPr>
          <w:bCs/>
        </w:rPr>
        <w:t>ales</w:t>
      </w:r>
      <w:r w:rsidR="005244E3">
        <w:t xml:space="preserve"> were </w:t>
      </w:r>
      <w:r w:rsidR="004B4D0A">
        <w:t>more</w:t>
      </w:r>
      <w:r w:rsidR="005244E3">
        <w:t xml:space="preserve"> likely than </w:t>
      </w:r>
      <w:r w:rsidR="004B4D0A">
        <w:t>fe</w:t>
      </w:r>
      <w:r w:rsidR="005244E3">
        <w:t xml:space="preserve">males to have experienced electoral fraud (6% vs 13%, p = &lt;.000), whilst those with </w:t>
      </w:r>
      <w:r w:rsidR="005244E3" w:rsidRPr="00D45FCB">
        <w:rPr>
          <w:bCs/>
        </w:rPr>
        <w:t>degrees</w:t>
      </w:r>
      <w:r w:rsidR="005244E3">
        <w:t xml:space="preserve"> were more likely report experiencing such victimisation (13% vs. 9% for the population as a whole, p = .002). The data on </w:t>
      </w:r>
      <w:r w:rsidR="005244E3" w:rsidRPr="00D45FCB">
        <w:rPr>
          <w:bCs/>
        </w:rPr>
        <w:t>household income</w:t>
      </w:r>
      <w:r w:rsidR="00752E62">
        <w:t xml:space="preserve"> suggested a U-</w:t>
      </w:r>
      <w:r w:rsidR="005244E3">
        <w:t xml:space="preserve">distribution, with the </w:t>
      </w:r>
      <w:r w:rsidR="00752E62">
        <w:t>lowest income households (&lt;</w:t>
      </w:r>
      <w:r w:rsidR="005244E3">
        <w:t xml:space="preserve">£24,999 p.a.) having the greatest levels of victimisation (12%), whilst 10% of those in households of </w:t>
      </w:r>
      <w:r w:rsidR="00752E62">
        <w:t>&gt;</w:t>
      </w:r>
      <w:r w:rsidR="005244E3">
        <w:t>£50,000 and 7% of those in households earning £25,000 to £49,999 were similarly victimised (p = .016).</w:t>
      </w:r>
      <w:r w:rsidR="00794C7C">
        <w:t xml:space="preserve"> </w:t>
      </w:r>
    </w:p>
    <w:p w14:paraId="0AA97BBF" w14:textId="57B92F87" w:rsidR="004B4D0A" w:rsidRDefault="009E2E09" w:rsidP="004B4D0A">
      <w:r>
        <w:t xml:space="preserve">Ethnic identity presented some contrasting experiences, with 25% of </w:t>
      </w:r>
      <w:r w:rsidRPr="00D45FCB">
        <w:rPr>
          <w:bCs/>
        </w:rPr>
        <w:t>Asian</w:t>
      </w:r>
      <w:r w:rsidRPr="004B4D0A">
        <w:rPr>
          <w:b/>
        </w:rPr>
        <w:t xml:space="preserve"> </w:t>
      </w:r>
      <w:r>
        <w:t xml:space="preserve">people reporting experience of electoral fraud, dropping to 17% for Chinese (including other Asians), 13% for Black respondents, 8% for white British people and 6% for dual heritage respondents (p = .001). </w:t>
      </w:r>
      <w:r w:rsidR="00BA5E30">
        <w:t xml:space="preserve">There were no statistically significant differences for housing tenure (9% of owners, 10% of private renters, 8% of those in social housing and 9% of those in other tenure types had experienced electoral fraud).  </w:t>
      </w:r>
      <w:r w:rsidR="002D7C88">
        <w:t xml:space="preserve">When socio-economic group was examined, it was </w:t>
      </w:r>
      <w:r w:rsidR="002D7C88" w:rsidRPr="00D45FCB">
        <w:rPr>
          <w:bCs/>
        </w:rPr>
        <w:t>C2</w:t>
      </w:r>
      <w:r w:rsidR="002D7C88" w:rsidRPr="000453BE">
        <w:rPr>
          <w:bCs/>
        </w:rPr>
        <w:t>s</w:t>
      </w:r>
      <w:r w:rsidR="002D7C88">
        <w:t xml:space="preserve"> wh</w:t>
      </w:r>
      <w:r w:rsidR="00752E62">
        <w:t>o reported</w:t>
      </w:r>
      <w:r w:rsidR="002D7C88">
        <w:t xml:space="preserve"> the highest level of election fraud victimisation (16%), followed by the Ds (11%), and the As (11%), with the remainder general</w:t>
      </w:r>
      <w:r w:rsidR="000E2001">
        <w:t>ly</w:t>
      </w:r>
      <w:r w:rsidR="002D7C88">
        <w:t xml:space="preserve"> much lower (the C1s were 9%, the Es were 5% and the Bs were 5%</w:t>
      </w:r>
      <w:r w:rsidR="008234BB">
        <w:t>, p = &lt;.000</w:t>
      </w:r>
      <w:r w:rsidR="002D7C88">
        <w:t>).</w:t>
      </w:r>
      <w:r w:rsidR="008234BB">
        <w:t xml:space="preserve"> Region of residence also suggested some intriguing differences with </w:t>
      </w:r>
      <w:r w:rsidR="008234BB" w:rsidRPr="00D45FCB">
        <w:rPr>
          <w:bCs/>
        </w:rPr>
        <w:t>Yorkshire and the Humber</w:t>
      </w:r>
      <w:r w:rsidR="008234BB">
        <w:t xml:space="preserve"> b</w:t>
      </w:r>
      <w:r w:rsidR="00B07768">
        <w:t>e</w:t>
      </w:r>
      <w:r w:rsidR="008234BB">
        <w:t>ing the highest (17%), followed by the East of England (12%), Scotland (12%), The South West (10%), East Midlands (9%), North East (8%), North West, West Midlands and London (all 7%), and then Wales and South East England, both 5%, p = .026).</w:t>
      </w:r>
      <w:r w:rsidR="002E69CE">
        <w:t xml:space="preserve"> The Output Area Classifications suggested that those living in </w:t>
      </w:r>
      <w:r w:rsidR="002E69CE" w:rsidRPr="00D45FCB">
        <w:rPr>
          <w:bCs/>
        </w:rPr>
        <w:t>Cosmopolitan Areas</w:t>
      </w:r>
      <w:r w:rsidR="002E69CE">
        <w:t xml:space="preserve"> (30%) were by far those most likely to report victimisation, with the next highest (respectively 12% and 11%) </w:t>
      </w:r>
      <w:r w:rsidR="000E2001">
        <w:t xml:space="preserve">being </w:t>
      </w:r>
      <w:r w:rsidR="002E69CE">
        <w:t xml:space="preserve">those living in </w:t>
      </w:r>
      <w:r w:rsidR="002E69CE" w:rsidRPr="00D45FCB">
        <w:rPr>
          <w:bCs/>
        </w:rPr>
        <w:t>Multicultural Metropolitan</w:t>
      </w:r>
      <w:r w:rsidR="002E69CE">
        <w:t xml:space="preserve"> areas and those in </w:t>
      </w:r>
      <w:r w:rsidR="002E69CE" w:rsidRPr="00D45FCB">
        <w:rPr>
          <w:bCs/>
        </w:rPr>
        <w:t>Ethnicity Central</w:t>
      </w:r>
      <w:r w:rsidR="002E69CE">
        <w:t xml:space="preserve">. </w:t>
      </w:r>
      <w:r w:rsidR="00BF7F08">
        <w:t>(All of t</w:t>
      </w:r>
      <w:r w:rsidR="00BF7F08" w:rsidRPr="00E80ED0">
        <w:t>hese areas are marked out for being densely populated urban areas with a high ethnic integration and a younger age-profile of residents</w:t>
      </w:r>
      <w:r w:rsidR="00BF7F08">
        <w:t>,</w:t>
      </w:r>
      <w:r w:rsidR="00BF7F08" w:rsidRPr="00E80ED0">
        <w:t xml:space="preserve"> ONS, 2015).</w:t>
      </w:r>
      <w:r w:rsidR="00BF7F08">
        <w:t xml:space="preserve"> </w:t>
      </w:r>
      <w:r w:rsidR="002E69CE">
        <w:t xml:space="preserve">Other groups tended to be below the national average of 9% and ranged from 5.6% to 7.3%, p = &lt;.000). </w:t>
      </w:r>
      <w:r w:rsidR="004B4D0A">
        <w:t xml:space="preserve">There were no statistically significant differences by tenure (owners = 9%; private renters = 10%; social housing = 8% and other groups = 9%, p = .859). </w:t>
      </w:r>
    </w:p>
    <w:p w14:paraId="22FD169F" w14:textId="6888F3A8" w:rsidR="00694542" w:rsidRDefault="00B84C60" w:rsidP="00C62778">
      <w:r>
        <w:t xml:space="preserve">Those who did </w:t>
      </w:r>
      <w:r w:rsidRPr="004B4D0A">
        <w:rPr>
          <w:i/>
        </w:rPr>
        <w:t>not</w:t>
      </w:r>
      <w:r>
        <w:t xml:space="preserve"> vote at the </w:t>
      </w:r>
      <w:r w:rsidRPr="00D45FCB">
        <w:rPr>
          <w:bCs/>
        </w:rPr>
        <w:t>EU Referendum</w:t>
      </w:r>
      <w:r>
        <w:t xml:space="preserve"> were around twice as likely to experience electoral fraud as those who did not (12% vs. 6%, p = &lt;.000). There were no statistically significant differences in terms of experiences of fraud when voting to leave or remain in the EU was </w:t>
      </w:r>
      <w:r w:rsidR="00752E62">
        <w:t>examin</w:t>
      </w:r>
      <w:r>
        <w:t xml:space="preserve">ed. </w:t>
      </w:r>
      <w:r w:rsidR="00800465">
        <w:t xml:space="preserve">Voting or not voting in the 2019 General Election was also not related to experiences of fraud, but of those who did vote, those who voted for </w:t>
      </w:r>
      <w:r w:rsidR="00800465" w:rsidRPr="00D45FCB">
        <w:rPr>
          <w:bCs/>
        </w:rPr>
        <w:t>left-leaning parties</w:t>
      </w:r>
      <w:r w:rsidR="00800465">
        <w:t xml:space="preserve"> (Labour, the LibDems, PC, the SNP and the Greens) were more likely to have experienced electoral fraud than those who voted for right-leaning parties (such as The Conservatives or Brexit Party, 10% vs 6%, p = .018). </w:t>
      </w:r>
      <w:r>
        <w:t xml:space="preserve">  </w:t>
      </w:r>
      <w:r w:rsidR="002D7C88">
        <w:t xml:space="preserve"> </w:t>
      </w:r>
    </w:p>
    <w:p w14:paraId="122B71F5" w14:textId="77777777" w:rsidR="00362608" w:rsidRPr="009C290D" w:rsidRDefault="00362608" w:rsidP="003260E5">
      <w:pPr>
        <w:rPr>
          <w:b/>
          <w:bCs/>
          <w:iCs/>
          <w:color w:val="000000" w:themeColor="text1"/>
        </w:rPr>
      </w:pPr>
    </w:p>
    <w:p w14:paraId="235F85E1" w14:textId="77777777" w:rsidR="0061277D" w:rsidRPr="006C5950" w:rsidRDefault="0061277D" w:rsidP="0061277D">
      <w:pPr>
        <w:rPr>
          <w:i/>
        </w:rPr>
      </w:pPr>
      <w:r w:rsidRPr="006C5950">
        <w:rPr>
          <w:i/>
        </w:rPr>
        <w:t>Multivariate Modelling of Electoral Fraud Victimisation</w:t>
      </w:r>
    </w:p>
    <w:p w14:paraId="229FC150" w14:textId="7C6FFC81" w:rsidR="0061277D" w:rsidRDefault="00D25AF6" w:rsidP="0061277D">
      <w:r>
        <w:t>T</w:t>
      </w:r>
      <w:r w:rsidR="0061277D" w:rsidRPr="0061277D">
        <w:t xml:space="preserve">o assess the relative role of these socio-demographic characteristics we ran a </w:t>
      </w:r>
      <w:r>
        <w:t xml:space="preserve">series of </w:t>
      </w:r>
      <w:r w:rsidR="0061277D" w:rsidRPr="0061277D">
        <w:t>logistic regression</w:t>
      </w:r>
      <w:r w:rsidR="00930040">
        <w:t>s</w:t>
      </w:r>
      <w:r w:rsidR="0061277D" w:rsidRPr="0061277D">
        <w:t xml:space="preserve"> to measure</w:t>
      </w:r>
      <w:r w:rsidR="0061277D" w:rsidRPr="0061277D" w:rsidDel="00BD40E1">
        <w:t xml:space="preserve"> </w:t>
      </w:r>
      <w:r w:rsidR="0061277D" w:rsidRPr="0061277D">
        <w:t xml:space="preserve">which of these individual and neighbourhood level variables were </w:t>
      </w:r>
      <w:r>
        <w:t xml:space="preserve">more likely to have experienced </w:t>
      </w:r>
      <w:r w:rsidR="0061277D" w:rsidRPr="0061277D">
        <w:t xml:space="preserve">both forms of </w:t>
      </w:r>
      <w:r w:rsidR="0061277D">
        <w:t>electoral fraud</w:t>
      </w:r>
      <w:r w:rsidR="0061277D" w:rsidRPr="0061277D">
        <w:t xml:space="preserve"> combined (undue influence and personation). The dependent variable was dichotomously coded 0 and 1 for </w:t>
      </w:r>
      <w:r w:rsidR="006063C1">
        <w:t>victimisation</w:t>
      </w:r>
      <w:r w:rsidR="006063C1" w:rsidRPr="0061277D">
        <w:t xml:space="preserve"> </w:t>
      </w:r>
      <w:r w:rsidR="00CD504C">
        <w:t xml:space="preserve">of electoral fraud </w:t>
      </w:r>
      <w:r w:rsidR="0061277D" w:rsidRPr="0061277D">
        <w:t xml:space="preserve">or not.  In Table Five, statistically significant variables have been </w:t>
      </w:r>
      <w:r w:rsidR="00930040">
        <w:t>highlighted</w:t>
      </w:r>
      <w:r w:rsidR="0061277D" w:rsidRPr="0061277D">
        <w:t xml:space="preserve">. These analyses confirm that men were more likely than females to report incidences of </w:t>
      </w:r>
      <w:r w:rsidR="0061277D">
        <w:t>electoral fraud</w:t>
      </w:r>
      <w:r w:rsidR="0061277D" w:rsidRPr="0061277D">
        <w:t>, as were younger people (aged 18-24)</w:t>
      </w:r>
      <w:r w:rsidR="0061277D">
        <w:t xml:space="preserve"> </w:t>
      </w:r>
      <w:r w:rsidR="0061277D" w:rsidRPr="0061277D">
        <w:t xml:space="preserve">compared to </w:t>
      </w:r>
      <w:r w:rsidR="00930040">
        <w:t>those</w:t>
      </w:r>
      <w:r w:rsidR="0061277D" w:rsidRPr="0061277D">
        <w:t xml:space="preserve"> </w:t>
      </w:r>
      <w:r w:rsidR="00930040">
        <w:t>&gt;</w:t>
      </w:r>
      <w:r w:rsidR="0061277D" w:rsidRPr="0061277D">
        <w:t>45.  In th</w:t>
      </w:r>
      <w:r w:rsidR="00930040">
        <w:t>ese</w:t>
      </w:r>
      <w:r w:rsidR="0061277D" w:rsidRPr="0061277D">
        <w:t xml:space="preserve"> analys</w:t>
      </w:r>
      <w:r w:rsidR="00930040">
        <w:t>e</w:t>
      </w:r>
      <w:r w:rsidR="0061277D" w:rsidRPr="0061277D">
        <w:t xml:space="preserve">s, ethnicity did </w:t>
      </w:r>
      <w:r w:rsidR="0061277D" w:rsidRPr="00930040">
        <w:rPr>
          <w:i/>
        </w:rPr>
        <w:t>not</w:t>
      </w:r>
      <w:r w:rsidR="0061277D" w:rsidRPr="0061277D">
        <w:t xml:space="preserve"> prove to be a significant predictor, while </w:t>
      </w:r>
      <w:r w:rsidR="003369A1">
        <w:t>we</w:t>
      </w:r>
      <w:r w:rsidR="0061277D" w:rsidRPr="0061277D">
        <w:t xml:space="preserve"> identified those classified as B to be less likely to report </w:t>
      </w:r>
      <w:r w:rsidR="003369A1">
        <w:t>experience</w:t>
      </w:r>
      <w:r w:rsidR="0061277D" w:rsidRPr="0061277D">
        <w:t xml:space="preserve"> of </w:t>
      </w:r>
      <w:r w:rsidR="0061277D">
        <w:t>electoral fraud</w:t>
      </w:r>
      <w:r w:rsidR="0061277D" w:rsidRPr="0061277D">
        <w:t xml:space="preserve"> compared to those in the A category, </w:t>
      </w:r>
      <w:r w:rsidR="00BF1BF5">
        <w:t xml:space="preserve">in line with </w:t>
      </w:r>
      <w:r w:rsidR="0061277D" w:rsidRPr="0061277D">
        <w:t>the preliminary bivariate statistics. The variable with the largest odds ratio in this model (6.6) came from those who resided in Cosmopolitan Areas, who were over six times more likely to claim that they</w:t>
      </w:r>
      <w:r w:rsidR="003369A1">
        <w:t xml:space="preserve"> had been victimised </w:t>
      </w:r>
      <w:r w:rsidR="0061277D" w:rsidRPr="0061277D">
        <w:t>compared to rural residents. Meanwhile, private renters and those who lived in ‘other’ forms of tenure at the time of interview were found to be less likely than home-owners to have know</w:t>
      </w:r>
      <w:r w:rsidR="0061277D">
        <w:t>n</w:t>
      </w:r>
      <w:r w:rsidR="0061277D" w:rsidRPr="0061277D">
        <w:t xml:space="preserve"> of recent examples of </w:t>
      </w:r>
      <w:r w:rsidR="0061277D">
        <w:t>electoral fraud</w:t>
      </w:r>
      <w:r w:rsidR="0061277D" w:rsidRPr="0061277D">
        <w:t>. Finally, confirming the results above, this model found those who voted in the 2016 EU Referendum were</w:t>
      </w:r>
      <w:r w:rsidR="0061277D" w:rsidRPr="0061277D">
        <w:rPr>
          <w:i/>
        </w:rPr>
        <w:t xml:space="preserve"> less</w:t>
      </w:r>
      <w:r w:rsidR="0061277D" w:rsidRPr="0061277D">
        <w:t xml:space="preserve"> likely to report </w:t>
      </w:r>
      <w:r w:rsidR="0061277D">
        <w:t>knowledge of electoral fraud</w:t>
      </w:r>
      <w:r w:rsidR="0061277D" w:rsidRPr="0061277D">
        <w:t xml:space="preserve"> than those who did not. Conversely, those who voted in the general election of 2019 were </w:t>
      </w:r>
      <w:r w:rsidR="0061277D" w:rsidRPr="0061277D">
        <w:rPr>
          <w:i/>
        </w:rPr>
        <w:t>more</w:t>
      </w:r>
      <w:r w:rsidR="0061277D" w:rsidRPr="0061277D">
        <w:t xml:space="preserve"> likely to state that they knew of specific instances of fraud. These results indicate that recent voting behaviour has a varied and contrary impact on experience </w:t>
      </w:r>
      <w:r w:rsidR="0061277D">
        <w:t>of electoral fraud</w:t>
      </w:r>
      <w:r w:rsidR="0061277D" w:rsidRPr="0061277D">
        <w:t>. The core reason for is likely to multifacet</w:t>
      </w:r>
      <w:r w:rsidR="000164CD">
        <w:t>ed, however</w:t>
      </w:r>
      <w:r w:rsidR="0061277D" w:rsidRPr="0061277D">
        <w:t>.</w:t>
      </w:r>
    </w:p>
    <w:p w14:paraId="2F2E9DC2" w14:textId="09413355" w:rsidR="00E237C2" w:rsidRPr="00E237C2" w:rsidRDefault="00E237C2" w:rsidP="00E237C2">
      <w:pPr>
        <w:spacing w:after="0" w:line="240" w:lineRule="auto"/>
        <w:jc w:val="center"/>
        <w:rPr>
          <w:b/>
        </w:rPr>
      </w:pPr>
      <w:r w:rsidRPr="00E237C2">
        <w:rPr>
          <w:b/>
        </w:rPr>
        <w:t>Table Five: Logistic Regression Analysis</w:t>
      </w:r>
      <w:r w:rsidR="00BB4244">
        <w:rPr>
          <w:b/>
        </w:rPr>
        <w:t xml:space="preserve"> of</w:t>
      </w:r>
      <w:r w:rsidRPr="00E237C2">
        <w:rPr>
          <w:b/>
        </w:rPr>
        <w:t xml:space="preserve"> Reported Incidences of Electoral Fraud by Social Demographic Characteristics. </w:t>
      </w:r>
    </w:p>
    <w:tbl>
      <w:tblPr>
        <w:tblW w:w="8789" w:type="dxa"/>
        <w:tblInd w:w="-289" w:type="dxa"/>
        <w:tblLook w:val="04A0" w:firstRow="1" w:lastRow="0" w:firstColumn="1" w:lastColumn="0" w:noHBand="0" w:noVBand="1"/>
      </w:tblPr>
      <w:tblGrid>
        <w:gridCol w:w="6096"/>
        <w:gridCol w:w="1418"/>
        <w:gridCol w:w="1275"/>
      </w:tblGrid>
      <w:tr w:rsidR="00E237C2" w:rsidRPr="00E237C2" w14:paraId="1D92B6AF" w14:textId="77777777" w:rsidTr="00E237C2">
        <w:trPr>
          <w:trHeight w:val="24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66F28B" w14:textId="77777777" w:rsidR="00E237C2" w:rsidRPr="00E237C2" w:rsidRDefault="00E237C2" w:rsidP="00E237C2">
            <w:pPr>
              <w:spacing w:after="0" w:line="240" w:lineRule="auto"/>
              <w:jc w:val="center"/>
              <w:rPr>
                <w:b/>
              </w:rPr>
            </w:pPr>
            <w:r w:rsidRPr="00E237C2">
              <w:rPr>
                <w:b/>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A739AE2" w14:textId="77777777" w:rsidR="00E237C2" w:rsidRPr="00E237C2" w:rsidRDefault="00E237C2" w:rsidP="00E237C2">
            <w:pPr>
              <w:spacing w:after="0" w:line="240" w:lineRule="auto"/>
              <w:jc w:val="center"/>
              <w:rPr>
                <w:b/>
              </w:rPr>
            </w:pPr>
            <w:r w:rsidRPr="00E237C2">
              <w:rPr>
                <w:b/>
              </w:rPr>
              <w:t>Sig.</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009A884" w14:textId="77777777" w:rsidR="00E237C2" w:rsidRPr="00E237C2" w:rsidRDefault="00E237C2" w:rsidP="00E237C2">
            <w:pPr>
              <w:spacing w:after="0" w:line="240" w:lineRule="auto"/>
              <w:jc w:val="center"/>
              <w:rPr>
                <w:b/>
              </w:rPr>
            </w:pPr>
            <w:r w:rsidRPr="00E237C2">
              <w:rPr>
                <w:b/>
              </w:rPr>
              <w:t>Exp(B)</w:t>
            </w:r>
          </w:p>
        </w:tc>
      </w:tr>
      <w:tr w:rsidR="00E237C2" w:rsidRPr="00E237C2" w14:paraId="62524DE5"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20770C2D" w14:textId="77777777" w:rsidR="00E237C2" w:rsidRPr="00E237C2" w:rsidRDefault="00E237C2" w:rsidP="00E237C2">
            <w:pPr>
              <w:spacing w:after="0" w:line="240" w:lineRule="auto"/>
            </w:pPr>
            <w:r w:rsidRPr="00E237C2">
              <w:t>Sex (Male =0, Female=1)</w:t>
            </w:r>
          </w:p>
        </w:tc>
        <w:tc>
          <w:tcPr>
            <w:tcW w:w="1418" w:type="dxa"/>
            <w:tcBorders>
              <w:top w:val="nil"/>
              <w:left w:val="nil"/>
              <w:bottom w:val="single" w:sz="4" w:space="0" w:color="auto"/>
              <w:right w:val="single" w:sz="4" w:space="0" w:color="auto"/>
            </w:tcBorders>
            <w:shd w:val="clear" w:color="auto" w:fill="auto"/>
            <w:noWrap/>
            <w:hideMark/>
          </w:tcPr>
          <w:p w14:paraId="121AE175" w14:textId="77777777" w:rsidR="00E237C2" w:rsidRPr="00E237C2" w:rsidRDefault="00E237C2" w:rsidP="00E237C2">
            <w:pPr>
              <w:spacing w:after="0" w:line="240" w:lineRule="auto"/>
              <w:jc w:val="center"/>
            </w:pPr>
            <w:r w:rsidRPr="00E237C2">
              <w:t>***</w:t>
            </w:r>
          </w:p>
        </w:tc>
        <w:tc>
          <w:tcPr>
            <w:tcW w:w="1275" w:type="dxa"/>
            <w:tcBorders>
              <w:top w:val="nil"/>
              <w:left w:val="nil"/>
              <w:bottom w:val="single" w:sz="4" w:space="0" w:color="auto"/>
              <w:right w:val="single" w:sz="4" w:space="0" w:color="auto"/>
            </w:tcBorders>
            <w:shd w:val="clear" w:color="auto" w:fill="auto"/>
            <w:noWrap/>
            <w:hideMark/>
          </w:tcPr>
          <w:p w14:paraId="2C480771" w14:textId="77777777" w:rsidR="00E237C2" w:rsidRPr="00E237C2" w:rsidRDefault="00E237C2" w:rsidP="00E237C2">
            <w:pPr>
              <w:spacing w:after="0" w:line="240" w:lineRule="auto"/>
              <w:jc w:val="right"/>
            </w:pPr>
            <w:r w:rsidRPr="00E237C2">
              <w:t>0.407</w:t>
            </w:r>
          </w:p>
        </w:tc>
      </w:tr>
      <w:tr w:rsidR="00E237C2" w:rsidRPr="00E237C2" w14:paraId="41883A52"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0A832DDA" w14:textId="77777777" w:rsidR="00E237C2" w:rsidRPr="00E237C2" w:rsidRDefault="00E237C2" w:rsidP="00E237C2">
            <w:pPr>
              <w:spacing w:after="0" w:line="240" w:lineRule="auto"/>
            </w:pPr>
            <w:r w:rsidRPr="00E237C2">
              <w:t>Age Group 18-24</w:t>
            </w:r>
          </w:p>
        </w:tc>
        <w:tc>
          <w:tcPr>
            <w:tcW w:w="1418" w:type="dxa"/>
            <w:tcBorders>
              <w:top w:val="nil"/>
              <w:left w:val="nil"/>
              <w:bottom w:val="single" w:sz="4" w:space="0" w:color="auto"/>
              <w:right w:val="single" w:sz="4" w:space="0" w:color="auto"/>
            </w:tcBorders>
            <w:shd w:val="clear" w:color="auto" w:fill="auto"/>
            <w:noWrap/>
            <w:hideMark/>
          </w:tcPr>
          <w:p w14:paraId="6582A7A2" w14:textId="77777777" w:rsidR="00E237C2" w:rsidRPr="00E237C2" w:rsidRDefault="00E237C2" w:rsidP="00E237C2">
            <w:pPr>
              <w:spacing w:after="0" w:line="240" w:lineRule="auto"/>
              <w:jc w:val="center"/>
            </w:pPr>
            <w:r w:rsidRPr="00E237C2">
              <w:t>***</w:t>
            </w:r>
          </w:p>
        </w:tc>
        <w:tc>
          <w:tcPr>
            <w:tcW w:w="1275" w:type="dxa"/>
            <w:tcBorders>
              <w:top w:val="nil"/>
              <w:left w:val="nil"/>
              <w:bottom w:val="single" w:sz="4" w:space="0" w:color="auto"/>
              <w:right w:val="single" w:sz="4" w:space="0" w:color="auto"/>
            </w:tcBorders>
            <w:shd w:val="clear" w:color="auto" w:fill="auto"/>
            <w:hideMark/>
          </w:tcPr>
          <w:p w14:paraId="6065EED5" w14:textId="77777777" w:rsidR="00E237C2" w:rsidRPr="00E237C2" w:rsidRDefault="00E237C2" w:rsidP="00E237C2">
            <w:pPr>
              <w:spacing w:after="0" w:line="240" w:lineRule="auto"/>
              <w:jc w:val="right"/>
            </w:pPr>
            <w:r w:rsidRPr="00E237C2">
              <w:t> </w:t>
            </w:r>
          </w:p>
        </w:tc>
      </w:tr>
      <w:tr w:rsidR="00E237C2" w:rsidRPr="00E237C2" w14:paraId="63D616FD"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22322692" w14:textId="77777777" w:rsidR="00E237C2" w:rsidRPr="00E237C2" w:rsidRDefault="00E237C2" w:rsidP="00E237C2">
            <w:pPr>
              <w:spacing w:after="0" w:line="240" w:lineRule="auto"/>
            </w:pPr>
            <w:r w:rsidRPr="00E237C2">
              <w:t>Age Group 25-34</w:t>
            </w:r>
          </w:p>
        </w:tc>
        <w:tc>
          <w:tcPr>
            <w:tcW w:w="1418" w:type="dxa"/>
            <w:tcBorders>
              <w:top w:val="nil"/>
              <w:left w:val="nil"/>
              <w:bottom w:val="single" w:sz="4" w:space="0" w:color="auto"/>
              <w:right w:val="single" w:sz="4" w:space="0" w:color="auto"/>
            </w:tcBorders>
            <w:shd w:val="clear" w:color="auto" w:fill="auto"/>
            <w:noWrap/>
            <w:hideMark/>
          </w:tcPr>
          <w:p w14:paraId="78FE6D27"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53AE6143" w14:textId="77777777" w:rsidR="00E237C2" w:rsidRPr="00E237C2" w:rsidRDefault="00E237C2" w:rsidP="00E237C2">
            <w:pPr>
              <w:spacing w:after="0" w:line="240" w:lineRule="auto"/>
              <w:jc w:val="right"/>
            </w:pPr>
            <w:r w:rsidRPr="00E237C2">
              <w:t>0.835</w:t>
            </w:r>
          </w:p>
        </w:tc>
      </w:tr>
      <w:tr w:rsidR="00E237C2" w:rsidRPr="00E237C2" w14:paraId="50CC7D12"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273CC4F9" w14:textId="77777777" w:rsidR="00E237C2" w:rsidRPr="00E237C2" w:rsidRDefault="00E237C2" w:rsidP="00E237C2">
            <w:pPr>
              <w:spacing w:after="0" w:line="240" w:lineRule="auto"/>
            </w:pPr>
            <w:r w:rsidRPr="00E237C2">
              <w:t>Age Group 35-44</w:t>
            </w:r>
          </w:p>
        </w:tc>
        <w:tc>
          <w:tcPr>
            <w:tcW w:w="1418" w:type="dxa"/>
            <w:tcBorders>
              <w:top w:val="nil"/>
              <w:left w:val="nil"/>
              <w:bottom w:val="single" w:sz="4" w:space="0" w:color="auto"/>
              <w:right w:val="single" w:sz="4" w:space="0" w:color="auto"/>
            </w:tcBorders>
            <w:shd w:val="clear" w:color="auto" w:fill="auto"/>
            <w:noWrap/>
            <w:hideMark/>
          </w:tcPr>
          <w:p w14:paraId="615D4EDC"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53A735EC" w14:textId="77777777" w:rsidR="00E237C2" w:rsidRPr="00E237C2" w:rsidRDefault="00E237C2" w:rsidP="00E237C2">
            <w:pPr>
              <w:spacing w:after="0" w:line="240" w:lineRule="auto"/>
              <w:jc w:val="right"/>
            </w:pPr>
            <w:r w:rsidRPr="00E237C2">
              <w:t>0.630</w:t>
            </w:r>
          </w:p>
        </w:tc>
      </w:tr>
      <w:tr w:rsidR="00E237C2" w:rsidRPr="00E237C2" w14:paraId="0D585DDA"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4FE6E950" w14:textId="77777777" w:rsidR="00E237C2" w:rsidRPr="00E237C2" w:rsidRDefault="00E237C2" w:rsidP="00E237C2">
            <w:pPr>
              <w:spacing w:after="0" w:line="240" w:lineRule="auto"/>
            </w:pPr>
            <w:r w:rsidRPr="00E237C2">
              <w:t>Age Group 45-54</w:t>
            </w:r>
          </w:p>
        </w:tc>
        <w:tc>
          <w:tcPr>
            <w:tcW w:w="1418" w:type="dxa"/>
            <w:tcBorders>
              <w:top w:val="nil"/>
              <w:left w:val="nil"/>
              <w:bottom w:val="single" w:sz="4" w:space="0" w:color="auto"/>
              <w:right w:val="single" w:sz="4" w:space="0" w:color="auto"/>
            </w:tcBorders>
            <w:shd w:val="clear" w:color="auto" w:fill="auto"/>
            <w:noWrap/>
            <w:hideMark/>
          </w:tcPr>
          <w:p w14:paraId="689190BB" w14:textId="77777777" w:rsidR="00E237C2" w:rsidRPr="00E237C2" w:rsidRDefault="00E237C2" w:rsidP="00E237C2">
            <w:pPr>
              <w:spacing w:after="0" w:line="240" w:lineRule="auto"/>
              <w:jc w:val="center"/>
            </w:pPr>
            <w:r w:rsidRPr="00E237C2">
              <w:t>*</w:t>
            </w:r>
          </w:p>
        </w:tc>
        <w:tc>
          <w:tcPr>
            <w:tcW w:w="1275" w:type="dxa"/>
            <w:tcBorders>
              <w:top w:val="nil"/>
              <w:left w:val="nil"/>
              <w:bottom w:val="single" w:sz="4" w:space="0" w:color="auto"/>
              <w:right w:val="single" w:sz="4" w:space="0" w:color="auto"/>
            </w:tcBorders>
            <w:shd w:val="clear" w:color="auto" w:fill="auto"/>
            <w:noWrap/>
            <w:hideMark/>
          </w:tcPr>
          <w:p w14:paraId="336A3AA3" w14:textId="77777777" w:rsidR="00E237C2" w:rsidRPr="00E237C2" w:rsidRDefault="00E237C2" w:rsidP="00E237C2">
            <w:pPr>
              <w:spacing w:after="0" w:line="240" w:lineRule="auto"/>
              <w:jc w:val="right"/>
            </w:pPr>
            <w:r w:rsidRPr="00E237C2">
              <w:t>0.247</w:t>
            </w:r>
          </w:p>
        </w:tc>
      </w:tr>
      <w:tr w:rsidR="00E237C2" w:rsidRPr="00E237C2" w14:paraId="323F7CBF"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1215377C" w14:textId="77777777" w:rsidR="00E237C2" w:rsidRPr="00E237C2" w:rsidRDefault="00E237C2" w:rsidP="00E237C2">
            <w:pPr>
              <w:spacing w:after="0" w:line="240" w:lineRule="auto"/>
            </w:pPr>
            <w:r w:rsidRPr="00E237C2">
              <w:t>Age Group 55-64</w:t>
            </w:r>
          </w:p>
        </w:tc>
        <w:tc>
          <w:tcPr>
            <w:tcW w:w="1418" w:type="dxa"/>
            <w:tcBorders>
              <w:top w:val="nil"/>
              <w:left w:val="nil"/>
              <w:bottom w:val="single" w:sz="4" w:space="0" w:color="auto"/>
              <w:right w:val="single" w:sz="4" w:space="0" w:color="auto"/>
            </w:tcBorders>
            <w:shd w:val="clear" w:color="auto" w:fill="auto"/>
            <w:noWrap/>
            <w:hideMark/>
          </w:tcPr>
          <w:p w14:paraId="52FE47DE" w14:textId="77777777" w:rsidR="00E237C2" w:rsidRPr="00E237C2" w:rsidRDefault="00E237C2" w:rsidP="00E237C2">
            <w:pPr>
              <w:spacing w:after="0" w:line="240" w:lineRule="auto"/>
              <w:jc w:val="center"/>
            </w:pPr>
            <w:r w:rsidRPr="00E237C2">
              <w:t>***</w:t>
            </w:r>
          </w:p>
        </w:tc>
        <w:tc>
          <w:tcPr>
            <w:tcW w:w="1275" w:type="dxa"/>
            <w:tcBorders>
              <w:top w:val="nil"/>
              <w:left w:val="nil"/>
              <w:bottom w:val="single" w:sz="4" w:space="0" w:color="auto"/>
              <w:right w:val="single" w:sz="4" w:space="0" w:color="auto"/>
            </w:tcBorders>
            <w:shd w:val="clear" w:color="auto" w:fill="auto"/>
            <w:noWrap/>
            <w:hideMark/>
          </w:tcPr>
          <w:p w14:paraId="0017F5DB" w14:textId="77777777" w:rsidR="00E237C2" w:rsidRPr="00E237C2" w:rsidRDefault="00E237C2" w:rsidP="00E237C2">
            <w:pPr>
              <w:spacing w:after="0" w:line="240" w:lineRule="auto"/>
              <w:jc w:val="right"/>
            </w:pPr>
            <w:r w:rsidRPr="00E237C2">
              <w:t>0.047</w:t>
            </w:r>
          </w:p>
        </w:tc>
      </w:tr>
      <w:tr w:rsidR="00E237C2" w:rsidRPr="00E237C2" w14:paraId="02E5518B"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48A168FB" w14:textId="77777777" w:rsidR="00E237C2" w:rsidRPr="00E237C2" w:rsidRDefault="00E237C2" w:rsidP="00E237C2">
            <w:pPr>
              <w:spacing w:after="0" w:line="240" w:lineRule="auto"/>
            </w:pPr>
            <w:r w:rsidRPr="00E237C2">
              <w:t>Age Group 65-74</w:t>
            </w:r>
          </w:p>
        </w:tc>
        <w:tc>
          <w:tcPr>
            <w:tcW w:w="1418" w:type="dxa"/>
            <w:tcBorders>
              <w:top w:val="nil"/>
              <w:left w:val="nil"/>
              <w:bottom w:val="single" w:sz="4" w:space="0" w:color="auto"/>
              <w:right w:val="single" w:sz="4" w:space="0" w:color="auto"/>
            </w:tcBorders>
            <w:shd w:val="clear" w:color="auto" w:fill="auto"/>
            <w:noWrap/>
            <w:hideMark/>
          </w:tcPr>
          <w:p w14:paraId="73453222" w14:textId="77777777" w:rsidR="00E237C2" w:rsidRPr="00E237C2" w:rsidRDefault="00E237C2" w:rsidP="00E237C2">
            <w:pPr>
              <w:spacing w:after="0" w:line="240" w:lineRule="auto"/>
              <w:jc w:val="center"/>
            </w:pPr>
            <w:r w:rsidRPr="00E237C2">
              <w:t>**</w:t>
            </w:r>
          </w:p>
        </w:tc>
        <w:tc>
          <w:tcPr>
            <w:tcW w:w="1275" w:type="dxa"/>
            <w:tcBorders>
              <w:top w:val="nil"/>
              <w:left w:val="nil"/>
              <w:bottom w:val="single" w:sz="4" w:space="0" w:color="auto"/>
              <w:right w:val="single" w:sz="4" w:space="0" w:color="auto"/>
            </w:tcBorders>
            <w:shd w:val="clear" w:color="auto" w:fill="auto"/>
            <w:noWrap/>
            <w:hideMark/>
          </w:tcPr>
          <w:p w14:paraId="40A13119" w14:textId="77777777" w:rsidR="00E237C2" w:rsidRPr="00E237C2" w:rsidRDefault="00E237C2" w:rsidP="00E237C2">
            <w:pPr>
              <w:spacing w:after="0" w:line="240" w:lineRule="auto"/>
              <w:jc w:val="right"/>
            </w:pPr>
            <w:r w:rsidRPr="00E237C2">
              <w:t>0.122</w:t>
            </w:r>
          </w:p>
        </w:tc>
      </w:tr>
      <w:tr w:rsidR="00E237C2" w:rsidRPr="00E237C2" w14:paraId="15AC1C61"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32760396" w14:textId="77777777" w:rsidR="00E237C2" w:rsidRPr="00E237C2" w:rsidRDefault="00E237C2" w:rsidP="00E237C2">
            <w:pPr>
              <w:spacing w:after="0" w:line="240" w:lineRule="auto"/>
            </w:pPr>
            <w:r w:rsidRPr="00E237C2">
              <w:t>Age Group 75+</w:t>
            </w:r>
          </w:p>
        </w:tc>
        <w:tc>
          <w:tcPr>
            <w:tcW w:w="1418" w:type="dxa"/>
            <w:tcBorders>
              <w:top w:val="nil"/>
              <w:left w:val="nil"/>
              <w:bottom w:val="single" w:sz="4" w:space="0" w:color="auto"/>
              <w:right w:val="single" w:sz="4" w:space="0" w:color="auto"/>
            </w:tcBorders>
            <w:shd w:val="clear" w:color="auto" w:fill="auto"/>
            <w:noWrap/>
            <w:hideMark/>
          </w:tcPr>
          <w:p w14:paraId="74744CE9" w14:textId="77777777" w:rsidR="00E237C2" w:rsidRPr="00E237C2" w:rsidRDefault="00E237C2" w:rsidP="00E237C2">
            <w:pPr>
              <w:spacing w:after="0" w:line="240" w:lineRule="auto"/>
              <w:jc w:val="center"/>
            </w:pPr>
            <w:r w:rsidRPr="00E237C2">
              <w:t>*</w:t>
            </w:r>
          </w:p>
        </w:tc>
        <w:tc>
          <w:tcPr>
            <w:tcW w:w="1275" w:type="dxa"/>
            <w:tcBorders>
              <w:top w:val="nil"/>
              <w:left w:val="nil"/>
              <w:bottom w:val="single" w:sz="4" w:space="0" w:color="auto"/>
              <w:right w:val="single" w:sz="4" w:space="0" w:color="auto"/>
            </w:tcBorders>
            <w:shd w:val="clear" w:color="auto" w:fill="auto"/>
            <w:noWrap/>
            <w:hideMark/>
          </w:tcPr>
          <w:p w14:paraId="2CB77910" w14:textId="77777777" w:rsidR="00E237C2" w:rsidRPr="00E237C2" w:rsidRDefault="00E237C2" w:rsidP="00E237C2">
            <w:pPr>
              <w:spacing w:after="0" w:line="240" w:lineRule="auto"/>
              <w:jc w:val="right"/>
            </w:pPr>
            <w:r w:rsidRPr="00E237C2">
              <w:t>0.029</w:t>
            </w:r>
          </w:p>
        </w:tc>
      </w:tr>
      <w:tr w:rsidR="00E237C2" w:rsidRPr="00E237C2" w14:paraId="47E9E87C"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06C9663F" w14:textId="77777777" w:rsidR="00E237C2" w:rsidRPr="00E237C2" w:rsidRDefault="00E237C2" w:rsidP="00E237C2">
            <w:pPr>
              <w:spacing w:after="0" w:line="240" w:lineRule="auto"/>
            </w:pPr>
            <w:r w:rsidRPr="00E237C2">
              <w:t>Ethnicity: White</w:t>
            </w:r>
          </w:p>
        </w:tc>
        <w:tc>
          <w:tcPr>
            <w:tcW w:w="1418" w:type="dxa"/>
            <w:tcBorders>
              <w:top w:val="nil"/>
              <w:left w:val="nil"/>
              <w:bottom w:val="single" w:sz="4" w:space="0" w:color="auto"/>
              <w:right w:val="single" w:sz="4" w:space="0" w:color="auto"/>
            </w:tcBorders>
            <w:shd w:val="clear" w:color="auto" w:fill="auto"/>
            <w:noWrap/>
            <w:hideMark/>
          </w:tcPr>
          <w:p w14:paraId="77642A6B"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hideMark/>
          </w:tcPr>
          <w:p w14:paraId="58BC392A" w14:textId="77777777" w:rsidR="00E237C2" w:rsidRPr="00E237C2" w:rsidRDefault="00E237C2" w:rsidP="00E237C2">
            <w:pPr>
              <w:spacing w:after="0" w:line="240" w:lineRule="auto"/>
              <w:jc w:val="right"/>
            </w:pPr>
            <w:r w:rsidRPr="00E237C2">
              <w:t> </w:t>
            </w:r>
          </w:p>
        </w:tc>
      </w:tr>
      <w:tr w:rsidR="00E237C2" w:rsidRPr="00E237C2" w14:paraId="0D43D2D4"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7388A9EC" w14:textId="77777777" w:rsidR="00E237C2" w:rsidRPr="00E237C2" w:rsidRDefault="00E237C2" w:rsidP="00E237C2">
            <w:pPr>
              <w:spacing w:after="0" w:line="240" w:lineRule="auto"/>
            </w:pPr>
            <w:r w:rsidRPr="00E237C2">
              <w:t>Dual heritage</w:t>
            </w:r>
          </w:p>
        </w:tc>
        <w:tc>
          <w:tcPr>
            <w:tcW w:w="1418" w:type="dxa"/>
            <w:tcBorders>
              <w:top w:val="nil"/>
              <w:left w:val="nil"/>
              <w:bottom w:val="single" w:sz="4" w:space="0" w:color="auto"/>
              <w:right w:val="single" w:sz="4" w:space="0" w:color="auto"/>
            </w:tcBorders>
            <w:shd w:val="clear" w:color="auto" w:fill="auto"/>
            <w:noWrap/>
            <w:hideMark/>
          </w:tcPr>
          <w:p w14:paraId="5CEBAA82"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57F92D18" w14:textId="77777777" w:rsidR="00E237C2" w:rsidRPr="00E237C2" w:rsidRDefault="00E237C2" w:rsidP="00E237C2">
            <w:pPr>
              <w:spacing w:after="0" w:line="240" w:lineRule="auto"/>
              <w:jc w:val="right"/>
            </w:pPr>
            <w:r w:rsidRPr="00E237C2">
              <w:t>0.408</w:t>
            </w:r>
          </w:p>
        </w:tc>
      </w:tr>
      <w:tr w:rsidR="00E237C2" w:rsidRPr="00E237C2" w14:paraId="5FEB61FA"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7DFBD213" w14:textId="77777777" w:rsidR="00E237C2" w:rsidRPr="00E237C2" w:rsidRDefault="00E237C2" w:rsidP="00E237C2">
            <w:pPr>
              <w:spacing w:after="0" w:line="240" w:lineRule="auto"/>
            </w:pPr>
            <w:r w:rsidRPr="00E237C2">
              <w:t xml:space="preserve">Asian </w:t>
            </w:r>
          </w:p>
        </w:tc>
        <w:tc>
          <w:tcPr>
            <w:tcW w:w="1418" w:type="dxa"/>
            <w:tcBorders>
              <w:top w:val="nil"/>
              <w:left w:val="nil"/>
              <w:bottom w:val="single" w:sz="4" w:space="0" w:color="auto"/>
              <w:right w:val="single" w:sz="4" w:space="0" w:color="auto"/>
            </w:tcBorders>
            <w:shd w:val="clear" w:color="auto" w:fill="auto"/>
            <w:noWrap/>
            <w:hideMark/>
          </w:tcPr>
          <w:p w14:paraId="40B7128C"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4A4F5136" w14:textId="77777777" w:rsidR="00E237C2" w:rsidRPr="00E237C2" w:rsidRDefault="00E237C2" w:rsidP="00E237C2">
            <w:pPr>
              <w:spacing w:after="0" w:line="240" w:lineRule="auto"/>
              <w:jc w:val="right"/>
            </w:pPr>
            <w:r w:rsidRPr="00E237C2">
              <w:t>0.817</w:t>
            </w:r>
          </w:p>
        </w:tc>
      </w:tr>
      <w:tr w:rsidR="00E237C2" w:rsidRPr="00E237C2" w14:paraId="5B2509A2"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641A9A18" w14:textId="77777777" w:rsidR="00E237C2" w:rsidRPr="00E237C2" w:rsidRDefault="00E237C2" w:rsidP="00E237C2">
            <w:pPr>
              <w:spacing w:after="0" w:line="240" w:lineRule="auto"/>
            </w:pPr>
            <w:r w:rsidRPr="00E237C2">
              <w:t>Chinese</w:t>
            </w:r>
          </w:p>
        </w:tc>
        <w:tc>
          <w:tcPr>
            <w:tcW w:w="1418" w:type="dxa"/>
            <w:tcBorders>
              <w:top w:val="nil"/>
              <w:left w:val="nil"/>
              <w:bottom w:val="single" w:sz="4" w:space="0" w:color="auto"/>
              <w:right w:val="single" w:sz="4" w:space="0" w:color="auto"/>
            </w:tcBorders>
            <w:shd w:val="clear" w:color="auto" w:fill="auto"/>
            <w:noWrap/>
            <w:hideMark/>
          </w:tcPr>
          <w:p w14:paraId="6B968899"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0903356B" w14:textId="77777777" w:rsidR="00E237C2" w:rsidRPr="00E237C2" w:rsidRDefault="00E237C2" w:rsidP="00E237C2">
            <w:pPr>
              <w:spacing w:after="0" w:line="240" w:lineRule="auto"/>
              <w:jc w:val="right"/>
            </w:pPr>
            <w:r w:rsidRPr="00E237C2">
              <w:t>0.707</w:t>
            </w:r>
          </w:p>
        </w:tc>
      </w:tr>
      <w:tr w:rsidR="00E237C2" w:rsidRPr="00E237C2" w14:paraId="5A1FEBDF"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36EF7BCC" w14:textId="77777777" w:rsidR="00E237C2" w:rsidRPr="00E237C2" w:rsidRDefault="00E237C2" w:rsidP="00E237C2">
            <w:pPr>
              <w:spacing w:after="0" w:line="240" w:lineRule="auto"/>
            </w:pPr>
            <w:r w:rsidRPr="00E237C2">
              <w:t>Black</w:t>
            </w:r>
          </w:p>
        </w:tc>
        <w:tc>
          <w:tcPr>
            <w:tcW w:w="1418" w:type="dxa"/>
            <w:tcBorders>
              <w:top w:val="nil"/>
              <w:left w:val="nil"/>
              <w:bottom w:val="single" w:sz="4" w:space="0" w:color="auto"/>
              <w:right w:val="single" w:sz="4" w:space="0" w:color="auto"/>
            </w:tcBorders>
            <w:shd w:val="clear" w:color="auto" w:fill="auto"/>
            <w:noWrap/>
            <w:hideMark/>
          </w:tcPr>
          <w:p w14:paraId="1C6D02D3"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1D121798" w14:textId="77777777" w:rsidR="00E237C2" w:rsidRPr="00E237C2" w:rsidRDefault="00E237C2" w:rsidP="00E237C2">
            <w:pPr>
              <w:spacing w:after="0" w:line="240" w:lineRule="auto"/>
              <w:jc w:val="right"/>
            </w:pPr>
            <w:r w:rsidRPr="00E237C2">
              <w:t>1.192</w:t>
            </w:r>
          </w:p>
        </w:tc>
      </w:tr>
      <w:tr w:rsidR="00E237C2" w:rsidRPr="00E237C2" w14:paraId="6C85683D"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15A8B90F" w14:textId="77777777" w:rsidR="00E237C2" w:rsidRPr="00E237C2" w:rsidRDefault="00E237C2" w:rsidP="00E237C2">
            <w:pPr>
              <w:spacing w:after="0" w:line="240" w:lineRule="auto"/>
            </w:pPr>
            <w:r w:rsidRPr="00E237C2">
              <w:t>Highest Educational Qualification: Degree or higher</w:t>
            </w:r>
          </w:p>
        </w:tc>
        <w:tc>
          <w:tcPr>
            <w:tcW w:w="1418" w:type="dxa"/>
            <w:tcBorders>
              <w:top w:val="nil"/>
              <w:left w:val="nil"/>
              <w:bottom w:val="single" w:sz="4" w:space="0" w:color="auto"/>
              <w:right w:val="single" w:sz="4" w:space="0" w:color="auto"/>
            </w:tcBorders>
            <w:shd w:val="clear" w:color="auto" w:fill="auto"/>
            <w:noWrap/>
            <w:hideMark/>
          </w:tcPr>
          <w:p w14:paraId="04D02F46"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hideMark/>
          </w:tcPr>
          <w:p w14:paraId="41B23419" w14:textId="77777777" w:rsidR="00E237C2" w:rsidRPr="00E237C2" w:rsidRDefault="00E237C2" w:rsidP="00E237C2">
            <w:pPr>
              <w:spacing w:after="0" w:line="240" w:lineRule="auto"/>
              <w:jc w:val="right"/>
            </w:pPr>
            <w:r w:rsidRPr="00E237C2">
              <w:t> </w:t>
            </w:r>
          </w:p>
        </w:tc>
      </w:tr>
      <w:tr w:rsidR="00E237C2" w:rsidRPr="00E237C2" w14:paraId="5936E14F"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54FCDF19" w14:textId="77777777" w:rsidR="00E237C2" w:rsidRPr="00E237C2" w:rsidRDefault="00E237C2" w:rsidP="00E237C2">
            <w:pPr>
              <w:spacing w:after="0" w:line="240" w:lineRule="auto"/>
            </w:pPr>
            <w:r w:rsidRPr="00E237C2">
              <w:t>A-levels/ Highers</w:t>
            </w:r>
          </w:p>
        </w:tc>
        <w:tc>
          <w:tcPr>
            <w:tcW w:w="1418" w:type="dxa"/>
            <w:tcBorders>
              <w:top w:val="nil"/>
              <w:left w:val="nil"/>
              <w:bottom w:val="single" w:sz="4" w:space="0" w:color="auto"/>
              <w:right w:val="single" w:sz="4" w:space="0" w:color="auto"/>
            </w:tcBorders>
            <w:shd w:val="clear" w:color="auto" w:fill="auto"/>
            <w:noWrap/>
            <w:hideMark/>
          </w:tcPr>
          <w:p w14:paraId="0407B480"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36A453FD" w14:textId="77777777" w:rsidR="00E237C2" w:rsidRPr="00E237C2" w:rsidRDefault="00E237C2" w:rsidP="00E237C2">
            <w:pPr>
              <w:spacing w:after="0" w:line="240" w:lineRule="auto"/>
              <w:jc w:val="right"/>
            </w:pPr>
            <w:r w:rsidRPr="00E237C2">
              <w:t>0.745</w:t>
            </w:r>
          </w:p>
        </w:tc>
      </w:tr>
      <w:tr w:rsidR="00E237C2" w:rsidRPr="00E237C2" w14:paraId="037334F5"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296E69B8" w14:textId="77777777" w:rsidR="00E237C2" w:rsidRPr="00E237C2" w:rsidRDefault="00E237C2" w:rsidP="00E237C2">
            <w:pPr>
              <w:spacing w:after="0" w:line="240" w:lineRule="auto"/>
            </w:pPr>
            <w:r w:rsidRPr="00E237C2">
              <w:t>GCSEs/ O-levels/ CSEs</w:t>
            </w:r>
          </w:p>
        </w:tc>
        <w:tc>
          <w:tcPr>
            <w:tcW w:w="1418" w:type="dxa"/>
            <w:tcBorders>
              <w:top w:val="nil"/>
              <w:left w:val="nil"/>
              <w:bottom w:val="single" w:sz="4" w:space="0" w:color="auto"/>
              <w:right w:val="single" w:sz="4" w:space="0" w:color="auto"/>
            </w:tcBorders>
            <w:shd w:val="clear" w:color="auto" w:fill="auto"/>
            <w:noWrap/>
            <w:hideMark/>
          </w:tcPr>
          <w:p w14:paraId="0BDA7F67"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585657CD" w14:textId="77777777" w:rsidR="00E237C2" w:rsidRPr="00E237C2" w:rsidRDefault="00E237C2" w:rsidP="00E237C2">
            <w:pPr>
              <w:spacing w:after="0" w:line="240" w:lineRule="auto"/>
              <w:jc w:val="right"/>
            </w:pPr>
            <w:r w:rsidRPr="00E237C2">
              <w:t>0.843</w:t>
            </w:r>
          </w:p>
        </w:tc>
      </w:tr>
      <w:tr w:rsidR="00E237C2" w:rsidRPr="00E237C2" w14:paraId="3EB02C85"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75C35A8A" w14:textId="77777777" w:rsidR="00E237C2" w:rsidRPr="00E237C2" w:rsidRDefault="00E237C2" w:rsidP="00E237C2">
            <w:pPr>
              <w:spacing w:after="0" w:line="240" w:lineRule="auto"/>
            </w:pPr>
            <w:r w:rsidRPr="00E237C2">
              <w:t>No qualification</w:t>
            </w:r>
          </w:p>
        </w:tc>
        <w:tc>
          <w:tcPr>
            <w:tcW w:w="1418" w:type="dxa"/>
            <w:tcBorders>
              <w:top w:val="nil"/>
              <w:left w:val="nil"/>
              <w:bottom w:val="single" w:sz="4" w:space="0" w:color="auto"/>
              <w:right w:val="single" w:sz="4" w:space="0" w:color="auto"/>
            </w:tcBorders>
            <w:shd w:val="clear" w:color="auto" w:fill="auto"/>
            <w:noWrap/>
            <w:hideMark/>
          </w:tcPr>
          <w:p w14:paraId="62756188"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4C2B92EB" w14:textId="77777777" w:rsidR="00E237C2" w:rsidRPr="00E237C2" w:rsidRDefault="00E237C2" w:rsidP="00E237C2">
            <w:pPr>
              <w:spacing w:after="0" w:line="240" w:lineRule="auto"/>
              <w:jc w:val="right"/>
            </w:pPr>
            <w:r w:rsidRPr="00E237C2">
              <w:t>0.277</w:t>
            </w:r>
          </w:p>
        </w:tc>
      </w:tr>
      <w:tr w:rsidR="00E237C2" w:rsidRPr="00E237C2" w14:paraId="35EF9619"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07A8BA6B" w14:textId="77777777" w:rsidR="00E237C2" w:rsidRPr="00E237C2" w:rsidRDefault="00E237C2" w:rsidP="00E237C2">
            <w:pPr>
              <w:spacing w:after="0" w:line="240" w:lineRule="auto"/>
            </w:pPr>
            <w:r w:rsidRPr="00E237C2">
              <w:t>Social Economic Grade: A</w:t>
            </w:r>
          </w:p>
        </w:tc>
        <w:tc>
          <w:tcPr>
            <w:tcW w:w="1418" w:type="dxa"/>
            <w:tcBorders>
              <w:top w:val="nil"/>
              <w:left w:val="nil"/>
              <w:bottom w:val="single" w:sz="4" w:space="0" w:color="auto"/>
              <w:right w:val="single" w:sz="4" w:space="0" w:color="auto"/>
            </w:tcBorders>
            <w:shd w:val="clear" w:color="auto" w:fill="auto"/>
            <w:noWrap/>
            <w:hideMark/>
          </w:tcPr>
          <w:p w14:paraId="6F045503" w14:textId="77777777" w:rsidR="00E237C2" w:rsidRPr="00E237C2" w:rsidRDefault="00E237C2" w:rsidP="00E237C2">
            <w:pPr>
              <w:spacing w:after="0" w:line="240" w:lineRule="auto"/>
              <w:jc w:val="center"/>
            </w:pPr>
            <w:r w:rsidRPr="00E237C2">
              <w:t>***</w:t>
            </w:r>
          </w:p>
        </w:tc>
        <w:tc>
          <w:tcPr>
            <w:tcW w:w="1275" w:type="dxa"/>
            <w:tcBorders>
              <w:top w:val="nil"/>
              <w:left w:val="nil"/>
              <w:bottom w:val="single" w:sz="4" w:space="0" w:color="auto"/>
              <w:right w:val="single" w:sz="4" w:space="0" w:color="auto"/>
            </w:tcBorders>
            <w:shd w:val="clear" w:color="auto" w:fill="auto"/>
            <w:hideMark/>
          </w:tcPr>
          <w:p w14:paraId="143E527F" w14:textId="77777777" w:rsidR="00E237C2" w:rsidRPr="00E237C2" w:rsidRDefault="00E237C2" w:rsidP="00E237C2">
            <w:pPr>
              <w:spacing w:after="0" w:line="240" w:lineRule="auto"/>
              <w:jc w:val="right"/>
            </w:pPr>
            <w:r w:rsidRPr="00E237C2">
              <w:t> </w:t>
            </w:r>
          </w:p>
        </w:tc>
      </w:tr>
      <w:tr w:rsidR="00E237C2" w:rsidRPr="00E237C2" w14:paraId="73FBA40D"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435E0D41" w14:textId="77777777" w:rsidR="00E237C2" w:rsidRPr="00E237C2" w:rsidRDefault="00E237C2" w:rsidP="00E237C2">
            <w:pPr>
              <w:spacing w:after="0" w:line="240" w:lineRule="auto"/>
            </w:pPr>
            <w:r w:rsidRPr="00E237C2">
              <w:t>SEG: B</w:t>
            </w:r>
          </w:p>
        </w:tc>
        <w:tc>
          <w:tcPr>
            <w:tcW w:w="1418" w:type="dxa"/>
            <w:tcBorders>
              <w:top w:val="nil"/>
              <w:left w:val="nil"/>
              <w:bottom w:val="single" w:sz="4" w:space="0" w:color="auto"/>
              <w:right w:val="single" w:sz="4" w:space="0" w:color="auto"/>
            </w:tcBorders>
            <w:shd w:val="clear" w:color="auto" w:fill="auto"/>
            <w:noWrap/>
            <w:hideMark/>
          </w:tcPr>
          <w:p w14:paraId="0A2F5E18" w14:textId="77777777" w:rsidR="00E237C2" w:rsidRPr="00E237C2" w:rsidRDefault="00E237C2" w:rsidP="00E237C2">
            <w:pPr>
              <w:spacing w:after="0" w:line="240" w:lineRule="auto"/>
              <w:jc w:val="center"/>
            </w:pPr>
            <w:r w:rsidRPr="00E237C2">
              <w:t>*</w:t>
            </w:r>
          </w:p>
        </w:tc>
        <w:tc>
          <w:tcPr>
            <w:tcW w:w="1275" w:type="dxa"/>
            <w:tcBorders>
              <w:top w:val="nil"/>
              <w:left w:val="nil"/>
              <w:bottom w:val="single" w:sz="4" w:space="0" w:color="auto"/>
              <w:right w:val="single" w:sz="4" w:space="0" w:color="auto"/>
            </w:tcBorders>
            <w:shd w:val="clear" w:color="auto" w:fill="auto"/>
            <w:noWrap/>
            <w:hideMark/>
          </w:tcPr>
          <w:p w14:paraId="56396C46" w14:textId="77777777" w:rsidR="00E237C2" w:rsidRPr="00E237C2" w:rsidRDefault="00E237C2" w:rsidP="00E237C2">
            <w:pPr>
              <w:spacing w:after="0" w:line="240" w:lineRule="auto"/>
              <w:jc w:val="right"/>
            </w:pPr>
            <w:r w:rsidRPr="00E237C2">
              <w:t>0.364</w:t>
            </w:r>
          </w:p>
        </w:tc>
      </w:tr>
      <w:tr w:rsidR="00E237C2" w:rsidRPr="00E237C2" w14:paraId="35619378"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17D172C6" w14:textId="77777777" w:rsidR="00E237C2" w:rsidRPr="00E237C2" w:rsidRDefault="00E237C2" w:rsidP="00E237C2">
            <w:pPr>
              <w:spacing w:after="0" w:line="240" w:lineRule="auto"/>
            </w:pPr>
            <w:r w:rsidRPr="00E237C2">
              <w:t>SEG: C1</w:t>
            </w:r>
          </w:p>
        </w:tc>
        <w:tc>
          <w:tcPr>
            <w:tcW w:w="1418" w:type="dxa"/>
            <w:tcBorders>
              <w:top w:val="nil"/>
              <w:left w:val="nil"/>
              <w:bottom w:val="single" w:sz="4" w:space="0" w:color="auto"/>
              <w:right w:val="single" w:sz="4" w:space="0" w:color="auto"/>
            </w:tcBorders>
            <w:shd w:val="clear" w:color="auto" w:fill="auto"/>
            <w:noWrap/>
            <w:hideMark/>
          </w:tcPr>
          <w:p w14:paraId="592CC6B5"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25CFF11C" w14:textId="77777777" w:rsidR="00E237C2" w:rsidRPr="00E237C2" w:rsidRDefault="00E237C2" w:rsidP="00E237C2">
            <w:pPr>
              <w:spacing w:after="0" w:line="240" w:lineRule="auto"/>
              <w:jc w:val="right"/>
            </w:pPr>
            <w:r w:rsidRPr="00E237C2">
              <w:t>0.472</w:t>
            </w:r>
          </w:p>
        </w:tc>
      </w:tr>
      <w:tr w:rsidR="00E237C2" w:rsidRPr="00E237C2" w14:paraId="78F70DB5"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7B632354" w14:textId="77777777" w:rsidR="00E237C2" w:rsidRPr="00E237C2" w:rsidRDefault="00E237C2" w:rsidP="00E237C2">
            <w:pPr>
              <w:spacing w:after="0" w:line="240" w:lineRule="auto"/>
            </w:pPr>
            <w:r w:rsidRPr="00E237C2">
              <w:t>SEG: C2</w:t>
            </w:r>
          </w:p>
        </w:tc>
        <w:tc>
          <w:tcPr>
            <w:tcW w:w="1418" w:type="dxa"/>
            <w:tcBorders>
              <w:top w:val="nil"/>
              <w:left w:val="nil"/>
              <w:bottom w:val="single" w:sz="4" w:space="0" w:color="auto"/>
              <w:right w:val="single" w:sz="4" w:space="0" w:color="auto"/>
            </w:tcBorders>
            <w:shd w:val="clear" w:color="auto" w:fill="auto"/>
            <w:noWrap/>
            <w:hideMark/>
          </w:tcPr>
          <w:p w14:paraId="254F4B52"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6E0961BA" w14:textId="77777777" w:rsidR="00E237C2" w:rsidRPr="00E237C2" w:rsidRDefault="00E237C2" w:rsidP="00E237C2">
            <w:pPr>
              <w:spacing w:after="0" w:line="240" w:lineRule="auto"/>
              <w:jc w:val="right"/>
            </w:pPr>
            <w:r w:rsidRPr="00E237C2">
              <w:t>2.071</w:t>
            </w:r>
          </w:p>
        </w:tc>
      </w:tr>
      <w:tr w:rsidR="00E237C2" w:rsidRPr="00E237C2" w14:paraId="1AFC677A"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38D5E3BF" w14:textId="77777777" w:rsidR="00E237C2" w:rsidRPr="00E237C2" w:rsidRDefault="00E237C2" w:rsidP="00E237C2">
            <w:pPr>
              <w:spacing w:after="0" w:line="240" w:lineRule="auto"/>
            </w:pPr>
            <w:r w:rsidRPr="00E237C2">
              <w:t>SEG: D</w:t>
            </w:r>
          </w:p>
        </w:tc>
        <w:tc>
          <w:tcPr>
            <w:tcW w:w="1418" w:type="dxa"/>
            <w:tcBorders>
              <w:top w:val="nil"/>
              <w:left w:val="nil"/>
              <w:bottom w:val="single" w:sz="4" w:space="0" w:color="auto"/>
              <w:right w:val="single" w:sz="4" w:space="0" w:color="auto"/>
            </w:tcBorders>
            <w:shd w:val="clear" w:color="auto" w:fill="auto"/>
            <w:noWrap/>
            <w:hideMark/>
          </w:tcPr>
          <w:p w14:paraId="008EEE22"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0652365E" w14:textId="77777777" w:rsidR="00E237C2" w:rsidRPr="00E237C2" w:rsidRDefault="00E237C2" w:rsidP="00E237C2">
            <w:pPr>
              <w:spacing w:after="0" w:line="240" w:lineRule="auto"/>
              <w:jc w:val="right"/>
            </w:pPr>
            <w:r w:rsidRPr="00E237C2">
              <w:t>1.456</w:t>
            </w:r>
          </w:p>
        </w:tc>
      </w:tr>
      <w:tr w:rsidR="00E237C2" w:rsidRPr="00E237C2" w14:paraId="2A3627EE"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601A828D" w14:textId="77777777" w:rsidR="00E237C2" w:rsidRPr="00E237C2" w:rsidRDefault="00E237C2" w:rsidP="00E237C2">
            <w:pPr>
              <w:spacing w:after="0" w:line="240" w:lineRule="auto"/>
            </w:pPr>
            <w:r w:rsidRPr="00E237C2">
              <w:t>SEG: E</w:t>
            </w:r>
          </w:p>
        </w:tc>
        <w:tc>
          <w:tcPr>
            <w:tcW w:w="1418" w:type="dxa"/>
            <w:tcBorders>
              <w:top w:val="nil"/>
              <w:left w:val="nil"/>
              <w:bottom w:val="single" w:sz="4" w:space="0" w:color="auto"/>
              <w:right w:val="single" w:sz="4" w:space="0" w:color="auto"/>
            </w:tcBorders>
            <w:shd w:val="clear" w:color="auto" w:fill="auto"/>
            <w:noWrap/>
            <w:hideMark/>
          </w:tcPr>
          <w:p w14:paraId="740F43DB"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08AB2EFC" w14:textId="77777777" w:rsidR="00E237C2" w:rsidRPr="00E237C2" w:rsidRDefault="00E237C2" w:rsidP="00E237C2">
            <w:pPr>
              <w:spacing w:after="0" w:line="240" w:lineRule="auto"/>
              <w:jc w:val="right"/>
            </w:pPr>
            <w:r w:rsidRPr="00E237C2">
              <w:t>0.687</w:t>
            </w:r>
          </w:p>
        </w:tc>
      </w:tr>
      <w:tr w:rsidR="00E237C2" w:rsidRPr="00E237C2" w14:paraId="53B62560"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7AA699A4" w14:textId="77777777" w:rsidR="00E237C2" w:rsidRPr="00E237C2" w:rsidRDefault="00E237C2" w:rsidP="00E237C2">
            <w:pPr>
              <w:spacing w:after="0" w:line="240" w:lineRule="auto"/>
            </w:pPr>
            <w:r w:rsidRPr="00E237C2">
              <w:t>OAC: Rural Residents</w:t>
            </w:r>
          </w:p>
        </w:tc>
        <w:tc>
          <w:tcPr>
            <w:tcW w:w="1418" w:type="dxa"/>
            <w:tcBorders>
              <w:top w:val="nil"/>
              <w:left w:val="nil"/>
              <w:bottom w:val="single" w:sz="4" w:space="0" w:color="auto"/>
              <w:right w:val="single" w:sz="4" w:space="0" w:color="auto"/>
            </w:tcBorders>
            <w:shd w:val="clear" w:color="auto" w:fill="auto"/>
            <w:noWrap/>
            <w:hideMark/>
          </w:tcPr>
          <w:p w14:paraId="64613405" w14:textId="77777777" w:rsidR="00E237C2" w:rsidRPr="00E237C2" w:rsidRDefault="00E237C2" w:rsidP="00E237C2">
            <w:pPr>
              <w:spacing w:after="0" w:line="240" w:lineRule="auto"/>
              <w:jc w:val="center"/>
            </w:pPr>
            <w:r w:rsidRPr="00E237C2">
              <w:t>**</w:t>
            </w:r>
          </w:p>
        </w:tc>
        <w:tc>
          <w:tcPr>
            <w:tcW w:w="1275" w:type="dxa"/>
            <w:tcBorders>
              <w:top w:val="nil"/>
              <w:left w:val="nil"/>
              <w:bottom w:val="single" w:sz="4" w:space="0" w:color="auto"/>
              <w:right w:val="single" w:sz="4" w:space="0" w:color="auto"/>
            </w:tcBorders>
            <w:shd w:val="clear" w:color="auto" w:fill="auto"/>
            <w:hideMark/>
          </w:tcPr>
          <w:p w14:paraId="00157F02" w14:textId="77777777" w:rsidR="00E237C2" w:rsidRPr="00E237C2" w:rsidRDefault="00E237C2" w:rsidP="00E237C2">
            <w:pPr>
              <w:spacing w:after="0" w:line="240" w:lineRule="auto"/>
              <w:jc w:val="right"/>
            </w:pPr>
            <w:r w:rsidRPr="00E237C2">
              <w:t> </w:t>
            </w:r>
          </w:p>
        </w:tc>
      </w:tr>
      <w:tr w:rsidR="00E237C2" w:rsidRPr="00E237C2" w14:paraId="46F8A5F4"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0DC4AFD1" w14:textId="77777777" w:rsidR="00E237C2" w:rsidRPr="00E237C2" w:rsidRDefault="00E237C2" w:rsidP="00E237C2">
            <w:pPr>
              <w:spacing w:after="0" w:line="240" w:lineRule="auto"/>
            </w:pPr>
            <w:r w:rsidRPr="00E237C2">
              <w:t>OAC: Cosmopolitans</w:t>
            </w:r>
          </w:p>
        </w:tc>
        <w:tc>
          <w:tcPr>
            <w:tcW w:w="1418" w:type="dxa"/>
            <w:tcBorders>
              <w:top w:val="nil"/>
              <w:left w:val="nil"/>
              <w:bottom w:val="single" w:sz="4" w:space="0" w:color="auto"/>
              <w:right w:val="single" w:sz="4" w:space="0" w:color="auto"/>
            </w:tcBorders>
            <w:shd w:val="clear" w:color="auto" w:fill="auto"/>
            <w:noWrap/>
            <w:hideMark/>
          </w:tcPr>
          <w:p w14:paraId="4D99A12B" w14:textId="77777777" w:rsidR="00E237C2" w:rsidRPr="00E237C2" w:rsidRDefault="00E237C2" w:rsidP="00E237C2">
            <w:pPr>
              <w:spacing w:after="0" w:line="240" w:lineRule="auto"/>
              <w:jc w:val="center"/>
            </w:pPr>
            <w:r w:rsidRPr="00E237C2">
              <w:t>*</w:t>
            </w:r>
          </w:p>
        </w:tc>
        <w:tc>
          <w:tcPr>
            <w:tcW w:w="1275" w:type="dxa"/>
            <w:tcBorders>
              <w:top w:val="nil"/>
              <w:left w:val="nil"/>
              <w:bottom w:val="single" w:sz="4" w:space="0" w:color="auto"/>
              <w:right w:val="single" w:sz="4" w:space="0" w:color="auto"/>
            </w:tcBorders>
            <w:shd w:val="clear" w:color="auto" w:fill="auto"/>
            <w:noWrap/>
            <w:hideMark/>
          </w:tcPr>
          <w:p w14:paraId="19C8C9F6" w14:textId="77777777" w:rsidR="00E237C2" w:rsidRPr="00E237C2" w:rsidRDefault="00E237C2" w:rsidP="00E237C2">
            <w:pPr>
              <w:spacing w:after="0" w:line="240" w:lineRule="auto"/>
              <w:jc w:val="right"/>
            </w:pPr>
            <w:r w:rsidRPr="00E237C2">
              <w:t>6.611</w:t>
            </w:r>
          </w:p>
        </w:tc>
      </w:tr>
      <w:tr w:rsidR="00E237C2" w:rsidRPr="00E237C2" w14:paraId="0DA56C61"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4C035556" w14:textId="77777777" w:rsidR="00E237C2" w:rsidRPr="00E237C2" w:rsidRDefault="00E237C2" w:rsidP="00E237C2">
            <w:pPr>
              <w:spacing w:after="0" w:line="240" w:lineRule="auto"/>
            </w:pPr>
            <w:r w:rsidRPr="00E237C2">
              <w:t>OAC: Ethnicity Central</w:t>
            </w:r>
          </w:p>
        </w:tc>
        <w:tc>
          <w:tcPr>
            <w:tcW w:w="1418" w:type="dxa"/>
            <w:tcBorders>
              <w:top w:val="nil"/>
              <w:left w:val="nil"/>
              <w:bottom w:val="single" w:sz="4" w:space="0" w:color="auto"/>
              <w:right w:val="single" w:sz="4" w:space="0" w:color="auto"/>
            </w:tcBorders>
            <w:shd w:val="clear" w:color="auto" w:fill="auto"/>
            <w:noWrap/>
            <w:hideMark/>
          </w:tcPr>
          <w:p w14:paraId="36ED99F6"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5438446A" w14:textId="77777777" w:rsidR="00E237C2" w:rsidRPr="00E237C2" w:rsidRDefault="00E237C2" w:rsidP="00E237C2">
            <w:pPr>
              <w:spacing w:after="0" w:line="240" w:lineRule="auto"/>
              <w:jc w:val="right"/>
            </w:pPr>
            <w:r w:rsidRPr="00E237C2">
              <w:t>1.997</w:t>
            </w:r>
          </w:p>
        </w:tc>
      </w:tr>
      <w:tr w:rsidR="00E237C2" w:rsidRPr="00E237C2" w14:paraId="04EC3FE1"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1E3B7EDC" w14:textId="77777777" w:rsidR="00E237C2" w:rsidRPr="00E237C2" w:rsidRDefault="00E237C2" w:rsidP="00E237C2">
            <w:pPr>
              <w:spacing w:after="0" w:line="240" w:lineRule="auto"/>
            </w:pPr>
            <w:r w:rsidRPr="00E237C2">
              <w:t>OAC: Multicultural Metropolitans</w:t>
            </w:r>
          </w:p>
        </w:tc>
        <w:tc>
          <w:tcPr>
            <w:tcW w:w="1418" w:type="dxa"/>
            <w:tcBorders>
              <w:top w:val="nil"/>
              <w:left w:val="nil"/>
              <w:bottom w:val="single" w:sz="4" w:space="0" w:color="auto"/>
              <w:right w:val="single" w:sz="4" w:space="0" w:color="auto"/>
            </w:tcBorders>
            <w:shd w:val="clear" w:color="auto" w:fill="auto"/>
            <w:noWrap/>
            <w:hideMark/>
          </w:tcPr>
          <w:p w14:paraId="6B7E8B8C"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70BC5A97" w14:textId="77777777" w:rsidR="00E237C2" w:rsidRPr="00E237C2" w:rsidRDefault="00E237C2" w:rsidP="00E237C2">
            <w:pPr>
              <w:spacing w:after="0" w:line="240" w:lineRule="auto"/>
              <w:jc w:val="right"/>
            </w:pPr>
            <w:r w:rsidRPr="00E237C2">
              <w:t>2.382</w:t>
            </w:r>
          </w:p>
        </w:tc>
      </w:tr>
      <w:tr w:rsidR="00E237C2" w:rsidRPr="00E237C2" w14:paraId="6E89D86C"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765B594D" w14:textId="77777777" w:rsidR="00E237C2" w:rsidRPr="00E237C2" w:rsidRDefault="00E237C2" w:rsidP="00E237C2">
            <w:pPr>
              <w:spacing w:after="0" w:line="240" w:lineRule="auto"/>
            </w:pPr>
            <w:r w:rsidRPr="00E237C2">
              <w:t>OAC: Urbanites</w:t>
            </w:r>
          </w:p>
        </w:tc>
        <w:tc>
          <w:tcPr>
            <w:tcW w:w="1418" w:type="dxa"/>
            <w:tcBorders>
              <w:top w:val="nil"/>
              <w:left w:val="nil"/>
              <w:bottom w:val="single" w:sz="4" w:space="0" w:color="auto"/>
              <w:right w:val="single" w:sz="4" w:space="0" w:color="auto"/>
            </w:tcBorders>
            <w:shd w:val="clear" w:color="auto" w:fill="auto"/>
            <w:noWrap/>
            <w:hideMark/>
          </w:tcPr>
          <w:p w14:paraId="297DD284"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5B01C906" w14:textId="77777777" w:rsidR="00E237C2" w:rsidRPr="00E237C2" w:rsidRDefault="00E237C2" w:rsidP="00E237C2">
            <w:pPr>
              <w:spacing w:after="0" w:line="240" w:lineRule="auto"/>
              <w:jc w:val="right"/>
            </w:pPr>
            <w:r w:rsidRPr="00E237C2">
              <w:t>1.637</w:t>
            </w:r>
          </w:p>
        </w:tc>
      </w:tr>
      <w:tr w:rsidR="00E237C2" w:rsidRPr="00E237C2" w14:paraId="0B33793E"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3940A0FE" w14:textId="77777777" w:rsidR="00E237C2" w:rsidRPr="00E237C2" w:rsidRDefault="00E237C2" w:rsidP="00E237C2">
            <w:pPr>
              <w:spacing w:after="0" w:line="240" w:lineRule="auto"/>
            </w:pPr>
            <w:r w:rsidRPr="00E237C2">
              <w:t>OAC: Suburbanites</w:t>
            </w:r>
          </w:p>
        </w:tc>
        <w:tc>
          <w:tcPr>
            <w:tcW w:w="1418" w:type="dxa"/>
            <w:tcBorders>
              <w:top w:val="nil"/>
              <w:left w:val="nil"/>
              <w:bottom w:val="single" w:sz="4" w:space="0" w:color="auto"/>
              <w:right w:val="single" w:sz="4" w:space="0" w:color="auto"/>
            </w:tcBorders>
            <w:shd w:val="clear" w:color="auto" w:fill="auto"/>
            <w:noWrap/>
            <w:hideMark/>
          </w:tcPr>
          <w:p w14:paraId="7F6D108E"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16210116" w14:textId="77777777" w:rsidR="00E237C2" w:rsidRPr="00E237C2" w:rsidRDefault="00E237C2" w:rsidP="00E237C2">
            <w:pPr>
              <w:spacing w:after="0" w:line="240" w:lineRule="auto"/>
              <w:jc w:val="right"/>
            </w:pPr>
            <w:r w:rsidRPr="00E237C2">
              <w:t>1.101</w:t>
            </w:r>
          </w:p>
        </w:tc>
      </w:tr>
      <w:tr w:rsidR="00E237C2" w:rsidRPr="00E237C2" w14:paraId="6BBA225C"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50BF079B" w14:textId="77777777" w:rsidR="00E237C2" w:rsidRPr="00E237C2" w:rsidRDefault="00E237C2" w:rsidP="00E237C2">
            <w:pPr>
              <w:spacing w:after="0" w:line="240" w:lineRule="auto"/>
            </w:pPr>
            <w:r w:rsidRPr="00E237C2">
              <w:t>OAC: Constrained City Dwellers</w:t>
            </w:r>
          </w:p>
        </w:tc>
        <w:tc>
          <w:tcPr>
            <w:tcW w:w="1418" w:type="dxa"/>
            <w:tcBorders>
              <w:top w:val="nil"/>
              <w:left w:val="nil"/>
              <w:bottom w:val="single" w:sz="4" w:space="0" w:color="auto"/>
              <w:right w:val="single" w:sz="4" w:space="0" w:color="auto"/>
            </w:tcBorders>
            <w:shd w:val="clear" w:color="auto" w:fill="auto"/>
            <w:noWrap/>
            <w:hideMark/>
          </w:tcPr>
          <w:p w14:paraId="4B93951B"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77CC17CE" w14:textId="77777777" w:rsidR="00E237C2" w:rsidRPr="00E237C2" w:rsidRDefault="00E237C2" w:rsidP="00E237C2">
            <w:pPr>
              <w:spacing w:after="0" w:line="240" w:lineRule="auto"/>
              <w:jc w:val="right"/>
            </w:pPr>
            <w:r w:rsidRPr="00E237C2">
              <w:t>1.144</w:t>
            </w:r>
          </w:p>
        </w:tc>
      </w:tr>
      <w:tr w:rsidR="00E237C2" w:rsidRPr="00E237C2" w14:paraId="7A009859"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5EC50C3F" w14:textId="77777777" w:rsidR="00E237C2" w:rsidRPr="00E237C2" w:rsidRDefault="00E237C2" w:rsidP="00E237C2">
            <w:pPr>
              <w:spacing w:after="0" w:line="240" w:lineRule="auto"/>
            </w:pPr>
            <w:r w:rsidRPr="00E237C2">
              <w:t>OAC: Hard Pressed Living</w:t>
            </w:r>
          </w:p>
        </w:tc>
        <w:tc>
          <w:tcPr>
            <w:tcW w:w="1418" w:type="dxa"/>
            <w:tcBorders>
              <w:top w:val="nil"/>
              <w:left w:val="nil"/>
              <w:bottom w:val="single" w:sz="4" w:space="0" w:color="auto"/>
              <w:right w:val="single" w:sz="4" w:space="0" w:color="auto"/>
            </w:tcBorders>
            <w:shd w:val="clear" w:color="auto" w:fill="auto"/>
            <w:noWrap/>
            <w:hideMark/>
          </w:tcPr>
          <w:p w14:paraId="4873AB39"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187C777C" w14:textId="77777777" w:rsidR="00E237C2" w:rsidRPr="00E237C2" w:rsidRDefault="00E237C2" w:rsidP="00E237C2">
            <w:pPr>
              <w:spacing w:after="0" w:line="240" w:lineRule="auto"/>
              <w:jc w:val="right"/>
            </w:pPr>
            <w:r w:rsidRPr="00E237C2">
              <w:t>1.174</w:t>
            </w:r>
          </w:p>
        </w:tc>
      </w:tr>
      <w:tr w:rsidR="00E237C2" w:rsidRPr="00E237C2" w14:paraId="661479AD"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03E19967" w14:textId="77777777" w:rsidR="00E237C2" w:rsidRPr="00E237C2" w:rsidRDefault="00E237C2" w:rsidP="00E237C2">
            <w:pPr>
              <w:spacing w:after="0" w:line="240" w:lineRule="auto"/>
            </w:pPr>
            <w:r w:rsidRPr="00E237C2">
              <w:t>Tenure: Own with Mortgage</w:t>
            </w:r>
          </w:p>
        </w:tc>
        <w:tc>
          <w:tcPr>
            <w:tcW w:w="1418" w:type="dxa"/>
            <w:tcBorders>
              <w:top w:val="nil"/>
              <w:left w:val="nil"/>
              <w:bottom w:val="single" w:sz="4" w:space="0" w:color="auto"/>
              <w:right w:val="single" w:sz="4" w:space="0" w:color="auto"/>
            </w:tcBorders>
            <w:shd w:val="clear" w:color="auto" w:fill="auto"/>
            <w:noWrap/>
            <w:hideMark/>
          </w:tcPr>
          <w:p w14:paraId="00C6BCB1" w14:textId="77777777" w:rsidR="00E237C2" w:rsidRPr="00E237C2" w:rsidRDefault="00E237C2" w:rsidP="00E237C2">
            <w:pPr>
              <w:spacing w:after="0" w:line="240" w:lineRule="auto"/>
              <w:jc w:val="center"/>
            </w:pPr>
            <w:r w:rsidRPr="00E237C2">
              <w:t>*</w:t>
            </w:r>
          </w:p>
        </w:tc>
        <w:tc>
          <w:tcPr>
            <w:tcW w:w="1275" w:type="dxa"/>
            <w:tcBorders>
              <w:top w:val="nil"/>
              <w:left w:val="nil"/>
              <w:bottom w:val="single" w:sz="4" w:space="0" w:color="auto"/>
              <w:right w:val="single" w:sz="4" w:space="0" w:color="auto"/>
            </w:tcBorders>
            <w:shd w:val="clear" w:color="auto" w:fill="auto"/>
            <w:hideMark/>
          </w:tcPr>
          <w:p w14:paraId="63419596" w14:textId="77777777" w:rsidR="00E237C2" w:rsidRPr="00E237C2" w:rsidRDefault="00E237C2" w:rsidP="00E237C2">
            <w:pPr>
              <w:spacing w:after="0" w:line="240" w:lineRule="auto"/>
              <w:jc w:val="right"/>
            </w:pPr>
            <w:r w:rsidRPr="00E237C2">
              <w:t> </w:t>
            </w:r>
          </w:p>
        </w:tc>
      </w:tr>
      <w:tr w:rsidR="00E237C2" w:rsidRPr="00E237C2" w14:paraId="786A0684"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3A8CD384" w14:textId="77777777" w:rsidR="00E237C2" w:rsidRPr="00E237C2" w:rsidRDefault="00E237C2" w:rsidP="00E237C2">
            <w:pPr>
              <w:spacing w:after="0" w:line="240" w:lineRule="auto"/>
            </w:pPr>
            <w:r w:rsidRPr="00E237C2">
              <w:t>Tenure: Private Renters</w:t>
            </w:r>
          </w:p>
        </w:tc>
        <w:tc>
          <w:tcPr>
            <w:tcW w:w="1418" w:type="dxa"/>
            <w:tcBorders>
              <w:top w:val="nil"/>
              <w:left w:val="nil"/>
              <w:bottom w:val="single" w:sz="4" w:space="0" w:color="auto"/>
              <w:right w:val="single" w:sz="4" w:space="0" w:color="auto"/>
            </w:tcBorders>
            <w:shd w:val="clear" w:color="auto" w:fill="auto"/>
            <w:noWrap/>
            <w:hideMark/>
          </w:tcPr>
          <w:p w14:paraId="479B377C" w14:textId="77777777" w:rsidR="00E237C2" w:rsidRPr="00E237C2" w:rsidRDefault="00E237C2" w:rsidP="00E237C2">
            <w:pPr>
              <w:spacing w:after="0" w:line="240" w:lineRule="auto"/>
              <w:jc w:val="center"/>
            </w:pPr>
            <w:r w:rsidRPr="00E237C2">
              <w:t>*</w:t>
            </w:r>
          </w:p>
        </w:tc>
        <w:tc>
          <w:tcPr>
            <w:tcW w:w="1275" w:type="dxa"/>
            <w:tcBorders>
              <w:top w:val="nil"/>
              <w:left w:val="nil"/>
              <w:bottom w:val="single" w:sz="4" w:space="0" w:color="auto"/>
              <w:right w:val="single" w:sz="4" w:space="0" w:color="auto"/>
            </w:tcBorders>
            <w:shd w:val="clear" w:color="auto" w:fill="auto"/>
            <w:noWrap/>
            <w:hideMark/>
          </w:tcPr>
          <w:p w14:paraId="28AC634B" w14:textId="77777777" w:rsidR="00E237C2" w:rsidRPr="00E237C2" w:rsidRDefault="00E237C2" w:rsidP="00E237C2">
            <w:pPr>
              <w:spacing w:after="0" w:line="240" w:lineRule="auto"/>
              <w:jc w:val="right"/>
            </w:pPr>
            <w:r w:rsidRPr="00E237C2">
              <w:t>0.366</w:t>
            </w:r>
          </w:p>
        </w:tc>
      </w:tr>
      <w:tr w:rsidR="00E237C2" w:rsidRPr="00E237C2" w14:paraId="49261A48"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1688E0BB" w14:textId="77777777" w:rsidR="00E237C2" w:rsidRPr="00E237C2" w:rsidRDefault="00E237C2" w:rsidP="00E237C2">
            <w:pPr>
              <w:spacing w:after="0" w:line="240" w:lineRule="auto"/>
            </w:pPr>
            <w:r w:rsidRPr="00E237C2">
              <w:t>Tenure: Social/ Local Authority Housing</w:t>
            </w:r>
          </w:p>
        </w:tc>
        <w:tc>
          <w:tcPr>
            <w:tcW w:w="1418" w:type="dxa"/>
            <w:tcBorders>
              <w:top w:val="nil"/>
              <w:left w:val="nil"/>
              <w:bottom w:val="single" w:sz="4" w:space="0" w:color="auto"/>
              <w:right w:val="single" w:sz="4" w:space="0" w:color="auto"/>
            </w:tcBorders>
            <w:shd w:val="clear" w:color="auto" w:fill="auto"/>
            <w:noWrap/>
            <w:hideMark/>
          </w:tcPr>
          <w:p w14:paraId="1C221345" w14:textId="77777777" w:rsidR="00E237C2" w:rsidRPr="00E237C2" w:rsidRDefault="00E237C2" w:rsidP="00E237C2">
            <w:pPr>
              <w:spacing w:after="0" w:line="240" w:lineRule="auto"/>
              <w:jc w:val="center"/>
            </w:pPr>
            <w:r w:rsidRPr="00E237C2">
              <w:t>n.s</w:t>
            </w:r>
          </w:p>
        </w:tc>
        <w:tc>
          <w:tcPr>
            <w:tcW w:w="1275" w:type="dxa"/>
            <w:tcBorders>
              <w:top w:val="nil"/>
              <w:left w:val="nil"/>
              <w:bottom w:val="single" w:sz="4" w:space="0" w:color="auto"/>
              <w:right w:val="single" w:sz="4" w:space="0" w:color="auto"/>
            </w:tcBorders>
            <w:shd w:val="clear" w:color="auto" w:fill="auto"/>
            <w:noWrap/>
            <w:hideMark/>
          </w:tcPr>
          <w:p w14:paraId="6249ED6B" w14:textId="77777777" w:rsidR="00E237C2" w:rsidRPr="00E237C2" w:rsidRDefault="00E237C2" w:rsidP="00E237C2">
            <w:pPr>
              <w:spacing w:after="0" w:line="240" w:lineRule="auto"/>
              <w:jc w:val="right"/>
            </w:pPr>
            <w:r w:rsidRPr="00E237C2">
              <w:t>0.806</w:t>
            </w:r>
          </w:p>
        </w:tc>
      </w:tr>
      <w:tr w:rsidR="00E237C2" w:rsidRPr="00E237C2" w14:paraId="12B446D6"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55CB1206" w14:textId="77777777" w:rsidR="00E237C2" w:rsidRPr="00E237C2" w:rsidRDefault="00E237C2" w:rsidP="00E237C2">
            <w:pPr>
              <w:spacing w:after="0" w:line="240" w:lineRule="auto"/>
            </w:pPr>
            <w:r w:rsidRPr="00E237C2">
              <w:t>Tenure: Other</w:t>
            </w:r>
          </w:p>
        </w:tc>
        <w:tc>
          <w:tcPr>
            <w:tcW w:w="1418" w:type="dxa"/>
            <w:tcBorders>
              <w:top w:val="nil"/>
              <w:left w:val="nil"/>
              <w:bottom w:val="single" w:sz="4" w:space="0" w:color="auto"/>
              <w:right w:val="single" w:sz="4" w:space="0" w:color="auto"/>
            </w:tcBorders>
            <w:shd w:val="clear" w:color="auto" w:fill="auto"/>
            <w:noWrap/>
            <w:hideMark/>
          </w:tcPr>
          <w:p w14:paraId="6A7F5029" w14:textId="77777777" w:rsidR="00E237C2" w:rsidRPr="00E237C2" w:rsidRDefault="00E237C2" w:rsidP="00E237C2">
            <w:pPr>
              <w:spacing w:after="0" w:line="240" w:lineRule="auto"/>
              <w:jc w:val="center"/>
            </w:pPr>
            <w:r w:rsidRPr="00E237C2">
              <w:t>*</w:t>
            </w:r>
          </w:p>
        </w:tc>
        <w:tc>
          <w:tcPr>
            <w:tcW w:w="1275" w:type="dxa"/>
            <w:tcBorders>
              <w:top w:val="nil"/>
              <w:left w:val="nil"/>
              <w:bottom w:val="single" w:sz="4" w:space="0" w:color="auto"/>
              <w:right w:val="single" w:sz="4" w:space="0" w:color="auto"/>
            </w:tcBorders>
            <w:shd w:val="clear" w:color="auto" w:fill="auto"/>
            <w:noWrap/>
            <w:hideMark/>
          </w:tcPr>
          <w:p w14:paraId="313328E2" w14:textId="77777777" w:rsidR="00E237C2" w:rsidRPr="00E237C2" w:rsidRDefault="00E237C2" w:rsidP="00E237C2">
            <w:pPr>
              <w:spacing w:after="0" w:line="240" w:lineRule="auto"/>
              <w:jc w:val="right"/>
            </w:pPr>
            <w:r w:rsidRPr="00E237C2">
              <w:t>0.228</w:t>
            </w:r>
          </w:p>
        </w:tc>
      </w:tr>
      <w:tr w:rsidR="00E237C2" w:rsidRPr="00E237C2" w14:paraId="5BA3DF66" w14:textId="77777777" w:rsidTr="00E237C2">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290E4654" w14:textId="77777777" w:rsidR="00E237C2" w:rsidRPr="00E237C2" w:rsidRDefault="00E237C2" w:rsidP="00E237C2">
            <w:pPr>
              <w:spacing w:after="0" w:line="240" w:lineRule="auto"/>
            </w:pPr>
            <w:r w:rsidRPr="00E237C2">
              <w:t>Voted in 2019 General Election? (did not vote=0, voted =1)</w:t>
            </w:r>
          </w:p>
        </w:tc>
        <w:tc>
          <w:tcPr>
            <w:tcW w:w="1418" w:type="dxa"/>
            <w:tcBorders>
              <w:top w:val="nil"/>
              <w:left w:val="nil"/>
              <w:bottom w:val="single" w:sz="4" w:space="0" w:color="auto"/>
              <w:right w:val="single" w:sz="4" w:space="0" w:color="auto"/>
            </w:tcBorders>
            <w:shd w:val="clear" w:color="auto" w:fill="auto"/>
            <w:noWrap/>
            <w:hideMark/>
          </w:tcPr>
          <w:p w14:paraId="23ACBC0A" w14:textId="77777777" w:rsidR="00E237C2" w:rsidRPr="00E237C2" w:rsidRDefault="00E237C2" w:rsidP="00E237C2">
            <w:pPr>
              <w:spacing w:after="0" w:line="240" w:lineRule="auto"/>
              <w:jc w:val="center"/>
            </w:pPr>
            <w:r w:rsidRPr="00E237C2">
              <w:t>*</w:t>
            </w:r>
          </w:p>
        </w:tc>
        <w:tc>
          <w:tcPr>
            <w:tcW w:w="1275" w:type="dxa"/>
            <w:tcBorders>
              <w:top w:val="nil"/>
              <w:left w:val="nil"/>
              <w:bottom w:val="single" w:sz="4" w:space="0" w:color="auto"/>
              <w:right w:val="single" w:sz="4" w:space="0" w:color="auto"/>
            </w:tcBorders>
            <w:shd w:val="clear" w:color="auto" w:fill="auto"/>
            <w:noWrap/>
            <w:hideMark/>
          </w:tcPr>
          <w:p w14:paraId="34B695F6" w14:textId="77777777" w:rsidR="00E237C2" w:rsidRPr="00E237C2" w:rsidRDefault="00E237C2" w:rsidP="00E237C2">
            <w:pPr>
              <w:spacing w:after="0" w:line="240" w:lineRule="auto"/>
              <w:jc w:val="right"/>
            </w:pPr>
            <w:r w:rsidRPr="00E237C2">
              <w:t>1.913</w:t>
            </w:r>
          </w:p>
        </w:tc>
      </w:tr>
      <w:tr w:rsidR="00E237C2" w:rsidRPr="00E237C2" w14:paraId="7285E863" w14:textId="77777777" w:rsidTr="00E237C2">
        <w:trPr>
          <w:trHeight w:val="240"/>
        </w:trPr>
        <w:tc>
          <w:tcPr>
            <w:tcW w:w="6096" w:type="dxa"/>
            <w:tcBorders>
              <w:top w:val="nil"/>
              <w:left w:val="single" w:sz="4" w:space="0" w:color="auto"/>
              <w:bottom w:val="single" w:sz="8" w:space="0" w:color="auto"/>
              <w:right w:val="single" w:sz="4" w:space="0" w:color="auto"/>
            </w:tcBorders>
            <w:shd w:val="clear" w:color="auto" w:fill="auto"/>
            <w:hideMark/>
          </w:tcPr>
          <w:p w14:paraId="38BE2E83" w14:textId="77777777" w:rsidR="00E237C2" w:rsidRPr="00E237C2" w:rsidRDefault="00E237C2" w:rsidP="00E237C2">
            <w:pPr>
              <w:spacing w:after="0" w:line="240" w:lineRule="auto"/>
            </w:pPr>
            <w:r w:rsidRPr="00E237C2">
              <w:t>Voted in 2016 EU Referendum? (did not vote=0, voted =1)</w:t>
            </w:r>
          </w:p>
        </w:tc>
        <w:tc>
          <w:tcPr>
            <w:tcW w:w="1418" w:type="dxa"/>
            <w:tcBorders>
              <w:top w:val="nil"/>
              <w:left w:val="nil"/>
              <w:bottom w:val="single" w:sz="8" w:space="0" w:color="auto"/>
              <w:right w:val="single" w:sz="4" w:space="0" w:color="auto"/>
            </w:tcBorders>
            <w:shd w:val="clear" w:color="auto" w:fill="auto"/>
            <w:noWrap/>
            <w:hideMark/>
          </w:tcPr>
          <w:p w14:paraId="730B24FD" w14:textId="77777777" w:rsidR="00E237C2" w:rsidRPr="00E237C2" w:rsidRDefault="00E237C2" w:rsidP="00E237C2">
            <w:pPr>
              <w:spacing w:after="0" w:line="240" w:lineRule="auto"/>
              <w:jc w:val="center"/>
            </w:pPr>
            <w:r w:rsidRPr="00E237C2">
              <w:t>*</w:t>
            </w:r>
          </w:p>
        </w:tc>
        <w:tc>
          <w:tcPr>
            <w:tcW w:w="1275" w:type="dxa"/>
            <w:tcBorders>
              <w:top w:val="nil"/>
              <w:left w:val="nil"/>
              <w:bottom w:val="single" w:sz="8" w:space="0" w:color="auto"/>
              <w:right w:val="single" w:sz="4" w:space="0" w:color="auto"/>
            </w:tcBorders>
            <w:shd w:val="clear" w:color="auto" w:fill="auto"/>
            <w:noWrap/>
            <w:hideMark/>
          </w:tcPr>
          <w:p w14:paraId="0D96F01B" w14:textId="77777777" w:rsidR="00E237C2" w:rsidRPr="00E237C2" w:rsidRDefault="00E237C2" w:rsidP="00E237C2">
            <w:pPr>
              <w:spacing w:after="0" w:line="240" w:lineRule="auto"/>
              <w:jc w:val="right"/>
            </w:pPr>
            <w:r w:rsidRPr="00E237C2">
              <w:t>0.449</w:t>
            </w:r>
          </w:p>
        </w:tc>
      </w:tr>
      <w:tr w:rsidR="00CD504C" w:rsidRPr="00E237C2" w14:paraId="742EFF10" w14:textId="77777777" w:rsidTr="00E237C2">
        <w:trPr>
          <w:trHeight w:val="240"/>
        </w:trPr>
        <w:tc>
          <w:tcPr>
            <w:tcW w:w="6096" w:type="dxa"/>
            <w:tcBorders>
              <w:top w:val="nil"/>
              <w:left w:val="single" w:sz="4" w:space="0" w:color="auto"/>
              <w:bottom w:val="single" w:sz="8" w:space="0" w:color="auto"/>
              <w:right w:val="single" w:sz="4" w:space="0" w:color="auto"/>
            </w:tcBorders>
            <w:shd w:val="clear" w:color="auto" w:fill="auto"/>
          </w:tcPr>
          <w:p w14:paraId="31E8F44E" w14:textId="77777777" w:rsidR="00CD504C" w:rsidRPr="00E237C2" w:rsidRDefault="00CD504C" w:rsidP="00E237C2">
            <w:pPr>
              <w:spacing w:after="0" w:line="240" w:lineRule="auto"/>
            </w:pPr>
          </w:p>
        </w:tc>
        <w:tc>
          <w:tcPr>
            <w:tcW w:w="1418" w:type="dxa"/>
            <w:tcBorders>
              <w:top w:val="nil"/>
              <w:left w:val="nil"/>
              <w:bottom w:val="single" w:sz="8" w:space="0" w:color="auto"/>
              <w:right w:val="single" w:sz="4" w:space="0" w:color="auto"/>
            </w:tcBorders>
            <w:shd w:val="clear" w:color="auto" w:fill="auto"/>
            <w:noWrap/>
          </w:tcPr>
          <w:p w14:paraId="50F12CE7" w14:textId="77777777" w:rsidR="00CD504C" w:rsidRPr="00E237C2" w:rsidRDefault="00CD504C" w:rsidP="00E237C2">
            <w:pPr>
              <w:spacing w:after="0" w:line="240" w:lineRule="auto"/>
              <w:jc w:val="center"/>
            </w:pPr>
          </w:p>
        </w:tc>
        <w:tc>
          <w:tcPr>
            <w:tcW w:w="1275" w:type="dxa"/>
            <w:tcBorders>
              <w:top w:val="nil"/>
              <w:left w:val="nil"/>
              <w:bottom w:val="single" w:sz="8" w:space="0" w:color="auto"/>
              <w:right w:val="single" w:sz="4" w:space="0" w:color="auto"/>
            </w:tcBorders>
            <w:shd w:val="clear" w:color="auto" w:fill="auto"/>
            <w:noWrap/>
          </w:tcPr>
          <w:p w14:paraId="4F546838" w14:textId="77777777" w:rsidR="00CD504C" w:rsidRPr="00E237C2" w:rsidRDefault="00CD504C" w:rsidP="00E237C2">
            <w:pPr>
              <w:spacing w:after="0" w:line="240" w:lineRule="auto"/>
              <w:jc w:val="right"/>
            </w:pPr>
          </w:p>
        </w:tc>
      </w:tr>
      <w:tr w:rsidR="00E237C2" w:rsidRPr="00E237C2" w14:paraId="63527647" w14:textId="77777777" w:rsidTr="00BB4244">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16312118" w14:textId="46F143BE" w:rsidR="00E237C2" w:rsidRPr="00E237C2" w:rsidRDefault="00E237C2" w:rsidP="00E237C2">
            <w:pPr>
              <w:spacing w:after="0" w:line="240" w:lineRule="auto"/>
            </w:pPr>
            <w:r w:rsidRPr="00E237C2">
              <w:t>Nagelkerke R Square</w:t>
            </w:r>
            <w:r w:rsidR="00BB4244">
              <w:t>: .289</w:t>
            </w:r>
          </w:p>
        </w:tc>
        <w:tc>
          <w:tcPr>
            <w:tcW w:w="1418" w:type="dxa"/>
            <w:tcBorders>
              <w:top w:val="nil"/>
              <w:left w:val="nil"/>
              <w:bottom w:val="single" w:sz="4" w:space="0" w:color="auto"/>
              <w:right w:val="single" w:sz="4" w:space="0" w:color="auto"/>
            </w:tcBorders>
            <w:shd w:val="clear" w:color="auto" w:fill="auto"/>
            <w:noWrap/>
          </w:tcPr>
          <w:p w14:paraId="75CF4465" w14:textId="4D261900" w:rsidR="00E237C2" w:rsidRPr="00E237C2" w:rsidRDefault="00E237C2" w:rsidP="00E237C2">
            <w:pPr>
              <w:spacing w:after="0" w:line="240" w:lineRule="auto"/>
              <w:jc w:val="center"/>
            </w:pPr>
          </w:p>
        </w:tc>
        <w:tc>
          <w:tcPr>
            <w:tcW w:w="1275" w:type="dxa"/>
            <w:tcBorders>
              <w:top w:val="nil"/>
              <w:left w:val="nil"/>
              <w:bottom w:val="single" w:sz="4" w:space="0" w:color="auto"/>
              <w:right w:val="single" w:sz="4" w:space="0" w:color="auto"/>
            </w:tcBorders>
            <w:shd w:val="clear" w:color="auto" w:fill="auto"/>
            <w:noWrap/>
            <w:hideMark/>
          </w:tcPr>
          <w:p w14:paraId="2B7FDD1D" w14:textId="77777777" w:rsidR="00E237C2" w:rsidRPr="00E237C2" w:rsidRDefault="00E237C2" w:rsidP="00E237C2">
            <w:pPr>
              <w:spacing w:after="0" w:line="240" w:lineRule="auto"/>
              <w:jc w:val="right"/>
            </w:pPr>
            <w:r w:rsidRPr="00E237C2">
              <w:t> </w:t>
            </w:r>
          </w:p>
        </w:tc>
      </w:tr>
      <w:tr w:rsidR="00E237C2" w:rsidRPr="00E237C2" w14:paraId="3F9852DA" w14:textId="77777777" w:rsidTr="00BB4244">
        <w:trPr>
          <w:trHeight w:val="240"/>
        </w:trPr>
        <w:tc>
          <w:tcPr>
            <w:tcW w:w="6096" w:type="dxa"/>
            <w:tcBorders>
              <w:top w:val="nil"/>
              <w:left w:val="single" w:sz="4" w:space="0" w:color="auto"/>
              <w:bottom w:val="single" w:sz="4" w:space="0" w:color="auto"/>
              <w:right w:val="single" w:sz="4" w:space="0" w:color="auto"/>
            </w:tcBorders>
            <w:shd w:val="clear" w:color="auto" w:fill="auto"/>
            <w:hideMark/>
          </w:tcPr>
          <w:p w14:paraId="6D906C57" w14:textId="2818D5CE" w:rsidR="00E237C2" w:rsidRPr="00E237C2" w:rsidRDefault="00E237C2" w:rsidP="00E237C2">
            <w:pPr>
              <w:spacing w:after="0" w:line="240" w:lineRule="auto"/>
            </w:pPr>
            <w:r w:rsidRPr="00E237C2">
              <w:t>Log likelihood</w:t>
            </w:r>
            <w:r w:rsidR="00BB4244">
              <w:t>: 558.508</w:t>
            </w:r>
          </w:p>
        </w:tc>
        <w:tc>
          <w:tcPr>
            <w:tcW w:w="1418" w:type="dxa"/>
            <w:tcBorders>
              <w:top w:val="nil"/>
              <w:left w:val="nil"/>
              <w:bottom w:val="single" w:sz="4" w:space="0" w:color="auto"/>
              <w:right w:val="single" w:sz="4" w:space="0" w:color="auto"/>
            </w:tcBorders>
            <w:shd w:val="clear" w:color="auto" w:fill="auto"/>
          </w:tcPr>
          <w:p w14:paraId="58992AAF" w14:textId="4999E626" w:rsidR="00E237C2" w:rsidRPr="00E237C2" w:rsidRDefault="00E237C2" w:rsidP="00E237C2">
            <w:pPr>
              <w:spacing w:after="0" w:line="240" w:lineRule="auto"/>
              <w:jc w:val="center"/>
            </w:pPr>
          </w:p>
        </w:tc>
        <w:tc>
          <w:tcPr>
            <w:tcW w:w="1275" w:type="dxa"/>
            <w:tcBorders>
              <w:top w:val="nil"/>
              <w:left w:val="nil"/>
              <w:bottom w:val="single" w:sz="4" w:space="0" w:color="auto"/>
              <w:right w:val="single" w:sz="4" w:space="0" w:color="auto"/>
            </w:tcBorders>
            <w:shd w:val="clear" w:color="auto" w:fill="auto"/>
            <w:hideMark/>
          </w:tcPr>
          <w:p w14:paraId="070756C4" w14:textId="77777777" w:rsidR="00E237C2" w:rsidRPr="00E237C2" w:rsidRDefault="00E237C2" w:rsidP="00E237C2">
            <w:pPr>
              <w:spacing w:after="0" w:line="240" w:lineRule="auto"/>
              <w:jc w:val="right"/>
            </w:pPr>
            <w:r w:rsidRPr="00E237C2">
              <w:t> </w:t>
            </w:r>
          </w:p>
        </w:tc>
      </w:tr>
      <w:tr w:rsidR="00E237C2" w:rsidRPr="00E237C2" w14:paraId="511C9474" w14:textId="77777777" w:rsidTr="00BB4244">
        <w:trPr>
          <w:trHeight w:val="240"/>
        </w:trPr>
        <w:tc>
          <w:tcPr>
            <w:tcW w:w="6096" w:type="dxa"/>
            <w:tcBorders>
              <w:top w:val="nil"/>
              <w:left w:val="single" w:sz="4" w:space="0" w:color="auto"/>
              <w:bottom w:val="single" w:sz="8" w:space="0" w:color="auto"/>
              <w:right w:val="single" w:sz="4" w:space="0" w:color="auto"/>
            </w:tcBorders>
            <w:shd w:val="clear" w:color="auto" w:fill="auto"/>
            <w:hideMark/>
          </w:tcPr>
          <w:p w14:paraId="51AF5122" w14:textId="7B6BEBC8" w:rsidR="00E237C2" w:rsidRPr="00E237C2" w:rsidRDefault="00E237C2" w:rsidP="00E237C2">
            <w:pPr>
              <w:spacing w:after="0" w:line="240" w:lineRule="auto"/>
            </w:pPr>
            <w:r w:rsidRPr="00E237C2">
              <w:t>Constant</w:t>
            </w:r>
            <w:r w:rsidR="00BB4244">
              <w:t>: 0.473</w:t>
            </w:r>
          </w:p>
        </w:tc>
        <w:tc>
          <w:tcPr>
            <w:tcW w:w="1418" w:type="dxa"/>
            <w:tcBorders>
              <w:top w:val="nil"/>
              <w:left w:val="nil"/>
              <w:bottom w:val="single" w:sz="8" w:space="0" w:color="auto"/>
              <w:right w:val="single" w:sz="4" w:space="0" w:color="auto"/>
            </w:tcBorders>
            <w:shd w:val="clear" w:color="auto" w:fill="auto"/>
            <w:noWrap/>
          </w:tcPr>
          <w:p w14:paraId="4DC85A52" w14:textId="301F0EC8" w:rsidR="00E237C2" w:rsidRPr="00E237C2" w:rsidRDefault="00E237C2" w:rsidP="00E237C2">
            <w:pPr>
              <w:spacing w:after="0" w:line="240" w:lineRule="auto"/>
              <w:jc w:val="center"/>
            </w:pPr>
          </w:p>
        </w:tc>
        <w:tc>
          <w:tcPr>
            <w:tcW w:w="1275" w:type="dxa"/>
            <w:tcBorders>
              <w:top w:val="nil"/>
              <w:left w:val="nil"/>
              <w:bottom w:val="single" w:sz="8" w:space="0" w:color="auto"/>
              <w:right w:val="single" w:sz="4" w:space="0" w:color="auto"/>
            </w:tcBorders>
            <w:shd w:val="clear" w:color="auto" w:fill="auto"/>
            <w:noWrap/>
            <w:vAlign w:val="bottom"/>
            <w:hideMark/>
          </w:tcPr>
          <w:p w14:paraId="1A3DD4E2" w14:textId="77777777" w:rsidR="00E237C2" w:rsidRPr="00E237C2" w:rsidRDefault="00E237C2" w:rsidP="00E237C2">
            <w:pPr>
              <w:spacing w:after="0" w:line="240" w:lineRule="auto"/>
              <w:jc w:val="right"/>
            </w:pPr>
            <w:r w:rsidRPr="00E237C2">
              <w:t> </w:t>
            </w:r>
          </w:p>
        </w:tc>
      </w:tr>
    </w:tbl>
    <w:p w14:paraId="27000DB8" w14:textId="7C7D72BC" w:rsidR="00E237C2" w:rsidRPr="00E237C2" w:rsidRDefault="00E237C2" w:rsidP="00E237C2">
      <w:pPr>
        <w:spacing w:after="0" w:line="240" w:lineRule="auto"/>
        <w:rPr>
          <w:i/>
        </w:rPr>
      </w:pPr>
      <w:r w:rsidRPr="00E237C2">
        <w:rPr>
          <w:i/>
        </w:rPr>
        <w:t>n=1386</w:t>
      </w:r>
      <w:r>
        <w:rPr>
          <w:i/>
        </w:rPr>
        <w:t xml:space="preserve"> </w:t>
      </w:r>
      <w:r w:rsidRPr="00E237C2">
        <w:rPr>
          <w:i/>
        </w:rPr>
        <w:t>*p &lt; 0.05, **p &lt; 0.01, ***p &lt; 0.001</w:t>
      </w:r>
    </w:p>
    <w:p w14:paraId="6A670073" w14:textId="77777777" w:rsidR="00D90D34" w:rsidRDefault="00D90D34" w:rsidP="00E80ED0">
      <w:pPr>
        <w:rPr>
          <w:b/>
        </w:rPr>
      </w:pPr>
    </w:p>
    <w:p w14:paraId="5FA6B562" w14:textId="404D23E6" w:rsidR="00E80ED0" w:rsidRPr="00E80ED0" w:rsidRDefault="00E80ED0" w:rsidP="00E80ED0">
      <w:pPr>
        <w:rPr>
          <w:b/>
        </w:rPr>
      </w:pPr>
      <w:r w:rsidRPr="00E80ED0">
        <w:rPr>
          <w:b/>
        </w:rPr>
        <w:t>Conclusion</w:t>
      </w:r>
    </w:p>
    <w:p w14:paraId="198964D1" w14:textId="6826ADFE" w:rsidR="00E80ED0" w:rsidRPr="00E80ED0" w:rsidRDefault="00E80ED0" w:rsidP="00E80ED0">
      <w:pPr>
        <w:rPr>
          <w:bCs/>
          <w:iCs/>
        </w:rPr>
      </w:pPr>
      <w:r w:rsidRPr="00E80ED0">
        <w:t xml:space="preserve">We set out to a) </w:t>
      </w:r>
      <w:r w:rsidR="00EA1D9A">
        <w:t xml:space="preserve">field a new style of survey question on electoral fraud, which approached it as a form of victimisation, b) </w:t>
      </w:r>
      <w:r w:rsidRPr="00E80ED0">
        <w:t xml:space="preserve">establish rates of electoral fraud victimisation in Britain and </w:t>
      </w:r>
      <w:r w:rsidR="00EA1D9A">
        <w:t>c</w:t>
      </w:r>
      <w:r w:rsidRPr="00E80ED0">
        <w:t xml:space="preserve">) to explore a series of </w:t>
      </w:r>
      <w:r w:rsidR="00E66167">
        <w:t>expectations derived from earlier work in this field</w:t>
      </w:r>
      <w:r w:rsidRPr="00E80ED0">
        <w:t>.</w:t>
      </w:r>
      <w:r w:rsidR="00E51074">
        <w:t xml:space="preserve"> Certainly, there was nothing to suggest that the strategy of approaching electoral fraud as if it was a victimisation produced unreliable</w:t>
      </w:r>
      <w:r w:rsidR="00074472">
        <w:t xml:space="preserve"> or ill-defined</w:t>
      </w:r>
      <w:r w:rsidR="00D9647F">
        <w:t xml:space="preserve"> </w:t>
      </w:r>
      <w:r w:rsidR="00E51074">
        <w:t>data. The percentage reporting first-hand experience of</w:t>
      </w:r>
      <w:r w:rsidR="00EE327C">
        <w:t xml:space="preserve"> two forms of electoral fraud</w:t>
      </w:r>
      <w:r w:rsidR="00E51074">
        <w:t xml:space="preserve"> </w:t>
      </w:r>
      <w:r w:rsidR="00EE327C">
        <w:t xml:space="preserve">was </w:t>
      </w:r>
      <w:r w:rsidR="00E51074">
        <w:t xml:space="preserve">below the percentage perceiving it as </w:t>
      </w:r>
      <w:r w:rsidR="00EE327C">
        <w:t>‘</w:t>
      </w:r>
      <w:r w:rsidR="00E51074">
        <w:t>common</w:t>
      </w:r>
      <w:r w:rsidR="00EE327C">
        <w:t>’</w:t>
      </w:r>
      <w:r w:rsidR="00E51074">
        <w:t xml:space="preserve">, </w:t>
      </w:r>
      <w:r w:rsidR="00EE327C">
        <w:t>which was in keeping</w:t>
      </w:r>
      <w:r w:rsidR="00E51074">
        <w:t xml:space="preserve"> with our expectations. </w:t>
      </w:r>
      <w:r w:rsidR="006B3854">
        <w:t xml:space="preserve">Very few respondents declined to answer the question on electoral fraud (3%). </w:t>
      </w:r>
      <w:r w:rsidR="00E51074">
        <w:t>Nevertheless, the data analyses do suggest that the correlates of these new questions may be different from the data generated by perceptual questions</w:t>
      </w:r>
      <w:r w:rsidR="00572A6C">
        <w:t xml:space="preserve"> (in that the results generated differed from our expectations</w:t>
      </w:r>
      <w:r w:rsidR="00930040">
        <w:t>)</w:t>
      </w:r>
      <w:r w:rsidR="00E51074">
        <w:t xml:space="preserve">. </w:t>
      </w:r>
      <w:r w:rsidRPr="00E80ED0">
        <w:t>In terms of the global rate</w:t>
      </w:r>
      <w:r w:rsidR="006A292C">
        <w:t xml:space="preserve"> (i.e. the ‘ever’ victimised)</w:t>
      </w:r>
      <w:r w:rsidRPr="00E80ED0">
        <w:t xml:space="preserve">, this is around </w:t>
      </w:r>
      <w:r w:rsidR="00FB6A90">
        <w:t>6</w:t>
      </w:r>
      <w:r w:rsidRPr="00E80ED0">
        <w:t>-8% (or lower, at about 3-4% for the most recent general election in 2019</w:t>
      </w:r>
      <w:r w:rsidR="006A292C">
        <w:t>, Tables Two and Four</w:t>
      </w:r>
      <w:r w:rsidRPr="00E80ED0">
        <w:t xml:space="preserve">). </w:t>
      </w:r>
      <w:r w:rsidR="00EE327C">
        <w:t>Specifically, i</w:t>
      </w:r>
      <w:r w:rsidRPr="00E80ED0">
        <w:t xml:space="preserve">n terms of the </w:t>
      </w:r>
      <w:r w:rsidR="00EE327C">
        <w:t>expectations,</w:t>
      </w:r>
      <w:r w:rsidR="00E66167">
        <w:t xml:space="preserve"> we set out above</w:t>
      </w:r>
      <w:r w:rsidRPr="00E80ED0">
        <w:t>, we found:</w:t>
      </w:r>
    </w:p>
    <w:p w14:paraId="1EB6061D" w14:textId="4092CB35" w:rsidR="00E80ED0" w:rsidRPr="00E80ED0" w:rsidRDefault="00E80ED0" w:rsidP="00E80ED0">
      <w:pPr>
        <w:numPr>
          <w:ilvl w:val="0"/>
          <w:numId w:val="7"/>
        </w:numPr>
      </w:pPr>
      <w:r w:rsidRPr="00E80ED0">
        <w:t xml:space="preserve">Relatively few respondents will regard electoral fraud as common. As noted above, this was </w:t>
      </w:r>
      <w:r w:rsidR="007E5431">
        <w:t>supported</w:t>
      </w:r>
      <w:r w:rsidR="007E5431" w:rsidRPr="00E80ED0">
        <w:t xml:space="preserve"> </w:t>
      </w:r>
      <w:r w:rsidRPr="00E80ED0">
        <w:t>by the data at hand.</w:t>
      </w:r>
    </w:p>
    <w:p w14:paraId="7225ADD6" w14:textId="5A8A7CFB" w:rsidR="00E80ED0" w:rsidRPr="00E80ED0" w:rsidRDefault="00E80ED0" w:rsidP="00E80ED0">
      <w:pPr>
        <w:numPr>
          <w:ilvl w:val="0"/>
          <w:numId w:val="7"/>
        </w:numPr>
      </w:pPr>
      <w:r w:rsidRPr="00E80ED0">
        <w:t xml:space="preserve">Even fewer will have had direct knowledge or experience of electoral fraud. This too was </w:t>
      </w:r>
      <w:r w:rsidR="007E5431">
        <w:t>supported</w:t>
      </w:r>
      <w:r w:rsidRPr="00E80ED0">
        <w:t>.</w:t>
      </w:r>
    </w:p>
    <w:p w14:paraId="2BF453CD" w14:textId="0DE98307" w:rsidR="00E80ED0" w:rsidRPr="00E80ED0" w:rsidRDefault="00E80ED0" w:rsidP="00E80ED0">
      <w:pPr>
        <w:numPr>
          <w:ilvl w:val="0"/>
          <w:numId w:val="7"/>
        </w:numPr>
      </w:pPr>
      <w:r w:rsidRPr="00E80ED0">
        <w:t>Experiences of electoral fraud will be greater among those with lower levels of formal education and among supporters of right-wing parties. We found that it was those with higher (not lower) levels of education who reported the most experience of electoral fraud</w:t>
      </w:r>
      <w:r>
        <w:t xml:space="preserve"> in the bivariate analyses, although not the regression model</w:t>
      </w:r>
      <w:r w:rsidRPr="00E80ED0">
        <w:t xml:space="preserve">. This was also the case for party identification, such that those voting for right-wing parties reported less electoral fraud, meaning that both of these </w:t>
      </w:r>
      <w:r w:rsidR="000128DA">
        <w:t>expectations</w:t>
      </w:r>
      <w:r w:rsidRPr="00E80ED0">
        <w:t xml:space="preserve"> were </w:t>
      </w:r>
      <w:r w:rsidR="007E5431">
        <w:t>unsupported</w:t>
      </w:r>
      <w:r w:rsidRPr="00E80ED0">
        <w:t xml:space="preserve">. </w:t>
      </w:r>
      <w:r w:rsidR="00B56CFC">
        <w:t xml:space="preserve">These findings are consistent with the new measurement approach uncovering </w:t>
      </w:r>
      <w:r w:rsidR="00EE327C">
        <w:t xml:space="preserve">different </w:t>
      </w:r>
      <w:r w:rsidR="00B56CFC">
        <w:t xml:space="preserve">relationships.  </w:t>
      </w:r>
      <w:r w:rsidRPr="00E80ED0">
        <w:t xml:space="preserve">  </w:t>
      </w:r>
    </w:p>
    <w:p w14:paraId="40C3BA1C" w14:textId="500B7AB7" w:rsidR="00E80ED0" w:rsidRPr="00E80ED0" w:rsidRDefault="00E80ED0" w:rsidP="00E80ED0">
      <w:pPr>
        <w:numPr>
          <w:ilvl w:val="0"/>
          <w:numId w:val="7"/>
        </w:numPr>
      </w:pPr>
      <w:r w:rsidRPr="00E80ED0">
        <w:t xml:space="preserve">Perceptions of electoral fraud will be greater among those who were on the losing side at the 2019 General Election. This was also </w:t>
      </w:r>
      <w:r w:rsidR="003E36E7">
        <w:t>unsupported</w:t>
      </w:r>
      <w:r w:rsidR="003E36E7" w:rsidRPr="00E80ED0">
        <w:t xml:space="preserve"> </w:t>
      </w:r>
      <w:r w:rsidRPr="00E80ED0">
        <w:t xml:space="preserve">in a </w:t>
      </w:r>
      <w:r w:rsidR="00EE327C">
        <w:t xml:space="preserve">statistical test </w:t>
      </w:r>
      <w:r w:rsidRPr="00E80ED0">
        <w:t xml:space="preserve">which found that the mean score on perceptions of electoral fraud (produced by summing the data reported in Tables One and Three) for those who voted for the Conservatives or other Brexit-backing parties was 7.1401, whilst for those who voted for other parties (namely, Labour, The LibDems, SNP, Greens or PC) the mean score was almost identical at 7.1935 (p = .762). </w:t>
      </w:r>
      <w:r w:rsidR="00B56CFC">
        <w:t>Again, this</w:t>
      </w:r>
      <w:r w:rsidR="00B56CFC" w:rsidRPr="00B56CFC">
        <w:t xml:space="preserve"> finding</w:t>
      </w:r>
      <w:r w:rsidR="00B56CFC">
        <w:t xml:space="preserve"> i</w:t>
      </w:r>
      <w:r w:rsidR="00B56CFC" w:rsidRPr="00B56CFC">
        <w:t xml:space="preserve">s consistent with </w:t>
      </w:r>
      <w:r w:rsidR="00EE327C">
        <w:t xml:space="preserve">a </w:t>
      </w:r>
      <w:r w:rsidR="00B56CFC" w:rsidRPr="00B56CFC">
        <w:t xml:space="preserve">new measurement </w:t>
      </w:r>
      <w:r w:rsidR="00EE327C">
        <w:t xml:space="preserve">strategy that approaches electoral fraud as an act of victimisation. </w:t>
      </w:r>
    </w:p>
    <w:p w14:paraId="7C1FCE15" w14:textId="65E7BA01" w:rsidR="00E80ED0" w:rsidRPr="00E80ED0" w:rsidRDefault="00E80ED0" w:rsidP="00E80ED0">
      <w:pPr>
        <w:numPr>
          <w:ilvl w:val="0"/>
          <w:numId w:val="7"/>
        </w:numPr>
      </w:pPr>
      <w:r w:rsidRPr="00E80ED0">
        <w:t xml:space="preserve">Reports of electoral fraud victimisation will be greater among youngest voters (18-24); this was clearly confirmed by both the bivariate and multivariate analyses. Men were also statistically more likely to report explicit </w:t>
      </w:r>
      <w:r w:rsidR="005440E7">
        <w:t>episodes of electoral fraud</w:t>
      </w:r>
      <w:r w:rsidRPr="00E80ED0">
        <w:t xml:space="preserve"> than women. </w:t>
      </w:r>
    </w:p>
    <w:p w14:paraId="46B60D41" w14:textId="75B4A053" w:rsidR="00E80ED0" w:rsidRPr="00E80ED0" w:rsidRDefault="00E80ED0" w:rsidP="00E80ED0">
      <w:r w:rsidRPr="00E80ED0">
        <w:t>Those living in neighbourhoods</w:t>
      </w:r>
      <w:r w:rsidRPr="00E80ED0" w:rsidDel="006263DC">
        <w:t xml:space="preserve"> </w:t>
      </w:r>
      <w:r w:rsidRPr="00E80ED0">
        <w:t xml:space="preserve">geo-demographically classified as ‘cosmopolitan’ were the most likely to report specific incidences of electoral fraud. </w:t>
      </w:r>
    </w:p>
    <w:p w14:paraId="6AC23545" w14:textId="7EE6D93E" w:rsidR="00E80ED0" w:rsidRPr="00E80ED0" w:rsidRDefault="00E80ED0" w:rsidP="00E80ED0">
      <w:pPr>
        <w:numPr>
          <w:ilvl w:val="0"/>
          <w:numId w:val="7"/>
        </w:numPr>
      </w:pPr>
      <w:r w:rsidRPr="00E80ED0">
        <w:t xml:space="preserve">The </w:t>
      </w:r>
      <w:r w:rsidR="006B67BB">
        <w:t>b</w:t>
      </w:r>
      <w:r w:rsidRPr="00E80ED0">
        <w:t xml:space="preserve">ivariate analyses suggested that the consistent </w:t>
      </w:r>
      <w:r>
        <w:t xml:space="preserve">predictors of </w:t>
      </w:r>
      <w:r w:rsidRPr="00E80ED0">
        <w:t>experiencing electoral fraud related to sex (male), age (18-24</w:t>
      </w:r>
      <w:r w:rsidR="00930040">
        <w:t>yr-olds</w:t>
      </w:r>
      <w:r w:rsidRPr="00E80ED0">
        <w:t xml:space="preserve">), neighbourhood profile, and recent voting behaviour (in the 2019 election). Some additional results also presented themselves in this model, although the tests of significance and odds ratios were substantively less noteworthy.  However, this example represents the early findings of a currently untrodden and intriguing avenue of research, of which future research may build on. </w:t>
      </w:r>
    </w:p>
    <w:p w14:paraId="7EE48075" w14:textId="636FB098" w:rsidR="00E80ED0" w:rsidRDefault="00E80ED0" w:rsidP="00E80ED0">
      <w:pPr>
        <w:numPr>
          <w:ilvl w:val="0"/>
          <w:numId w:val="7"/>
        </w:numPr>
      </w:pPr>
      <w:r w:rsidRPr="00E80ED0">
        <w:t xml:space="preserve">The </w:t>
      </w:r>
      <w:r w:rsidR="006063C1">
        <w:t xml:space="preserve">logistic regression </w:t>
      </w:r>
      <w:r w:rsidRPr="00E80ED0">
        <w:t xml:space="preserve">modelling confirmed much of the above, albeit with some changes in the importance of some variables (such as the output area classifications). </w:t>
      </w:r>
      <w:r w:rsidR="002518A5">
        <w:t>However, overall th</w:t>
      </w:r>
      <w:r w:rsidR="00AB0C23">
        <w:t>ese</w:t>
      </w:r>
      <w:r w:rsidRPr="00E80ED0">
        <w:t xml:space="preserve"> analyses suggest that those who live in urban areas characterised by higher levels of poverty and concentrated levels of ethnicity minority groups are amongst those who are most likely to report having been the victim of these two types of electoral fraud. </w:t>
      </w:r>
    </w:p>
    <w:p w14:paraId="77C80ACC" w14:textId="4DABD562" w:rsidR="00E80ED0" w:rsidRDefault="00E80ED0" w:rsidP="0006000E">
      <w:r w:rsidRPr="00E80ED0">
        <w:t xml:space="preserve">In sum, </w:t>
      </w:r>
      <w:r w:rsidR="002A6490">
        <w:t>drawing from both the bivariate analyses and regression modelling,</w:t>
      </w:r>
      <w:r w:rsidR="000164CD">
        <w:t xml:space="preserve"> and bearing in mind the caveats we raised about the </w:t>
      </w:r>
      <w:r w:rsidR="002518A5">
        <w:t xml:space="preserve">sample </w:t>
      </w:r>
      <w:r w:rsidR="000164CD">
        <w:t>size of the survey and the absence of an ethnic minority booster sample,</w:t>
      </w:r>
      <w:r w:rsidR="002A6490">
        <w:t xml:space="preserve"> </w:t>
      </w:r>
      <w:r w:rsidRPr="00E80ED0">
        <w:t>the ‘typical’ victim of electoral fraud in Britain is</w:t>
      </w:r>
      <w:r w:rsidR="00C10417">
        <w:t>:</w:t>
      </w:r>
      <w:r w:rsidR="00971137">
        <w:t xml:space="preserve"> male</w:t>
      </w:r>
      <w:r w:rsidR="00C10417">
        <w:t>;</w:t>
      </w:r>
      <w:r w:rsidR="00971137">
        <w:t xml:space="preserve"> aged 18–24</w:t>
      </w:r>
      <w:r w:rsidR="00C10417">
        <w:t>;</w:t>
      </w:r>
      <w:r w:rsidR="00971137">
        <w:t xml:space="preserve"> of Asian descent</w:t>
      </w:r>
      <w:r w:rsidR="00C10417">
        <w:t>;</w:t>
      </w:r>
      <w:r w:rsidR="00971137">
        <w:t xml:space="preserve"> living in a household with an income of below £24,999 p.a.</w:t>
      </w:r>
      <w:r w:rsidR="00C10417">
        <w:t>;</w:t>
      </w:r>
      <w:r w:rsidR="00971137">
        <w:t xml:space="preserve"> in SEG group C2</w:t>
      </w:r>
      <w:r w:rsidR="00C10417">
        <w:t xml:space="preserve">; </w:t>
      </w:r>
      <w:r w:rsidR="00971137">
        <w:t>in the Yorkshire and Humberside area</w:t>
      </w:r>
      <w:r w:rsidR="00C10417">
        <w:t xml:space="preserve">; </w:t>
      </w:r>
      <w:r w:rsidR="00971137">
        <w:t>in communities the ONS have classified as Cosmopolitan, Ethnicity Central or Multicultural Metropolitan</w:t>
      </w:r>
      <w:r w:rsidR="00C10417">
        <w:t xml:space="preserve">; </w:t>
      </w:r>
      <w:r w:rsidR="00137394">
        <w:t>s</w:t>
      </w:r>
      <w:r w:rsidRPr="00E80ED0">
        <w:t xml:space="preserve">and who voted for a left-leaning party at the 2019 general election. </w:t>
      </w:r>
    </w:p>
    <w:p w14:paraId="1AB5064A" w14:textId="43B37ECB" w:rsidR="0006000E" w:rsidRDefault="0006000E" w:rsidP="0006000E">
      <w:r>
        <w:t xml:space="preserve">What are the next steps for research in this field? </w:t>
      </w:r>
      <w:r w:rsidR="00421BED">
        <w:t xml:space="preserve">Asking respondents in large scale surveys about their victimisation experiences (relating to burglary or violent crime) is common in survey vehicles such as the Crime Survey for England &amp; Wales, and we would suggest that this approach could be adopted with regards to electoral fraud. </w:t>
      </w:r>
      <w:r w:rsidR="002A6490">
        <w:t>Only by asking respondents about their first-hand experiences of electoral fraud will we learn more about its incidence and prevalence – and with that resolve some of the debates around electorate fraud which have littered discussions about the electoral process in the UK and further afield of late.</w:t>
      </w:r>
      <w:r w:rsidR="004B5FA3">
        <w:t xml:space="preserve"> However, by re-conceptualising electoral fraud as a form of victimisation, this approach also raises questions about re</w:t>
      </w:r>
      <w:r w:rsidR="00B61002">
        <w:t>compense for</w:t>
      </w:r>
      <w:r w:rsidR="004B5FA3">
        <w:t xml:space="preserve"> th</w:t>
      </w:r>
      <w:r w:rsidR="00B61002">
        <w:t>ese</w:t>
      </w:r>
      <w:r w:rsidR="004B5FA3">
        <w:t xml:space="preserve"> (and similar) wrongs. </w:t>
      </w:r>
      <w:r w:rsidR="005627F1">
        <w:t>T</w:t>
      </w:r>
      <w:r w:rsidR="00766149">
        <w:t xml:space="preserve">hat may prove to be an even harder task to resolve. </w:t>
      </w:r>
    </w:p>
    <w:p w14:paraId="74882E0C" w14:textId="3D6D7B5A" w:rsidR="008F0110" w:rsidRDefault="00581FC7" w:rsidP="007541F7">
      <w:r>
        <w:br w:type="page"/>
      </w:r>
    </w:p>
    <w:p w14:paraId="0F450958" w14:textId="0B2B00B7" w:rsidR="00D17BFB" w:rsidRPr="00CF2F42" w:rsidRDefault="00D17BFB" w:rsidP="00D17BFB">
      <w:pPr>
        <w:rPr>
          <w:rFonts w:cstheme="minorHAnsi"/>
          <w:b/>
          <w:bCs/>
          <w:iCs/>
          <w:color w:val="000000" w:themeColor="text1"/>
        </w:rPr>
      </w:pPr>
      <w:r w:rsidRPr="00CF2F42">
        <w:rPr>
          <w:b/>
        </w:rPr>
        <w:t xml:space="preserve"> </w:t>
      </w:r>
      <w:r w:rsidRPr="00CF2F42">
        <w:rPr>
          <w:rFonts w:cstheme="minorHAnsi"/>
          <w:b/>
          <w:bCs/>
          <w:iCs/>
          <w:color w:val="000000" w:themeColor="text1"/>
        </w:rPr>
        <w:t>Bibliography</w:t>
      </w:r>
    </w:p>
    <w:p w14:paraId="66843C86"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Ahlquist, J. S., Mayer, K. R., &amp; Jackman, S. (2014). Alien Abduction and Voter Impersonation in the 2012 U.S. General Election: Evidence from a Survey List Experiment. Election Law Journal: Rules, Politics, and Policy, 13(4):460–475.</w:t>
      </w:r>
    </w:p>
    <w:p w14:paraId="7A12CC6C"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Akhtar, P. (2013). British Muslim Politics. Palgrave Macmillan.</w:t>
      </w:r>
    </w:p>
    <w:p w14:paraId="38350C3E" w14:textId="1BF35120"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Alvarez, R Michael, Hall, T. E., &amp; Hyde, S. D. (2008). Election Fraud. (R Michael Alvarez, T. E. Hall, &amp; S. D. Hyde, Eds.). </w:t>
      </w:r>
      <w:r w:rsidR="00464BAE">
        <w:rPr>
          <w:rFonts w:cstheme="minorHAnsi"/>
          <w:bCs/>
          <w:iCs/>
          <w:color w:val="000000" w:themeColor="text1"/>
        </w:rPr>
        <w:t xml:space="preserve">Washington, D.C.: </w:t>
      </w:r>
      <w:r w:rsidRPr="00D17BFB">
        <w:rPr>
          <w:rFonts w:cstheme="minorHAnsi"/>
          <w:bCs/>
          <w:iCs/>
          <w:color w:val="000000" w:themeColor="text1"/>
        </w:rPr>
        <w:t xml:space="preserve">Brookings Institution Press. </w:t>
      </w:r>
    </w:p>
    <w:p w14:paraId="66238887"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Ansolabehere, S., &amp; Persily, N. (2008). Vote Fraud in the Eye of the Beholder: The Role of Public Opinion in the Challenge to Voter Identification Requirements. Harvard Law Review, 121(7):1737–1774. </w:t>
      </w:r>
    </w:p>
    <w:p w14:paraId="7C39935B"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Beaulieu, E. (2014). From voter ID to party ID: How political parties affect perceptions of election fraud in the U.S. Electoral Studies, 35:24–32. </w:t>
      </w:r>
    </w:p>
    <w:p w14:paraId="47D714FA"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Birch, S. (2008). Electoral institutions and popular confidence in electoral processes: A cross-national analysis. Electoral Studies, 27(2):305–320. </w:t>
      </w:r>
    </w:p>
    <w:p w14:paraId="1096F897"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BMG Research. (2019). Winter Tracking Research 2019, prepared for the Electoral Commission. </w:t>
      </w:r>
    </w:p>
    <w:p w14:paraId="0ACB67B0"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Callegaro, M., Manfreda, K.L. and Vehovar, V. (2015) Web Survey Methodology. London: Sage. </w:t>
      </w:r>
    </w:p>
    <w:p w14:paraId="38559292" w14:textId="4303124D" w:rsidR="00D17BFB" w:rsidRDefault="00D17BFB" w:rsidP="00D17BFB">
      <w:pPr>
        <w:rPr>
          <w:rFonts w:cstheme="minorHAnsi"/>
          <w:bCs/>
          <w:iCs/>
          <w:color w:val="000000" w:themeColor="text1"/>
        </w:rPr>
      </w:pPr>
      <w:r w:rsidRPr="00D17BFB">
        <w:rPr>
          <w:rFonts w:cstheme="minorHAnsi"/>
          <w:bCs/>
          <w:iCs/>
          <w:color w:val="000000" w:themeColor="text1"/>
        </w:rPr>
        <w:t xml:space="preserve">Carl, N. (2017). Ethnicity and electoral fraud in Britain. Electoral Studies, 50:128–136. </w:t>
      </w:r>
    </w:p>
    <w:p w14:paraId="67E1E3FE" w14:textId="43162A68" w:rsidR="008F7622" w:rsidRPr="00D17BFB" w:rsidRDefault="008F7622" w:rsidP="008F7622">
      <w:pPr>
        <w:rPr>
          <w:rFonts w:cstheme="minorHAnsi"/>
          <w:bCs/>
          <w:iCs/>
          <w:color w:val="000000" w:themeColor="text1"/>
        </w:rPr>
      </w:pPr>
      <w:r w:rsidRPr="008F7622">
        <w:rPr>
          <w:rFonts w:cstheme="minorHAnsi"/>
          <w:bCs/>
          <w:iCs/>
          <w:color w:val="000000" w:themeColor="text1"/>
        </w:rPr>
        <w:t>Clark A (2015) Public administration and the integrity of the electoral process in British elections. Public</w:t>
      </w:r>
      <w:r>
        <w:rPr>
          <w:rFonts w:cstheme="minorHAnsi"/>
          <w:bCs/>
          <w:iCs/>
          <w:color w:val="000000" w:themeColor="text1"/>
        </w:rPr>
        <w:t xml:space="preserve"> </w:t>
      </w:r>
      <w:r w:rsidRPr="008F7622">
        <w:rPr>
          <w:rFonts w:cstheme="minorHAnsi"/>
          <w:bCs/>
          <w:iCs/>
          <w:color w:val="000000" w:themeColor="text1"/>
        </w:rPr>
        <w:t>Administration</w:t>
      </w:r>
      <w:r>
        <w:rPr>
          <w:rFonts w:cstheme="minorHAnsi"/>
          <w:bCs/>
          <w:iCs/>
          <w:color w:val="000000" w:themeColor="text1"/>
        </w:rPr>
        <w:t>,</w:t>
      </w:r>
      <w:r w:rsidR="001F468F">
        <w:rPr>
          <w:rFonts w:cstheme="minorHAnsi"/>
          <w:bCs/>
          <w:iCs/>
          <w:color w:val="000000" w:themeColor="text1"/>
        </w:rPr>
        <w:t xml:space="preserve"> 93(1):</w:t>
      </w:r>
      <w:r w:rsidRPr="008F7622">
        <w:rPr>
          <w:rFonts w:cstheme="minorHAnsi"/>
          <w:bCs/>
          <w:iCs/>
          <w:color w:val="000000" w:themeColor="text1"/>
        </w:rPr>
        <w:t>86–102.</w:t>
      </w:r>
    </w:p>
    <w:p w14:paraId="45E4B764"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Coffé, H. (2016). Citizens’ media use and the accuracy of their perceptions of electoral integrity. International Political Science Review, 38(3):281–297. </w:t>
      </w:r>
    </w:p>
    <w:p w14:paraId="725C54B0"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Dawson, S. (2020). Electoral fraud and the paradox of political competition. Journal of Elections, Public Opinion and Parties, 1–20. </w:t>
      </w:r>
    </w:p>
    <w:p w14:paraId="5B29CA37"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Deckert J, Myagkov M, Ordeshook PC. Benford’s Law and the detection of election fraud. Political Analysis. 2011;19(3):245–268.</w:t>
      </w:r>
    </w:p>
    <w:p w14:paraId="6D3F7792" w14:textId="18898405" w:rsidR="00D17BFB" w:rsidRPr="00D17BFB" w:rsidRDefault="00D17BFB" w:rsidP="00D17BFB">
      <w:pPr>
        <w:rPr>
          <w:rFonts w:cstheme="minorHAnsi"/>
          <w:bCs/>
          <w:iCs/>
          <w:color w:val="000000" w:themeColor="text1"/>
        </w:rPr>
      </w:pPr>
      <w:r w:rsidRPr="00D17BFB">
        <w:rPr>
          <w:rFonts w:cstheme="minorHAnsi"/>
          <w:bCs/>
          <w:iCs/>
          <w:color w:val="000000" w:themeColor="text1"/>
        </w:rPr>
        <w:t>Edelson, J., Alduncin, A., Krewson, C., Sieja, J. A., &amp; Uscinski, J. E. (2017). The Effect of Conspiratorial Thinking and Motivated Reasoning on Belief in Election Fraud. Political Research Quarterly</w:t>
      </w:r>
      <w:r w:rsidR="001F468F">
        <w:rPr>
          <w:rFonts w:cstheme="minorHAnsi"/>
          <w:bCs/>
          <w:iCs/>
          <w:color w:val="000000" w:themeColor="text1"/>
        </w:rPr>
        <w:t>, 70(4):</w:t>
      </w:r>
      <w:r w:rsidRPr="00D17BFB">
        <w:rPr>
          <w:rFonts w:cstheme="minorHAnsi"/>
          <w:bCs/>
          <w:iCs/>
          <w:color w:val="000000" w:themeColor="text1"/>
        </w:rPr>
        <w:t xml:space="preserve">933–946. </w:t>
      </w:r>
    </w:p>
    <w:p w14:paraId="36DB02D7" w14:textId="16155AA5" w:rsidR="00D17BFB" w:rsidRPr="00D17BFB" w:rsidRDefault="00D17BFB" w:rsidP="00D17BFB">
      <w:pPr>
        <w:rPr>
          <w:rFonts w:cstheme="minorHAnsi"/>
          <w:bCs/>
          <w:iCs/>
          <w:color w:val="000000" w:themeColor="text1"/>
        </w:rPr>
      </w:pPr>
      <w:r w:rsidRPr="00D17BFB">
        <w:rPr>
          <w:rFonts w:cstheme="minorHAnsi"/>
          <w:bCs/>
          <w:iCs/>
          <w:color w:val="000000" w:themeColor="text1"/>
        </w:rPr>
        <w:t>Electoral Commission (2014) Electoral Fraud in the UK. London.</w:t>
      </w:r>
    </w:p>
    <w:p w14:paraId="0B08D40A" w14:textId="1DD116D5"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Fisher, J., </w:t>
      </w:r>
      <w:r w:rsidR="0080219C">
        <w:rPr>
          <w:rFonts w:cstheme="minorHAnsi"/>
          <w:bCs/>
          <w:iCs/>
          <w:color w:val="000000" w:themeColor="text1"/>
        </w:rPr>
        <w:t>and</w:t>
      </w:r>
      <w:r w:rsidRPr="00D17BFB">
        <w:rPr>
          <w:rFonts w:cstheme="minorHAnsi"/>
          <w:bCs/>
          <w:iCs/>
          <w:color w:val="000000" w:themeColor="text1"/>
        </w:rPr>
        <w:t xml:space="preserve"> Sällberg, Y. (2020). Electoral integrity – The winner takes it all? Evidence from three British general elections. The British Journal of Politics and International Relations, 22(3):404–420. </w:t>
      </w:r>
    </w:p>
    <w:p w14:paraId="6CBB469E"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Fortin-Rittberger, J. (2014). The role of infrastructural and coercive state capacity in explaining different types of electoral fraud. Democratization, 21(1):95–117. </w:t>
      </w:r>
    </w:p>
    <w:p w14:paraId="41561D4D" w14:textId="5BB09727" w:rsidR="00D17BFB" w:rsidRDefault="00D17BFB" w:rsidP="00D17BFB">
      <w:pPr>
        <w:rPr>
          <w:rFonts w:cstheme="minorHAnsi"/>
          <w:bCs/>
          <w:iCs/>
          <w:color w:val="000000" w:themeColor="text1"/>
        </w:rPr>
      </w:pPr>
      <w:r w:rsidRPr="00D17BFB">
        <w:rPr>
          <w:rFonts w:cstheme="minorHAnsi"/>
          <w:bCs/>
          <w:iCs/>
          <w:color w:val="000000" w:themeColor="text1"/>
        </w:rPr>
        <w:t>Hasen, R. (2012). Voting Wars: From Florida 2000 to the Next Election Meltdown. Yale University Press.</w:t>
      </w:r>
    </w:p>
    <w:p w14:paraId="20A39F24" w14:textId="51B3BE90" w:rsidR="008F06EF" w:rsidRPr="00D17BFB" w:rsidRDefault="008F06EF" w:rsidP="00D17BFB">
      <w:pPr>
        <w:rPr>
          <w:rFonts w:cstheme="minorHAnsi"/>
          <w:bCs/>
          <w:iCs/>
          <w:color w:val="000000" w:themeColor="text1"/>
        </w:rPr>
      </w:pPr>
      <w:r>
        <w:rPr>
          <w:rFonts w:cstheme="minorHAnsi"/>
          <w:bCs/>
          <w:iCs/>
          <w:color w:val="000000" w:themeColor="text1"/>
        </w:rPr>
        <w:t xml:space="preserve">Hicken, A. and Mebane, W. (2017) A Guide to Election Forensics. University of Michigan. </w:t>
      </w:r>
    </w:p>
    <w:p w14:paraId="1FAEE8FE" w14:textId="44F82F8D" w:rsidR="00D17BFB" w:rsidRPr="00D17BFB" w:rsidRDefault="00D17BFB" w:rsidP="00D17BFB">
      <w:pPr>
        <w:rPr>
          <w:rFonts w:cstheme="minorHAnsi"/>
          <w:bCs/>
          <w:iCs/>
          <w:color w:val="000000" w:themeColor="text1"/>
        </w:rPr>
      </w:pPr>
      <w:r w:rsidRPr="00D17BFB">
        <w:rPr>
          <w:rFonts w:cstheme="minorHAnsi"/>
          <w:bCs/>
          <w:iCs/>
          <w:color w:val="000000" w:themeColor="text1"/>
        </w:rPr>
        <w:t>Hill, E., Sobolewska, M., Wilks-Heeg, S., &amp; Borkowska, M. (2017). Explaining electoral fraud in an advanced democracy: Fraud vulnerabilities, opportunities and facilitating mechanisms in British elections. British Journal of Politics and International Relations, 19(4)</w:t>
      </w:r>
      <w:r w:rsidR="001F468F">
        <w:rPr>
          <w:rFonts w:cstheme="minorHAnsi"/>
          <w:bCs/>
          <w:iCs/>
          <w:color w:val="000000" w:themeColor="text1"/>
        </w:rPr>
        <w:t>:</w:t>
      </w:r>
      <w:r w:rsidR="008F7622">
        <w:rPr>
          <w:rFonts w:cstheme="minorHAnsi"/>
          <w:bCs/>
          <w:iCs/>
          <w:color w:val="000000" w:themeColor="text1"/>
        </w:rPr>
        <w:t>772-789.</w:t>
      </w:r>
      <w:r w:rsidRPr="00D17BFB">
        <w:rPr>
          <w:rFonts w:cstheme="minorHAnsi"/>
          <w:bCs/>
          <w:iCs/>
          <w:color w:val="000000" w:themeColor="text1"/>
        </w:rPr>
        <w:t xml:space="preserve"> </w:t>
      </w:r>
    </w:p>
    <w:p w14:paraId="142D1FD5" w14:textId="2DCA8506"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Home Office (2010) Crime in England and Wales 2009/10. Findings from the British Crime Survey  and Police Recorded Crime. </w:t>
      </w:r>
    </w:p>
    <w:p w14:paraId="222AF3C4" w14:textId="77777777" w:rsidR="00D17BFB" w:rsidRPr="00D17BFB" w:rsidRDefault="00D17BFB" w:rsidP="00D17BFB">
      <w:pPr>
        <w:rPr>
          <w:rFonts w:cstheme="minorHAnsi"/>
          <w:bCs/>
          <w:iCs/>
          <w:color w:val="000000" w:themeColor="text1"/>
        </w:rPr>
      </w:pPr>
      <w:r w:rsidRPr="006C5950">
        <w:rPr>
          <w:rFonts w:cstheme="minorHAnsi"/>
          <w:bCs/>
          <w:iCs/>
          <w:color w:val="000000" w:themeColor="text1"/>
          <w:lang w:val="fr-FR"/>
        </w:rPr>
        <w:t xml:space="preserve">James, T. S., &amp; Clark, A. (2020). </w:t>
      </w:r>
      <w:r w:rsidRPr="00D17BFB">
        <w:rPr>
          <w:rFonts w:cstheme="minorHAnsi"/>
          <w:bCs/>
          <w:iCs/>
          <w:color w:val="000000" w:themeColor="text1"/>
        </w:rPr>
        <w:t xml:space="preserve">Electoral integrity, voter fraud and voter ID in polling stations: lessons from English local elections. Policy Studies, 41(2–3):190–209. </w:t>
      </w:r>
    </w:p>
    <w:p w14:paraId="64D66152"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Jansson, K. (2008) British Crime Survey - Measuring Crime for 25 Years. London: Home Office. </w:t>
      </w:r>
    </w:p>
    <w:p w14:paraId="0F606CB2"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Karp, J. A., Nai, A., &amp; Norris, P. (2018). Dial ‘F’ for fraud: Explaining citizens suspicions about elections. Electoral Studies, 53:11–19. </w:t>
      </w:r>
    </w:p>
    <w:p w14:paraId="01369D58" w14:textId="16AF039C"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Kelly, R. (2021) </w:t>
      </w:r>
      <w:r w:rsidR="008F7622">
        <w:rPr>
          <w:rFonts w:cstheme="minorHAnsi"/>
          <w:bCs/>
          <w:iCs/>
          <w:color w:val="000000" w:themeColor="text1"/>
        </w:rPr>
        <w:t xml:space="preserve">Queen’s Speech 2021, Research Note, London: </w:t>
      </w:r>
      <w:r w:rsidRPr="00D17BFB">
        <w:rPr>
          <w:rFonts w:cstheme="minorHAnsi"/>
          <w:bCs/>
          <w:iCs/>
          <w:color w:val="000000" w:themeColor="text1"/>
        </w:rPr>
        <w:t xml:space="preserve">House of Commons Library. </w:t>
      </w:r>
    </w:p>
    <w:p w14:paraId="273EE0AF"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Kerr, N., &amp; Lührmann, A. (2017). Public trust in manipulated elections: The role of election administration and media freedom. Electoral Studies, 50:50–67. </w:t>
      </w:r>
    </w:p>
    <w:p w14:paraId="323E5764"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Lehoucq, F. (2003). Electoral Fraud: Causes, Types, and Consequences. American Review of Political Science, 18(6):233–256.</w:t>
      </w:r>
    </w:p>
    <w:p w14:paraId="1CAB770D"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Levy, M. (2020). Winning cures everything? Beliefs about voter fraud, voter confidence, and the 2016 election. Electoral Studies, 102156. </w:t>
      </w:r>
    </w:p>
    <w:p w14:paraId="01A99F0F" w14:textId="3CF9C118" w:rsidR="00D17BFB" w:rsidRDefault="00D17BFB" w:rsidP="00D17BFB">
      <w:pPr>
        <w:rPr>
          <w:rFonts w:cstheme="minorHAnsi"/>
          <w:bCs/>
          <w:iCs/>
          <w:color w:val="000000" w:themeColor="text1"/>
        </w:rPr>
      </w:pPr>
      <w:r w:rsidRPr="00D17BFB">
        <w:rPr>
          <w:rFonts w:cstheme="minorHAnsi"/>
          <w:bCs/>
          <w:iCs/>
          <w:color w:val="000000" w:themeColor="text1"/>
        </w:rPr>
        <w:t>Mebane, W</w:t>
      </w:r>
      <w:r w:rsidR="008F06EF">
        <w:rPr>
          <w:rFonts w:cstheme="minorHAnsi"/>
          <w:bCs/>
          <w:iCs/>
          <w:color w:val="000000" w:themeColor="text1"/>
        </w:rPr>
        <w:t xml:space="preserve">. </w:t>
      </w:r>
      <w:r w:rsidR="008F7622">
        <w:rPr>
          <w:rFonts w:cstheme="minorHAnsi"/>
          <w:bCs/>
          <w:iCs/>
          <w:color w:val="000000" w:themeColor="text1"/>
        </w:rPr>
        <w:t>(</w:t>
      </w:r>
      <w:r w:rsidRPr="00D17BFB">
        <w:rPr>
          <w:rFonts w:cstheme="minorHAnsi"/>
          <w:bCs/>
          <w:iCs/>
          <w:color w:val="000000" w:themeColor="text1"/>
        </w:rPr>
        <w:t>2008</w:t>
      </w:r>
      <w:r w:rsidR="008F7622">
        <w:rPr>
          <w:rFonts w:cstheme="minorHAnsi"/>
          <w:bCs/>
          <w:iCs/>
          <w:color w:val="000000" w:themeColor="text1"/>
        </w:rPr>
        <w:t>)</w:t>
      </w:r>
      <w:r w:rsidRPr="00D17BFB">
        <w:rPr>
          <w:rFonts w:cstheme="minorHAnsi"/>
          <w:bCs/>
          <w:iCs/>
          <w:color w:val="000000" w:themeColor="text1"/>
        </w:rPr>
        <w:t>. Election forensics: The second-digit Benford's law test and recent American presidential elections. In Election Fraud: Detecting and Deterring Electoral Manipulation, ed. Michael Alvarez, R., Hall, Thad E., and Hyde, Susan D. Washington, DC: Brookings Institution, pp.161-181.</w:t>
      </w:r>
    </w:p>
    <w:p w14:paraId="61AB3039" w14:textId="2804A51A" w:rsidR="008F06EF" w:rsidRDefault="008F06EF" w:rsidP="00D17BFB">
      <w:pPr>
        <w:rPr>
          <w:rFonts w:cstheme="minorHAnsi"/>
          <w:bCs/>
          <w:iCs/>
          <w:color w:val="000000" w:themeColor="text1"/>
        </w:rPr>
      </w:pPr>
      <w:r w:rsidRPr="008F06EF">
        <w:rPr>
          <w:rFonts w:cstheme="minorHAnsi"/>
          <w:bCs/>
          <w:iCs/>
          <w:color w:val="000000" w:themeColor="text1"/>
        </w:rPr>
        <w:t>Mebane, W. R. (2011). Comment on “Benford’s Law and the Detection of Election Fra</w:t>
      </w:r>
      <w:r w:rsidR="001F468F">
        <w:rPr>
          <w:rFonts w:cstheme="minorHAnsi"/>
          <w:bCs/>
          <w:iCs/>
          <w:color w:val="000000" w:themeColor="text1"/>
        </w:rPr>
        <w:t>ud.” Political Analysis, 19(3):</w:t>
      </w:r>
      <w:r w:rsidRPr="008F06EF">
        <w:rPr>
          <w:rFonts w:cstheme="minorHAnsi"/>
          <w:bCs/>
          <w:iCs/>
          <w:color w:val="000000" w:themeColor="text1"/>
        </w:rPr>
        <w:t xml:space="preserve">269–272. </w:t>
      </w:r>
    </w:p>
    <w:p w14:paraId="4E077A35" w14:textId="252A4524" w:rsidR="00D17BFB" w:rsidRDefault="00D17BFB" w:rsidP="00D17BFB">
      <w:pPr>
        <w:rPr>
          <w:rFonts w:cstheme="minorHAnsi"/>
          <w:bCs/>
          <w:iCs/>
          <w:color w:val="000000" w:themeColor="text1"/>
        </w:rPr>
      </w:pPr>
      <w:r w:rsidRPr="00D17BFB">
        <w:rPr>
          <w:rFonts w:cstheme="minorHAnsi"/>
          <w:bCs/>
          <w:iCs/>
          <w:color w:val="000000" w:themeColor="text1"/>
        </w:rPr>
        <w:t>Minnite, L. C. (2010). The Myth of Voter Fraud. Cornell University Press.</w:t>
      </w:r>
    </w:p>
    <w:p w14:paraId="75E4402E" w14:textId="1CE4F0E4" w:rsidR="008F7622" w:rsidRDefault="008F7622" w:rsidP="00D17BFB">
      <w:pPr>
        <w:rPr>
          <w:rFonts w:cstheme="minorHAnsi"/>
          <w:bCs/>
          <w:iCs/>
          <w:color w:val="000000" w:themeColor="text1"/>
        </w:rPr>
      </w:pPr>
      <w:r w:rsidRPr="008F7622">
        <w:rPr>
          <w:rFonts w:cstheme="minorHAnsi"/>
          <w:bCs/>
          <w:iCs/>
          <w:color w:val="000000" w:themeColor="text1"/>
        </w:rPr>
        <w:t>Morris, C., &amp; Wilks-Heeg, S. (2019). “Reports of My Death Have Been Greatly Exaggerated”: The continuing role and relevance of election petitions in challenging election results in the UK. Election Law Journal: Rule</w:t>
      </w:r>
      <w:r w:rsidR="001F468F">
        <w:rPr>
          <w:rFonts w:cstheme="minorHAnsi"/>
          <w:bCs/>
          <w:iCs/>
          <w:color w:val="000000" w:themeColor="text1"/>
        </w:rPr>
        <w:t>s, Politics, and Policy, 18(1).</w:t>
      </w:r>
    </w:p>
    <w:p w14:paraId="0FE81262" w14:textId="1E63CE0B"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National Research Council. 2003. Measurement Problems in Criminal Justice Research.  Washington, DC: The National Academies Press. </w:t>
      </w:r>
    </w:p>
    <w:p w14:paraId="5515E5E2"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Norris, P. (2014). Why Electoral Integrity Matters. Cambridge: Cambridge University Press.</w:t>
      </w:r>
    </w:p>
    <w:p w14:paraId="0AD93834" w14:textId="77777777" w:rsidR="008F7622" w:rsidRDefault="008F7622" w:rsidP="008F7622">
      <w:pPr>
        <w:rPr>
          <w:rFonts w:cstheme="minorHAnsi"/>
          <w:bCs/>
          <w:iCs/>
          <w:color w:val="000000" w:themeColor="text1"/>
        </w:rPr>
      </w:pPr>
      <w:r w:rsidRPr="008F7622">
        <w:rPr>
          <w:rFonts w:cstheme="minorHAnsi"/>
          <w:bCs/>
          <w:iCs/>
          <w:color w:val="000000" w:themeColor="text1"/>
        </w:rPr>
        <w:t>Norris P</w:t>
      </w:r>
      <w:r>
        <w:rPr>
          <w:rFonts w:cstheme="minorHAnsi"/>
          <w:bCs/>
          <w:iCs/>
          <w:color w:val="000000" w:themeColor="text1"/>
        </w:rPr>
        <w:t>.</w:t>
      </w:r>
      <w:r w:rsidRPr="008F7622">
        <w:rPr>
          <w:rFonts w:cstheme="minorHAnsi"/>
          <w:bCs/>
          <w:iCs/>
          <w:color w:val="000000" w:themeColor="text1"/>
        </w:rPr>
        <w:t xml:space="preserve"> (2018) Electoral integrity. In: Fisher J, Fieldhouse E, Franklin MN, et al. (eds) The Routledge Handbook</w:t>
      </w:r>
      <w:r>
        <w:rPr>
          <w:rFonts w:cstheme="minorHAnsi"/>
          <w:bCs/>
          <w:iCs/>
          <w:color w:val="000000" w:themeColor="text1"/>
        </w:rPr>
        <w:t xml:space="preserve"> </w:t>
      </w:r>
      <w:r w:rsidRPr="008F7622">
        <w:rPr>
          <w:rFonts w:cstheme="minorHAnsi"/>
          <w:bCs/>
          <w:iCs/>
          <w:color w:val="000000" w:themeColor="text1"/>
        </w:rPr>
        <w:t xml:space="preserve">of Elections, Voting Behavior and Public Opinion. Abingdon: Routledge, pp.220–231. </w:t>
      </w:r>
    </w:p>
    <w:p w14:paraId="79CD2499"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ONS (2019) Internet access – households and individuals, Great Britain: 2019. </w:t>
      </w:r>
    </w:p>
    <w:p w14:paraId="4E020980"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Peace, T., &amp; Akhtar, P. (2014). Biraderi, Bloc Votes and Bradford: Investigating the Respect Party’s Campaign Strategy. The British Journal of Politics and International Relations, 17(2):224–243. </w:t>
      </w:r>
    </w:p>
    <w:p w14:paraId="3F336085"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Sances, M. W., &amp; Stewart, C. (2015). Partisanship and confidence in the vote count: Evidence from U.S. national elections since 2000. Electoral Studies, 40:176–188. </w:t>
      </w:r>
    </w:p>
    <w:p w14:paraId="310AB32C"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Sinclair, B., Smith, S. S., &amp; Tucker, P. D. (2018). “It’s Largely a Rigged System”: Voter Confidence and the Winner Effect in 2016. Political Research Quarterly, 71(4):854–868. </w:t>
      </w:r>
    </w:p>
    <w:p w14:paraId="02886532" w14:textId="62054BEB" w:rsidR="00D17BFB" w:rsidRPr="00D17BFB" w:rsidRDefault="00D17BFB" w:rsidP="00D17BFB">
      <w:pPr>
        <w:rPr>
          <w:rFonts w:cstheme="minorHAnsi"/>
          <w:bCs/>
          <w:iCs/>
          <w:color w:val="000000" w:themeColor="text1"/>
        </w:rPr>
      </w:pPr>
      <w:r w:rsidRPr="00D17BFB">
        <w:rPr>
          <w:rFonts w:cstheme="minorHAnsi"/>
          <w:bCs/>
          <w:iCs/>
          <w:color w:val="000000" w:themeColor="text1"/>
        </w:rPr>
        <w:t>Stewart III, C. Ansolabehere, S. and Persily, N. (2016) Revisiting Public Opinion on Voter Identification and Voter Fraud in an era of increasing Partisan Polarisatio</w:t>
      </w:r>
      <w:r w:rsidR="001F468F">
        <w:rPr>
          <w:rFonts w:cstheme="minorHAnsi"/>
          <w:bCs/>
          <w:iCs/>
          <w:color w:val="000000" w:themeColor="text1"/>
        </w:rPr>
        <w:t>n, Stanford Law Review, 68 (6):</w:t>
      </w:r>
      <w:r w:rsidRPr="00D17BFB">
        <w:rPr>
          <w:rFonts w:cstheme="minorHAnsi"/>
          <w:bCs/>
          <w:iCs/>
          <w:color w:val="000000" w:themeColor="text1"/>
        </w:rPr>
        <w:t>1455-1489.</w:t>
      </w:r>
    </w:p>
    <w:p w14:paraId="459EEA35"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Stewart, J. (2006). A Banana Republic? The Investigation into Electoral Fraud by the Birmingham Election Court. Parliamentary Affairs, 59(4):654–667. </w:t>
      </w:r>
    </w:p>
    <w:p w14:paraId="7C8BD230" w14:textId="33C5AB87" w:rsidR="00D17BFB" w:rsidRPr="00D17BFB" w:rsidRDefault="00D17BFB" w:rsidP="00D17BFB">
      <w:pPr>
        <w:rPr>
          <w:rFonts w:cstheme="minorHAnsi"/>
          <w:bCs/>
          <w:iCs/>
          <w:color w:val="000000" w:themeColor="text1"/>
        </w:rPr>
      </w:pPr>
      <w:r w:rsidRPr="00D17BFB">
        <w:rPr>
          <w:rFonts w:cstheme="minorHAnsi"/>
          <w:bCs/>
          <w:iCs/>
          <w:color w:val="000000" w:themeColor="text1"/>
        </w:rPr>
        <w:t>Udani, A., Kimball, D. C., &amp; Fogarty, B. (2018). How Local Media Coverage of Voter Fraud Influences Partisan Perceptions in the United States. State Poli</w:t>
      </w:r>
      <w:r w:rsidR="001F468F">
        <w:rPr>
          <w:rFonts w:cstheme="minorHAnsi"/>
          <w:bCs/>
          <w:iCs/>
          <w:color w:val="000000" w:themeColor="text1"/>
        </w:rPr>
        <w:t>tics &amp; Policy Quarterly, 18(2):</w:t>
      </w:r>
      <w:r w:rsidRPr="00D17BFB">
        <w:rPr>
          <w:rFonts w:cstheme="minorHAnsi"/>
          <w:bCs/>
          <w:iCs/>
          <w:color w:val="000000" w:themeColor="text1"/>
        </w:rPr>
        <w:t xml:space="preserve">193–210. </w:t>
      </w:r>
    </w:p>
    <w:p w14:paraId="1B0B719A" w14:textId="5905A6E0" w:rsidR="00D17BFB" w:rsidRDefault="00D17BFB" w:rsidP="00D17BFB">
      <w:pPr>
        <w:rPr>
          <w:rFonts w:cstheme="minorHAnsi"/>
          <w:bCs/>
          <w:iCs/>
          <w:color w:val="000000" w:themeColor="text1"/>
        </w:rPr>
      </w:pPr>
      <w:r w:rsidRPr="00D17BFB">
        <w:rPr>
          <w:rFonts w:cstheme="minorHAnsi"/>
          <w:bCs/>
          <w:iCs/>
          <w:color w:val="000000" w:themeColor="text1"/>
        </w:rPr>
        <w:t>Walby, S, Towers, J, Balderston, S. (2017) The Concept and Measurement of Violence against Women and Men. Bristol: Policy Press.</w:t>
      </w:r>
    </w:p>
    <w:p w14:paraId="48DFC19B" w14:textId="56C4CE3A" w:rsidR="009B4514" w:rsidRPr="00D17BFB" w:rsidRDefault="009B4514" w:rsidP="00D17BFB">
      <w:pPr>
        <w:rPr>
          <w:rFonts w:cstheme="minorHAnsi"/>
          <w:bCs/>
          <w:iCs/>
          <w:color w:val="000000" w:themeColor="text1"/>
        </w:rPr>
      </w:pPr>
      <w:r>
        <w:rPr>
          <w:rFonts w:cstheme="minorHAnsi"/>
          <w:bCs/>
          <w:iCs/>
          <w:color w:val="000000" w:themeColor="text1"/>
        </w:rPr>
        <w:t>White, I and Johnson, N. (2017) Electoral Fraud Since 2010, Standard Note 6255, London: House of Commons Library.</w:t>
      </w:r>
    </w:p>
    <w:p w14:paraId="2111E5A8"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Wilks-Heeg, S. (2008). Purity of Elections in the UK: Causes for Concern. York.</w:t>
      </w:r>
    </w:p>
    <w:p w14:paraId="46A42729" w14:textId="77777777" w:rsidR="00D17BFB" w:rsidRPr="00D17BFB" w:rsidRDefault="00D17BFB" w:rsidP="00D17BFB">
      <w:pPr>
        <w:rPr>
          <w:rFonts w:cstheme="minorHAnsi"/>
          <w:bCs/>
          <w:iCs/>
          <w:color w:val="000000" w:themeColor="text1"/>
        </w:rPr>
      </w:pPr>
      <w:r w:rsidRPr="00D17BFB">
        <w:rPr>
          <w:rFonts w:cstheme="minorHAnsi"/>
          <w:bCs/>
          <w:iCs/>
          <w:color w:val="000000" w:themeColor="text1"/>
        </w:rPr>
        <w:t xml:space="preserve">Wilks-Heeg, S. (2009). Treating Voters as an Afterthought? The Legacies of a Decade of Electoral Modernisation in the United Kingdom. The Political Quarterly, 80(1):101–110. </w:t>
      </w:r>
    </w:p>
    <w:p w14:paraId="262047C3" w14:textId="227F3486" w:rsidR="00694542" w:rsidRPr="00267955" w:rsidRDefault="00D17BFB" w:rsidP="00D17BFB">
      <w:r w:rsidRPr="00D17BFB">
        <w:rPr>
          <w:rFonts w:cstheme="minorHAnsi"/>
          <w:bCs/>
          <w:iCs/>
          <w:color w:val="000000" w:themeColor="text1"/>
        </w:rPr>
        <w:t>Wolak, J. (2014). How campaigns promote the legitimacy of elections. Electoral Studies, 34:205–215.</w:t>
      </w:r>
    </w:p>
    <w:sectPr w:rsidR="00694542" w:rsidRPr="00267955" w:rsidSect="00AD3F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231FE" w14:textId="77777777" w:rsidR="00115611" w:rsidRDefault="00115611" w:rsidP="00936CB4">
      <w:pPr>
        <w:spacing w:after="0" w:line="240" w:lineRule="auto"/>
      </w:pPr>
      <w:r>
        <w:separator/>
      </w:r>
    </w:p>
  </w:endnote>
  <w:endnote w:type="continuationSeparator" w:id="0">
    <w:p w14:paraId="49E4176D" w14:textId="77777777" w:rsidR="00115611" w:rsidRDefault="00115611" w:rsidP="0093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54133"/>
      <w:docPartObj>
        <w:docPartGallery w:val="Page Numbers (Bottom of Page)"/>
        <w:docPartUnique/>
      </w:docPartObj>
    </w:sdtPr>
    <w:sdtEndPr>
      <w:rPr>
        <w:noProof/>
      </w:rPr>
    </w:sdtEndPr>
    <w:sdtContent>
      <w:p w14:paraId="19ABB6D0" w14:textId="47D390C7" w:rsidR="003013ED" w:rsidRDefault="003013ED">
        <w:pPr>
          <w:pStyle w:val="Footer"/>
          <w:jc w:val="center"/>
        </w:pPr>
        <w:r>
          <w:fldChar w:fldCharType="begin"/>
        </w:r>
        <w:r>
          <w:instrText xml:space="preserve"> PAGE   \* MERGEFORMAT </w:instrText>
        </w:r>
        <w:r>
          <w:fldChar w:fldCharType="separate"/>
        </w:r>
        <w:r w:rsidR="00D90D34">
          <w:rPr>
            <w:noProof/>
          </w:rPr>
          <w:t>19</w:t>
        </w:r>
        <w:r>
          <w:rPr>
            <w:noProof/>
          </w:rPr>
          <w:fldChar w:fldCharType="end"/>
        </w:r>
      </w:p>
    </w:sdtContent>
  </w:sdt>
  <w:p w14:paraId="6B9115D6" w14:textId="77777777" w:rsidR="003013ED" w:rsidRDefault="0030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2D5A9" w14:textId="77777777" w:rsidR="00115611" w:rsidRDefault="00115611" w:rsidP="00936CB4">
      <w:pPr>
        <w:spacing w:after="0" w:line="240" w:lineRule="auto"/>
      </w:pPr>
      <w:r>
        <w:separator/>
      </w:r>
    </w:p>
  </w:footnote>
  <w:footnote w:type="continuationSeparator" w:id="0">
    <w:p w14:paraId="5F2801CE" w14:textId="77777777" w:rsidR="00115611" w:rsidRDefault="00115611" w:rsidP="00936CB4">
      <w:pPr>
        <w:spacing w:after="0" w:line="240" w:lineRule="auto"/>
      </w:pPr>
      <w:r>
        <w:continuationSeparator/>
      </w:r>
    </w:p>
  </w:footnote>
  <w:footnote w:id="1">
    <w:p w14:paraId="0DF226A8" w14:textId="3DA1C8BB" w:rsidR="00D45FCB" w:rsidRDefault="00D45FCB">
      <w:pPr>
        <w:pStyle w:val="FootnoteText"/>
      </w:pPr>
      <w:r>
        <w:rPr>
          <w:rStyle w:val="FootnoteReference"/>
        </w:rPr>
        <w:footnoteRef/>
      </w:r>
      <w:r>
        <w:t xml:space="preserve"> University of Derby, Derby </w:t>
      </w:r>
      <w:r w:rsidRPr="00D45FCB">
        <w:t>DE22 1GB</w:t>
      </w:r>
      <w:r>
        <w:t xml:space="preserve">, </w:t>
      </w:r>
      <w:hyperlink r:id="rId1" w:history="1">
        <w:r w:rsidRPr="00A543FD">
          <w:rPr>
            <w:rStyle w:val="Hyperlink"/>
          </w:rPr>
          <w:t>S.Farrall@derby.ac.uk</w:t>
        </w:r>
      </w:hyperlink>
      <w:r>
        <w:t xml:space="preserve"> </w:t>
      </w:r>
    </w:p>
  </w:footnote>
  <w:footnote w:id="2">
    <w:p w14:paraId="556DEF33" w14:textId="5648B056" w:rsidR="00D45FCB" w:rsidRPr="00D45FCB" w:rsidRDefault="00D45FCB">
      <w:pPr>
        <w:pStyle w:val="FootnoteText"/>
      </w:pPr>
      <w:r w:rsidRPr="00D45FCB">
        <w:rPr>
          <w:rStyle w:val="FootnoteReference"/>
        </w:rPr>
        <w:footnoteRef/>
      </w:r>
      <w:r w:rsidRPr="00D45FCB">
        <w:t xml:space="preserve"> University of Liverpool, Liverpool </w:t>
      </w:r>
      <w:r w:rsidRPr="00D45FCB">
        <w:t>L69 3BX</w:t>
      </w:r>
    </w:p>
  </w:footnote>
  <w:footnote w:id="3">
    <w:p w14:paraId="2FB179D7" w14:textId="335EC8C3" w:rsidR="00D45FCB" w:rsidRDefault="00D45FCB">
      <w:pPr>
        <w:pStyle w:val="FootnoteText"/>
      </w:pPr>
      <w:r>
        <w:rPr>
          <w:rStyle w:val="FootnoteReference"/>
        </w:rPr>
        <w:footnoteRef/>
      </w:r>
      <w:r>
        <w:t xml:space="preserve"> BMG Research, Birmingham </w:t>
      </w:r>
      <w:r w:rsidRPr="00D45FCB">
        <w:t>B15 3BE</w:t>
      </w:r>
    </w:p>
  </w:footnote>
  <w:footnote w:id="4">
    <w:p w14:paraId="10495F1A" w14:textId="075718CB" w:rsidR="00D45FCB" w:rsidRDefault="00D45FCB">
      <w:pPr>
        <w:pStyle w:val="FootnoteText"/>
      </w:pPr>
      <w:r>
        <w:rPr>
          <w:rStyle w:val="FootnoteReference"/>
        </w:rPr>
        <w:footnoteRef/>
      </w:r>
      <w:r>
        <w:t xml:space="preserve"> </w:t>
      </w:r>
      <w:r>
        <w:t xml:space="preserve">University of Derby, Derby </w:t>
      </w:r>
      <w:r w:rsidRPr="00D45FCB">
        <w:t>DE22 1GB</w:t>
      </w:r>
    </w:p>
  </w:footnote>
  <w:footnote w:id="5">
    <w:p w14:paraId="44F13344" w14:textId="77777777" w:rsidR="00073CB5" w:rsidRDefault="00073CB5" w:rsidP="00073CB5">
      <w:pPr>
        <w:pStyle w:val="FootnoteText"/>
      </w:pPr>
      <w:r w:rsidRPr="00F36B16">
        <w:rPr>
          <w:rStyle w:val="FootnoteReference"/>
        </w:rPr>
        <w:footnoteRef/>
      </w:r>
      <w:r>
        <w:t xml:space="preserve"> Readers should note that a similar methodology was deployed by BMG for the Electoral Commission’s 2018 Winter Tracker: </w:t>
      </w:r>
      <w:hyperlink r:id="rId2" w:history="1">
        <w:r w:rsidRPr="00AC631F">
          <w:rPr>
            <w:rStyle w:val="Hyperlink"/>
          </w:rPr>
          <w:t>https://www.electoralcommission.org.uk/sites/default/files/2019-07/Winter%20Tracker%202019%20Topline.pdf</w:t>
        </w:r>
      </w:hyperlink>
    </w:p>
  </w:footnote>
  <w:footnote w:id="6">
    <w:p w14:paraId="5DFECAE3" w14:textId="77777777" w:rsidR="003013ED" w:rsidRPr="005B2783" w:rsidRDefault="003013ED">
      <w:pPr>
        <w:pStyle w:val="FootnoteText"/>
        <w:rPr>
          <w:rFonts w:cstheme="minorHAnsi"/>
          <w:sz w:val="18"/>
          <w:szCs w:val="18"/>
        </w:rPr>
      </w:pPr>
      <w:r w:rsidRPr="006C5950">
        <w:rPr>
          <w:rStyle w:val="FootnoteReference"/>
        </w:rPr>
        <w:footnoteRef/>
      </w:r>
      <w:r w:rsidRPr="005B2783">
        <w:rPr>
          <w:rFonts w:cstheme="minorHAnsi"/>
          <w:sz w:val="18"/>
          <w:szCs w:val="18"/>
        </w:rPr>
        <w:t xml:space="preserve"> </w:t>
      </w:r>
      <w:r w:rsidRPr="005B2783">
        <w:rPr>
          <w:rFonts w:cstheme="minorHAnsi"/>
          <w:color w:val="323132"/>
          <w:sz w:val="18"/>
          <w:szCs w:val="18"/>
          <w:shd w:val="clear" w:color="auto" w:fill="FFFFFF"/>
        </w:rPr>
        <w:t xml:space="preserve">Of all households in Great Britain, 93% had access to the internet in 2019 according to the ONS (2019). </w:t>
      </w:r>
    </w:p>
  </w:footnote>
  <w:footnote w:id="7">
    <w:p w14:paraId="12BA6180" w14:textId="77777777" w:rsidR="003013ED" w:rsidRDefault="003013ED">
      <w:pPr>
        <w:pStyle w:val="FootnoteText"/>
      </w:pPr>
      <w:r w:rsidRPr="00F36B16">
        <w:rPr>
          <w:rStyle w:val="FootnoteReference"/>
        </w:rPr>
        <w:footnoteRef/>
      </w:r>
      <w:r>
        <w:t xml:space="preserve"> The higher figure for the more recent general election (in 2019) may be the result of recall biases which operate such that more recent or more salient events are more easily recalled, rather than evidence of a higher rate of undue influence during that particular election.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10B"/>
    <w:multiLevelType w:val="hybridMultilevel"/>
    <w:tmpl w:val="D702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2384"/>
    <w:multiLevelType w:val="hybridMultilevel"/>
    <w:tmpl w:val="640A4A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D2A0B"/>
    <w:multiLevelType w:val="hybridMultilevel"/>
    <w:tmpl w:val="523C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E37C0"/>
    <w:multiLevelType w:val="hybridMultilevel"/>
    <w:tmpl w:val="DA462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22101"/>
    <w:multiLevelType w:val="hybridMultilevel"/>
    <w:tmpl w:val="ECC87690"/>
    <w:lvl w:ilvl="0" w:tplc="D212A4E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85066"/>
    <w:multiLevelType w:val="hybridMultilevel"/>
    <w:tmpl w:val="33C2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F361A"/>
    <w:multiLevelType w:val="hybridMultilevel"/>
    <w:tmpl w:val="A41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D17C4"/>
    <w:multiLevelType w:val="hybridMultilevel"/>
    <w:tmpl w:val="D4EC2168"/>
    <w:lvl w:ilvl="0" w:tplc="79B0DD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3604C"/>
    <w:multiLevelType w:val="hybridMultilevel"/>
    <w:tmpl w:val="743801C6"/>
    <w:lvl w:ilvl="0" w:tplc="D51E9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6B0ECF"/>
    <w:multiLevelType w:val="hybridMultilevel"/>
    <w:tmpl w:val="82C4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A41EA"/>
    <w:multiLevelType w:val="hybridMultilevel"/>
    <w:tmpl w:val="DA462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CE0D34"/>
    <w:multiLevelType w:val="hybridMultilevel"/>
    <w:tmpl w:val="DA462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2A5911"/>
    <w:multiLevelType w:val="hybridMultilevel"/>
    <w:tmpl w:val="746CCA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11"/>
  </w:num>
  <w:num w:numId="3">
    <w:abstractNumId w:val="10"/>
  </w:num>
  <w:num w:numId="4">
    <w:abstractNumId w:val="3"/>
  </w:num>
  <w:num w:numId="5">
    <w:abstractNumId w:val="9"/>
  </w:num>
  <w:num w:numId="6">
    <w:abstractNumId w:val="6"/>
  </w:num>
  <w:num w:numId="7">
    <w:abstractNumId w:val="2"/>
  </w:num>
  <w:num w:numId="8">
    <w:abstractNumId w:val="5"/>
  </w:num>
  <w:num w:numId="9">
    <w:abstractNumId w:val="12"/>
  </w:num>
  <w:num w:numId="10">
    <w:abstractNumId w:val="1"/>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A5"/>
    <w:rsid w:val="00001895"/>
    <w:rsid w:val="00003ED5"/>
    <w:rsid w:val="00006D47"/>
    <w:rsid w:val="00007F83"/>
    <w:rsid w:val="00011187"/>
    <w:rsid w:val="000128DA"/>
    <w:rsid w:val="000164CD"/>
    <w:rsid w:val="00022718"/>
    <w:rsid w:val="0003384E"/>
    <w:rsid w:val="000453BE"/>
    <w:rsid w:val="00046580"/>
    <w:rsid w:val="000529C8"/>
    <w:rsid w:val="0006000E"/>
    <w:rsid w:val="000632C6"/>
    <w:rsid w:val="00064900"/>
    <w:rsid w:val="00064E47"/>
    <w:rsid w:val="00073CB5"/>
    <w:rsid w:val="00074472"/>
    <w:rsid w:val="000801EF"/>
    <w:rsid w:val="00080D7B"/>
    <w:rsid w:val="000820D2"/>
    <w:rsid w:val="0008675C"/>
    <w:rsid w:val="000A2798"/>
    <w:rsid w:val="000A2C11"/>
    <w:rsid w:val="000A69D0"/>
    <w:rsid w:val="000B1A36"/>
    <w:rsid w:val="000C2232"/>
    <w:rsid w:val="000D489B"/>
    <w:rsid w:val="000D4931"/>
    <w:rsid w:val="000D5075"/>
    <w:rsid w:val="000D5CE2"/>
    <w:rsid w:val="000E055F"/>
    <w:rsid w:val="000E2001"/>
    <w:rsid w:val="000F34E8"/>
    <w:rsid w:val="000F540C"/>
    <w:rsid w:val="000F6439"/>
    <w:rsid w:val="001118A2"/>
    <w:rsid w:val="00113BA6"/>
    <w:rsid w:val="0011513F"/>
    <w:rsid w:val="00115611"/>
    <w:rsid w:val="00115F87"/>
    <w:rsid w:val="001242A4"/>
    <w:rsid w:val="00125590"/>
    <w:rsid w:val="00137394"/>
    <w:rsid w:val="001447EC"/>
    <w:rsid w:val="00167B04"/>
    <w:rsid w:val="00171717"/>
    <w:rsid w:val="00174EFE"/>
    <w:rsid w:val="00181FFA"/>
    <w:rsid w:val="0018254D"/>
    <w:rsid w:val="00182EF0"/>
    <w:rsid w:val="0018412F"/>
    <w:rsid w:val="001865C5"/>
    <w:rsid w:val="00194344"/>
    <w:rsid w:val="001943FA"/>
    <w:rsid w:val="001A1425"/>
    <w:rsid w:val="001B2B4C"/>
    <w:rsid w:val="001C181F"/>
    <w:rsid w:val="001C306E"/>
    <w:rsid w:val="001C4E51"/>
    <w:rsid w:val="001C67C0"/>
    <w:rsid w:val="001C6BA6"/>
    <w:rsid w:val="001D0658"/>
    <w:rsid w:val="001D4591"/>
    <w:rsid w:val="001E3432"/>
    <w:rsid w:val="001E388A"/>
    <w:rsid w:val="001E5827"/>
    <w:rsid w:val="001E6289"/>
    <w:rsid w:val="001F0CB3"/>
    <w:rsid w:val="001F468F"/>
    <w:rsid w:val="001F7097"/>
    <w:rsid w:val="00200A9E"/>
    <w:rsid w:val="00211DC3"/>
    <w:rsid w:val="0022259A"/>
    <w:rsid w:val="00222921"/>
    <w:rsid w:val="00226239"/>
    <w:rsid w:val="002358DE"/>
    <w:rsid w:val="0024623B"/>
    <w:rsid w:val="00246C10"/>
    <w:rsid w:val="002518A5"/>
    <w:rsid w:val="00254171"/>
    <w:rsid w:val="00256BD2"/>
    <w:rsid w:val="00260882"/>
    <w:rsid w:val="002657C0"/>
    <w:rsid w:val="00267955"/>
    <w:rsid w:val="002712C0"/>
    <w:rsid w:val="002712D3"/>
    <w:rsid w:val="00273369"/>
    <w:rsid w:val="002851FF"/>
    <w:rsid w:val="00285F2E"/>
    <w:rsid w:val="00296095"/>
    <w:rsid w:val="002A4A88"/>
    <w:rsid w:val="002A4D85"/>
    <w:rsid w:val="002A5134"/>
    <w:rsid w:val="002A6490"/>
    <w:rsid w:val="002A6C4D"/>
    <w:rsid w:val="002B23C1"/>
    <w:rsid w:val="002B2E46"/>
    <w:rsid w:val="002C0AD5"/>
    <w:rsid w:val="002C10BF"/>
    <w:rsid w:val="002D2EED"/>
    <w:rsid w:val="002D7B13"/>
    <w:rsid w:val="002D7C88"/>
    <w:rsid w:val="002E17C4"/>
    <w:rsid w:val="002E4714"/>
    <w:rsid w:val="002E69CE"/>
    <w:rsid w:val="002F0A73"/>
    <w:rsid w:val="002F40FC"/>
    <w:rsid w:val="003013ED"/>
    <w:rsid w:val="00310186"/>
    <w:rsid w:val="003126F0"/>
    <w:rsid w:val="00320504"/>
    <w:rsid w:val="0032267C"/>
    <w:rsid w:val="00323F11"/>
    <w:rsid w:val="00325EEF"/>
    <w:rsid w:val="003260E5"/>
    <w:rsid w:val="003276DB"/>
    <w:rsid w:val="003369A1"/>
    <w:rsid w:val="00347885"/>
    <w:rsid w:val="00351405"/>
    <w:rsid w:val="00352B85"/>
    <w:rsid w:val="00356FE9"/>
    <w:rsid w:val="00362608"/>
    <w:rsid w:val="00370670"/>
    <w:rsid w:val="0037112F"/>
    <w:rsid w:val="0037347C"/>
    <w:rsid w:val="00374960"/>
    <w:rsid w:val="003756D0"/>
    <w:rsid w:val="003768EA"/>
    <w:rsid w:val="00377261"/>
    <w:rsid w:val="003808E1"/>
    <w:rsid w:val="00383BAC"/>
    <w:rsid w:val="00385A33"/>
    <w:rsid w:val="00393B10"/>
    <w:rsid w:val="003A29B5"/>
    <w:rsid w:val="003B079F"/>
    <w:rsid w:val="003B179A"/>
    <w:rsid w:val="003B2F05"/>
    <w:rsid w:val="003B682A"/>
    <w:rsid w:val="003B7579"/>
    <w:rsid w:val="003D0BF5"/>
    <w:rsid w:val="003D0DAA"/>
    <w:rsid w:val="003D120F"/>
    <w:rsid w:val="003E06A1"/>
    <w:rsid w:val="003E36E7"/>
    <w:rsid w:val="003E5058"/>
    <w:rsid w:val="003E7B8C"/>
    <w:rsid w:val="003F4AC6"/>
    <w:rsid w:val="003F5E8A"/>
    <w:rsid w:val="00400862"/>
    <w:rsid w:val="00401D28"/>
    <w:rsid w:val="00406BBF"/>
    <w:rsid w:val="00412F44"/>
    <w:rsid w:val="0041709C"/>
    <w:rsid w:val="00421BED"/>
    <w:rsid w:val="00423EBD"/>
    <w:rsid w:val="00433413"/>
    <w:rsid w:val="00433F71"/>
    <w:rsid w:val="004365B4"/>
    <w:rsid w:val="00437E46"/>
    <w:rsid w:val="0044082D"/>
    <w:rsid w:val="00445AFC"/>
    <w:rsid w:val="004524E4"/>
    <w:rsid w:val="0045799F"/>
    <w:rsid w:val="00464BAE"/>
    <w:rsid w:val="00465D3C"/>
    <w:rsid w:val="004704FA"/>
    <w:rsid w:val="00492A73"/>
    <w:rsid w:val="0049560A"/>
    <w:rsid w:val="00496586"/>
    <w:rsid w:val="004B04CF"/>
    <w:rsid w:val="004B2D64"/>
    <w:rsid w:val="004B3C22"/>
    <w:rsid w:val="004B4D0A"/>
    <w:rsid w:val="004B5FA3"/>
    <w:rsid w:val="004C3DDA"/>
    <w:rsid w:val="004C70AF"/>
    <w:rsid w:val="004D6940"/>
    <w:rsid w:val="004E1AF1"/>
    <w:rsid w:val="004E3CE7"/>
    <w:rsid w:val="004F336C"/>
    <w:rsid w:val="005057D3"/>
    <w:rsid w:val="00507D39"/>
    <w:rsid w:val="00510A43"/>
    <w:rsid w:val="005111BF"/>
    <w:rsid w:val="0051239F"/>
    <w:rsid w:val="005244E3"/>
    <w:rsid w:val="00530611"/>
    <w:rsid w:val="0053418D"/>
    <w:rsid w:val="00534EA4"/>
    <w:rsid w:val="005440E7"/>
    <w:rsid w:val="005464DD"/>
    <w:rsid w:val="00550B67"/>
    <w:rsid w:val="00553013"/>
    <w:rsid w:val="0056183E"/>
    <w:rsid w:val="005627F1"/>
    <w:rsid w:val="00562E41"/>
    <w:rsid w:val="00565CF6"/>
    <w:rsid w:val="00570A1F"/>
    <w:rsid w:val="00572A6C"/>
    <w:rsid w:val="00572B21"/>
    <w:rsid w:val="00572B7C"/>
    <w:rsid w:val="00575CEB"/>
    <w:rsid w:val="00580719"/>
    <w:rsid w:val="00581FC7"/>
    <w:rsid w:val="00584E35"/>
    <w:rsid w:val="005872D7"/>
    <w:rsid w:val="00587638"/>
    <w:rsid w:val="00591C88"/>
    <w:rsid w:val="00597F13"/>
    <w:rsid w:val="005A164A"/>
    <w:rsid w:val="005A75E9"/>
    <w:rsid w:val="005B0958"/>
    <w:rsid w:val="005B2783"/>
    <w:rsid w:val="005C3798"/>
    <w:rsid w:val="005C5FE6"/>
    <w:rsid w:val="005D7C2C"/>
    <w:rsid w:val="005E7D47"/>
    <w:rsid w:val="005F1B1B"/>
    <w:rsid w:val="0060482A"/>
    <w:rsid w:val="006063C1"/>
    <w:rsid w:val="00607584"/>
    <w:rsid w:val="00610672"/>
    <w:rsid w:val="006110A6"/>
    <w:rsid w:val="0061277D"/>
    <w:rsid w:val="00616042"/>
    <w:rsid w:val="0062432C"/>
    <w:rsid w:val="006343DB"/>
    <w:rsid w:val="006351CF"/>
    <w:rsid w:val="00640003"/>
    <w:rsid w:val="00650B7F"/>
    <w:rsid w:val="006545B7"/>
    <w:rsid w:val="00660F3C"/>
    <w:rsid w:val="006626A4"/>
    <w:rsid w:val="00665A48"/>
    <w:rsid w:val="00665EC4"/>
    <w:rsid w:val="00667CBE"/>
    <w:rsid w:val="0067139B"/>
    <w:rsid w:val="00671E52"/>
    <w:rsid w:val="00690428"/>
    <w:rsid w:val="006914D1"/>
    <w:rsid w:val="00694542"/>
    <w:rsid w:val="00695E06"/>
    <w:rsid w:val="00697548"/>
    <w:rsid w:val="006A292C"/>
    <w:rsid w:val="006A5A2F"/>
    <w:rsid w:val="006A7D5F"/>
    <w:rsid w:val="006B3854"/>
    <w:rsid w:val="006B478E"/>
    <w:rsid w:val="006B5053"/>
    <w:rsid w:val="006B6021"/>
    <w:rsid w:val="006B67BB"/>
    <w:rsid w:val="006C41DF"/>
    <w:rsid w:val="006C5950"/>
    <w:rsid w:val="006C7E45"/>
    <w:rsid w:val="006D22BC"/>
    <w:rsid w:val="006D4AA3"/>
    <w:rsid w:val="006E52A5"/>
    <w:rsid w:val="007036C2"/>
    <w:rsid w:val="00713E38"/>
    <w:rsid w:val="007157C4"/>
    <w:rsid w:val="007314D8"/>
    <w:rsid w:val="00732034"/>
    <w:rsid w:val="00733F92"/>
    <w:rsid w:val="00736A03"/>
    <w:rsid w:val="00741B4B"/>
    <w:rsid w:val="007441D2"/>
    <w:rsid w:val="00752E62"/>
    <w:rsid w:val="007530A5"/>
    <w:rsid w:val="00753187"/>
    <w:rsid w:val="007541F7"/>
    <w:rsid w:val="00756880"/>
    <w:rsid w:val="00764835"/>
    <w:rsid w:val="00766149"/>
    <w:rsid w:val="0077333C"/>
    <w:rsid w:val="0077570B"/>
    <w:rsid w:val="00794C7C"/>
    <w:rsid w:val="007A19D9"/>
    <w:rsid w:val="007A1FA5"/>
    <w:rsid w:val="007A5CB4"/>
    <w:rsid w:val="007A5F9B"/>
    <w:rsid w:val="007B1043"/>
    <w:rsid w:val="007B3F8C"/>
    <w:rsid w:val="007C02D9"/>
    <w:rsid w:val="007C0DF2"/>
    <w:rsid w:val="007E123E"/>
    <w:rsid w:val="007E362B"/>
    <w:rsid w:val="007E5431"/>
    <w:rsid w:val="00800465"/>
    <w:rsid w:val="008020DC"/>
    <w:rsid w:val="0080219C"/>
    <w:rsid w:val="00805249"/>
    <w:rsid w:val="0080552B"/>
    <w:rsid w:val="008113A9"/>
    <w:rsid w:val="00811D5A"/>
    <w:rsid w:val="00813BF6"/>
    <w:rsid w:val="00816196"/>
    <w:rsid w:val="008226D4"/>
    <w:rsid w:val="008234BB"/>
    <w:rsid w:val="00831D0F"/>
    <w:rsid w:val="00833A31"/>
    <w:rsid w:val="00840FBD"/>
    <w:rsid w:val="008414C1"/>
    <w:rsid w:val="008475D4"/>
    <w:rsid w:val="0086099E"/>
    <w:rsid w:val="0086442D"/>
    <w:rsid w:val="00865D8D"/>
    <w:rsid w:val="00866B9C"/>
    <w:rsid w:val="008674A0"/>
    <w:rsid w:val="0087208F"/>
    <w:rsid w:val="00872AAE"/>
    <w:rsid w:val="00883BB3"/>
    <w:rsid w:val="008978F9"/>
    <w:rsid w:val="008A276B"/>
    <w:rsid w:val="008B1724"/>
    <w:rsid w:val="008B219D"/>
    <w:rsid w:val="008B7037"/>
    <w:rsid w:val="008B7546"/>
    <w:rsid w:val="008C0FA5"/>
    <w:rsid w:val="008D22EF"/>
    <w:rsid w:val="008D52D4"/>
    <w:rsid w:val="008E4184"/>
    <w:rsid w:val="008E6C23"/>
    <w:rsid w:val="008F0110"/>
    <w:rsid w:val="008F0673"/>
    <w:rsid w:val="008F06EF"/>
    <w:rsid w:val="008F134B"/>
    <w:rsid w:val="008F57C6"/>
    <w:rsid w:val="008F6998"/>
    <w:rsid w:val="008F7622"/>
    <w:rsid w:val="009032C7"/>
    <w:rsid w:val="009051D5"/>
    <w:rsid w:val="00913920"/>
    <w:rsid w:val="00920670"/>
    <w:rsid w:val="00922DE0"/>
    <w:rsid w:val="00930040"/>
    <w:rsid w:val="009355F6"/>
    <w:rsid w:val="00935DF6"/>
    <w:rsid w:val="00936CB4"/>
    <w:rsid w:val="0093784B"/>
    <w:rsid w:val="0094336F"/>
    <w:rsid w:val="0096318A"/>
    <w:rsid w:val="009660D4"/>
    <w:rsid w:val="00967D66"/>
    <w:rsid w:val="00971137"/>
    <w:rsid w:val="00971713"/>
    <w:rsid w:val="00976F3B"/>
    <w:rsid w:val="00985900"/>
    <w:rsid w:val="00992613"/>
    <w:rsid w:val="00992F92"/>
    <w:rsid w:val="009A412F"/>
    <w:rsid w:val="009A5EEA"/>
    <w:rsid w:val="009A7D42"/>
    <w:rsid w:val="009B13B2"/>
    <w:rsid w:val="009B4514"/>
    <w:rsid w:val="009C290D"/>
    <w:rsid w:val="009C5E3A"/>
    <w:rsid w:val="009C7F44"/>
    <w:rsid w:val="009D2312"/>
    <w:rsid w:val="009D62B2"/>
    <w:rsid w:val="009E21F6"/>
    <w:rsid w:val="009E2E09"/>
    <w:rsid w:val="009E6A14"/>
    <w:rsid w:val="009E6D4C"/>
    <w:rsid w:val="009F0F4E"/>
    <w:rsid w:val="00A0137F"/>
    <w:rsid w:val="00A04982"/>
    <w:rsid w:val="00A1221F"/>
    <w:rsid w:val="00A14385"/>
    <w:rsid w:val="00A27AFA"/>
    <w:rsid w:val="00A362FF"/>
    <w:rsid w:val="00A369F7"/>
    <w:rsid w:val="00A41FDA"/>
    <w:rsid w:val="00A524C0"/>
    <w:rsid w:val="00A542B6"/>
    <w:rsid w:val="00A552F7"/>
    <w:rsid w:val="00A57AFC"/>
    <w:rsid w:val="00A82DEF"/>
    <w:rsid w:val="00A945EB"/>
    <w:rsid w:val="00A95BDC"/>
    <w:rsid w:val="00A9674A"/>
    <w:rsid w:val="00AA0720"/>
    <w:rsid w:val="00AA4C0B"/>
    <w:rsid w:val="00AB0C23"/>
    <w:rsid w:val="00AB2F1C"/>
    <w:rsid w:val="00AB466D"/>
    <w:rsid w:val="00AB7708"/>
    <w:rsid w:val="00AD1233"/>
    <w:rsid w:val="00AD3F56"/>
    <w:rsid w:val="00AE0387"/>
    <w:rsid w:val="00AE1F76"/>
    <w:rsid w:val="00AE38F2"/>
    <w:rsid w:val="00AF2C17"/>
    <w:rsid w:val="00B02D9F"/>
    <w:rsid w:val="00B07768"/>
    <w:rsid w:val="00B079E7"/>
    <w:rsid w:val="00B14B55"/>
    <w:rsid w:val="00B16735"/>
    <w:rsid w:val="00B17D1B"/>
    <w:rsid w:val="00B24C19"/>
    <w:rsid w:val="00B26382"/>
    <w:rsid w:val="00B267A0"/>
    <w:rsid w:val="00B33065"/>
    <w:rsid w:val="00B337EB"/>
    <w:rsid w:val="00B44AC3"/>
    <w:rsid w:val="00B56CFC"/>
    <w:rsid w:val="00B61002"/>
    <w:rsid w:val="00B649FD"/>
    <w:rsid w:val="00B72D76"/>
    <w:rsid w:val="00B84C60"/>
    <w:rsid w:val="00B84E1B"/>
    <w:rsid w:val="00B861E8"/>
    <w:rsid w:val="00B87741"/>
    <w:rsid w:val="00B8782E"/>
    <w:rsid w:val="00B90AD8"/>
    <w:rsid w:val="00B9429E"/>
    <w:rsid w:val="00B9494B"/>
    <w:rsid w:val="00B96CD0"/>
    <w:rsid w:val="00BA5E30"/>
    <w:rsid w:val="00BB22E2"/>
    <w:rsid w:val="00BB4244"/>
    <w:rsid w:val="00BB7E15"/>
    <w:rsid w:val="00BC0A08"/>
    <w:rsid w:val="00BC7FEE"/>
    <w:rsid w:val="00BD0ACF"/>
    <w:rsid w:val="00BD1BBD"/>
    <w:rsid w:val="00BD31C1"/>
    <w:rsid w:val="00BD7A17"/>
    <w:rsid w:val="00BE351B"/>
    <w:rsid w:val="00BE423E"/>
    <w:rsid w:val="00BE592F"/>
    <w:rsid w:val="00BF1BF5"/>
    <w:rsid w:val="00BF74A9"/>
    <w:rsid w:val="00BF7F08"/>
    <w:rsid w:val="00C03459"/>
    <w:rsid w:val="00C03595"/>
    <w:rsid w:val="00C0396E"/>
    <w:rsid w:val="00C056C5"/>
    <w:rsid w:val="00C10417"/>
    <w:rsid w:val="00C15050"/>
    <w:rsid w:val="00C20A9E"/>
    <w:rsid w:val="00C27D9C"/>
    <w:rsid w:val="00C4235F"/>
    <w:rsid w:val="00C51D75"/>
    <w:rsid w:val="00C5626E"/>
    <w:rsid w:val="00C62778"/>
    <w:rsid w:val="00C70B1E"/>
    <w:rsid w:val="00C7306C"/>
    <w:rsid w:val="00C731A2"/>
    <w:rsid w:val="00C777CB"/>
    <w:rsid w:val="00C81321"/>
    <w:rsid w:val="00C82E6F"/>
    <w:rsid w:val="00C85212"/>
    <w:rsid w:val="00C90568"/>
    <w:rsid w:val="00C93B3A"/>
    <w:rsid w:val="00C945C7"/>
    <w:rsid w:val="00CB1D42"/>
    <w:rsid w:val="00CB1DED"/>
    <w:rsid w:val="00CB2D96"/>
    <w:rsid w:val="00CB36FA"/>
    <w:rsid w:val="00CB6783"/>
    <w:rsid w:val="00CB69C9"/>
    <w:rsid w:val="00CC4FE1"/>
    <w:rsid w:val="00CC5554"/>
    <w:rsid w:val="00CC7A6E"/>
    <w:rsid w:val="00CD504C"/>
    <w:rsid w:val="00CD580A"/>
    <w:rsid w:val="00CD7AB8"/>
    <w:rsid w:val="00CF29F8"/>
    <w:rsid w:val="00CF2F42"/>
    <w:rsid w:val="00CF3E68"/>
    <w:rsid w:val="00CF40C4"/>
    <w:rsid w:val="00D00305"/>
    <w:rsid w:val="00D025A0"/>
    <w:rsid w:val="00D06AA5"/>
    <w:rsid w:val="00D070AB"/>
    <w:rsid w:val="00D17BFB"/>
    <w:rsid w:val="00D20C15"/>
    <w:rsid w:val="00D21C87"/>
    <w:rsid w:val="00D2228F"/>
    <w:rsid w:val="00D24036"/>
    <w:rsid w:val="00D25AF6"/>
    <w:rsid w:val="00D261CF"/>
    <w:rsid w:val="00D31A0C"/>
    <w:rsid w:val="00D43576"/>
    <w:rsid w:val="00D45FCB"/>
    <w:rsid w:val="00D45FF9"/>
    <w:rsid w:val="00D53C52"/>
    <w:rsid w:val="00D53D37"/>
    <w:rsid w:val="00D60998"/>
    <w:rsid w:val="00D60B66"/>
    <w:rsid w:val="00D628CF"/>
    <w:rsid w:val="00D73035"/>
    <w:rsid w:val="00D7791E"/>
    <w:rsid w:val="00D817ED"/>
    <w:rsid w:val="00D83CFE"/>
    <w:rsid w:val="00D85057"/>
    <w:rsid w:val="00D8675A"/>
    <w:rsid w:val="00D87B3D"/>
    <w:rsid w:val="00D90D34"/>
    <w:rsid w:val="00D91408"/>
    <w:rsid w:val="00D9275B"/>
    <w:rsid w:val="00D948D3"/>
    <w:rsid w:val="00D9647F"/>
    <w:rsid w:val="00D96B43"/>
    <w:rsid w:val="00DA14E7"/>
    <w:rsid w:val="00DA2599"/>
    <w:rsid w:val="00DB30D8"/>
    <w:rsid w:val="00DC1532"/>
    <w:rsid w:val="00DC1741"/>
    <w:rsid w:val="00DC2FBF"/>
    <w:rsid w:val="00DC7468"/>
    <w:rsid w:val="00DD2DD8"/>
    <w:rsid w:val="00DF30FA"/>
    <w:rsid w:val="00DF5793"/>
    <w:rsid w:val="00DF7FD3"/>
    <w:rsid w:val="00E06ED3"/>
    <w:rsid w:val="00E16075"/>
    <w:rsid w:val="00E228F4"/>
    <w:rsid w:val="00E237C2"/>
    <w:rsid w:val="00E51074"/>
    <w:rsid w:val="00E513F1"/>
    <w:rsid w:val="00E56577"/>
    <w:rsid w:val="00E66167"/>
    <w:rsid w:val="00E66B41"/>
    <w:rsid w:val="00E70ABC"/>
    <w:rsid w:val="00E713F2"/>
    <w:rsid w:val="00E771D8"/>
    <w:rsid w:val="00E809E0"/>
    <w:rsid w:val="00E80ED0"/>
    <w:rsid w:val="00E829BF"/>
    <w:rsid w:val="00E853DF"/>
    <w:rsid w:val="00E90E13"/>
    <w:rsid w:val="00E943ED"/>
    <w:rsid w:val="00E9507E"/>
    <w:rsid w:val="00E96397"/>
    <w:rsid w:val="00E96750"/>
    <w:rsid w:val="00EA03F6"/>
    <w:rsid w:val="00EA1582"/>
    <w:rsid w:val="00EA1D9A"/>
    <w:rsid w:val="00EA30F0"/>
    <w:rsid w:val="00EB126E"/>
    <w:rsid w:val="00EB5F24"/>
    <w:rsid w:val="00EB6A9B"/>
    <w:rsid w:val="00EB7C3A"/>
    <w:rsid w:val="00EC0F0E"/>
    <w:rsid w:val="00EC3EC7"/>
    <w:rsid w:val="00ED2FAD"/>
    <w:rsid w:val="00ED4E9B"/>
    <w:rsid w:val="00EE15A7"/>
    <w:rsid w:val="00EE327C"/>
    <w:rsid w:val="00EF292F"/>
    <w:rsid w:val="00EF647D"/>
    <w:rsid w:val="00F07B0D"/>
    <w:rsid w:val="00F14976"/>
    <w:rsid w:val="00F163E8"/>
    <w:rsid w:val="00F2006C"/>
    <w:rsid w:val="00F3012D"/>
    <w:rsid w:val="00F30E6B"/>
    <w:rsid w:val="00F356B2"/>
    <w:rsid w:val="00F36B16"/>
    <w:rsid w:val="00F3716E"/>
    <w:rsid w:val="00F37517"/>
    <w:rsid w:val="00F37B1A"/>
    <w:rsid w:val="00F45CD7"/>
    <w:rsid w:val="00F47010"/>
    <w:rsid w:val="00F52460"/>
    <w:rsid w:val="00F55701"/>
    <w:rsid w:val="00F57113"/>
    <w:rsid w:val="00F57B3D"/>
    <w:rsid w:val="00F600C4"/>
    <w:rsid w:val="00F61757"/>
    <w:rsid w:val="00F61879"/>
    <w:rsid w:val="00F6431B"/>
    <w:rsid w:val="00F66058"/>
    <w:rsid w:val="00F71E01"/>
    <w:rsid w:val="00F752C3"/>
    <w:rsid w:val="00F77667"/>
    <w:rsid w:val="00F81DAF"/>
    <w:rsid w:val="00F967A9"/>
    <w:rsid w:val="00FB176E"/>
    <w:rsid w:val="00FB6273"/>
    <w:rsid w:val="00FB65CE"/>
    <w:rsid w:val="00FB6A90"/>
    <w:rsid w:val="00FC0811"/>
    <w:rsid w:val="00FC158D"/>
    <w:rsid w:val="00FC3CDF"/>
    <w:rsid w:val="00FC3EEC"/>
    <w:rsid w:val="00FD78D8"/>
    <w:rsid w:val="00FE01EA"/>
    <w:rsid w:val="00FE10DD"/>
    <w:rsid w:val="00FE5D95"/>
    <w:rsid w:val="00FE7DE2"/>
    <w:rsid w:val="00FF26EE"/>
    <w:rsid w:val="00FF2FF3"/>
    <w:rsid w:val="00FF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2CFDE"/>
  <w15:docId w15:val="{CEB92AE5-8DB6-4219-8DCB-FCE5F7A5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FE"/>
  </w:style>
  <w:style w:type="paragraph" w:styleId="Heading1">
    <w:name w:val="heading 1"/>
    <w:basedOn w:val="Normal"/>
    <w:link w:val="Heading1Char"/>
    <w:uiPriority w:val="9"/>
    <w:qFormat/>
    <w:rsid w:val="002B2E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A5"/>
    <w:pPr>
      <w:ind w:left="720"/>
      <w:contextualSpacing/>
    </w:pPr>
  </w:style>
  <w:style w:type="character" w:styleId="CommentReference">
    <w:name w:val="annotation reference"/>
    <w:basedOn w:val="DefaultParagraphFont"/>
    <w:uiPriority w:val="99"/>
    <w:semiHidden/>
    <w:unhideWhenUsed/>
    <w:rsid w:val="008226D4"/>
    <w:rPr>
      <w:sz w:val="16"/>
      <w:szCs w:val="16"/>
    </w:rPr>
  </w:style>
  <w:style w:type="paragraph" w:styleId="CommentText">
    <w:name w:val="annotation text"/>
    <w:basedOn w:val="Normal"/>
    <w:link w:val="CommentTextChar"/>
    <w:uiPriority w:val="99"/>
    <w:unhideWhenUsed/>
    <w:rsid w:val="008226D4"/>
    <w:pPr>
      <w:spacing w:line="240" w:lineRule="auto"/>
    </w:pPr>
    <w:rPr>
      <w:sz w:val="20"/>
      <w:szCs w:val="20"/>
    </w:rPr>
  </w:style>
  <w:style w:type="character" w:customStyle="1" w:styleId="CommentTextChar">
    <w:name w:val="Comment Text Char"/>
    <w:basedOn w:val="DefaultParagraphFont"/>
    <w:link w:val="CommentText"/>
    <w:uiPriority w:val="99"/>
    <w:rsid w:val="008226D4"/>
    <w:rPr>
      <w:sz w:val="20"/>
      <w:szCs w:val="20"/>
    </w:rPr>
  </w:style>
  <w:style w:type="paragraph" w:styleId="CommentSubject">
    <w:name w:val="annotation subject"/>
    <w:basedOn w:val="CommentText"/>
    <w:next w:val="CommentText"/>
    <w:link w:val="CommentSubjectChar"/>
    <w:uiPriority w:val="99"/>
    <w:semiHidden/>
    <w:unhideWhenUsed/>
    <w:rsid w:val="008226D4"/>
    <w:rPr>
      <w:b/>
      <w:bCs/>
    </w:rPr>
  </w:style>
  <w:style w:type="character" w:customStyle="1" w:styleId="CommentSubjectChar">
    <w:name w:val="Comment Subject Char"/>
    <w:basedOn w:val="CommentTextChar"/>
    <w:link w:val="CommentSubject"/>
    <w:uiPriority w:val="99"/>
    <w:semiHidden/>
    <w:rsid w:val="008226D4"/>
    <w:rPr>
      <w:b/>
      <w:bCs/>
      <w:sz w:val="20"/>
      <w:szCs w:val="20"/>
    </w:rPr>
  </w:style>
  <w:style w:type="paragraph" w:styleId="BalloonText">
    <w:name w:val="Balloon Text"/>
    <w:basedOn w:val="Normal"/>
    <w:link w:val="BalloonTextChar"/>
    <w:uiPriority w:val="99"/>
    <w:semiHidden/>
    <w:unhideWhenUsed/>
    <w:rsid w:val="0082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6D4"/>
    <w:rPr>
      <w:rFonts w:ascii="Segoe UI" w:hAnsi="Segoe UI" w:cs="Segoe UI"/>
      <w:sz w:val="18"/>
      <w:szCs w:val="18"/>
    </w:rPr>
  </w:style>
  <w:style w:type="paragraph" w:styleId="Header">
    <w:name w:val="header"/>
    <w:basedOn w:val="Normal"/>
    <w:link w:val="HeaderChar"/>
    <w:uiPriority w:val="99"/>
    <w:unhideWhenUsed/>
    <w:rsid w:val="00936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CB4"/>
  </w:style>
  <w:style w:type="paragraph" w:styleId="Footer">
    <w:name w:val="footer"/>
    <w:basedOn w:val="Normal"/>
    <w:link w:val="FooterChar"/>
    <w:uiPriority w:val="99"/>
    <w:unhideWhenUsed/>
    <w:rsid w:val="00936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CB4"/>
  </w:style>
  <w:style w:type="table" w:styleId="TableGrid">
    <w:name w:val="Table Grid"/>
    <w:basedOn w:val="TableNormal"/>
    <w:uiPriority w:val="39"/>
    <w:rsid w:val="00C5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5E8A"/>
    <w:rPr>
      <w:i/>
      <w:iCs/>
    </w:rPr>
  </w:style>
  <w:style w:type="character" w:customStyle="1" w:styleId="nlmarticle-title">
    <w:name w:val="nlm_article-title"/>
    <w:basedOn w:val="DefaultParagraphFont"/>
    <w:rsid w:val="003F5E8A"/>
  </w:style>
  <w:style w:type="paragraph" w:customStyle="1" w:styleId="Default">
    <w:name w:val="Default"/>
    <w:rsid w:val="00F5246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D730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035"/>
    <w:rPr>
      <w:sz w:val="20"/>
      <w:szCs w:val="20"/>
    </w:rPr>
  </w:style>
  <w:style w:type="character" w:styleId="FootnoteReference">
    <w:name w:val="footnote reference"/>
    <w:basedOn w:val="DefaultParagraphFont"/>
    <w:uiPriority w:val="99"/>
    <w:semiHidden/>
    <w:unhideWhenUsed/>
    <w:rsid w:val="00D73035"/>
    <w:rPr>
      <w:vertAlign w:val="superscript"/>
    </w:rPr>
  </w:style>
  <w:style w:type="character" w:customStyle="1" w:styleId="Heading1Char">
    <w:name w:val="Heading 1 Char"/>
    <w:basedOn w:val="DefaultParagraphFont"/>
    <w:link w:val="Heading1"/>
    <w:uiPriority w:val="9"/>
    <w:rsid w:val="002B2E4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4235F"/>
    <w:rPr>
      <w:color w:val="0563C1" w:themeColor="hyperlink"/>
      <w:u w:val="single"/>
    </w:rPr>
  </w:style>
  <w:style w:type="paragraph" w:styleId="Revision">
    <w:name w:val="Revision"/>
    <w:hidden/>
    <w:uiPriority w:val="99"/>
    <w:semiHidden/>
    <w:rsid w:val="002F40FC"/>
    <w:pPr>
      <w:spacing w:after="0" w:line="240" w:lineRule="auto"/>
    </w:pPr>
  </w:style>
  <w:style w:type="paragraph" w:styleId="NormalWeb">
    <w:name w:val="Normal (Web)"/>
    <w:basedOn w:val="Normal"/>
    <w:uiPriority w:val="99"/>
    <w:unhideWhenUsed/>
    <w:rsid w:val="00CC4F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year">
    <w:name w:val="nlm_year"/>
    <w:basedOn w:val="DefaultParagraphFont"/>
    <w:rsid w:val="002518A5"/>
  </w:style>
  <w:style w:type="character" w:customStyle="1" w:styleId="nlmpublisher-loc">
    <w:name w:val="nlm_publisher-loc"/>
    <w:basedOn w:val="DefaultParagraphFont"/>
    <w:rsid w:val="002518A5"/>
  </w:style>
  <w:style w:type="character" w:customStyle="1" w:styleId="nlmpublisher-name">
    <w:name w:val="nlm_publisher-name"/>
    <w:basedOn w:val="DefaultParagraphFont"/>
    <w:rsid w:val="002518A5"/>
  </w:style>
  <w:style w:type="character" w:customStyle="1" w:styleId="name">
    <w:name w:val="name"/>
    <w:basedOn w:val="DefaultParagraphFont"/>
    <w:rsid w:val="00377261"/>
  </w:style>
  <w:style w:type="character" w:customStyle="1" w:styleId="surname">
    <w:name w:val="surname"/>
    <w:basedOn w:val="DefaultParagraphFont"/>
    <w:rsid w:val="00377261"/>
  </w:style>
  <w:style w:type="character" w:customStyle="1" w:styleId="given-names">
    <w:name w:val="given-names"/>
    <w:basedOn w:val="DefaultParagraphFont"/>
    <w:rsid w:val="00377261"/>
  </w:style>
  <w:style w:type="character" w:customStyle="1" w:styleId="suffix">
    <w:name w:val="suffix"/>
    <w:basedOn w:val="DefaultParagraphFont"/>
    <w:rsid w:val="00377261"/>
  </w:style>
  <w:style w:type="character" w:customStyle="1" w:styleId="year">
    <w:name w:val="year"/>
    <w:basedOn w:val="DefaultParagraphFont"/>
    <w:rsid w:val="00377261"/>
  </w:style>
  <w:style w:type="character" w:customStyle="1" w:styleId="article-title">
    <w:name w:val="article-title"/>
    <w:basedOn w:val="DefaultParagraphFont"/>
    <w:rsid w:val="00377261"/>
  </w:style>
  <w:style w:type="character" w:customStyle="1" w:styleId="source">
    <w:name w:val="source"/>
    <w:basedOn w:val="DefaultParagraphFont"/>
    <w:rsid w:val="00377261"/>
  </w:style>
  <w:style w:type="character" w:customStyle="1" w:styleId="publisher-loc">
    <w:name w:val="publisher-loc"/>
    <w:basedOn w:val="DefaultParagraphFont"/>
    <w:rsid w:val="00377261"/>
  </w:style>
  <w:style w:type="character" w:customStyle="1" w:styleId="publisher-name">
    <w:name w:val="publisher-name"/>
    <w:basedOn w:val="DefaultParagraphFont"/>
    <w:rsid w:val="00377261"/>
  </w:style>
  <w:style w:type="character" w:styleId="EndnoteReference">
    <w:name w:val="endnote reference"/>
    <w:basedOn w:val="DefaultParagraphFont"/>
    <w:uiPriority w:val="99"/>
    <w:semiHidden/>
    <w:unhideWhenUsed/>
    <w:rsid w:val="00F36B16"/>
    <w:rPr>
      <w:vertAlign w:val="superscript"/>
    </w:rPr>
  </w:style>
  <w:style w:type="character" w:styleId="UnresolvedMention">
    <w:name w:val="Unresolved Mention"/>
    <w:basedOn w:val="DefaultParagraphFont"/>
    <w:uiPriority w:val="99"/>
    <w:semiHidden/>
    <w:unhideWhenUsed/>
    <w:rsid w:val="00D45FCB"/>
    <w:rPr>
      <w:color w:val="605E5C"/>
      <w:shd w:val="clear" w:color="auto" w:fill="E1DFDD"/>
    </w:rPr>
  </w:style>
  <w:style w:type="paragraph" w:styleId="HTMLAddress">
    <w:name w:val="HTML Address"/>
    <w:basedOn w:val="Normal"/>
    <w:link w:val="HTMLAddressChar"/>
    <w:uiPriority w:val="99"/>
    <w:semiHidden/>
    <w:unhideWhenUsed/>
    <w:rsid w:val="00D45FCB"/>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D45FCB"/>
    <w:rPr>
      <w:rFonts w:ascii="Times New Roman" w:eastAsia="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351168">
      <w:bodyDiv w:val="1"/>
      <w:marLeft w:val="0"/>
      <w:marRight w:val="0"/>
      <w:marTop w:val="0"/>
      <w:marBottom w:val="0"/>
      <w:divBdr>
        <w:top w:val="none" w:sz="0" w:space="0" w:color="auto"/>
        <w:left w:val="none" w:sz="0" w:space="0" w:color="auto"/>
        <w:bottom w:val="none" w:sz="0" w:space="0" w:color="auto"/>
        <w:right w:val="none" w:sz="0" w:space="0" w:color="auto"/>
      </w:divBdr>
    </w:div>
    <w:div w:id="751203975">
      <w:bodyDiv w:val="1"/>
      <w:marLeft w:val="0"/>
      <w:marRight w:val="0"/>
      <w:marTop w:val="0"/>
      <w:marBottom w:val="0"/>
      <w:divBdr>
        <w:top w:val="none" w:sz="0" w:space="0" w:color="auto"/>
        <w:left w:val="none" w:sz="0" w:space="0" w:color="auto"/>
        <w:bottom w:val="none" w:sz="0" w:space="0" w:color="auto"/>
        <w:right w:val="none" w:sz="0" w:space="0" w:color="auto"/>
      </w:divBdr>
    </w:div>
    <w:div w:id="810636868">
      <w:bodyDiv w:val="1"/>
      <w:marLeft w:val="0"/>
      <w:marRight w:val="0"/>
      <w:marTop w:val="0"/>
      <w:marBottom w:val="0"/>
      <w:divBdr>
        <w:top w:val="none" w:sz="0" w:space="0" w:color="auto"/>
        <w:left w:val="none" w:sz="0" w:space="0" w:color="auto"/>
        <w:bottom w:val="none" w:sz="0" w:space="0" w:color="auto"/>
        <w:right w:val="none" w:sz="0" w:space="0" w:color="auto"/>
      </w:divBdr>
    </w:div>
    <w:div w:id="813108843">
      <w:bodyDiv w:val="1"/>
      <w:marLeft w:val="0"/>
      <w:marRight w:val="0"/>
      <w:marTop w:val="0"/>
      <w:marBottom w:val="0"/>
      <w:divBdr>
        <w:top w:val="none" w:sz="0" w:space="0" w:color="auto"/>
        <w:left w:val="none" w:sz="0" w:space="0" w:color="auto"/>
        <w:bottom w:val="none" w:sz="0" w:space="0" w:color="auto"/>
        <w:right w:val="none" w:sz="0" w:space="0" w:color="auto"/>
      </w:divBdr>
    </w:div>
    <w:div w:id="1159151575">
      <w:bodyDiv w:val="1"/>
      <w:marLeft w:val="0"/>
      <w:marRight w:val="0"/>
      <w:marTop w:val="0"/>
      <w:marBottom w:val="0"/>
      <w:divBdr>
        <w:top w:val="none" w:sz="0" w:space="0" w:color="auto"/>
        <w:left w:val="none" w:sz="0" w:space="0" w:color="auto"/>
        <w:bottom w:val="none" w:sz="0" w:space="0" w:color="auto"/>
        <w:right w:val="none" w:sz="0" w:space="0" w:color="auto"/>
      </w:divBdr>
    </w:div>
    <w:div w:id="1192954099">
      <w:bodyDiv w:val="1"/>
      <w:marLeft w:val="0"/>
      <w:marRight w:val="0"/>
      <w:marTop w:val="0"/>
      <w:marBottom w:val="0"/>
      <w:divBdr>
        <w:top w:val="none" w:sz="0" w:space="0" w:color="auto"/>
        <w:left w:val="none" w:sz="0" w:space="0" w:color="auto"/>
        <w:bottom w:val="none" w:sz="0" w:space="0" w:color="auto"/>
        <w:right w:val="none" w:sz="0" w:space="0" w:color="auto"/>
      </w:divBdr>
      <w:divsChild>
        <w:div w:id="962930894">
          <w:marLeft w:val="0"/>
          <w:marRight w:val="0"/>
          <w:marTop w:val="0"/>
          <w:marBottom w:val="0"/>
          <w:divBdr>
            <w:top w:val="none" w:sz="0" w:space="0" w:color="auto"/>
            <w:left w:val="none" w:sz="0" w:space="0" w:color="auto"/>
            <w:bottom w:val="none" w:sz="0" w:space="0" w:color="auto"/>
            <w:right w:val="none" w:sz="0" w:space="0" w:color="auto"/>
          </w:divBdr>
        </w:div>
        <w:div w:id="1635212516">
          <w:marLeft w:val="0"/>
          <w:marRight w:val="0"/>
          <w:marTop w:val="0"/>
          <w:marBottom w:val="0"/>
          <w:divBdr>
            <w:top w:val="none" w:sz="0" w:space="0" w:color="auto"/>
            <w:left w:val="none" w:sz="0" w:space="0" w:color="auto"/>
            <w:bottom w:val="none" w:sz="0" w:space="0" w:color="auto"/>
            <w:right w:val="none" w:sz="0" w:space="0" w:color="auto"/>
          </w:divBdr>
        </w:div>
      </w:divsChild>
    </w:div>
    <w:div w:id="1380662651">
      <w:bodyDiv w:val="1"/>
      <w:marLeft w:val="0"/>
      <w:marRight w:val="0"/>
      <w:marTop w:val="0"/>
      <w:marBottom w:val="0"/>
      <w:divBdr>
        <w:top w:val="none" w:sz="0" w:space="0" w:color="auto"/>
        <w:left w:val="none" w:sz="0" w:space="0" w:color="auto"/>
        <w:bottom w:val="none" w:sz="0" w:space="0" w:color="auto"/>
        <w:right w:val="none" w:sz="0" w:space="0" w:color="auto"/>
      </w:divBdr>
    </w:div>
    <w:div w:id="1690062371">
      <w:bodyDiv w:val="1"/>
      <w:marLeft w:val="0"/>
      <w:marRight w:val="0"/>
      <w:marTop w:val="0"/>
      <w:marBottom w:val="0"/>
      <w:divBdr>
        <w:top w:val="none" w:sz="0" w:space="0" w:color="auto"/>
        <w:left w:val="none" w:sz="0" w:space="0" w:color="auto"/>
        <w:bottom w:val="none" w:sz="0" w:space="0" w:color="auto"/>
        <w:right w:val="none" w:sz="0" w:space="0" w:color="auto"/>
      </w:divBdr>
      <w:divsChild>
        <w:div w:id="240912537">
          <w:marLeft w:val="0"/>
          <w:marRight w:val="0"/>
          <w:marTop w:val="0"/>
          <w:marBottom w:val="0"/>
          <w:divBdr>
            <w:top w:val="none" w:sz="0" w:space="0" w:color="auto"/>
            <w:left w:val="none" w:sz="0" w:space="0" w:color="auto"/>
            <w:bottom w:val="dashed" w:sz="12" w:space="9" w:color="E8E8E8"/>
            <w:right w:val="none" w:sz="0" w:space="0" w:color="auto"/>
          </w:divBdr>
          <w:divsChild>
            <w:div w:id="18568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9522">
      <w:bodyDiv w:val="1"/>
      <w:marLeft w:val="0"/>
      <w:marRight w:val="0"/>
      <w:marTop w:val="0"/>
      <w:marBottom w:val="0"/>
      <w:divBdr>
        <w:top w:val="none" w:sz="0" w:space="0" w:color="auto"/>
        <w:left w:val="none" w:sz="0" w:space="0" w:color="auto"/>
        <w:bottom w:val="none" w:sz="0" w:space="0" w:color="auto"/>
        <w:right w:val="none" w:sz="0" w:space="0" w:color="auto"/>
      </w:divBdr>
      <w:divsChild>
        <w:div w:id="1557399815">
          <w:marLeft w:val="-192"/>
          <w:marRight w:val="0"/>
          <w:marTop w:val="0"/>
          <w:marBottom w:val="0"/>
          <w:divBdr>
            <w:top w:val="none" w:sz="0" w:space="0" w:color="auto"/>
            <w:left w:val="none" w:sz="0" w:space="0" w:color="auto"/>
            <w:bottom w:val="single" w:sz="4" w:space="0" w:color="D0D2D3"/>
            <w:right w:val="none" w:sz="0" w:space="0" w:color="auto"/>
          </w:divBdr>
          <w:divsChild>
            <w:div w:id="1156453508">
              <w:marLeft w:val="0"/>
              <w:marRight w:val="0"/>
              <w:marTop w:val="0"/>
              <w:marBottom w:val="0"/>
              <w:divBdr>
                <w:top w:val="none" w:sz="0" w:space="0" w:color="auto"/>
                <w:left w:val="none" w:sz="0" w:space="0" w:color="auto"/>
                <w:bottom w:val="none" w:sz="0" w:space="0" w:color="auto"/>
                <w:right w:val="none" w:sz="0" w:space="0" w:color="auto"/>
              </w:divBdr>
              <w:divsChild>
                <w:div w:id="1111515955">
                  <w:marLeft w:val="0"/>
                  <w:marRight w:val="0"/>
                  <w:marTop w:val="0"/>
                  <w:marBottom w:val="0"/>
                  <w:divBdr>
                    <w:top w:val="none" w:sz="0" w:space="0" w:color="auto"/>
                    <w:left w:val="none" w:sz="0" w:space="0" w:color="auto"/>
                    <w:bottom w:val="none" w:sz="0" w:space="0" w:color="auto"/>
                    <w:right w:val="none" w:sz="0" w:space="0" w:color="auto"/>
                  </w:divBdr>
                </w:div>
              </w:divsChild>
            </w:div>
            <w:div w:id="712971801">
              <w:marLeft w:val="0"/>
              <w:marRight w:val="0"/>
              <w:marTop w:val="0"/>
              <w:marBottom w:val="0"/>
              <w:divBdr>
                <w:top w:val="single" w:sz="4" w:space="0" w:color="D0D2D3"/>
                <w:left w:val="single" w:sz="4" w:space="0" w:color="D0D2D3"/>
                <w:bottom w:val="single" w:sz="4" w:space="0" w:color="D0D2D3"/>
                <w:right w:val="single" w:sz="4" w:space="0" w:color="D0D2D3"/>
              </w:divBdr>
            </w:div>
          </w:divsChild>
        </w:div>
        <w:div w:id="2004505401">
          <w:marLeft w:val="0"/>
          <w:marRight w:val="384"/>
          <w:marTop w:val="0"/>
          <w:marBottom w:val="0"/>
          <w:divBdr>
            <w:top w:val="none" w:sz="0" w:space="0" w:color="auto"/>
            <w:left w:val="none" w:sz="0" w:space="0" w:color="auto"/>
            <w:bottom w:val="none" w:sz="0" w:space="0" w:color="auto"/>
            <w:right w:val="none" w:sz="0" w:space="0" w:color="auto"/>
          </w:divBdr>
        </w:div>
        <w:div w:id="1400397322">
          <w:marLeft w:val="0"/>
          <w:marRight w:val="384"/>
          <w:marTop w:val="0"/>
          <w:marBottom w:val="0"/>
          <w:divBdr>
            <w:top w:val="none" w:sz="0" w:space="0" w:color="auto"/>
            <w:left w:val="none" w:sz="0" w:space="0" w:color="auto"/>
            <w:bottom w:val="none" w:sz="0" w:space="0" w:color="auto"/>
            <w:right w:val="none" w:sz="0" w:space="0" w:color="auto"/>
          </w:divBdr>
        </w:div>
        <w:div w:id="1521893093">
          <w:marLeft w:val="0"/>
          <w:marRight w:val="384"/>
          <w:marTop w:val="0"/>
          <w:marBottom w:val="0"/>
          <w:divBdr>
            <w:top w:val="none" w:sz="0" w:space="0" w:color="auto"/>
            <w:left w:val="none" w:sz="0" w:space="0" w:color="auto"/>
            <w:bottom w:val="none" w:sz="0" w:space="0" w:color="auto"/>
            <w:right w:val="none" w:sz="0" w:space="0" w:color="auto"/>
          </w:divBdr>
          <w:divsChild>
            <w:div w:id="161049853">
              <w:marLeft w:val="0"/>
              <w:marRight w:val="0"/>
              <w:marTop w:val="0"/>
              <w:marBottom w:val="384"/>
              <w:divBdr>
                <w:top w:val="none" w:sz="0" w:space="0" w:color="auto"/>
                <w:left w:val="none" w:sz="0" w:space="0" w:color="auto"/>
                <w:bottom w:val="none" w:sz="0" w:space="0" w:color="auto"/>
                <w:right w:val="none" w:sz="0" w:space="0" w:color="auto"/>
              </w:divBdr>
              <w:divsChild>
                <w:div w:id="2008361568">
                  <w:marLeft w:val="0"/>
                  <w:marRight w:val="0"/>
                  <w:marTop w:val="0"/>
                  <w:marBottom w:val="0"/>
                  <w:divBdr>
                    <w:top w:val="none" w:sz="0" w:space="0" w:color="auto"/>
                    <w:left w:val="none" w:sz="0" w:space="0" w:color="auto"/>
                    <w:bottom w:val="none" w:sz="0" w:space="0" w:color="auto"/>
                    <w:right w:val="none" w:sz="0" w:space="0" w:color="auto"/>
                  </w:divBdr>
                  <w:divsChild>
                    <w:div w:id="192771777">
                      <w:marLeft w:val="0"/>
                      <w:marRight w:val="0"/>
                      <w:marTop w:val="0"/>
                      <w:marBottom w:val="0"/>
                      <w:divBdr>
                        <w:top w:val="none" w:sz="0" w:space="0" w:color="auto"/>
                        <w:left w:val="none" w:sz="0" w:space="0" w:color="auto"/>
                        <w:bottom w:val="none" w:sz="0" w:space="0" w:color="auto"/>
                        <w:right w:val="none" w:sz="0" w:space="0" w:color="auto"/>
                      </w:divBdr>
                      <w:divsChild>
                        <w:div w:id="616251397">
                          <w:marLeft w:val="0"/>
                          <w:marRight w:val="0"/>
                          <w:marTop w:val="0"/>
                          <w:marBottom w:val="0"/>
                          <w:divBdr>
                            <w:top w:val="none" w:sz="0" w:space="0" w:color="auto"/>
                            <w:left w:val="none" w:sz="0" w:space="0" w:color="auto"/>
                            <w:bottom w:val="none" w:sz="0" w:space="0" w:color="auto"/>
                            <w:right w:val="none" w:sz="0" w:space="0" w:color="auto"/>
                          </w:divBdr>
                          <w:divsChild>
                            <w:div w:id="1500538515">
                              <w:marLeft w:val="0"/>
                              <w:marRight w:val="0"/>
                              <w:marTop w:val="0"/>
                              <w:marBottom w:val="0"/>
                              <w:divBdr>
                                <w:top w:val="none" w:sz="0" w:space="0" w:color="auto"/>
                                <w:left w:val="none" w:sz="0" w:space="0" w:color="auto"/>
                                <w:bottom w:val="none" w:sz="0" w:space="0" w:color="auto"/>
                                <w:right w:val="none" w:sz="0" w:space="0" w:color="auto"/>
                              </w:divBdr>
                            </w:div>
                            <w:div w:id="1082069177">
                              <w:marLeft w:val="0"/>
                              <w:marRight w:val="0"/>
                              <w:marTop w:val="0"/>
                              <w:marBottom w:val="0"/>
                              <w:divBdr>
                                <w:top w:val="none" w:sz="0" w:space="0" w:color="auto"/>
                                <w:left w:val="none" w:sz="0" w:space="0" w:color="auto"/>
                                <w:bottom w:val="none" w:sz="0" w:space="0" w:color="auto"/>
                                <w:right w:val="none" w:sz="0" w:space="0" w:color="auto"/>
                              </w:divBdr>
                            </w:div>
                            <w:div w:id="62224670">
                              <w:marLeft w:val="0"/>
                              <w:marRight w:val="0"/>
                              <w:marTop w:val="0"/>
                              <w:marBottom w:val="0"/>
                              <w:divBdr>
                                <w:top w:val="none" w:sz="0" w:space="0" w:color="auto"/>
                                <w:left w:val="none" w:sz="0" w:space="0" w:color="auto"/>
                                <w:bottom w:val="none" w:sz="0" w:space="0" w:color="auto"/>
                                <w:right w:val="none" w:sz="0" w:space="0" w:color="auto"/>
                              </w:divBdr>
                            </w:div>
                            <w:div w:id="524639963">
                              <w:marLeft w:val="0"/>
                              <w:marRight w:val="0"/>
                              <w:marTop w:val="0"/>
                              <w:marBottom w:val="0"/>
                              <w:divBdr>
                                <w:top w:val="none" w:sz="0" w:space="0" w:color="auto"/>
                                <w:left w:val="none" w:sz="0" w:space="0" w:color="auto"/>
                                <w:bottom w:val="none" w:sz="0" w:space="0" w:color="auto"/>
                                <w:right w:val="none" w:sz="0" w:space="0" w:color="auto"/>
                              </w:divBdr>
                              <w:divsChild>
                                <w:div w:id="863135962">
                                  <w:marLeft w:val="0"/>
                                  <w:marRight w:val="0"/>
                                  <w:marTop w:val="0"/>
                                  <w:marBottom w:val="0"/>
                                  <w:divBdr>
                                    <w:top w:val="single" w:sz="4" w:space="0" w:color="D0D2D3"/>
                                    <w:left w:val="single" w:sz="4" w:space="0" w:color="D0D2D3"/>
                                    <w:bottom w:val="single" w:sz="4" w:space="0" w:color="D0D2D3"/>
                                    <w:right w:val="single" w:sz="4" w:space="0" w:color="D0D2D3"/>
                                  </w:divBdr>
                                  <w:divsChild>
                                    <w:div w:id="6131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2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lectoralcommission.org.uk/sites/default/files/2019-07/Winter%20Tracker%202019%20Topline.pdf" TargetMode="External"/><Relationship Id="rId1" Type="http://schemas.openxmlformats.org/officeDocument/2006/relationships/hyperlink" Target="mailto:S.Farrall@derb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B241C-0D1F-4E49-ABF6-629759CA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8893</Words>
  <Characters>50692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Struthers</dc:creator>
  <cp:lastModifiedBy>Byrne, Christopher</cp:lastModifiedBy>
  <cp:revision>30</cp:revision>
  <dcterms:created xsi:type="dcterms:W3CDTF">2021-06-25T09:55:00Z</dcterms:created>
  <dcterms:modified xsi:type="dcterms:W3CDTF">2021-06-29T14:30:00Z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89629bc4-9ce5-3698-88d6-d4a7826cc355</vt:lpwstr>
  </property>
  <property fmtid="{D5CDD505-2E9C-101B-9397-08002B2CF9AE}" pid="24" name="Mendeley Citation Style_1">
    <vt:lpwstr>http://www.zotero.org/styles/apa</vt:lpwstr>
  </property>
</Properties>
</file>