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D33F8" w14:textId="77777777" w:rsidR="002C00F6" w:rsidRDefault="0070053C" w:rsidP="0070053C">
      <w:pPr>
        <w:pStyle w:val="Heading3"/>
        <w:spacing w:before="0" w:after="0"/>
        <w:rPr>
          <w:rFonts w:ascii="Calibri" w:hAnsi="Calibri" w:cs="Calibri"/>
          <w:sz w:val="22"/>
          <w:szCs w:val="22"/>
        </w:rPr>
      </w:pPr>
      <w:bookmarkStart w:id="0" w:name="_GoBack"/>
      <w:bookmarkEnd w:id="0"/>
      <w:r w:rsidRPr="0027147F">
        <w:rPr>
          <w:rFonts w:ascii="Calibri" w:hAnsi="Calibri" w:cs="Calibri"/>
          <w:b/>
          <w:sz w:val="22"/>
          <w:szCs w:val="22"/>
        </w:rPr>
        <w:t>NOTE:</w:t>
      </w:r>
      <w:r w:rsidRPr="0027147F">
        <w:rPr>
          <w:rFonts w:ascii="Calibri" w:hAnsi="Calibri" w:cs="Calibri"/>
          <w:sz w:val="22"/>
          <w:szCs w:val="22"/>
        </w:rPr>
        <w:t xml:space="preserve"> This template intends to guide authors in</w:t>
      </w:r>
      <w:r w:rsidR="003B12AD" w:rsidRPr="0027147F">
        <w:rPr>
          <w:rFonts w:ascii="Calibri" w:hAnsi="Calibri" w:cs="Calibri"/>
          <w:sz w:val="22"/>
          <w:szCs w:val="22"/>
        </w:rPr>
        <w:t xml:space="preserve"> writing </w:t>
      </w:r>
      <w:r w:rsidR="00762DA5" w:rsidRPr="0027147F">
        <w:rPr>
          <w:rFonts w:ascii="Calibri" w:hAnsi="Calibri" w:cs="Calibri"/>
          <w:sz w:val="22"/>
          <w:szCs w:val="22"/>
        </w:rPr>
        <w:t>the chapter/article</w:t>
      </w:r>
      <w:r w:rsidRPr="0027147F">
        <w:rPr>
          <w:rFonts w:ascii="Calibri" w:hAnsi="Calibri" w:cs="Calibri"/>
          <w:sz w:val="22"/>
          <w:szCs w:val="22"/>
        </w:rPr>
        <w:t>.</w:t>
      </w:r>
      <w:r w:rsidR="005E00B3" w:rsidRPr="0027147F">
        <w:rPr>
          <w:rFonts w:ascii="Calibri" w:hAnsi="Calibri" w:cs="Calibri"/>
          <w:sz w:val="22"/>
          <w:szCs w:val="22"/>
        </w:rPr>
        <w:t xml:space="preserve"> </w:t>
      </w:r>
      <w:r w:rsidR="002C00F6" w:rsidRPr="002C00F6">
        <w:rPr>
          <w:rFonts w:ascii="Calibri" w:hAnsi="Calibri" w:cs="Calibri"/>
          <w:i/>
          <w:sz w:val="22"/>
          <w:szCs w:val="22"/>
        </w:rPr>
        <w:t xml:space="preserve">Do not concern yourself with formatting, as this will be done by the production team post-acceptance of your chapter. </w:t>
      </w:r>
    </w:p>
    <w:p w14:paraId="4BAFB03F" w14:textId="77777777" w:rsidR="002C00F6" w:rsidRDefault="002C00F6" w:rsidP="0070053C">
      <w:pPr>
        <w:pStyle w:val="Heading3"/>
        <w:spacing w:before="0" w:after="0"/>
        <w:rPr>
          <w:rFonts w:ascii="Calibri" w:hAnsi="Calibri" w:cs="Calibri"/>
          <w:sz w:val="22"/>
          <w:szCs w:val="22"/>
        </w:rPr>
      </w:pPr>
    </w:p>
    <w:p w14:paraId="2E09442B" w14:textId="77777777" w:rsidR="0070053C" w:rsidRPr="0027147F" w:rsidRDefault="0070053C" w:rsidP="0070053C">
      <w:pPr>
        <w:pStyle w:val="Heading3"/>
        <w:spacing w:before="0" w:after="0"/>
        <w:rPr>
          <w:rFonts w:ascii="Calibri" w:hAnsi="Calibri" w:cs="Calibri"/>
          <w:color w:val="000000"/>
          <w:sz w:val="22"/>
          <w:szCs w:val="22"/>
        </w:rPr>
      </w:pPr>
      <w:r w:rsidRPr="0027147F">
        <w:rPr>
          <w:rFonts w:ascii="Calibri" w:hAnsi="Calibri" w:cs="Calibri"/>
          <w:sz w:val="22"/>
          <w:szCs w:val="22"/>
        </w:rPr>
        <w:t xml:space="preserve">As </w:t>
      </w:r>
      <w:r w:rsidR="00762DA5" w:rsidRPr="0027147F">
        <w:rPr>
          <w:rFonts w:ascii="Calibri" w:hAnsi="Calibri" w:cs="Calibri"/>
          <w:sz w:val="22"/>
          <w:szCs w:val="22"/>
        </w:rPr>
        <w:t>this is a contribution in a major reference work</w:t>
      </w:r>
      <w:r w:rsidR="002C00F6">
        <w:rPr>
          <w:rFonts w:ascii="Calibri" w:hAnsi="Calibri" w:cs="Calibri"/>
          <w:sz w:val="22"/>
          <w:szCs w:val="22"/>
        </w:rPr>
        <w:t xml:space="preserve"> targeting readers across many levels, av</w:t>
      </w:r>
      <w:r w:rsidR="00762DA5" w:rsidRPr="0027147F">
        <w:rPr>
          <w:rFonts w:ascii="Calibri" w:hAnsi="Calibri" w:cs="Calibri"/>
          <w:sz w:val="22"/>
          <w:szCs w:val="22"/>
        </w:rPr>
        <w:t>oid first-person usage</w:t>
      </w:r>
      <w:r w:rsidR="002C00F6">
        <w:rPr>
          <w:rFonts w:ascii="Calibri" w:hAnsi="Calibri" w:cs="Calibri"/>
          <w:sz w:val="22"/>
          <w:szCs w:val="22"/>
        </w:rPr>
        <w:t xml:space="preserve">, </w:t>
      </w:r>
      <w:r w:rsidR="002C00F6" w:rsidRPr="0027147F">
        <w:rPr>
          <w:rFonts w:ascii="Calibri" w:hAnsi="Calibri" w:cs="Calibri"/>
          <w:color w:val="000000"/>
          <w:sz w:val="22"/>
          <w:szCs w:val="22"/>
        </w:rPr>
        <w:t>footnotes</w:t>
      </w:r>
      <w:r w:rsidR="002C00F6">
        <w:rPr>
          <w:rFonts w:ascii="Calibri" w:hAnsi="Calibri" w:cs="Calibri"/>
          <w:color w:val="000000"/>
          <w:sz w:val="22"/>
          <w:szCs w:val="22"/>
        </w:rPr>
        <w:t>,</w:t>
      </w:r>
      <w:r w:rsidR="002C00F6" w:rsidRPr="0027147F">
        <w:rPr>
          <w:rFonts w:ascii="Calibri" w:hAnsi="Calibri" w:cs="Calibri"/>
          <w:color w:val="000000"/>
          <w:sz w:val="22"/>
          <w:szCs w:val="22"/>
        </w:rPr>
        <w:t xml:space="preserve"> and endnotes</w:t>
      </w:r>
      <w:r w:rsidR="002C00F6">
        <w:rPr>
          <w:rFonts w:ascii="Calibri" w:hAnsi="Calibri" w:cs="Calibri"/>
          <w:color w:val="000000"/>
          <w:sz w:val="22"/>
          <w:szCs w:val="22"/>
        </w:rPr>
        <w:t xml:space="preserve">, and </w:t>
      </w:r>
      <w:r w:rsidR="002C00F6">
        <w:rPr>
          <w:rFonts w:ascii="Calibri" w:hAnsi="Calibri" w:cs="Calibri"/>
          <w:sz w:val="22"/>
          <w:szCs w:val="22"/>
        </w:rPr>
        <w:t>d</w:t>
      </w:r>
      <w:r w:rsidR="003B12AD" w:rsidRPr="0027147F">
        <w:rPr>
          <w:rFonts w:ascii="Calibri" w:hAnsi="Calibri" w:cs="Calibri"/>
          <w:sz w:val="22"/>
          <w:szCs w:val="22"/>
        </w:rPr>
        <w:t>efine</w:t>
      </w:r>
      <w:r w:rsidRPr="0027147F">
        <w:rPr>
          <w:rFonts w:ascii="Calibri" w:hAnsi="Calibri" w:cs="Calibri"/>
          <w:color w:val="000000"/>
          <w:sz w:val="22"/>
          <w:szCs w:val="22"/>
        </w:rPr>
        <w:t xml:space="preserve"> all acronyms and abbreviations </w:t>
      </w:r>
      <w:r w:rsidR="002C00F6">
        <w:rPr>
          <w:rFonts w:ascii="Calibri" w:hAnsi="Calibri" w:cs="Calibri"/>
          <w:color w:val="000000"/>
          <w:sz w:val="22"/>
          <w:szCs w:val="22"/>
        </w:rPr>
        <w:t xml:space="preserve">at first use. </w:t>
      </w:r>
      <w:r w:rsidR="00762DA5" w:rsidRPr="0027147F">
        <w:rPr>
          <w:rFonts w:ascii="Calibri" w:hAnsi="Calibri" w:cs="Calibri"/>
          <w:color w:val="000000"/>
          <w:sz w:val="22"/>
          <w:szCs w:val="22"/>
        </w:rPr>
        <w:t xml:space="preserve">Acknowledgements are permitted if grant- or funding-related; </w:t>
      </w:r>
      <w:r w:rsidR="002C00F6">
        <w:rPr>
          <w:rFonts w:ascii="Calibri" w:hAnsi="Calibri" w:cs="Calibri"/>
          <w:color w:val="000000"/>
          <w:sz w:val="22"/>
          <w:szCs w:val="22"/>
        </w:rPr>
        <w:t xml:space="preserve">exclude </w:t>
      </w:r>
      <w:r w:rsidR="00762DA5" w:rsidRPr="0027147F">
        <w:rPr>
          <w:rFonts w:ascii="Calibri" w:hAnsi="Calibri" w:cs="Calibri"/>
          <w:color w:val="000000"/>
          <w:sz w:val="22"/>
          <w:szCs w:val="22"/>
        </w:rPr>
        <w:t xml:space="preserve">general thank-yous. Credits for reusing copyrighted materials should be included in the respective figure/table caption. </w:t>
      </w:r>
      <w:r w:rsidR="00C93124" w:rsidRPr="0027147F">
        <w:rPr>
          <w:rFonts w:ascii="Calibri" w:hAnsi="Calibri" w:cs="Calibri"/>
          <w:color w:val="000000"/>
          <w:sz w:val="22"/>
          <w:szCs w:val="22"/>
        </w:rPr>
        <w:t xml:space="preserve">For further details, </w:t>
      </w:r>
      <w:r w:rsidR="002C00F6">
        <w:rPr>
          <w:rFonts w:ascii="Calibri" w:hAnsi="Calibri" w:cs="Calibri"/>
          <w:color w:val="000000"/>
          <w:sz w:val="22"/>
          <w:szCs w:val="22"/>
        </w:rPr>
        <w:t>refer to your author guidelines and project website (on Meteor).</w:t>
      </w:r>
    </w:p>
    <w:p w14:paraId="3488F2F3" w14:textId="77777777" w:rsidR="0070053C" w:rsidRPr="00561425" w:rsidRDefault="0070053C" w:rsidP="00512BF5">
      <w:pPr>
        <w:pStyle w:val="Heading3"/>
        <w:spacing w:before="0" w:after="0"/>
        <w:rPr>
          <w:rFonts w:ascii="Calibri" w:hAnsi="Calibri" w:cs="Calibri"/>
          <w:color w:val="000000"/>
          <w:sz w:val="8"/>
          <w:szCs w:val="8"/>
        </w:rPr>
      </w:pPr>
    </w:p>
    <w:p w14:paraId="04DD1924" w14:textId="77777777" w:rsidR="00512BF5" w:rsidRPr="00512BF5" w:rsidRDefault="00512BF5" w:rsidP="00512BF5"/>
    <w:p w14:paraId="311A2AC8" w14:textId="77777777" w:rsidR="0070053C" w:rsidRPr="00231DAC" w:rsidRDefault="006F0B7A" w:rsidP="00D93ACB">
      <w:pPr>
        <w:pBdr>
          <w:top w:val="single" w:sz="4" w:space="1" w:color="auto"/>
          <w:left w:val="single" w:sz="4" w:space="4" w:color="auto"/>
          <w:bottom w:val="single" w:sz="4" w:space="1" w:color="auto"/>
          <w:right w:val="single" w:sz="4" w:space="4" w:color="auto"/>
        </w:pBdr>
        <w:shd w:val="clear" w:color="auto" w:fill="92CDDC"/>
        <w:rPr>
          <w:rFonts w:ascii="Arial" w:hAnsi="Arial"/>
          <w:b/>
        </w:rPr>
      </w:pPr>
      <w:r>
        <w:rPr>
          <w:rFonts w:ascii="Arial" w:hAnsi="Arial" w:cs="Arial"/>
          <w:b/>
        </w:rPr>
        <w:t xml:space="preserve">The Challenge of Student Mental Wellbeing: </w:t>
      </w:r>
      <w:r w:rsidR="00D93ACB">
        <w:rPr>
          <w:rFonts w:ascii="Arial" w:hAnsi="Arial" w:cs="Arial"/>
          <w:b/>
        </w:rPr>
        <w:t>Reco</w:t>
      </w:r>
      <w:r w:rsidR="00097902">
        <w:rPr>
          <w:rFonts w:ascii="Arial" w:hAnsi="Arial" w:cs="Arial"/>
          <w:b/>
        </w:rPr>
        <w:t>nnecting Students Services w</w:t>
      </w:r>
      <w:r w:rsidR="00D93ACB">
        <w:rPr>
          <w:rFonts w:ascii="Arial" w:hAnsi="Arial" w:cs="Arial"/>
          <w:b/>
        </w:rPr>
        <w:t>ith the Academic Universe</w:t>
      </w:r>
      <w:r w:rsidR="00512BF5">
        <w:t xml:space="preserve"> </w:t>
      </w:r>
    </w:p>
    <w:p w14:paraId="53E8170B" w14:textId="77777777" w:rsidR="002A120E" w:rsidRPr="00A253B6" w:rsidRDefault="002A120E" w:rsidP="002A120E">
      <w:pPr>
        <w:jc w:val="center"/>
        <w:rPr>
          <w:rFonts w:ascii="Arial" w:hAnsi="Arial" w:cs="Arial"/>
          <w:b/>
        </w:rPr>
      </w:pPr>
    </w:p>
    <w:p w14:paraId="09C8D96A" w14:textId="77777777" w:rsidR="00231DAC" w:rsidRPr="00231DAC" w:rsidRDefault="00231DAC" w:rsidP="00512BF5">
      <w:pPr>
        <w:rPr>
          <w:rFonts w:ascii="Calibri" w:hAnsi="Calibri" w:cs="Calibri"/>
          <w:b/>
          <w:sz w:val="22"/>
          <w:szCs w:val="22"/>
        </w:rPr>
      </w:pPr>
    </w:p>
    <w:p w14:paraId="794977DE" w14:textId="77777777" w:rsidR="00512BF5" w:rsidRPr="00512BF5" w:rsidRDefault="00762DA5" w:rsidP="00512BF5">
      <w:pPr>
        <w:pBdr>
          <w:top w:val="single" w:sz="4" w:space="1" w:color="auto"/>
          <w:left w:val="single" w:sz="4" w:space="4" w:color="auto"/>
          <w:bottom w:val="single" w:sz="4" w:space="1" w:color="auto"/>
          <w:right w:val="single" w:sz="4" w:space="4" w:color="auto"/>
        </w:pBdr>
        <w:shd w:val="clear" w:color="auto" w:fill="92CDDC"/>
        <w:rPr>
          <w:rFonts w:ascii="Cambria" w:hAnsi="Cambria"/>
        </w:rPr>
      </w:pPr>
      <w:r>
        <w:rPr>
          <w:rFonts w:ascii="Cambria" w:hAnsi="Cambria"/>
          <w:b/>
          <w:sz w:val="30"/>
          <w:szCs w:val="30"/>
        </w:rPr>
        <w:t>All Author Details</w:t>
      </w:r>
    </w:p>
    <w:p w14:paraId="128880FA" w14:textId="77777777" w:rsidR="00512BF5" w:rsidRPr="00096455" w:rsidRDefault="00512BF5" w:rsidP="00512BF5">
      <w:pPr>
        <w:pStyle w:val="Heading3"/>
        <w:spacing w:before="0" w:after="0"/>
        <w:rPr>
          <w:rFonts w:ascii="Calibri" w:hAnsi="Calibri" w:cs="Calibri"/>
          <w:sz w:val="8"/>
          <w:szCs w:val="8"/>
        </w:rPr>
      </w:pPr>
    </w:p>
    <w:p w14:paraId="44E1C163" w14:textId="77777777" w:rsidR="0019061F" w:rsidRPr="00512BF5" w:rsidRDefault="0019061F" w:rsidP="0019061F">
      <w:pPr>
        <w:pStyle w:val="Heading3"/>
        <w:spacing w:before="0" w:after="0"/>
        <w:rPr>
          <w:rFonts w:ascii="Calibri" w:hAnsi="Calibri" w:cs="Calibri"/>
          <w:sz w:val="22"/>
          <w:szCs w:val="22"/>
        </w:rPr>
      </w:pPr>
      <w:r>
        <w:rPr>
          <w:rFonts w:ascii="Calibri" w:hAnsi="Calibri" w:cs="Calibri"/>
          <w:sz w:val="22"/>
          <w:szCs w:val="22"/>
        </w:rPr>
        <w:t>Gareth HUGHES*</w:t>
      </w:r>
    </w:p>
    <w:p w14:paraId="23C4CADC" w14:textId="77777777" w:rsidR="0019061F" w:rsidRPr="00512BF5" w:rsidRDefault="0019061F" w:rsidP="0019061F">
      <w:pPr>
        <w:pStyle w:val="Heading3"/>
        <w:spacing w:before="0" w:after="0"/>
        <w:rPr>
          <w:rFonts w:ascii="Calibri" w:hAnsi="Calibri" w:cs="Calibri"/>
          <w:sz w:val="22"/>
          <w:szCs w:val="22"/>
        </w:rPr>
      </w:pPr>
      <w:r>
        <w:rPr>
          <w:rFonts w:ascii="Calibri" w:hAnsi="Calibri" w:cs="Calibri"/>
          <w:sz w:val="22"/>
          <w:szCs w:val="22"/>
        </w:rPr>
        <w:t>Student Services - University of Derby</w:t>
      </w:r>
      <w:r w:rsidRPr="00512BF5">
        <w:rPr>
          <w:rFonts w:ascii="Calibri" w:hAnsi="Calibri" w:cs="Calibri"/>
          <w:sz w:val="22"/>
          <w:szCs w:val="22"/>
        </w:rPr>
        <w:t>:</w:t>
      </w:r>
    </w:p>
    <w:p w14:paraId="4FA70FDF" w14:textId="77777777" w:rsidR="0019061F" w:rsidRDefault="0019061F" w:rsidP="0019061F">
      <w:pPr>
        <w:pStyle w:val="Heading3"/>
        <w:spacing w:before="0" w:after="0"/>
        <w:rPr>
          <w:rFonts w:ascii="Calibri" w:hAnsi="Calibri" w:cs="Calibri"/>
          <w:sz w:val="22"/>
          <w:szCs w:val="22"/>
        </w:rPr>
      </w:pPr>
      <w:r>
        <w:rPr>
          <w:rFonts w:ascii="Calibri" w:hAnsi="Calibri" w:cs="Calibri"/>
          <w:sz w:val="22"/>
          <w:szCs w:val="22"/>
        </w:rPr>
        <w:t>g.hughes@derby.ac.uk</w:t>
      </w:r>
    </w:p>
    <w:p w14:paraId="5718AF75" w14:textId="77777777" w:rsidR="0019061F" w:rsidRDefault="0019061F" w:rsidP="0019061F">
      <w:pPr>
        <w:pStyle w:val="Heading3"/>
        <w:spacing w:before="0" w:after="0"/>
        <w:rPr>
          <w:rFonts w:ascii="Calibri" w:hAnsi="Calibri" w:cs="Calibri"/>
          <w:sz w:val="22"/>
          <w:szCs w:val="22"/>
        </w:rPr>
      </w:pPr>
    </w:p>
    <w:p w14:paraId="19C8BE14" w14:textId="7633FBC5" w:rsidR="00512BF5" w:rsidRDefault="0019061F" w:rsidP="00512BF5">
      <w:pPr>
        <w:pStyle w:val="Heading3"/>
        <w:spacing w:before="0" w:after="0"/>
        <w:rPr>
          <w:rFonts w:ascii="Calibri" w:hAnsi="Calibri" w:cs="Calibri"/>
          <w:sz w:val="22"/>
          <w:szCs w:val="22"/>
        </w:rPr>
      </w:pPr>
      <w:r>
        <w:rPr>
          <w:rFonts w:ascii="Calibri" w:hAnsi="Calibri" w:cs="Calibri"/>
          <w:sz w:val="22"/>
          <w:szCs w:val="22"/>
        </w:rPr>
        <w:t>*Mark corresponding author (who receives all project-related communication and chapter proof)</w:t>
      </w:r>
      <w:r w:rsidR="00512BF5">
        <w:rPr>
          <w:rFonts w:ascii="Calibri" w:hAnsi="Calibri" w:cs="Calibri"/>
          <w:sz w:val="22"/>
          <w:szCs w:val="22"/>
        </w:rPr>
        <w:br/>
      </w:r>
    </w:p>
    <w:p w14:paraId="4530D524" w14:textId="77777777" w:rsidR="00512BF5" w:rsidRPr="00512BF5" w:rsidRDefault="003B12AD" w:rsidP="00512BF5">
      <w:pPr>
        <w:pBdr>
          <w:top w:val="single" w:sz="4" w:space="1" w:color="auto"/>
          <w:left w:val="single" w:sz="4" w:space="4" w:color="auto"/>
          <w:bottom w:val="single" w:sz="4" w:space="1" w:color="auto"/>
          <w:right w:val="single" w:sz="4" w:space="4" w:color="auto"/>
        </w:pBdr>
        <w:shd w:val="clear" w:color="auto" w:fill="92CDDC"/>
        <w:rPr>
          <w:rFonts w:ascii="Cambria" w:hAnsi="Cambria"/>
        </w:rPr>
      </w:pPr>
      <w:r>
        <w:rPr>
          <w:rFonts w:ascii="Cambria" w:hAnsi="Cambria"/>
          <w:b/>
          <w:sz w:val="30"/>
          <w:szCs w:val="30"/>
        </w:rPr>
        <w:t>Abstract</w:t>
      </w:r>
      <w:r>
        <w:t xml:space="preserve"> </w:t>
      </w:r>
    </w:p>
    <w:p w14:paraId="7D6D91AD" w14:textId="637320A8" w:rsidR="00097902" w:rsidRDefault="009D6967" w:rsidP="00097902">
      <w:pPr>
        <w:spacing w:after="160" w:line="259" w:lineRule="auto"/>
        <w:ind w:right="-357"/>
        <w:rPr>
          <w:rFonts w:ascii="Arial" w:hAnsi="Arial" w:cs="Arial"/>
        </w:rPr>
      </w:pPr>
      <w:r>
        <w:rPr>
          <w:rFonts w:ascii="Arial" w:hAnsi="Arial" w:cs="Arial"/>
        </w:rPr>
        <w:t xml:space="preserve">Current dialogues in the </w:t>
      </w:r>
      <w:r w:rsidR="0041007E">
        <w:rPr>
          <w:rFonts w:ascii="Arial" w:hAnsi="Arial" w:cs="Arial"/>
        </w:rPr>
        <w:t xml:space="preserve">Higher Education </w:t>
      </w:r>
      <w:r>
        <w:rPr>
          <w:rFonts w:ascii="Arial" w:hAnsi="Arial" w:cs="Arial"/>
        </w:rPr>
        <w:t xml:space="preserve">sector, highlight a range of tensions and uncertainties about university responses to student mental health, that potentially contribute to a lack of clarity about the role of Student Services and </w:t>
      </w:r>
      <w:r w:rsidR="00676235">
        <w:rPr>
          <w:rFonts w:ascii="Arial" w:hAnsi="Arial" w:cs="Arial"/>
        </w:rPr>
        <w:t>institutions</w:t>
      </w:r>
      <w:r>
        <w:rPr>
          <w:rFonts w:ascii="Arial" w:hAnsi="Arial" w:cs="Arial"/>
        </w:rPr>
        <w:t xml:space="preserve">. </w:t>
      </w:r>
      <w:r w:rsidR="00097902">
        <w:rPr>
          <w:rFonts w:ascii="Arial" w:hAnsi="Arial" w:cs="Arial"/>
        </w:rPr>
        <w:t>These dialogues suggest that there is a need for theory which can seek to answer four central questions</w:t>
      </w:r>
    </w:p>
    <w:p w14:paraId="6F7AA49D" w14:textId="77777777" w:rsidR="00097902" w:rsidRPr="0023724C" w:rsidRDefault="00097902" w:rsidP="00097902">
      <w:pPr>
        <w:pStyle w:val="ListParagraph"/>
        <w:numPr>
          <w:ilvl w:val="0"/>
          <w:numId w:val="11"/>
        </w:numPr>
        <w:ind w:right="-357"/>
        <w:rPr>
          <w:rFonts w:ascii="Arial" w:hAnsi="Arial" w:cs="Arial"/>
          <w:sz w:val="24"/>
          <w:szCs w:val="24"/>
        </w:rPr>
      </w:pPr>
      <w:r w:rsidRPr="0023724C">
        <w:rPr>
          <w:rFonts w:ascii="Arial" w:hAnsi="Arial" w:cs="Arial"/>
          <w:sz w:val="24"/>
          <w:szCs w:val="24"/>
        </w:rPr>
        <w:t xml:space="preserve">What role should universities </w:t>
      </w:r>
      <w:r>
        <w:rPr>
          <w:rFonts w:ascii="Arial" w:hAnsi="Arial" w:cs="Arial"/>
          <w:sz w:val="24"/>
          <w:szCs w:val="24"/>
        </w:rPr>
        <w:t xml:space="preserve">and </w:t>
      </w:r>
      <w:r w:rsidRPr="0023724C">
        <w:rPr>
          <w:rFonts w:ascii="Arial" w:hAnsi="Arial" w:cs="Arial"/>
          <w:sz w:val="24"/>
          <w:szCs w:val="24"/>
        </w:rPr>
        <w:t xml:space="preserve">Student Services play in </w:t>
      </w:r>
      <w:r>
        <w:rPr>
          <w:rFonts w:ascii="Arial" w:hAnsi="Arial" w:cs="Arial"/>
          <w:sz w:val="24"/>
          <w:szCs w:val="24"/>
        </w:rPr>
        <w:t>relation to student</w:t>
      </w:r>
      <w:r w:rsidRPr="0023724C">
        <w:rPr>
          <w:rFonts w:ascii="Arial" w:hAnsi="Arial" w:cs="Arial"/>
          <w:sz w:val="24"/>
          <w:szCs w:val="24"/>
        </w:rPr>
        <w:t xml:space="preserve"> mental health</w:t>
      </w:r>
      <w:r>
        <w:rPr>
          <w:rFonts w:ascii="Arial" w:hAnsi="Arial" w:cs="Arial"/>
          <w:sz w:val="24"/>
          <w:szCs w:val="24"/>
        </w:rPr>
        <w:t xml:space="preserve"> and wellbeing</w:t>
      </w:r>
      <w:r w:rsidRPr="0023724C">
        <w:rPr>
          <w:rFonts w:ascii="Arial" w:hAnsi="Arial" w:cs="Arial"/>
          <w:sz w:val="24"/>
          <w:szCs w:val="24"/>
        </w:rPr>
        <w:t xml:space="preserve">? </w:t>
      </w:r>
    </w:p>
    <w:p w14:paraId="4F0A0429" w14:textId="77777777" w:rsidR="00097902" w:rsidRPr="00797D7E" w:rsidRDefault="00097902" w:rsidP="00097902">
      <w:pPr>
        <w:pStyle w:val="ListParagraph"/>
        <w:numPr>
          <w:ilvl w:val="0"/>
          <w:numId w:val="11"/>
        </w:numPr>
        <w:ind w:right="-357"/>
        <w:rPr>
          <w:rFonts w:ascii="Arial" w:hAnsi="Arial" w:cs="Arial"/>
          <w:sz w:val="24"/>
          <w:szCs w:val="24"/>
        </w:rPr>
      </w:pPr>
      <w:r>
        <w:rPr>
          <w:rFonts w:ascii="Arial" w:hAnsi="Arial" w:cs="Arial"/>
          <w:sz w:val="24"/>
          <w:szCs w:val="24"/>
        </w:rPr>
        <w:t>W</w:t>
      </w:r>
      <w:r w:rsidRPr="00797D7E">
        <w:rPr>
          <w:rFonts w:ascii="Arial" w:hAnsi="Arial" w:cs="Arial"/>
          <w:sz w:val="24"/>
          <w:szCs w:val="24"/>
        </w:rPr>
        <w:t>hat balance of proactive and reactive responses s</w:t>
      </w:r>
      <w:r>
        <w:rPr>
          <w:rFonts w:ascii="Arial" w:hAnsi="Arial" w:cs="Arial"/>
          <w:sz w:val="24"/>
          <w:szCs w:val="24"/>
        </w:rPr>
        <w:t xml:space="preserve">hould </w:t>
      </w:r>
      <w:r w:rsidRPr="00797D7E">
        <w:rPr>
          <w:rFonts w:ascii="Arial" w:hAnsi="Arial" w:cs="Arial"/>
          <w:sz w:val="24"/>
          <w:szCs w:val="24"/>
        </w:rPr>
        <w:t xml:space="preserve">universities </w:t>
      </w:r>
      <w:r>
        <w:rPr>
          <w:rFonts w:ascii="Arial" w:hAnsi="Arial" w:cs="Arial"/>
          <w:sz w:val="24"/>
          <w:szCs w:val="24"/>
        </w:rPr>
        <w:t>adopt?</w:t>
      </w:r>
    </w:p>
    <w:p w14:paraId="4E4E6CBD" w14:textId="77777777" w:rsidR="00097902" w:rsidRDefault="00097902" w:rsidP="00097902">
      <w:pPr>
        <w:pStyle w:val="ListParagraph"/>
        <w:numPr>
          <w:ilvl w:val="0"/>
          <w:numId w:val="11"/>
        </w:numPr>
        <w:ind w:right="-357"/>
        <w:rPr>
          <w:rFonts w:ascii="Arial" w:hAnsi="Arial" w:cs="Arial"/>
          <w:sz w:val="24"/>
          <w:szCs w:val="24"/>
        </w:rPr>
      </w:pPr>
      <w:r>
        <w:rPr>
          <w:rFonts w:ascii="Arial" w:hAnsi="Arial" w:cs="Arial"/>
          <w:sz w:val="24"/>
          <w:szCs w:val="24"/>
        </w:rPr>
        <w:t>If institutions are to adopt a</w:t>
      </w:r>
      <w:r w:rsidRPr="00797D7E">
        <w:rPr>
          <w:rFonts w:ascii="Arial" w:hAnsi="Arial" w:cs="Arial"/>
          <w:sz w:val="24"/>
          <w:szCs w:val="24"/>
        </w:rPr>
        <w:t xml:space="preserve"> ‘whole university approach,’ </w:t>
      </w:r>
      <w:r>
        <w:rPr>
          <w:rFonts w:ascii="Arial" w:hAnsi="Arial" w:cs="Arial"/>
          <w:sz w:val="24"/>
          <w:szCs w:val="24"/>
        </w:rPr>
        <w:t>what should the role of Student Services be within this approach?</w:t>
      </w:r>
      <w:r w:rsidRPr="00A37499">
        <w:rPr>
          <w:rFonts w:ascii="Arial" w:hAnsi="Arial" w:cs="Arial"/>
          <w:sz w:val="24"/>
          <w:szCs w:val="24"/>
        </w:rPr>
        <w:t xml:space="preserve"> </w:t>
      </w:r>
    </w:p>
    <w:p w14:paraId="31AE7251" w14:textId="77777777" w:rsidR="00097902" w:rsidRPr="00A37499" w:rsidRDefault="00097902" w:rsidP="00097902">
      <w:pPr>
        <w:pStyle w:val="ListParagraph"/>
        <w:numPr>
          <w:ilvl w:val="0"/>
          <w:numId w:val="11"/>
        </w:numPr>
        <w:ind w:right="-357"/>
        <w:rPr>
          <w:rFonts w:ascii="Arial" w:hAnsi="Arial" w:cs="Arial"/>
          <w:sz w:val="24"/>
          <w:szCs w:val="24"/>
        </w:rPr>
      </w:pPr>
      <w:r w:rsidRPr="00A37499">
        <w:rPr>
          <w:rFonts w:ascii="Arial" w:hAnsi="Arial" w:cs="Arial"/>
          <w:sz w:val="24"/>
          <w:szCs w:val="24"/>
        </w:rPr>
        <w:t xml:space="preserve">How closely positioned should Student Services be to core university missions and the academic universe? </w:t>
      </w:r>
    </w:p>
    <w:p w14:paraId="0C64573C" w14:textId="77777777" w:rsidR="001A1227" w:rsidRPr="00270568" w:rsidRDefault="009D6967" w:rsidP="00512BF5">
      <w:pPr>
        <w:ind w:right="-360"/>
        <w:rPr>
          <w:rFonts w:ascii="Arial" w:hAnsi="Arial" w:cs="Arial"/>
        </w:rPr>
      </w:pPr>
      <w:r w:rsidRPr="009D6967">
        <w:rPr>
          <w:rFonts w:ascii="Arial" w:hAnsi="Arial" w:cs="Arial"/>
        </w:rPr>
        <w:t xml:space="preserve">This chapter </w:t>
      </w:r>
      <w:r>
        <w:rPr>
          <w:rFonts w:ascii="Arial" w:hAnsi="Arial" w:cs="Arial"/>
        </w:rPr>
        <w:t xml:space="preserve">explores these issues and </w:t>
      </w:r>
      <w:r w:rsidRPr="009D6967">
        <w:rPr>
          <w:rFonts w:ascii="Arial" w:hAnsi="Arial" w:cs="Arial"/>
        </w:rPr>
        <w:t>propose</w:t>
      </w:r>
      <w:r>
        <w:rPr>
          <w:rFonts w:ascii="Arial" w:hAnsi="Arial" w:cs="Arial"/>
        </w:rPr>
        <w:t>s</w:t>
      </w:r>
      <w:r w:rsidRPr="009D6967">
        <w:rPr>
          <w:rFonts w:ascii="Arial" w:hAnsi="Arial" w:cs="Arial"/>
        </w:rPr>
        <w:t xml:space="preserve"> a conceptual model for Student Services’ responses to wellbeing and learning, arguing for the adoption of a research, practice and teaching model to ensure better collaboration between academic and professional staff and closer integration of wellbeing and learning.</w:t>
      </w:r>
      <w:r>
        <w:rPr>
          <w:rFonts w:ascii="Arial" w:hAnsi="Arial" w:cs="Arial"/>
        </w:rPr>
        <w:t xml:space="preserve"> </w:t>
      </w:r>
      <w:r w:rsidRPr="009D6967">
        <w:rPr>
          <w:rFonts w:ascii="Arial" w:hAnsi="Arial" w:cs="Arial"/>
        </w:rPr>
        <w:t>Using practical examples</w:t>
      </w:r>
      <w:r w:rsidR="00676235">
        <w:rPr>
          <w:rFonts w:ascii="Arial" w:hAnsi="Arial" w:cs="Arial"/>
        </w:rPr>
        <w:t xml:space="preserve"> and clinical evidence, it </w:t>
      </w:r>
      <w:r w:rsidRPr="009D6967">
        <w:rPr>
          <w:rFonts w:ascii="Arial" w:hAnsi="Arial" w:cs="Arial"/>
        </w:rPr>
        <w:t>argue</w:t>
      </w:r>
      <w:r w:rsidR="00676235">
        <w:rPr>
          <w:rFonts w:ascii="Arial" w:hAnsi="Arial" w:cs="Arial"/>
        </w:rPr>
        <w:t>s</w:t>
      </w:r>
      <w:r w:rsidRPr="009D6967">
        <w:rPr>
          <w:rFonts w:ascii="Arial" w:hAnsi="Arial" w:cs="Arial"/>
        </w:rPr>
        <w:t xml:space="preserve"> that wellbeing services should be based on developmental rather than deficiency based models of practice and that wellbeing interventions should include support for academic learning.</w:t>
      </w:r>
    </w:p>
    <w:p w14:paraId="0073490E" w14:textId="77777777" w:rsidR="005E00B3" w:rsidRPr="00512BF5" w:rsidRDefault="005E00B3" w:rsidP="005E00B3">
      <w:pPr>
        <w:ind w:right="-360"/>
        <w:rPr>
          <w:rFonts w:ascii="Calibri" w:hAnsi="Calibri" w:cs="Calibri"/>
          <w:sz w:val="22"/>
          <w:szCs w:val="22"/>
        </w:rPr>
      </w:pPr>
    </w:p>
    <w:p w14:paraId="61C650A9" w14:textId="77777777" w:rsidR="005E00B3" w:rsidRPr="00512BF5" w:rsidRDefault="005E00B3" w:rsidP="005E00B3">
      <w:pPr>
        <w:pStyle w:val="Heading2"/>
        <w:pBdr>
          <w:top w:val="single" w:sz="4" w:space="1" w:color="auto"/>
          <w:left w:val="single" w:sz="4" w:space="4" w:color="auto"/>
          <w:bottom w:val="single" w:sz="4" w:space="1" w:color="auto"/>
          <w:right w:val="single" w:sz="4" w:space="4" w:color="auto"/>
        </w:pBdr>
        <w:shd w:val="clear" w:color="auto" w:fill="92CDDC"/>
        <w:spacing w:before="0" w:after="0"/>
        <w:rPr>
          <w:rFonts w:ascii="Cambria" w:hAnsi="Cambria" w:cs="Calibri"/>
          <w:b/>
        </w:rPr>
      </w:pPr>
      <w:r>
        <w:rPr>
          <w:rFonts w:ascii="Cambria" w:hAnsi="Cambria" w:cs="Calibri"/>
          <w:b/>
        </w:rPr>
        <w:t>Keywords</w:t>
      </w:r>
    </w:p>
    <w:p w14:paraId="1011548A" w14:textId="77777777" w:rsidR="005E00B3" w:rsidRPr="003D7713" w:rsidRDefault="005E00B3" w:rsidP="005E00B3">
      <w:pPr>
        <w:ind w:right="-360"/>
        <w:rPr>
          <w:rFonts w:ascii="Calibri" w:hAnsi="Calibri" w:cs="Calibri"/>
          <w:sz w:val="8"/>
          <w:szCs w:val="8"/>
        </w:rPr>
      </w:pPr>
    </w:p>
    <w:p w14:paraId="03E4FBB7" w14:textId="77777777" w:rsidR="005E00B3" w:rsidRDefault="00244BF3" w:rsidP="00512BF5">
      <w:pPr>
        <w:ind w:right="-360"/>
        <w:rPr>
          <w:rFonts w:ascii="Calibri" w:hAnsi="Calibri" w:cs="Calibri"/>
          <w:sz w:val="22"/>
          <w:szCs w:val="22"/>
        </w:rPr>
      </w:pPr>
      <w:r>
        <w:rPr>
          <w:rFonts w:ascii="Calibri" w:hAnsi="Calibri" w:cs="Calibri"/>
          <w:sz w:val="22"/>
          <w:szCs w:val="22"/>
        </w:rPr>
        <w:t xml:space="preserve">Student mental health; </w:t>
      </w:r>
      <w:r w:rsidR="00F13CE2">
        <w:rPr>
          <w:rFonts w:ascii="Calibri" w:hAnsi="Calibri" w:cs="Calibri"/>
          <w:sz w:val="22"/>
          <w:szCs w:val="22"/>
        </w:rPr>
        <w:t xml:space="preserve">Student Services; </w:t>
      </w:r>
      <w:r>
        <w:rPr>
          <w:rFonts w:ascii="Calibri" w:hAnsi="Calibri" w:cs="Calibri"/>
          <w:sz w:val="22"/>
          <w:szCs w:val="22"/>
        </w:rPr>
        <w:t>whole university approach; learning and wellbeing</w:t>
      </w:r>
    </w:p>
    <w:p w14:paraId="02995D32" w14:textId="77777777" w:rsidR="00512BF5" w:rsidRDefault="00512BF5" w:rsidP="00512BF5">
      <w:pPr>
        <w:ind w:right="-360"/>
        <w:rPr>
          <w:rFonts w:ascii="Calibri" w:hAnsi="Calibri" w:cs="Calibri"/>
          <w:sz w:val="22"/>
          <w:szCs w:val="22"/>
        </w:rPr>
      </w:pPr>
    </w:p>
    <w:p w14:paraId="5099061A" w14:textId="77777777" w:rsidR="00097902" w:rsidRDefault="00097902" w:rsidP="00512BF5">
      <w:pPr>
        <w:ind w:right="-360"/>
        <w:rPr>
          <w:rFonts w:ascii="Calibri" w:hAnsi="Calibri" w:cs="Calibri"/>
          <w:sz w:val="22"/>
          <w:szCs w:val="22"/>
        </w:rPr>
      </w:pPr>
    </w:p>
    <w:p w14:paraId="198C0378" w14:textId="77777777" w:rsidR="001A1227" w:rsidRPr="00512BF5" w:rsidRDefault="003B12AD" w:rsidP="00512BF5">
      <w:pPr>
        <w:pStyle w:val="Heading2"/>
        <w:pBdr>
          <w:top w:val="single" w:sz="4" w:space="1" w:color="auto"/>
          <w:left w:val="single" w:sz="4" w:space="4" w:color="auto"/>
          <w:bottom w:val="single" w:sz="4" w:space="1" w:color="auto"/>
          <w:right w:val="single" w:sz="4" w:space="4" w:color="auto"/>
        </w:pBdr>
        <w:shd w:val="clear" w:color="auto" w:fill="92CDDC"/>
        <w:spacing w:before="0" w:after="0"/>
        <w:rPr>
          <w:rFonts w:ascii="Cambria" w:hAnsi="Cambria" w:cs="Calibri"/>
          <w:b/>
        </w:rPr>
      </w:pPr>
      <w:r>
        <w:rPr>
          <w:rFonts w:ascii="Cambria" w:hAnsi="Cambria" w:cs="Calibri"/>
          <w:b/>
        </w:rPr>
        <w:lastRenderedPageBreak/>
        <w:t>Introduction</w:t>
      </w:r>
    </w:p>
    <w:p w14:paraId="2B6DCBEA" w14:textId="77777777" w:rsidR="00512BF5" w:rsidRPr="00096455" w:rsidRDefault="00512BF5" w:rsidP="00512BF5">
      <w:pPr>
        <w:ind w:right="-360"/>
        <w:rPr>
          <w:rFonts w:ascii="Calibri" w:hAnsi="Calibri" w:cs="Calibri"/>
          <w:sz w:val="8"/>
          <w:szCs w:val="8"/>
        </w:rPr>
      </w:pPr>
    </w:p>
    <w:p w14:paraId="2E34A820" w14:textId="7B6D21F3" w:rsidR="00D347F4" w:rsidRPr="00E345EE" w:rsidRDefault="00D347F4" w:rsidP="00E345EE">
      <w:pPr>
        <w:spacing w:after="160" w:line="259" w:lineRule="auto"/>
        <w:ind w:right="-357"/>
        <w:rPr>
          <w:rFonts w:ascii="Arial" w:hAnsi="Arial" w:cs="Arial"/>
        </w:rPr>
      </w:pPr>
      <w:r w:rsidRPr="00E345EE">
        <w:rPr>
          <w:rFonts w:ascii="Arial" w:hAnsi="Arial" w:cs="Arial"/>
        </w:rPr>
        <w:t xml:space="preserve">One of the most significant challenges facing universities and Student Services departments in recent years has been a growing concern about </w:t>
      </w:r>
      <w:r w:rsidRPr="003D23E5">
        <w:rPr>
          <w:rFonts w:ascii="Arial" w:hAnsi="Arial" w:cs="Arial"/>
          <w:color w:val="00B050"/>
        </w:rPr>
        <w:t>the mental health of students</w:t>
      </w:r>
      <w:r w:rsidR="003B6EC2">
        <w:rPr>
          <w:rFonts w:ascii="Arial" w:hAnsi="Arial" w:cs="Arial"/>
        </w:rPr>
        <w:t xml:space="preserve"> (</w:t>
      </w:r>
      <w:r w:rsidR="003B6EC2" w:rsidRPr="003B6EC2">
        <w:rPr>
          <w:rFonts w:ascii="Arial" w:hAnsi="Arial" w:cs="Arial"/>
          <w:noProof/>
        </w:rPr>
        <w:t>Auerbach, Mortier, Bruffaerts et al., 2018</w:t>
      </w:r>
      <w:r w:rsidR="003B6EC2">
        <w:rPr>
          <w:rFonts w:ascii="Arial" w:hAnsi="Arial" w:cs="Arial"/>
          <w:noProof/>
        </w:rPr>
        <w:t>;</w:t>
      </w:r>
      <w:r w:rsidR="003B6EC2" w:rsidRPr="003B6EC2">
        <w:rPr>
          <w:noProof/>
        </w:rPr>
        <w:t xml:space="preserve"> </w:t>
      </w:r>
      <w:r w:rsidR="003B6EC2" w:rsidRPr="003B6EC2">
        <w:rPr>
          <w:rFonts w:ascii="Arial" w:hAnsi="Arial" w:cs="Arial"/>
          <w:noProof/>
        </w:rPr>
        <w:t>Neves &amp; Hillman, 2017</w:t>
      </w:r>
      <w:r w:rsidR="003B6EC2">
        <w:rPr>
          <w:rFonts w:ascii="Arial" w:hAnsi="Arial" w:cs="Arial"/>
          <w:noProof/>
        </w:rPr>
        <w:t>)</w:t>
      </w:r>
      <w:r w:rsidRPr="00E345EE">
        <w:rPr>
          <w:rFonts w:ascii="Arial" w:hAnsi="Arial" w:cs="Arial"/>
        </w:rPr>
        <w:t>. This concern has been echoed across the Westernized nations in the media and the literature</w:t>
      </w:r>
      <w:r w:rsidR="00E345EE">
        <w:rPr>
          <w:rFonts w:ascii="Arial" w:hAnsi="Arial" w:cs="Arial"/>
        </w:rPr>
        <w:t>,</w:t>
      </w:r>
      <w:r w:rsidRPr="00E345EE">
        <w:rPr>
          <w:rFonts w:ascii="Arial" w:hAnsi="Arial" w:cs="Arial"/>
        </w:rPr>
        <w:t xml:space="preserve"> in relation to both undergraduate and post-graduate communities (Stallman, 2010</w:t>
      </w:r>
      <w:r w:rsidR="003B6EC2">
        <w:rPr>
          <w:rFonts w:ascii="Arial" w:hAnsi="Arial" w:cs="Arial"/>
        </w:rPr>
        <w:t>;</w:t>
      </w:r>
      <w:r w:rsidRPr="00E345EE">
        <w:rPr>
          <w:rFonts w:ascii="Arial" w:hAnsi="Arial" w:cs="Arial"/>
        </w:rPr>
        <w:t xml:space="preserve"> </w:t>
      </w:r>
      <w:r w:rsidR="003B6EC2" w:rsidRPr="003B6EC2">
        <w:rPr>
          <w:rFonts w:ascii="Arial" w:hAnsi="Arial" w:cs="Arial"/>
        </w:rPr>
        <w:t>Levecque,</w:t>
      </w:r>
      <w:r w:rsidR="00B30015">
        <w:rPr>
          <w:rFonts w:ascii="Arial" w:hAnsi="Arial" w:cs="Arial"/>
        </w:rPr>
        <w:t xml:space="preserve"> </w:t>
      </w:r>
      <w:r w:rsidR="003B6EC2" w:rsidRPr="003B6EC2">
        <w:rPr>
          <w:rFonts w:ascii="Arial" w:hAnsi="Arial" w:cs="Arial"/>
        </w:rPr>
        <w:t>et al, 2017</w:t>
      </w:r>
      <w:r w:rsidRPr="00E345EE">
        <w:rPr>
          <w:rFonts w:ascii="Arial" w:hAnsi="Arial" w:cs="Arial"/>
        </w:rPr>
        <w:t>). Research indicates that there has been a growth in student need and demand for mental health</w:t>
      </w:r>
      <w:r w:rsidR="003D54A8" w:rsidRPr="00E345EE">
        <w:rPr>
          <w:rFonts w:ascii="Arial" w:hAnsi="Arial" w:cs="Arial"/>
        </w:rPr>
        <w:t xml:space="preserve"> support services</w:t>
      </w:r>
      <w:r w:rsidRPr="00E345EE">
        <w:rPr>
          <w:rFonts w:ascii="Arial" w:hAnsi="Arial" w:cs="Arial"/>
        </w:rPr>
        <w:t>, with an increasing number of students experiencing mental illness</w:t>
      </w:r>
      <w:r w:rsidR="003B6EC2">
        <w:rPr>
          <w:rFonts w:ascii="Arial" w:hAnsi="Arial" w:cs="Arial"/>
        </w:rPr>
        <w:t xml:space="preserve"> (Broglia, Millings &amp; Barkham, 2018)</w:t>
      </w:r>
      <w:r w:rsidRPr="00E345EE">
        <w:rPr>
          <w:rFonts w:ascii="Arial" w:hAnsi="Arial" w:cs="Arial"/>
        </w:rPr>
        <w:t xml:space="preserve">. Some studies and reports even suggest that </w:t>
      </w:r>
      <w:r w:rsidR="008F383F">
        <w:rPr>
          <w:rFonts w:ascii="Arial" w:hAnsi="Arial" w:cs="Arial"/>
        </w:rPr>
        <w:t>most</w:t>
      </w:r>
      <w:r w:rsidRPr="00E345EE">
        <w:rPr>
          <w:rFonts w:ascii="Arial" w:hAnsi="Arial" w:cs="Arial"/>
        </w:rPr>
        <w:t xml:space="preserve"> students </w:t>
      </w:r>
      <w:r w:rsidR="00E345EE">
        <w:rPr>
          <w:rFonts w:ascii="Arial" w:hAnsi="Arial" w:cs="Arial"/>
        </w:rPr>
        <w:t xml:space="preserve">may </w:t>
      </w:r>
      <w:r w:rsidRPr="00E345EE">
        <w:rPr>
          <w:rFonts w:ascii="Arial" w:hAnsi="Arial" w:cs="Arial"/>
        </w:rPr>
        <w:t xml:space="preserve">experience levels of distress above clinical thresholds </w:t>
      </w:r>
      <w:r w:rsidR="003B6EC2">
        <w:rPr>
          <w:rFonts w:ascii="Arial" w:hAnsi="Arial" w:cs="Arial"/>
        </w:rPr>
        <w:t>(Stallman, 2010)</w:t>
      </w:r>
      <w:r w:rsidRPr="00E345EE">
        <w:rPr>
          <w:rFonts w:ascii="Arial" w:hAnsi="Arial" w:cs="Arial"/>
        </w:rPr>
        <w:t xml:space="preserve">. </w:t>
      </w:r>
    </w:p>
    <w:p w14:paraId="35229E7B" w14:textId="31BB9A24" w:rsidR="00D347F4" w:rsidRPr="00E345EE" w:rsidRDefault="00FF62AB" w:rsidP="00E345EE">
      <w:pPr>
        <w:spacing w:after="160" w:line="259" w:lineRule="auto"/>
        <w:ind w:right="-357"/>
        <w:rPr>
          <w:rFonts w:ascii="Arial" w:hAnsi="Arial" w:cs="Arial"/>
        </w:rPr>
      </w:pPr>
      <w:r w:rsidRPr="00E345EE">
        <w:rPr>
          <w:rFonts w:ascii="Arial" w:hAnsi="Arial" w:cs="Arial"/>
        </w:rPr>
        <w:t xml:space="preserve">Responses to </w:t>
      </w:r>
      <w:r w:rsidR="006F0B7A">
        <w:rPr>
          <w:rFonts w:ascii="Arial" w:hAnsi="Arial" w:cs="Arial"/>
        </w:rPr>
        <w:t>th</w:t>
      </w:r>
      <w:r w:rsidR="004D2288">
        <w:rPr>
          <w:rFonts w:ascii="Arial" w:hAnsi="Arial" w:cs="Arial"/>
        </w:rPr>
        <w:t>is</w:t>
      </w:r>
      <w:r w:rsidR="006F0B7A">
        <w:rPr>
          <w:rFonts w:ascii="Arial" w:hAnsi="Arial" w:cs="Arial"/>
        </w:rPr>
        <w:t xml:space="preserve"> apparent rise in student mental illness</w:t>
      </w:r>
      <w:r w:rsidRPr="00E345EE">
        <w:rPr>
          <w:rFonts w:ascii="Arial" w:hAnsi="Arial" w:cs="Arial"/>
        </w:rPr>
        <w:t xml:space="preserve"> vary across and within nations. </w:t>
      </w:r>
      <w:r w:rsidR="00FA5607" w:rsidRPr="00E345EE">
        <w:rPr>
          <w:rFonts w:ascii="Arial" w:hAnsi="Arial" w:cs="Arial"/>
        </w:rPr>
        <w:t>Some voices have claimed that this contemporary concern with student mental health is part of a rise in</w:t>
      </w:r>
      <w:r w:rsidR="00F2529F">
        <w:rPr>
          <w:rFonts w:ascii="Arial" w:hAnsi="Arial" w:cs="Arial"/>
        </w:rPr>
        <w:t>,</w:t>
      </w:r>
      <w:r w:rsidR="00FA5607" w:rsidRPr="00E345EE">
        <w:rPr>
          <w:rFonts w:ascii="Arial" w:hAnsi="Arial" w:cs="Arial"/>
        </w:rPr>
        <w:t xml:space="preserve"> </w:t>
      </w:r>
      <w:r w:rsidR="0041007E">
        <w:rPr>
          <w:rFonts w:ascii="Arial" w:hAnsi="Arial" w:cs="Arial"/>
        </w:rPr>
        <w:t>“</w:t>
      </w:r>
      <w:r w:rsidR="0041007E" w:rsidRPr="00E345EE">
        <w:rPr>
          <w:rFonts w:ascii="Arial" w:hAnsi="Arial" w:cs="Arial"/>
        </w:rPr>
        <w:t>therapeutic culture</w:t>
      </w:r>
      <w:r w:rsidR="0041007E">
        <w:rPr>
          <w:rFonts w:ascii="Arial" w:hAnsi="Arial" w:cs="Arial"/>
        </w:rPr>
        <w:t>”</w:t>
      </w:r>
      <w:r w:rsidR="0041007E" w:rsidRPr="00E345EE">
        <w:rPr>
          <w:rFonts w:ascii="Arial" w:hAnsi="Arial" w:cs="Arial"/>
        </w:rPr>
        <w:t xml:space="preserve"> </w:t>
      </w:r>
      <w:r w:rsidR="00FA5607" w:rsidRPr="00E345EE">
        <w:rPr>
          <w:rFonts w:ascii="Arial" w:hAnsi="Arial" w:cs="Arial"/>
        </w:rPr>
        <w:t xml:space="preserve">Furedi </w:t>
      </w:r>
      <w:r w:rsidR="00BF5F65">
        <w:rPr>
          <w:rFonts w:ascii="Arial" w:hAnsi="Arial" w:cs="Arial"/>
        </w:rPr>
        <w:t>(2003</w:t>
      </w:r>
      <w:r w:rsidR="0041007E">
        <w:rPr>
          <w:rFonts w:ascii="Arial" w:hAnsi="Arial" w:cs="Arial"/>
        </w:rPr>
        <w:t>).</w:t>
      </w:r>
      <w:r w:rsidR="00FA5607" w:rsidRPr="00E345EE">
        <w:rPr>
          <w:rFonts w:ascii="Arial" w:hAnsi="Arial" w:cs="Arial"/>
        </w:rPr>
        <w:t xml:space="preserve"> These voices claim that a concern with and dialogue about the mental health of students is, in fact, helping to create this problem by persuading students that they are ill</w:t>
      </w:r>
      <w:r w:rsidR="00607A01">
        <w:rPr>
          <w:rFonts w:ascii="Arial" w:hAnsi="Arial" w:cs="Arial"/>
        </w:rPr>
        <w:t>, when they are actually experiencing normal emotions and events</w:t>
      </w:r>
      <w:r w:rsidR="008F383F">
        <w:rPr>
          <w:rFonts w:ascii="Arial" w:hAnsi="Arial" w:cs="Arial"/>
        </w:rPr>
        <w:t xml:space="preserve"> (e.g. Ecclestone &amp; Hayes, 2009)</w:t>
      </w:r>
      <w:r w:rsidR="00FA5607" w:rsidRPr="00E345EE">
        <w:rPr>
          <w:rFonts w:ascii="Arial" w:hAnsi="Arial" w:cs="Arial"/>
        </w:rPr>
        <w:t xml:space="preserve">. </w:t>
      </w:r>
      <w:r w:rsidR="00BF5F65">
        <w:rPr>
          <w:rFonts w:ascii="Arial" w:hAnsi="Arial" w:cs="Arial"/>
        </w:rPr>
        <w:t>There are also objections</w:t>
      </w:r>
      <w:r w:rsidR="00FA5607" w:rsidRPr="00E345EE">
        <w:rPr>
          <w:rFonts w:ascii="Arial" w:hAnsi="Arial" w:cs="Arial"/>
        </w:rPr>
        <w:t xml:space="preserve"> </w:t>
      </w:r>
      <w:r w:rsidR="006F0B7A">
        <w:rPr>
          <w:rFonts w:ascii="Arial" w:hAnsi="Arial" w:cs="Arial"/>
        </w:rPr>
        <w:t xml:space="preserve">that it is not the role of universities to support student mental health, that these are matters that should belong solely to </w:t>
      </w:r>
      <w:r w:rsidR="0033376D">
        <w:rPr>
          <w:rFonts w:ascii="Arial" w:hAnsi="Arial" w:cs="Arial"/>
        </w:rPr>
        <w:t xml:space="preserve">statutory </w:t>
      </w:r>
      <w:r w:rsidR="006F0B7A">
        <w:rPr>
          <w:rFonts w:ascii="Arial" w:hAnsi="Arial" w:cs="Arial"/>
        </w:rPr>
        <w:t>health services</w:t>
      </w:r>
      <w:r w:rsidR="00FA5607" w:rsidRPr="00E345EE">
        <w:rPr>
          <w:rFonts w:ascii="Arial" w:hAnsi="Arial" w:cs="Arial"/>
        </w:rPr>
        <w:t xml:space="preserve"> </w:t>
      </w:r>
      <w:r w:rsidR="006F0B7A">
        <w:rPr>
          <w:rFonts w:ascii="Arial" w:hAnsi="Arial" w:cs="Arial"/>
        </w:rPr>
        <w:t>and that universities are being pushed to take on responsibilities that have never been part of their mission.</w:t>
      </w:r>
    </w:p>
    <w:p w14:paraId="0C2699C5" w14:textId="5E9370FC" w:rsidR="00231DAC" w:rsidRDefault="00FA5607" w:rsidP="00E345EE">
      <w:pPr>
        <w:spacing w:after="160" w:line="259" w:lineRule="auto"/>
        <w:ind w:right="-357"/>
        <w:rPr>
          <w:rFonts w:ascii="Arial" w:hAnsi="Arial" w:cs="Arial"/>
        </w:rPr>
      </w:pPr>
      <w:r w:rsidRPr="00E345EE">
        <w:rPr>
          <w:rFonts w:ascii="Arial" w:hAnsi="Arial" w:cs="Arial"/>
        </w:rPr>
        <w:t xml:space="preserve">However, historical records </w:t>
      </w:r>
      <w:r w:rsidR="006F0B7A">
        <w:rPr>
          <w:rFonts w:ascii="Arial" w:hAnsi="Arial" w:cs="Arial"/>
        </w:rPr>
        <w:t>do not support this view. W</w:t>
      </w:r>
      <w:r w:rsidRPr="00E345EE">
        <w:rPr>
          <w:rFonts w:ascii="Arial" w:hAnsi="Arial" w:cs="Arial"/>
        </w:rPr>
        <w:t xml:space="preserve">hile this current rise is a contemporary </w:t>
      </w:r>
      <w:r w:rsidR="00D1279E">
        <w:rPr>
          <w:rFonts w:ascii="Arial" w:hAnsi="Arial" w:cs="Arial"/>
        </w:rPr>
        <w:t>concern</w:t>
      </w:r>
      <w:r w:rsidRPr="00E345EE">
        <w:rPr>
          <w:rFonts w:ascii="Arial" w:hAnsi="Arial" w:cs="Arial"/>
        </w:rPr>
        <w:t>, student ment</w:t>
      </w:r>
      <w:r w:rsidR="008C3EE4">
        <w:rPr>
          <w:rFonts w:ascii="Arial" w:hAnsi="Arial" w:cs="Arial"/>
        </w:rPr>
        <w:t>al health has long been recognis</w:t>
      </w:r>
      <w:r w:rsidRPr="00E345EE">
        <w:rPr>
          <w:rFonts w:ascii="Arial" w:hAnsi="Arial" w:cs="Arial"/>
        </w:rPr>
        <w:t>ed as an issue that require</w:t>
      </w:r>
      <w:r w:rsidR="006515AA">
        <w:rPr>
          <w:rFonts w:ascii="Arial" w:hAnsi="Arial" w:cs="Arial"/>
        </w:rPr>
        <w:t>s</w:t>
      </w:r>
      <w:r w:rsidRPr="00E345EE">
        <w:rPr>
          <w:rFonts w:ascii="Arial" w:hAnsi="Arial" w:cs="Arial"/>
        </w:rPr>
        <w:t xml:space="preserve"> university attention. </w:t>
      </w:r>
      <w:r w:rsidR="00A55DB8" w:rsidRPr="00E345EE">
        <w:rPr>
          <w:rFonts w:ascii="Arial" w:hAnsi="Arial" w:cs="Arial"/>
        </w:rPr>
        <w:t>A UK report issued in 1945 recommended that every university should provide students with access to a</w:t>
      </w:r>
      <w:r w:rsidR="003D54A8" w:rsidRPr="00E345EE">
        <w:rPr>
          <w:rFonts w:ascii="Arial" w:hAnsi="Arial" w:cs="Arial"/>
        </w:rPr>
        <w:t>n optician, a dentist and a psychiatrist. Student counsell</w:t>
      </w:r>
      <w:r w:rsidR="00A37499">
        <w:rPr>
          <w:rFonts w:ascii="Arial" w:hAnsi="Arial" w:cs="Arial"/>
        </w:rPr>
        <w:t>ing services have existed in</w:t>
      </w:r>
      <w:r w:rsidR="003D54A8" w:rsidRPr="00E345EE">
        <w:rPr>
          <w:rFonts w:ascii="Arial" w:hAnsi="Arial" w:cs="Arial"/>
        </w:rPr>
        <w:t xml:space="preserve"> </w:t>
      </w:r>
      <w:r w:rsidR="00D17D75" w:rsidRPr="00E345EE">
        <w:rPr>
          <w:rFonts w:ascii="Arial" w:hAnsi="Arial" w:cs="Arial"/>
        </w:rPr>
        <w:t>Australia, the US and the UK</w:t>
      </w:r>
      <w:r w:rsidR="003D54A8" w:rsidRPr="00E345EE">
        <w:rPr>
          <w:rFonts w:ascii="Arial" w:hAnsi="Arial" w:cs="Arial"/>
        </w:rPr>
        <w:t xml:space="preserve">, at least, since the mid-1950s </w:t>
      </w:r>
      <w:r w:rsidR="00D17D75" w:rsidRPr="00E345EE">
        <w:rPr>
          <w:rFonts w:ascii="Arial" w:hAnsi="Arial" w:cs="Arial"/>
        </w:rPr>
        <w:t>(</w:t>
      </w:r>
      <w:r w:rsidR="003D54A8" w:rsidRPr="00E345EE">
        <w:rPr>
          <w:rFonts w:ascii="Arial" w:hAnsi="Arial" w:cs="Arial"/>
        </w:rPr>
        <w:t>a</w:t>
      </w:r>
      <w:r w:rsidR="00D17D75" w:rsidRPr="00E345EE">
        <w:rPr>
          <w:rFonts w:ascii="Arial" w:hAnsi="Arial" w:cs="Arial"/>
        </w:rPr>
        <w:t xml:space="preserve">lthough in the UK they appear to have become more common since the 1960s) </w:t>
      </w:r>
      <w:r w:rsidR="003D54A8" w:rsidRPr="00E345EE">
        <w:rPr>
          <w:rFonts w:ascii="Arial" w:hAnsi="Arial" w:cs="Arial"/>
        </w:rPr>
        <w:t>(Walker, 1979)</w:t>
      </w:r>
      <w:r w:rsidR="0041007E">
        <w:rPr>
          <w:rFonts w:ascii="Arial" w:hAnsi="Arial" w:cs="Arial"/>
        </w:rPr>
        <w:t>. They</w:t>
      </w:r>
      <w:r w:rsidR="003D54A8" w:rsidRPr="00E345EE">
        <w:rPr>
          <w:rFonts w:ascii="Arial" w:hAnsi="Arial" w:cs="Arial"/>
        </w:rPr>
        <w:t xml:space="preserve"> </w:t>
      </w:r>
      <w:r w:rsidR="00F2529F">
        <w:rPr>
          <w:rFonts w:ascii="Arial" w:hAnsi="Arial" w:cs="Arial"/>
        </w:rPr>
        <w:t>were</w:t>
      </w:r>
      <w:r w:rsidR="003D54A8" w:rsidRPr="00E345EE">
        <w:rPr>
          <w:rFonts w:ascii="Arial" w:hAnsi="Arial" w:cs="Arial"/>
        </w:rPr>
        <w:t xml:space="preserve"> created</w:t>
      </w:r>
      <w:r w:rsidR="00F2529F">
        <w:rPr>
          <w:rFonts w:ascii="Arial" w:hAnsi="Arial" w:cs="Arial"/>
        </w:rPr>
        <w:t>, even then,</w:t>
      </w:r>
      <w:r w:rsidR="003D54A8" w:rsidRPr="00E345EE">
        <w:rPr>
          <w:rFonts w:ascii="Arial" w:hAnsi="Arial" w:cs="Arial"/>
        </w:rPr>
        <w:t xml:space="preserve"> in response to an identifiable student need</w:t>
      </w:r>
      <w:r w:rsidR="00BF5F65">
        <w:rPr>
          <w:rFonts w:ascii="Arial" w:hAnsi="Arial" w:cs="Arial"/>
        </w:rPr>
        <w:t xml:space="preserve"> </w:t>
      </w:r>
      <w:r w:rsidR="00081661">
        <w:rPr>
          <w:rFonts w:ascii="Arial" w:hAnsi="Arial" w:cs="Arial"/>
        </w:rPr>
        <w:t>(Jacobs, 1979)</w:t>
      </w:r>
      <w:r w:rsidR="003D54A8" w:rsidRPr="00E345EE">
        <w:rPr>
          <w:rFonts w:ascii="Arial" w:hAnsi="Arial" w:cs="Arial"/>
        </w:rPr>
        <w:t>.</w:t>
      </w:r>
      <w:r w:rsidR="007A3BA4">
        <w:rPr>
          <w:rFonts w:ascii="Arial" w:hAnsi="Arial" w:cs="Arial"/>
        </w:rPr>
        <w:t xml:space="preserve"> It is</w:t>
      </w:r>
      <w:r w:rsidR="004D2288">
        <w:rPr>
          <w:rFonts w:ascii="Arial" w:hAnsi="Arial" w:cs="Arial"/>
        </w:rPr>
        <w:t>,</w:t>
      </w:r>
      <w:r w:rsidR="007A3BA4">
        <w:rPr>
          <w:rFonts w:ascii="Arial" w:hAnsi="Arial" w:cs="Arial"/>
        </w:rPr>
        <w:t xml:space="preserve"> </w:t>
      </w:r>
      <w:r w:rsidR="004D2288">
        <w:rPr>
          <w:rFonts w:ascii="Arial" w:hAnsi="Arial" w:cs="Arial"/>
        </w:rPr>
        <w:t xml:space="preserve">therefore, </w:t>
      </w:r>
      <w:r w:rsidR="007A3BA4">
        <w:rPr>
          <w:rFonts w:ascii="Arial" w:hAnsi="Arial" w:cs="Arial"/>
        </w:rPr>
        <w:t xml:space="preserve">not a new phenomenon for universities to accept some responsibility for the wellbeing and ‘pastoral care’ of their students. </w:t>
      </w:r>
    </w:p>
    <w:p w14:paraId="3FE5E02D" w14:textId="77777777" w:rsidR="00097902" w:rsidRDefault="00097902" w:rsidP="00E345EE">
      <w:pPr>
        <w:spacing w:after="160" w:line="259" w:lineRule="auto"/>
        <w:ind w:right="-357"/>
        <w:rPr>
          <w:rFonts w:ascii="Arial" w:hAnsi="Arial" w:cs="Arial"/>
        </w:rPr>
      </w:pPr>
      <w:r>
        <w:rPr>
          <w:rFonts w:ascii="Arial" w:hAnsi="Arial" w:cs="Arial"/>
        </w:rPr>
        <w:t>Equally there are both ethical and practical reasons for universities to accept some responsibility for supporting the mental health of their student populations</w:t>
      </w:r>
      <w:r w:rsidR="0033376D">
        <w:rPr>
          <w:rFonts w:ascii="Arial" w:hAnsi="Arial" w:cs="Arial"/>
        </w:rPr>
        <w:t>.</w:t>
      </w:r>
      <w:r>
        <w:rPr>
          <w:rFonts w:ascii="Arial" w:hAnsi="Arial" w:cs="Arial"/>
        </w:rPr>
        <w:t xml:space="preserve"> </w:t>
      </w:r>
      <w:r w:rsidR="0033376D">
        <w:rPr>
          <w:rFonts w:ascii="Arial" w:hAnsi="Arial" w:cs="Arial"/>
        </w:rPr>
        <w:t>Given the weight of evidence, i</w:t>
      </w:r>
      <w:r>
        <w:rPr>
          <w:rFonts w:ascii="Arial" w:hAnsi="Arial" w:cs="Arial"/>
        </w:rPr>
        <w:t xml:space="preserve">t is clear that many students do experience difficulties with their mental health, while at university. </w:t>
      </w:r>
      <w:r w:rsidR="0033376D">
        <w:rPr>
          <w:rFonts w:ascii="Arial" w:hAnsi="Arial" w:cs="Arial"/>
        </w:rPr>
        <w:t>From an ethical perspective, u</w:t>
      </w:r>
      <w:r>
        <w:rPr>
          <w:rFonts w:ascii="Arial" w:hAnsi="Arial" w:cs="Arial"/>
        </w:rPr>
        <w:t>niversities cannot pretend that this is not an ever present issue within their communities. Knowing this, there is an incumbent moral requirement on universities to ensure that these students are supported and that engaging in university behaviour does not have a negative impact on their mental wellbeing.</w:t>
      </w:r>
    </w:p>
    <w:p w14:paraId="70D5EE5E" w14:textId="77777777" w:rsidR="00097902" w:rsidRPr="00E345EE" w:rsidRDefault="00097902" w:rsidP="00E345EE">
      <w:pPr>
        <w:spacing w:after="160" w:line="259" w:lineRule="auto"/>
        <w:ind w:right="-357"/>
        <w:rPr>
          <w:rFonts w:ascii="Arial" w:hAnsi="Arial" w:cs="Arial"/>
        </w:rPr>
      </w:pPr>
      <w:r>
        <w:rPr>
          <w:rFonts w:ascii="Arial" w:hAnsi="Arial" w:cs="Arial"/>
        </w:rPr>
        <w:t>Practically, it is also clear that poor mental health can have a negative impact upon student performance, retention and future employability (Stallman, 2010). It is in the self-interest of universities to take steps to prevent this.</w:t>
      </w:r>
    </w:p>
    <w:p w14:paraId="5A268C0D" w14:textId="77777777" w:rsidR="00D17D75" w:rsidRPr="00E345EE" w:rsidRDefault="007A3BA4" w:rsidP="00E345EE">
      <w:pPr>
        <w:spacing w:after="160" w:line="259" w:lineRule="auto"/>
        <w:ind w:right="-357"/>
        <w:rPr>
          <w:rFonts w:ascii="Arial" w:hAnsi="Arial" w:cs="Arial"/>
        </w:rPr>
      </w:pPr>
      <w:r>
        <w:rPr>
          <w:rFonts w:ascii="Arial" w:hAnsi="Arial" w:cs="Arial"/>
        </w:rPr>
        <w:t>T</w:t>
      </w:r>
      <w:r w:rsidR="006A6498">
        <w:rPr>
          <w:rFonts w:ascii="Arial" w:hAnsi="Arial" w:cs="Arial"/>
        </w:rPr>
        <w:t xml:space="preserve">he </w:t>
      </w:r>
      <w:r>
        <w:rPr>
          <w:rFonts w:ascii="Arial" w:hAnsi="Arial" w:cs="Arial"/>
        </w:rPr>
        <w:t>traditional</w:t>
      </w:r>
      <w:r w:rsidR="006A6498">
        <w:rPr>
          <w:rFonts w:ascii="Arial" w:hAnsi="Arial" w:cs="Arial"/>
        </w:rPr>
        <w:t xml:space="preserve"> university response to student mental health problems has been to provide</w:t>
      </w:r>
      <w:r w:rsidR="00EE62BC" w:rsidRPr="00E345EE">
        <w:rPr>
          <w:rFonts w:ascii="Arial" w:hAnsi="Arial" w:cs="Arial"/>
        </w:rPr>
        <w:t xml:space="preserve"> services that </w:t>
      </w:r>
      <w:r>
        <w:rPr>
          <w:rFonts w:ascii="Arial" w:hAnsi="Arial" w:cs="Arial"/>
        </w:rPr>
        <w:t>students can</w:t>
      </w:r>
      <w:r w:rsidR="003C689C">
        <w:rPr>
          <w:rFonts w:ascii="Arial" w:hAnsi="Arial" w:cs="Arial"/>
        </w:rPr>
        <w:t xml:space="preserve"> access</w:t>
      </w:r>
      <w:r>
        <w:rPr>
          <w:rFonts w:ascii="Arial" w:hAnsi="Arial" w:cs="Arial"/>
        </w:rPr>
        <w:t xml:space="preserve"> when they are</w:t>
      </w:r>
      <w:r w:rsidR="00EE62BC" w:rsidRPr="00E345EE">
        <w:rPr>
          <w:rFonts w:ascii="Arial" w:hAnsi="Arial" w:cs="Arial"/>
        </w:rPr>
        <w:t xml:space="preserve"> experiencing </w:t>
      </w:r>
      <w:r w:rsidR="006A6498">
        <w:rPr>
          <w:rFonts w:ascii="Arial" w:hAnsi="Arial" w:cs="Arial"/>
        </w:rPr>
        <w:t>difficulties</w:t>
      </w:r>
      <w:r w:rsidR="00EE62BC" w:rsidRPr="00E345EE">
        <w:rPr>
          <w:rFonts w:ascii="Arial" w:hAnsi="Arial" w:cs="Arial"/>
        </w:rPr>
        <w:t xml:space="preserve">. </w:t>
      </w:r>
      <w:r w:rsidR="004D2288">
        <w:rPr>
          <w:rFonts w:ascii="Arial" w:hAnsi="Arial" w:cs="Arial"/>
        </w:rPr>
        <w:t>In other words, t</w:t>
      </w:r>
      <w:r>
        <w:rPr>
          <w:rFonts w:ascii="Arial" w:hAnsi="Arial" w:cs="Arial"/>
        </w:rPr>
        <w:t xml:space="preserve">hese services </w:t>
      </w:r>
      <w:r w:rsidR="004D2288">
        <w:rPr>
          <w:rFonts w:ascii="Arial" w:hAnsi="Arial" w:cs="Arial"/>
        </w:rPr>
        <w:t xml:space="preserve">have </w:t>
      </w:r>
      <w:r>
        <w:rPr>
          <w:rFonts w:ascii="Arial" w:hAnsi="Arial" w:cs="Arial"/>
        </w:rPr>
        <w:t>provide</w:t>
      </w:r>
      <w:r w:rsidR="004D2288">
        <w:rPr>
          <w:rFonts w:ascii="Arial" w:hAnsi="Arial" w:cs="Arial"/>
        </w:rPr>
        <w:t>d</w:t>
      </w:r>
      <w:r>
        <w:rPr>
          <w:rFonts w:ascii="Arial" w:hAnsi="Arial" w:cs="Arial"/>
        </w:rPr>
        <w:t xml:space="preserve"> forms of reactive support to help students address problems </w:t>
      </w:r>
      <w:r w:rsidR="00570E3B">
        <w:rPr>
          <w:rFonts w:ascii="Arial" w:hAnsi="Arial" w:cs="Arial"/>
        </w:rPr>
        <w:t>if and when</w:t>
      </w:r>
      <w:r>
        <w:rPr>
          <w:rFonts w:ascii="Arial" w:hAnsi="Arial" w:cs="Arial"/>
        </w:rPr>
        <w:t xml:space="preserve"> they arise. </w:t>
      </w:r>
      <w:r w:rsidR="00EE62BC" w:rsidRPr="00E345EE">
        <w:rPr>
          <w:rFonts w:ascii="Arial" w:hAnsi="Arial" w:cs="Arial"/>
        </w:rPr>
        <w:t xml:space="preserve">From the beginning the mix and make up of </w:t>
      </w:r>
      <w:r>
        <w:rPr>
          <w:rFonts w:ascii="Arial" w:hAnsi="Arial" w:cs="Arial"/>
        </w:rPr>
        <w:t>this support</w:t>
      </w:r>
      <w:r w:rsidR="00EE62BC" w:rsidRPr="00E345EE">
        <w:rPr>
          <w:rFonts w:ascii="Arial" w:hAnsi="Arial" w:cs="Arial"/>
        </w:rPr>
        <w:t xml:space="preserve"> has varied from institution to institution and nation to nation, often</w:t>
      </w:r>
      <w:r w:rsidR="00E345EE">
        <w:rPr>
          <w:rFonts w:ascii="Arial" w:hAnsi="Arial" w:cs="Arial"/>
        </w:rPr>
        <w:t xml:space="preserve"> </w:t>
      </w:r>
      <w:r w:rsidR="00EE62BC" w:rsidRPr="00E345EE">
        <w:rPr>
          <w:rFonts w:ascii="Arial" w:hAnsi="Arial" w:cs="Arial"/>
        </w:rPr>
        <w:t>including</w:t>
      </w:r>
      <w:r w:rsidR="00E345EE">
        <w:rPr>
          <w:rFonts w:ascii="Arial" w:hAnsi="Arial" w:cs="Arial"/>
        </w:rPr>
        <w:t xml:space="preserve"> some combination of </w:t>
      </w:r>
      <w:r w:rsidR="00EE62BC" w:rsidRPr="00E345EE">
        <w:rPr>
          <w:rFonts w:ascii="Arial" w:hAnsi="Arial" w:cs="Arial"/>
        </w:rPr>
        <w:t>counselling and\or psychotherapy, advice and guidance, disability services, welfare or wellbeing services and a Chaplaincy</w:t>
      </w:r>
      <w:r w:rsidR="00081661">
        <w:rPr>
          <w:rFonts w:ascii="Arial" w:hAnsi="Arial" w:cs="Arial"/>
        </w:rPr>
        <w:t xml:space="preserve"> (Jacobs, 1979)</w:t>
      </w:r>
      <w:r w:rsidR="00EE62BC" w:rsidRPr="00E345EE">
        <w:rPr>
          <w:rFonts w:ascii="Arial" w:hAnsi="Arial" w:cs="Arial"/>
        </w:rPr>
        <w:t xml:space="preserve">. </w:t>
      </w:r>
    </w:p>
    <w:p w14:paraId="13D7AAF6" w14:textId="77777777" w:rsidR="00FA5607" w:rsidRPr="00E345EE" w:rsidRDefault="00570E3B" w:rsidP="00E345EE">
      <w:pPr>
        <w:spacing w:after="160" w:line="259" w:lineRule="auto"/>
        <w:ind w:right="-357"/>
        <w:rPr>
          <w:rFonts w:ascii="Arial" w:hAnsi="Arial" w:cs="Arial"/>
        </w:rPr>
      </w:pPr>
      <w:r>
        <w:rPr>
          <w:rFonts w:ascii="Arial" w:hAnsi="Arial" w:cs="Arial"/>
        </w:rPr>
        <w:t xml:space="preserve">Typically, </w:t>
      </w:r>
      <w:r w:rsidR="00EE62BC" w:rsidRPr="00E345EE">
        <w:rPr>
          <w:rFonts w:ascii="Arial" w:hAnsi="Arial" w:cs="Arial"/>
        </w:rPr>
        <w:t xml:space="preserve">services </w:t>
      </w:r>
      <w:r>
        <w:rPr>
          <w:rFonts w:ascii="Arial" w:hAnsi="Arial" w:cs="Arial"/>
        </w:rPr>
        <w:t xml:space="preserve">to support mental health </w:t>
      </w:r>
      <w:r w:rsidR="00EE62BC" w:rsidRPr="00E345EE">
        <w:rPr>
          <w:rFonts w:ascii="Arial" w:hAnsi="Arial" w:cs="Arial"/>
        </w:rPr>
        <w:t xml:space="preserve">have usually been positioned as separate to the core </w:t>
      </w:r>
      <w:r w:rsidR="00E345EE">
        <w:rPr>
          <w:rFonts w:ascii="Arial" w:hAnsi="Arial" w:cs="Arial"/>
        </w:rPr>
        <w:t xml:space="preserve">research and teaching </w:t>
      </w:r>
      <w:r w:rsidR="00EE62BC" w:rsidRPr="00E345EE">
        <w:rPr>
          <w:rFonts w:ascii="Arial" w:hAnsi="Arial" w:cs="Arial"/>
        </w:rPr>
        <w:t>mission of universities. At most, a tangential case has been made that by providing support for students</w:t>
      </w:r>
      <w:r w:rsidR="00F2529F">
        <w:rPr>
          <w:rFonts w:ascii="Arial" w:hAnsi="Arial" w:cs="Arial"/>
        </w:rPr>
        <w:t>,</w:t>
      </w:r>
      <w:r w:rsidR="00EE62BC" w:rsidRPr="00E345EE">
        <w:rPr>
          <w:rFonts w:ascii="Arial" w:hAnsi="Arial" w:cs="Arial"/>
        </w:rPr>
        <w:t xml:space="preserve"> when they experience problems, universities may be able to reduce the number of students dropping out or underperforming academically. </w:t>
      </w:r>
      <w:r w:rsidR="003C689C">
        <w:rPr>
          <w:rFonts w:ascii="Arial" w:hAnsi="Arial" w:cs="Arial"/>
        </w:rPr>
        <w:t>As a result</w:t>
      </w:r>
      <w:r w:rsidR="00EE62BC" w:rsidRPr="00E345EE">
        <w:rPr>
          <w:rFonts w:ascii="Arial" w:hAnsi="Arial" w:cs="Arial"/>
        </w:rPr>
        <w:t xml:space="preserve">, Student Services, have </w:t>
      </w:r>
      <w:r w:rsidR="00F2529F">
        <w:rPr>
          <w:rFonts w:ascii="Arial" w:hAnsi="Arial" w:cs="Arial"/>
        </w:rPr>
        <w:t xml:space="preserve">potentially </w:t>
      </w:r>
      <w:r w:rsidR="00EE62BC" w:rsidRPr="00E345EE">
        <w:rPr>
          <w:rFonts w:ascii="Arial" w:hAnsi="Arial" w:cs="Arial"/>
        </w:rPr>
        <w:t>been</w:t>
      </w:r>
      <w:r w:rsidR="00F2529F">
        <w:rPr>
          <w:rFonts w:ascii="Arial" w:hAnsi="Arial" w:cs="Arial"/>
        </w:rPr>
        <w:t xml:space="preserve"> positioned</w:t>
      </w:r>
      <w:r w:rsidR="00EE62BC" w:rsidRPr="00E345EE">
        <w:rPr>
          <w:rFonts w:ascii="Arial" w:hAnsi="Arial" w:cs="Arial"/>
        </w:rPr>
        <w:t xml:space="preserve"> as a </w:t>
      </w:r>
      <w:r w:rsidR="00607A01">
        <w:rPr>
          <w:rFonts w:ascii="Arial" w:hAnsi="Arial" w:cs="Arial"/>
        </w:rPr>
        <w:t>‘</w:t>
      </w:r>
      <w:r w:rsidR="00EE62BC" w:rsidRPr="00E345EE">
        <w:rPr>
          <w:rFonts w:ascii="Arial" w:hAnsi="Arial" w:cs="Arial"/>
        </w:rPr>
        <w:t>nice to have</w:t>
      </w:r>
      <w:r w:rsidR="00607A01">
        <w:rPr>
          <w:rFonts w:ascii="Arial" w:hAnsi="Arial" w:cs="Arial"/>
        </w:rPr>
        <w:t>’</w:t>
      </w:r>
      <w:r w:rsidR="00EE62BC" w:rsidRPr="00E345EE">
        <w:rPr>
          <w:rFonts w:ascii="Arial" w:hAnsi="Arial" w:cs="Arial"/>
        </w:rPr>
        <w:t xml:space="preserve"> addition to the university structure</w:t>
      </w:r>
      <w:r w:rsidR="00C301E9" w:rsidRPr="00E345EE">
        <w:rPr>
          <w:rFonts w:ascii="Arial" w:hAnsi="Arial" w:cs="Arial"/>
        </w:rPr>
        <w:t>, which demonstrates an institution’s care for its students, but which plays no direct role in core functions. It would, in fact, be perfectly possible to have a university without</w:t>
      </w:r>
      <w:r w:rsidR="007A3BA4">
        <w:rPr>
          <w:rFonts w:ascii="Arial" w:hAnsi="Arial" w:cs="Arial"/>
        </w:rPr>
        <w:t xml:space="preserve"> </w:t>
      </w:r>
      <w:r>
        <w:rPr>
          <w:rFonts w:ascii="Arial" w:hAnsi="Arial" w:cs="Arial"/>
        </w:rPr>
        <w:t>a</w:t>
      </w:r>
      <w:r w:rsidR="007A3BA4">
        <w:rPr>
          <w:rFonts w:ascii="Arial" w:hAnsi="Arial" w:cs="Arial"/>
        </w:rPr>
        <w:t xml:space="preserve"> Student Services or</w:t>
      </w:r>
      <w:r w:rsidR="00C301E9" w:rsidRPr="00E345EE">
        <w:rPr>
          <w:rFonts w:ascii="Arial" w:hAnsi="Arial" w:cs="Arial"/>
        </w:rPr>
        <w:t xml:space="preserve"> Student Affairs department and still consider it </w:t>
      </w:r>
      <w:r w:rsidR="00E345EE">
        <w:rPr>
          <w:rFonts w:ascii="Arial" w:hAnsi="Arial" w:cs="Arial"/>
        </w:rPr>
        <w:t xml:space="preserve">to be </w:t>
      </w:r>
      <w:r w:rsidR="00C301E9" w:rsidRPr="00E345EE">
        <w:rPr>
          <w:rFonts w:ascii="Arial" w:hAnsi="Arial" w:cs="Arial"/>
        </w:rPr>
        <w:t>a university.</w:t>
      </w:r>
    </w:p>
    <w:p w14:paraId="53C669D8" w14:textId="2806B425" w:rsidR="006515AA" w:rsidRDefault="00E74685" w:rsidP="00E345EE">
      <w:pPr>
        <w:spacing w:after="160" w:line="259" w:lineRule="auto"/>
        <w:ind w:right="-357"/>
        <w:rPr>
          <w:rFonts w:ascii="Arial" w:hAnsi="Arial" w:cs="Arial"/>
        </w:rPr>
      </w:pPr>
      <w:r w:rsidRPr="00E345EE">
        <w:rPr>
          <w:rFonts w:ascii="Arial" w:hAnsi="Arial" w:cs="Arial"/>
        </w:rPr>
        <w:t xml:space="preserve">However, the recent increase in concern about student mental health has brought a number of these assumptions </w:t>
      </w:r>
      <w:r w:rsidR="00E345EE">
        <w:rPr>
          <w:rFonts w:ascii="Arial" w:hAnsi="Arial" w:cs="Arial"/>
        </w:rPr>
        <w:t xml:space="preserve">and models </w:t>
      </w:r>
      <w:r w:rsidRPr="00E345EE">
        <w:rPr>
          <w:rFonts w:ascii="Arial" w:hAnsi="Arial" w:cs="Arial"/>
        </w:rPr>
        <w:t xml:space="preserve">into question. Research has shown that </w:t>
      </w:r>
      <w:r w:rsidR="006515AA">
        <w:rPr>
          <w:rFonts w:ascii="Arial" w:hAnsi="Arial" w:cs="Arial"/>
        </w:rPr>
        <w:t>most</w:t>
      </w:r>
      <w:r w:rsidRPr="00E345EE">
        <w:rPr>
          <w:rFonts w:ascii="Arial" w:hAnsi="Arial" w:cs="Arial"/>
        </w:rPr>
        <w:t xml:space="preserve"> students</w:t>
      </w:r>
      <w:r w:rsidR="00607A01">
        <w:rPr>
          <w:rFonts w:ascii="Arial" w:hAnsi="Arial" w:cs="Arial"/>
        </w:rPr>
        <w:t>,</w:t>
      </w:r>
      <w:r w:rsidRPr="00E345EE">
        <w:rPr>
          <w:rFonts w:ascii="Arial" w:hAnsi="Arial" w:cs="Arial"/>
        </w:rPr>
        <w:t xml:space="preserve"> who experience problems with their mental health</w:t>
      </w:r>
      <w:r w:rsidR="00607A01">
        <w:rPr>
          <w:rFonts w:ascii="Arial" w:hAnsi="Arial" w:cs="Arial"/>
        </w:rPr>
        <w:t>,</w:t>
      </w:r>
      <w:r w:rsidRPr="00E345EE">
        <w:rPr>
          <w:rFonts w:ascii="Arial" w:hAnsi="Arial" w:cs="Arial"/>
        </w:rPr>
        <w:t xml:space="preserve"> </w:t>
      </w:r>
      <w:r w:rsidR="006515AA">
        <w:rPr>
          <w:rFonts w:ascii="Arial" w:hAnsi="Arial" w:cs="Arial"/>
        </w:rPr>
        <w:t>do not</w:t>
      </w:r>
      <w:r w:rsidRPr="00E345EE">
        <w:rPr>
          <w:rFonts w:ascii="Arial" w:hAnsi="Arial" w:cs="Arial"/>
        </w:rPr>
        <w:t xml:space="preserve"> access formal support</w:t>
      </w:r>
      <w:r w:rsidR="00081661">
        <w:rPr>
          <w:rFonts w:ascii="Arial" w:hAnsi="Arial" w:cs="Arial"/>
        </w:rPr>
        <w:t xml:space="preserve"> (Hunt &amp; Eisenberg, 2010)</w:t>
      </w:r>
      <w:r w:rsidRPr="00E345EE">
        <w:rPr>
          <w:rFonts w:ascii="Arial" w:hAnsi="Arial" w:cs="Arial"/>
        </w:rPr>
        <w:t>. In addition, it has long been recogni</w:t>
      </w:r>
      <w:r w:rsidR="0033376D">
        <w:rPr>
          <w:rFonts w:ascii="Arial" w:hAnsi="Arial" w:cs="Arial"/>
        </w:rPr>
        <w:t>s</w:t>
      </w:r>
      <w:r w:rsidRPr="00E345EE">
        <w:rPr>
          <w:rFonts w:ascii="Arial" w:hAnsi="Arial" w:cs="Arial"/>
        </w:rPr>
        <w:t xml:space="preserve">ed that </w:t>
      </w:r>
      <w:r w:rsidR="003C689C">
        <w:rPr>
          <w:rFonts w:ascii="Arial" w:hAnsi="Arial" w:cs="Arial"/>
        </w:rPr>
        <w:t>even largely effective treatments</w:t>
      </w:r>
      <w:r w:rsidR="00A37499">
        <w:rPr>
          <w:rFonts w:ascii="Arial" w:hAnsi="Arial" w:cs="Arial"/>
        </w:rPr>
        <w:t>,</w:t>
      </w:r>
      <w:r w:rsidR="003C689C">
        <w:rPr>
          <w:rFonts w:ascii="Arial" w:hAnsi="Arial" w:cs="Arial"/>
        </w:rPr>
        <w:t xml:space="preserve"> such as </w:t>
      </w:r>
      <w:r w:rsidRPr="00E345EE">
        <w:rPr>
          <w:rFonts w:ascii="Arial" w:hAnsi="Arial" w:cs="Arial"/>
        </w:rPr>
        <w:t>counselling and psychotherapy</w:t>
      </w:r>
      <w:r w:rsidR="00A37499">
        <w:rPr>
          <w:rFonts w:ascii="Arial" w:hAnsi="Arial" w:cs="Arial"/>
        </w:rPr>
        <w:t>,</w:t>
      </w:r>
      <w:r w:rsidRPr="00E345EE">
        <w:rPr>
          <w:rFonts w:ascii="Arial" w:hAnsi="Arial" w:cs="Arial"/>
        </w:rPr>
        <w:t xml:space="preserve"> do not work for everyone</w:t>
      </w:r>
      <w:r w:rsidR="003E4E01">
        <w:rPr>
          <w:rFonts w:ascii="Arial" w:hAnsi="Arial" w:cs="Arial"/>
        </w:rPr>
        <w:t xml:space="preserve"> (e.g. Evans, Beck &amp; Burdett, 2017)</w:t>
      </w:r>
      <w:r w:rsidRPr="00E345EE">
        <w:rPr>
          <w:rFonts w:ascii="Arial" w:hAnsi="Arial" w:cs="Arial"/>
        </w:rPr>
        <w:t xml:space="preserve">. Of those students who do access counselling, some will still </w:t>
      </w:r>
      <w:r w:rsidR="0041007E">
        <w:rPr>
          <w:rFonts w:ascii="Arial" w:hAnsi="Arial" w:cs="Arial"/>
        </w:rPr>
        <w:t>experience</w:t>
      </w:r>
      <w:r w:rsidRPr="00E345EE">
        <w:rPr>
          <w:rFonts w:ascii="Arial" w:hAnsi="Arial" w:cs="Arial"/>
        </w:rPr>
        <w:t xml:space="preserve"> ongoing problems afterwards. </w:t>
      </w:r>
    </w:p>
    <w:p w14:paraId="7DD7726F" w14:textId="69E1D3DC" w:rsidR="00FA5607" w:rsidRPr="00E345EE" w:rsidRDefault="00E74685" w:rsidP="00E345EE">
      <w:pPr>
        <w:spacing w:after="160" w:line="259" w:lineRule="auto"/>
        <w:ind w:right="-357"/>
        <w:rPr>
          <w:rFonts w:ascii="Arial" w:hAnsi="Arial" w:cs="Arial"/>
        </w:rPr>
      </w:pPr>
      <w:r w:rsidRPr="00E345EE">
        <w:rPr>
          <w:rFonts w:ascii="Arial" w:hAnsi="Arial" w:cs="Arial"/>
        </w:rPr>
        <w:t xml:space="preserve">This has led to calls for universities to take a </w:t>
      </w:r>
      <w:r w:rsidR="00080AAE">
        <w:rPr>
          <w:rFonts w:ascii="Arial" w:hAnsi="Arial" w:cs="Arial"/>
        </w:rPr>
        <w:t>‘</w:t>
      </w:r>
      <w:r w:rsidRPr="00E345EE">
        <w:rPr>
          <w:rFonts w:ascii="Arial" w:hAnsi="Arial" w:cs="Arial"/>
        </w:rPr>
        <w:t>whole university approach</w:t>
      </w:r>
      <w:r w:rsidR="00080AAE">
        <w:rPr>
          <w:rFonts w:ascii="Arial" w:hAnsi="Arial" w:cs="Arial"/>
        </w:rPr>
        <w:t>’</w:t>
      </w:r>
      <w:r w:rsidRPr="00E345EE">
        <w:rPr>
          <w:rFonts w:ascii="Arial" w:hAnsi="Arial" w:cs="Arial"/>
        </w:rPr>
        <w:t xml:space="preserve"> to student mental health to ensure that the mental wellbeing of all students is adequately addressed</w:t>
      </w:r>
      <w:r w:rsidR="00FE5CB8">
        <w:rPr>
          <w:rFonts w:ascii="Arial" w:hAnsi="Arial" w:cs="Arial"/>
        </w:rPr>
        <w:t xml:space="preserve"> (e.g. Universities Australia, 2018, Universities UK, 2017)</w:t>
      </w:r>
      <w:r w:rsidRPr="00E345EE">
        <w:rPr>
          <w:rFonts w:ascii="Arial" w:hAnsi="Arial" w:cs="Arial"/>
        </w:rPr>
        <w:t>. These calls argue that it is not enough to provide services</w:t>
      </w:r>
      <w:r w:rsidR="0041007E">
        <w:rPr>
          <w:rFonts w:ascii="Arial" w:hAnsi="Arial" w:cs="Arial"/>
        </w:rPr>
        <w:t>,</w:t>
      </w:r>
      <w:r w:rsidRPr="00E345EE">
        <w:rPr>
          <w:rFonts w:ascii="Arial" w:hAnsi="Arial" w:cs="Arial"/>
        </w:rPr>
        <w:t xml:space="preserve"> which some students </w:t>
      </w:r>
      <w:r w:rsidR="0022226B" w:rsidRPr="00E345EE">
        <w:rPr>
          <w:rFonts w:ascii="Arial" w:hAnsi="Arial" w:cs="Arial"/>
        </w:rPr>
        <w:t>may</w:t>
      </w:r>
      <w:r w:rsidRPr="00E345EE">
        <w:rPr>
          <w:rFonts w:ascii="Arial" w:hAnsi="Arial" w:cs="Arial"/>
        </w:rPr>
        <w:t xml:space="preserve"> </w:t>
      </w:r>
      <w:r w:rsidR="007A3BA4">
        <w:rPr>
          <w:rFonts w:ascii="Arial" w:hAnsi="Arial" w:cs="Arial"/>
        </w:rPr>
        <w:t xml:space="preserve">or may not </w:t>
      </w:r>
      <w:r w:rsidRPr="00E345EE">
        <w:rPr>
          <w:rFonts w:ascii="Arial" w:hAnsi="Arial" w:cs="Arial"/>
        </w:rPr>
        <w:t>access</w:t>
      </w:r>
      <w:r w:rsidR="0022226B" w:rsidRPr="00E345EE">
        <w:rPr>
          <w:rFonts w:ascii="Arial" w:hAnsi="Arial" w:cs="Arial"/>
        </w:rPr>
        <w:t>. Universities also have a moral responsibility to ensure that they provide an environment that is conducive to good mental health, take action to prevent students becoming ill</w:t>
      </w:r>
      <w:r w:rsidR="00607A01">
        <w:rPr>
          <w:rFonts w:ascii="Arial" w:hAnsi="Arial" w:cs="Arial"/>
        </w:rPr>
        <w:t>, help students develop ‘resilience’ and self-management skills</w:t>
      </w:r>
      <w:r w:rsidR="0022226B" w:rsidRPr="00E345EE">
        <w:rPr>
          <w:rFonts w:ascii="Arial" w:hAnsi="Arial" w:cs="Arial"/>
        </w:rPr>
        <w:t xml:space="preserve"> and provide proactive response</w:t>
      </w:r>
      <w:r w:rsidR="004F4CDB" w:rsidRPr="00E345EE">
        <w:rPr>
          <w:rFonts w:ascii="Arial" w:hAnsi="Arial" w:cs="Arial"/>
        </w:rPr>
        <w:t>s</w:t>
      </w:r>
      <w:r w:rsidR="0022226B" w:rsidRPr="00E345EE">
        <w:rPr>
          <w:rFonts w:ascii="Arial" w:hAnsi="Arial" w:cs="Arial"/>
        </w:rPr>
        <w:t xml:space="preserve"> that do not rely on reactive services.</w:t>
      </w:r>
      <w:r w:rsidR="00F2529F">
        <w:rPr>
          <w:rFonts w:ascii="Arial" w:hAnsi="Arial" w:cs="Arial"/>
        </w:rPr>
        <w:t xml:space="preserve"> The implication of these calls </w:t>
      </w:r>
      <w:r w:rsidR="00244BF3">
        <w:rPr>
          <w:rFonts w:ascii="Arial" w:hAnsi="Arial" w:cs="Arial"/>
        </w:rPr>
        <w:t>is</w:t>
      </w:r>
      <w:r w:rsidR="00F2529F">
        <w:rPr>
          <w:rFonts w:ascii="Arial" w:hAnsi="Arial" w:cs="Arial"/>
        </w:rPr>
        <w:t xml:space="preserve"> that universities must consider every aspect of their interactions with students and the impact these may have on mental health. In particular, this places a focus on the role of academic staff and the curriculum as the only guaranteed points of contact between a student and the university</w:t>
      </w:r>
      <w:r w:rsidR="00FE5CB8">
        <w:rPr>
          <w:rFonts w:ascii="Arial" w:hAnsi="Arial" w:cs="Arial"/>
        </w:rPr>
        <w:t xml:space="preserve"> (Hughes, et al, 2018)</w:t>
      </w:r>
      <w:r w:rsidR="00F2529F">
        <w:rPr>
          <w:rFonts w:ascii="Arial" w:hAnsi="Arial" w:cs="Arial"/>
        </w:rPr>
        <w:t>.</w:t>
      </w:r>
    </w:p>
    <w:p w14:paraId="4D4E0CE7" w14:textId="270A8AA9" w:rsidR="00607A01" w:rsidRDefault="00E345EE" w:rsidP="00E345EE">
      <w:pPr>
        <w:spacing w:after="160" w:line="259" w:lineRule="auto"/>
        <w:ind w:right="-357"/>
        <w:rPr>
          <w:rFonts w:ascii="Arial" w:hAnsi="Arial" w:cs="Arial"/>
        </w:rPr>
      </w:pPr>
      <w:r w:rsidRPr="00E345EE">
        <w:rPr>
          <w:rFonts w:ascii="Arial" w:hAnsi="Arial" w:cs="Arial"/>
        </w:rPr>
        <w:t>These calls</w:t>
      </w:r>
      <w:r>
        <w:rPr>
          <w:rFonts w:ascii="Arial" w:hAnsi="Arial" w:cs="Arial"/>
        </w:rPr>
        <w:t xml:space="preserve"> have not been welcomed </w:t>
      </w:r>
      <w:r w:rsidR="00322EF9">
        <w:rPr>
          <w:rFonts w:ascii="Arial" w:hAnsi="Arial" w:cs="Arial"/>
        </w:rPr>
        <w:t>without reservation</w:t>
      </w:r>
      <w:r w:rsidR="0041007E">
        <w:rPr>
          <w:rFonts w:ascii="Arial" w:hAnsi="Arial" w:cs="Arial"/>
        </w:rPr>
        <w:t>. S</w:t>
      </w:r>
      <w:r>
        <w:rPr>
          <w:rFonts w:ascii="Arial" w:hAnsi="Arial" w:cs="Arial"/>
        </w:rPr>
        <w:t xml:space="preserve">ome </w:t>
      </w:r>
      <w:r w:rsidR="00322EF9">
        <w:rPr>
          <w:rFonts w:ascii="Arial" w:hAnsi="Arial" w:cs="Arial"/>
        </w:rPr>
        <w:t>organisations and students</w:t>
      </w:r>
      <w:r>
        <w:rPr>
          <w:rFonts w:ascii="Arial" w:hAnsi="Arial" w:cs="Arial"/>
        </w:rPr>
        <w:t xml:space="preserve"> </w:t>
      </w:r>
      <w:r w:rsidR="0041007E">
        <w:rPr>
          <w:rFonts w:ascii="Arial" w:hAnsi="Arial" w:cs="Arial"/>
        </w:rPr>
        <w:t xml:space="preserve">have raised </w:t>
      </w:r>
      <w:r w:rsidR="00322EF9">
        <w:rPr>
          <w:rFonts w:ascii="Arial" w:hAnsi="Arial" w:cs="Arial"/>
        </w:rPr>
        <w:t>concerns that ‘whole university activity’ is in fact being used by institutions to provide cover for the under-resourcing of professional services (e.g. BACP, 2018</w:t>
      </w:r>
      <w:r w:rsidR="00FE5CB8">
        <w:rPr>
          <w:rFonts w:ascii="Arial" w:hAnsi="Arial" w:cs="Arial"/>
        </w:rPr>
        <w:t>; Hewitt, 2019</w:t>
      </w:r>
      <w:r w:rsidR="00322EF9">
        <w:rPr>
          <w:rFonts w:ascii="Arial" w:hAnsi="Arial" w:cs="Arial"/>
        </w:rPr>
        <w:t xml:space="preserve">). </w:t>
      </w:r>
      <w:r w:rsidR="006A6498">
        <w:rPr>
          <w:rFonts w:ascii="Arial" w:hAnsi="Arial" w:cs="Arial"/>
        </w:rPr>
        <w:t xml:space="preserve">One particular concern is </w:t>
      </w:r>
      <w:r w:rsidR="00E024E6">
        <w:rPr>
          <w:rFonts w:ascii="Arial" w:hAnsi="Arial" w:cs="Arial"/>
        </w:rPr>
        <w:t xml:space="preserve">that </w:t>
      </w:r>
      <w:r w:rsidR="003C6F57">
        <w:rPr>
          <w:rFonts w:ascii="Arial" w:hAnsi="Arial" w:cs="Arial"/>
        </w:rPr>
        <w:t xml:space="preserve">this approach facilitates the outsourcing of specialised student support from qualified professionals to other </w:t>
      </w:r>
      <w:r w:rsidR="008C3EE4">
        <w:rPr>
          <w:rFonts w:ascii="Arial" w:hAnsi="Arial" w:cs="Arial"/>
        </w:rPr>
        <w:t xml:space="preserve">existing </w:t>
      </w:r>
      <w:r w:rsidR="003C6F57">
        <w:rPr>
          <w:rFonts w:ascii="Arial" w:hAnsi="Arial" w:cs="Arial"/>
        </w:rPr>
        <w:t xml:space="preserve">staff within the university (e.g. academic staff placed into ‘pastoral’ roles) or to unqualified staff in ‘wellbeing’ roles (Lightfoot, 2018). </w:t>
      </w:r>
      <w:r w:rsidR="00607A01">
        <w:rPr>
          <w:rFonts w:ascii="Arial" w:hAnsi="Arial" w:cs="Arial"/>
        </w:rPr>
        <w:t xml:space="preserve">In effect, these voices suggest that the approach undervalues specialised, </w:t>
      </w:r>
      <w:r w:rsidR="001446AD">
        <w:rPr>
          <w:rFonts w:ascii="Arial" w:hAnsi="Arial" w:cs="Arial"/>
        </w:rPr>
        <w:t>professional clinical staff and responses to student mental health.</w:t>
      </w:r>
      <w:r w:rsidR="007A3BA4">
        <w:rPr>
          <w:rFonts w:ascii="Arial" w:hAnsi="Arial" w:cs="Arial"/>
        </w:rPr>
        <w:t xml:space="preserve"> In doing so, the ‘whole university approach’</w:t>
      </w:r>
      <w:r w:rsidR="00797D7E">
        <w:rPr>
          <w:rFonts w:ascii="Arial" w:hAnsi="Arial" w:cs="Arial"/>
        </w:rPr>
        <w:t xml:space="preserve"> potentially represents a dilution of the mission of Student Services, in responding to student mental health needs.</w:t>
      </w:r>
    </w:p>
    <w:p w14:paraId="4651C811" w14:textId="2C7B6E2C" w:rsidR="00607A01" w:rsidRDefault="00607A01" w:rsidP="00E345EE">
      <w:pPr>
        <w:spacing w:after="160" w:line="259" w:lineRule="auto"/>
        <w:ind w:right="-357"/>
        <w:rPr>
          <w:rFonts w:ascii="Arial" w:hAnsi="Arial" w:cs="Arial"/>
        </w:rPr>
      </w:pPr>
      <w:r>
        <w:rPr>
          <w:rFonts w:ascii="Arial" w:hAnsi="Arial" w:cs="Arial"/>
        </w:rPr>
        <w:t xml:space="preserve">Inherent in these criticisms is also an underlying tension that places traditional services, such as counselling, in opposition to more broad based, preventative interventions that seek to build students’ ability to manage their own wellbeing and to create environments that are more supportive to wellbeing. Some of these concerns suggest that the move towards </w:t>
      </w:r>
      <w:r w:rsidR="001446AD">
        <w:rPr>
          <w:rFonts w:ascii="Arial" w:hAnsi="Arial" w:cs="Arial"/>
        </w:rPr>
        <w:t>building ‘resilience,’ is, in effect an attempt to place responsibility for mental health problems back onto students</w:t>
      </w:r>
      <w:r w:rsidR="009E5016">
        <w:rPr>
          <w:rFonts w:ascii="Arial" w:hAnsi="Arial" w:cs="Arial"/>
        </w:rPr>
        <w:t xml:space="preserve"> (Binnie, 2016)</w:t>
      </w:r>
      <w:r w:rsidR="001446AD">
        <w:rPr>
          <w:rFonts w:ascii="Arial" w:hAnsi="Arial" w:cs="Arial"/>
        </w:rPr>
        <w:t xml:space="preserve">. In other words, that this is </w:t>
      </w:r>
      <w:r w:rsidR="0041007E">
        <w:rPr>
          <w:rFonts w:ascii="Arial" w:hAnsi="Arial" w:cs="Arial"/>
        </w:rPr>
        <w:t xml:space="preserve">a form of </w:t>
      </w:r>
      <w:r w:rsidR="001446AD">
        <w:rPr>
          <w:rFonts w:ascii="Arial" w:hAnsi="Arial" w:cs="Arial"/>
        </w:rPr>
        <w:t>victim blaming.</w:t>
      </w:r>
    </w:p>
    <w:p w14:paraId="4A751F53" w14:textId="77777777" w:rsidR="00797D7E" w:rsidRDefault="001446AD" w:rsidP="00E345EE">
      <w:pPr>
        <w:spacing w:after="160" w:line="259" w:lineRule="auto"/>
        <w:ind w:right="-357"/>
        <w:rPr>
          <w:rFonts w:ascii="Arial" w:hAnsi="Arial" w:cs="Arial"/>
        </w:rPr>
      </w:pPr>
      <w:r>
        <w:rPr>
          <w:rFonts w:ascii="Arial" w:hAnsi="Arial" w:cs="Arial"/>
        </w:rPr>
        <w:t xml:space="preserve">These dialogues highlight a range of tensions and uncertainties in the current hinterland of Student Services and student mental health, that potentially contribute to a lack of clarity about the role of Student Services in </w:t>
      </w:r>
      <w:r w:rsidR="00570E3B">
        <w:rPr>
          <w:rFonts w:ascii="Arial" w:hAnsi="Arial" w:cs="Arial"/>
        </w:rPr>
        <w:t>this area</w:t>
      </w:r>
      <w:r>
        <w:rPr>
          <w:rFonts w:ascii="Arial" w:hAnsi="Arial" w:cs="Arial"/>
        </w:rPr>
        <w:t>. This lack of clarity points towards a current theoretical gap</w:t>
      </w:r>
      <w:r w:rsidR="00244BF3">
        <w:rPr>
          <w:rFonts w:ascii="Arial" w:hAnsi="Arial" w:cs="Arial"/>
        </w:rPr>
        <w:t>,</w:t>
      </w:r>
      <w:r>
        <w:rPr>
          <w:rFonts w:ascii="Arial" w:hAnsi="Arial" w:cs="Arial"/>
        </w:rPr>
        <w:t xml:space="preserve"> through which these questions and tensions can be</w:t>
      </w:r>
      <w:r w:rsidR="00797D7E">
        <w:rPr>
          <w:rFonts w:ascii="Arial" w:hAnsi="Arial" w:cs="Arial"/>
        </w:rPr>
        <w:t xml:space="preserve"> coherently</w:t>
      </w:r>
      <w:r>
        <w:rPr>
          <w:rFonts w:ascii="Arial" w:hAnsi="Arial" w:cs="Arial"/>
        </w:rPr>
        <w:t xml:space="preserve"> addressed. </w:t>
      </w:r>
    </w:p>
    <w:p w14:paraId="0A3F8341" w14:textId="77777777" w:rsidR="00797D7E" w:rsidRDefault="00797D7E" w:rsidP="00E345EE">
      <w:pPr>
        <w:spacing w:after="160" w:line="259" w:lineRule="auto"/>
        <w:ind w:right="-357"/>
        <w:rPr>
          <w:rFonts w:ascii="Arial" w:hAnsi="Arial" w:cs="Arial"/>
        </w:rPr>
      </w:pPr>
      <w:r>
        <w:rPr>
          <w:rFonts w:ascii="Arial" w:hAnsi="Arial" w:cs="Arial"/>
        </w:rPr>
        <w:t>In particular, these dialogues suggest that there is a need for theory which can seek to answer four central questions</w:t>
      </w:r>
    </w:p>
    <w:p w14:paraId="419B0EC2" w14:textId="77777777" w:rsidR="00797D7E" w:rsidRPr="0023724C" w:rsidRDefault="001446AD" w:rsidP="006E6D29">
      <w:pPr>
        <w:pStyle w:val="ListParagraph"/>
        <w:numPr>
          <w:ilvl w:val="0"/>
          <w:numId w:val="12"/>
        </w:numPr>
        <w:ind w:right="-357"/>
        <w:rPr>
          <w:rFonts w:ascii="Arial" w:hAnsi="Arial" w:cs="Arial"/>
          <w:sz w:val="24"/>
          <w:szCs w:val="24"/>
        </w:rPr>
      </w:pPr>
      <w:r w:rsidRPr="0023724C">
        <w:rPr>
          <w:rFonts w:ascii="Arial" w:hAnsi="Arial" w:cs="Arial"/>
          <w:sz w:val="24"/>
          <w:szCs w:val="24"/>
        </w:rPr>
        <w:t xml:space="preserve">What role </w:t>
      </w:r>
      <w:r w:rsidR="0023724C" w:rsidRPr="0023724C">
        <w:rPr>
          <w:rFonts w:ascii="Arial" w:hAnsi="Arial" w:cs="Arial"/>
          <w:sz w:val="24"/>
          <w:szCs w:val="24"/>
        </w:rPr>
        <w:t xml:space="preserve">should </w:t>
      </w:r>
      <w:r w:rsidRPr="0023724C">
        <w:rPr>
          <w:rFonts w:ascii="Arial" w:hAnsi="Arial" w:cs="Arial"/>
          <w:sz w:val="24"/>
          <w:szCs w:val="24"/>
        </w:rPr>
        <w:t xml:space="preserve">universities </w:t>
      </w:r>
      <w:r w:rsidR="0023724C">
        <w:rPr>
          <w:rFonts w:ascii="Arial" w:hAnsi="Arial" w:cs="Arial"/>
          <w:sz w:val="24"/>
          <w:szCs w:val="24"/>
        </w:rPr>
        <w:t xml:space="preserve">and </w:t>
      </w:r>
      <w:r w:rsidR="00797D7E" w:rsidRPr="0023724C">
        <w:rPr>
          <w:rFonts w:ascii="Arial" w:hAnsi="Arial" w:cs="Arial"/>
          <w:sz w:val="24"/>
          <w:szCs w:val="24"/>
        </w:rPr>
        <w:t xml:space="preserve">Student Services </w:t>
      </w:r>
      <w:r w:rsidRPr="0023724C">
        <w:rPr>
          <w:rFonts w:ascii="Arial" w:hAnsi="Arial" w:cs="Arial"/>
          <w:sz w:val="24"/>
          <w:szCs w:val="24"/>
        </w:rPr>
        <w:t>p</w:t>
      </w:r>
      <w:r w:rsidR="00797D7E" w:rsidRPr="0023724C">
        <w:rPr>
          <w:rFonts w:ascii="Arial" w:hAnsi="Arial" w:cs="Arial"/>
          <w:sz w:val="24"/>
          <w:szCs w:val="24"/>
        </w:rPr>
        <w:t xml:space="preserve">lay in </w:t>
      </w:r>
      <w:r w:rsidR="00AC7D5A">
        <w:rPr>
          <w:rFonts w:ascii="Arial" w:hAnsi="Arial" w:cs="Arial"/>
          <w:sz w:val="24"/>
          <w:szCs w:val="24"/>
        </w:rPr>
        <w:t>relation to student</w:t>
      </w:r>
      <w:r w:rsidR="00797D7E" w:rsidRPr="0023724C">
        <w:rPr>
          <w:rFonts w:ascii="Arial" w:hAnsi="Arial" w:cs="Arial"/>
          <w:sz w:val="24"/>
          <w:szCs w:val="24"/>
        </w:rPr>
        <w:t xml:space="preserve"> mental health</w:t>
      </w:r>
      <w:r w:rsidR="00AC7D5A">
        <w:rPr>
          <w:rFonts w:ascii="Arial" w:hAnsi="Arial" w:cs="Arial"/>
          <w:sz w:val="24"/>
          <w:szCs w:val="24"/>
        </w:rPr>
        <w:t xml:space="preserve"> and wellbeing</w:t>
      </w:r>
      <w:r w:rsidR="00797D7E" w:rsidRPr="0023724C">
        <w:rPr>
          <w:rFonts w:ascii="Arial" w:hAnsi="Arial" w:cs="Arial"/>
          <w:sz w:val="24"/>
          <w:szCs w:val="24"/>
        </w:rPr>
        <w:t>?</w:t>
      </w:r>
      <w:r w:rsidRPr="0023724C">
        <w:rPr>
          <w:rFonts w:ascii="Arial" w:hAnsi="Arial" w:cs="Arial"/>
          <w:sz w:val="24"/>
          <w:szCs w:val="24"/>
        </w:rPr>
        <w:t xml:space="preserve"> </w:t>
      </w:r>
    </w:p>
    <w:p w14:paraId="74920084" w14:textId="77777777" w:rsidR="00797D7E" w:rsidRPr="00797D7E" w:rsidRDefault="00797D7E" w:rsidP="006E6D29">
      <w:pPr>
        <w:pStyle w:val="ListParagraph"/>
        <w:numPr>
          <w:ilvl w:val="0"/>
          <w:numId w:val="12"/>
        </w:numPr>
        <w:ind w:right="-357"/>
        <w:rPr>
          <w:rFonts w:ascii="Arial" w:hAnsi="Arial" w:cs="Arial"/>
          <w:sz w:val="24"/>
          <w:szCs w:val="24"/>
        </w:rPr>
      </w:pPr>
      <w:r>
        <w:rPr>
          <w:rFonts w:ascii="Arial" w:hAnsi="Arial" w:cs="Arial"/>
          <w:sz w:val="24"/>
          <w:szCs w:val="24"/>
        </w:rPr>
        <w:t>W</w:t>
      </w:r>
      <w:r w:rsidR="001446AD" w:rsidRPr="00797D7E">
        <w:rPr>
          <w:rFonts w:ascii="Arial" w:hAnsi="Arial" w:cs="Arial"/>
          <w:sz w:val="24"/>
          <w:szCs w:val="24"/>
        </w:rPr>
        <w:t xml:space="preserve">hat balance of proactive and reactive responses </w:t>
      </w:r>
      <w:r w:rsidR="00AC7D5A" w:rsidRPr="00797D7E">
        <w:rPr>
          <w:rFonts w:ascii="Arial" w:hAnsi="Arial" w:cs="Arial"/>
          <w:sz w:val="24"/>
          <w:szCs w:val="24"/>
        </w:rPr>
        <w:t>s</w:t>
      </w:r>
      <w:r w:rsidR="00AC7D5A">
        <w:rPr>
          <w:rFonts w:ascii="Arial" w:hAnsi="Arial" w:cs="Arial"/>
          <w:sz w:val="24"/>
          <w:szCs w:val="24"/>
        </w:rPr>
        <w:t xml:space="preserve">hould </w:t>
      </w:r>
      <w:r w:rsidR="001446AD" w:rsidRPr="00797D7E">
        <w:rPr>
          <w:rFonts w:ascii="Arial" w:hAnsi="Arial" w:cs="Arial"/>
          <w:sz w:val="24"/>
          <w:szCs w:val="24"/>
        </w:rPr>
        <w:t xml:space="preserve">universities </w:t>
      </w:r>
      <w:r>
        <w:rPr>
          <w:rFonts w:ascii="Arial" w:hAnsi="Arial" w:cs="Arial"/>
          <w:sz w:val="24"/>
          <w:szCs w:val="24"/>
        </w:rPr>
        <w:t>adopt?</w:t>
      </w:r>
    </w:p>
    <w:p w14:paraId="202AB234" w14:textId="77777777" w:rsidR="00A37499" w:rsidRDefault="00797D7E" w:rsidP="006E6D29">
      <w:pPr>
        <w:pStyle w:val="ListParagraph"/>
        <w:numPr>
          <w:ilvl w:val="0"/>
          <w:numId w:val="12"/>
        </w:numPr>
        <w:ind w:right="-357"/>
        <w:rPr>
          <w:rFonts w:ascii="Arial" w:hAnsi="Arial" w:cs="Arial"/>
          <w:sz w:val="24"/>
          <w:szCs w:val="24"/>
        </w:rPr>
      </w:pPr>
      <w:r>
        <w:rPr>
          <w:rFonts w:ascii="Arial" w:hAnsi="Arial" w:cs="Arial"/>
          <w:sz w:val="24"/>
          <w:szCs w:val="24"/>
        </w:rPr>
        <w:t>If institutions are to adopt a</w:t>
      </w:r>
      <w:r w:rsidR="001446AD" w:rsidRPr="00797D7E">
        <w:rPr>
          <w:rFonts w:ascii="Arial" w:hAnsi="Arial" w:cs="Arial"/>
          <w:sz w:val="24"/>
          <w:szCs w:val="24"/>
        </w:rPr>
        <w:t xml:space="preserve"> ‘whole university approach,’ </w:t>
      </w:r>
      <w:r>
        <w:rPr>
          <w:rFonts w:ascii="Arial" w:hAnsi="Arial" w:cs="Arial"/>
          <w:sz w:val="24"/>
          <w:szCs w:val="24"/>
        </w:rPr>
        <w:t>what should the role of Student Services be within this approach?</w:t>
      </w:r>
      <w:r w:rsidR="00A37499" w:rsidRPr="00A37499">
        <w:rPr>
          <w:rFonts w:ascii="Arial" w:hAnsi="Arial" w:cs="Arial"/>
          <w:sz w:val="24"/>
          <w:szCs w:val="24"/>
        </w:rPr>
        <w:t xml:space="preserve"> </w:t>
      </w:r>
    </w:p>
    <w:p w14:paraId="21033E3F" w14:textId="77777777" w:rsidR="00797D7E" w:rsidRPr="00A37499" w:rsidRDefault="00A37499" w:rsidP="006E6D29">
      <w:pPr>
        <w:pStyle w:val="ListParagraph"/>
        <w:numPr>
          <w:ilvl w:val="0"/>
          <w:numId w:val="12"/>
        </w:numPr>
        <w:ind w:right="-357"/>
        <w:rPr>
          <w:rFonts w:ascii="Arial" w:hAnsi="Arial" w:cs="Arial"/>
          <w:sz w:val="24"/>
          <w:szCs w:val="24"/>
        </w:rPr>
      </w:pPr>
      <w:r w:rsidRPr="00A37499">
        <w:rPr>
          <w:rFonts w:ascii="Arial" w:hAnsi="Arial" w:cs="Arial"/>
          <w:sz w:val="24"/>
          <w:szCs w:val="24"/>
        </w:rPr>
        <w:t xml:space="preserve">How closely positioned should Student Services be to core university missions and the academic universe? </w:t>
      </w:r>
    </w:p>
    <w:p w14:paraId="1477CA0F" w14:textId="77777777" w:rsidR="006C4414" w:rsidRDefault="00CD2A98" w:rsidP="00E345EE">
      <w:pPr>
        <w:spacing w:after="160" w:line="259" w:lineRule="auto"/>
        <w:ind w:right="-357"/>
        <w:rPr>
          <w:rFonts w:ascii="Arial" w:hAnsi="Arial" w:cs="Arial"/>
        </w:rPr>
      </w:pPr>
      <w:r>
        <w:rPr>
          <w:rFonts w:ascii="Arial" w:hAnsi="Arial" w:cs="Arial"/>
        </w:rPr>
        <w:t>This chapter will, therefore, explore these questions and drawing on e</w:t>
      </w:r>
      <w:r w:rsidR="003C6F57">
        <w:rPr>
          <w:rFonts w:ascii="Arial" w:hAnsi="Arial" w:cs="Arial"/>
        </w:rPr>
        <w:t xml:space="preserve">vidence from the literature, </w:t>
      </w:r>
      <w:r>
        <w:rPr>
          <w:rFonts w:ascii="Arial" w:hAnsi="Arial" w:cs="Arial"/>
        </w:rPr>
        <w:t>developing practice</w:t>
      </w:r>
      <w:r w:rsidR="007C3E4E">
        <w:rPr>
          <w:rFonts w:ascii="Arial" w:hAnsi="Arial" w:cs="Arial"/>
        </w:rPr>
        <w:t xml:space="preserve"> and </w:t>
      </w:r>
      <w:r w:rsidR="003C6F57">
        <w:rPr>
          <w:rFonts w:ascii="Arial" w:hAnsi="Arial" w:cs="Arial"/>
        </w:rPr>
        <w:t xml:space="preserve">a </w:t>
      </w:r>
      <w:r w:rsidR="007C3E4E">
        <w:rPr>
          <w:rFonts w:ascii="Arial" w:hAnsi="Arial" w:cs="Arial"/>
        </w:rPr>
        <w:t>case study from</w:t>
      </w:r>
      <w:r>
        <w:rPr>
          <w:rFonts w:ascii="Arial" w:hAnsi="Arial" w:cs="Arial"/>
        </w:rPr>
        <w:t xml:space="preserve"> the UK, seek to develop an outline theoretical response through which these tensions can be addressed.</w:t>
      </w:r>
    </w:p>
    <w:p w14:paraId="528F6CC0" w14:textId="77777777" w:rsidR="0023724C" w:rsidRDefault="00AC7D5A" w:rsidP="00E345EE">
      <w:pPr>
        <w:spacing w:after="160" w:line="259" w:lineRule="auto"/>
        <w:ind w:right="-357"/>
        <w:rPr>
          <w:rFonts w:ascii="Arial" w:hAnsi="Arial" w:cs="Arial"/>
          <w:b/>
        </w:rPr>
      </w:pPr>
      <w:r>
        <w:rPr>
          <w:rFonts w:ascii="Arial" w:hAnsi="Arial" w:cs="Arial"/>
          <w:b/>
        </w:rPr>
        <w:t xml:space="preserve">A note on terminology </w:t>
      </w:r>
    </w:p>
    <w:p w14:paraId="634BF0A4" w14:textId="030131D7" w:rsidR="0023724C" w:rsidRPr="0023724C" w:rsidRDefault="0023724C" w:rsidP="00E345EE">
      <w:pPr>
        <w:spacing w:after="160" w:line="259" w:lineRule="auto"/>
        <w:ind w:right="-357"/>
        <w:rPr>
          <w:rFonts w:ascii="Arial" w:hAnsi="Arial" w:cs="Arial"/>
        </w:rPr>
      </w:pPr>
      <w:r>
        <w:rPr>
          <w:rFonts w:ascii="Arial" w:hAnsi="Arial" w:cs="Arial"/>
        </w:rPr>
        <w:t xml:space="preserve">The terms mental illness, mental health and wellbeing are often used interchangeably and without </w:t>
      </w:r>
      <w:r w:rsidR="0041007E">
        <w:rPr>
          <w:rFonts w:ascii="Arial" w:hAnsi="Arial" w:cs="Arial"/>
        </w:rPr>
        <w:t xml:space="preserve">clear </w:t>
      </w:r>
      <w:r>
        <w:rPr>
          <w:rFonts w:ascii="Arial" w:hAnsi="Arial" w:cs="Arial"/>
        </w:rPr>
        <w:t>definition. This can lead to misunderstanding and a lack of clarity and focus. In this chapter, mental illness will be taken to mean poor mental health or a condition that may receive a clinical diagnosis. Mental health will refer to a full spectrum ranging from good mental health to mental illness. Wellbeing will encompass a wider framework, of which mental health is an integral part, but which, on Kraut’s model</w:t>
      </w:r>
      <w:r w:rsidR="00570E3B">
        <w:rPr>
          <w:rFonts w:ascii="Arial" w:hAnsi="Arial" w:cs="Arial"/>
        </w:rPr>
        <w:t xml:space="preserve"> (2009)</w:t>
      </w:r>
      <w:r>
        <w:rPr>
          <w:rFonts w:ascii="Arial" w:hAnsi="Arial" w:cs="Arial"/>
        </w:rPr>
        <w:t>, also includes physical and social wellbeing, leading to flourishing at its optimum level.</w:t>
      </w:r>
    </w:p>
    <w:p w14:paraId="735BBD2F" w14:textId="77777777" w:rsidR="00E345EE" w:rsidRPr="00231DAC" w:rsidRDefault="00E345EE" w:rsidP="00FA5607">
      <w:pPr>
        <w:ind w:right="-360"/>
        <w:rPr>
          <w:rFonts w:ascii="Arial" w:hAnsi="Arial" w:cs="Arial"/>
        </w:rPr>
      </w:pPr>
    </w:p>
    <w:p w14:paraId="2175ACB6" w14:textId="77777777" w:rsidR="00EB1D2C" w:rsidRPr="00512BF5" w:rsidRDefault="0023724C" w:rsidP="00512BF5">
      <w:pPr>
        <w:pStyle w:val="Heading2"/>
        <w:pBdr>
          <w:top w:val="single" w:sz="4" w:space="1" w:color="auto"/>
          <w:left w:val="single" w:sz="4" w:space="4" w:color="auto"/>
          <w:bottom w:val="single" w:sz="4" w:space="1" w:color="auto"/>
          <w:right w:val="single" w:sz="4" w:space="4" w:color="auto"/>
        </w:pBdr>
        <w:shd w:val="clear" w:color="auto" w:fill="92CDDC"/>
        <w:spacing w:before="0" w:after="0"/>
        <w:rPr>
          <w:rFonts w:ascii="Cambria" w:hAnsi="Cambria" w:cs="Calibri"/>
          <w:b/>
        </w:rPr>
      </w:pPr>
      <w:r>
        <w:rPr>
          <w:rFonts w:ascii="Cambria" w:hAnsi="Cambria" w:cs="Calibri"/>
          <w:b/>
        </w:rPr>
        <w:t>The relationship between student services and the academic universe</w:t>
      </w:r>
    </w:p>
    <w:p w14:paraId="3A6F86AD" w14:textId="77777777" w:rsidR="00512BF5" w:rsidRPr="003B12AD" w:rsidRDefault="00512BF5" w:rsidP="00512BF5">
      <w:pPr>
        <w:ind w:right="-360"/>
        <w:rPr>
          <w:rFonts w:ascii="Calibri" w:hAnsi="Calibri" w:cs="Calibri"/>
          <w:sz w:val="8"/>
          <w:szCs w:val="8"/>
        </w:rPr>
      </w:pPr>
    </w:p>
    <w:p w14:paraId="638E7C67" w14:textId="55DB21BA" w:rsidR="00B367CF" w:rsidRDefault="00B367CF" w:rsidP="009B6653">
      <w:pPr>
        <w:spacing w:after="160" w:line="259" w:lineRule="auto"/>
        <w:ind w:right="-357"/>
        <w:rPr>
          <w:rFonts w:ascii="Arial" w:hAnsi="Arial" w:cs="Arial"/>
        </w:rPr>
      </w:pPr>
      <w:r>
        <w:rPr>
          <w:rFonts w:ascii="Arial" w:hAnsi="Arial" w:cs="Arial"/>
        </w:rPr>
        <w:t>A number of concerns have been raised in the literature and sector discourse that Student Services teams and academics exist in different worlds</w:t>
      </w:r>
      <w:r w:rsidR="009E5016">
        <w:rPr>
          <w:rFonts w:ascii="Arial" w:hAnsi="Arial" w:cs="Arial"/>
        </w:rPr>
        <w:t xml:space="preserve"> (Hughes, et al, 2018; Greatrix, 2018)</w:t>
      </w:r>
      <w:r>
        <w:rPr>
          <w:rFonts w:ascii="Arial" w:hAnsi="Arial" w:cs="Arial"/>
        </w:rPr>
        <w:t>. These concerns suggest that Student Services and academics often use different language, have different conceptions of students and university life and differing sets of priorities or mission.</w:t>
      </w:r>
    </w:p>
    <w:p w14:paraId="6C476849" w14:textId="0164B880" w:rsidR="008655B3" w:rsidRDefault="0015643E" w:rsidP="009B6653">
      <w:pPr>
        <w:spacing w:after="160" w:line="259" w:lineRule="auto"/>
        <w:ind w:right="-357"/>
        <w:rPr>
          <w:rFonts w:ascii="Arial" w:hAnsi="Arial" w:cs="Arial"/>
        </w:rPr>
      </w:pPr>
      <w:r>
        <w:rPr>
          <w:rFonts w:ascii="Arial" w:hAnsi="Arial" w:cs="Arial"/>
        </w:rPr>
        <w:t xml:space="preserve">While this separation may well occur as </w:t>
      </w:r>
      <w:r w:rsidR="0041007E">
        <w:rPr>
          <w:rFonts w:ascii="Arial" w:hAnsi="Arial" w:cs="Arial"/>
        </w:rPr>
        <w:t xml:space="preserve">a </w:t>
      </w:r>
      <w:r>
        <w:rPr>
          <w:rFonts w:ascii="Arial" w:hAnsi="Arial" w:cs="Arial"/>
        </w:rPr>
        <w:t xml:space="preserve">result of unplanned developments in culture and organization, there are ethical arguments </w:t>
      </w:r>
      <w:r w:rsidR="00E024E6">
        <w:rPr>
          <w:rFonts w:ascii="Arial" w:hAnsi="Arial" w:cs="Arial"/>
        </w:rPr>
        <w:t>that suggest</w:t>
      </w:r>
      <w:r w:rsidR="008655B3">
        <w:rPr>
          <w:rFonts w:ascii="Arial" w:hAnsi="Arial" w:cs="Arial"/>
        </w:rPr>
        <w:t xml:space="preserve"> that </w:t>
      </w:r>
      <w:r>
        <w:rPr>
          <w:rFonts w:ascii="Arial" w:hAnsi="Arial" w:cs="Arial"/>
        </w:rPr>
        <w:t>students</w:t>
      </w:r>
      <w:r w:rsidR="008655B3">
        <w:rPr>
          <w:rFonts w:ascii="Arial" w:hAnsi="Arial" w:cs="Arial"/>
        </w:rPr>
        <w:t xml:space="preserve"> </w:t>
      </w:r>
      <w:r w:rsidR="00AC7D5A">
        <w:rPr>
          <w:rFonts w:ascii="Arial" w:hAnsi="Arial" w:cs="Arial"/>
        </w:rPr>
        <w:t xml:space="preserve">may </w:t>
      </w:r>
      <w:r w:rsidR="008655B3">
        <w:rPr>
          <w:rFonts w:ascii="Arial" w:hAnsi="Arial" w:cs="Arial"/>
        </w:rPr>
        <w:t xml:space="preserve">benefit from at least some separation </w:t>
      </w:r>
      <w:r>
        <w:rPr>
          <w:rFonts w:ascii="Arial" w:hAnsi="Arial" w:cs="Arial"/>
        </w:rPr>
        <w:t>between Student Services and</w:t>
      </w:r>
      <w:r w:rsidR="008655B3">
        <w:rPr>
          <w:rFonts w:ascii="Arial" w:hAnsi="Arial" w:cs="Arial"/>
        </w:rPr>
        <w:t xml:space="preserve"> the academic universe.</w:t>
      </w:r>
    </w:p>
    <w:p w14:paraId="0A78B5CE" w14:textId="0DDCD984" w:rsidR="006515AA" w:rsidRDefault="008655B3" w:rsidP="009B6653">
      <w:pPr>
        <w:spacing w:after="160" w:line="259" w:lineRule="auto"/>
        <w:ind w:right="-357"/>
        <w:rPr>
          <w:rFonts w:ascii="Arial" w:hAnsi="Arial" w:cs="Arial"/>
        </w:rPr>
      </w:pPr>
      <w:r>
        <w:rPr>
          <w:rFonts w:ascii="Arial" w:hAnsi="Arial" w:cs="Arial"/>
        </w:rPr>
        <w:t>From a student perspective, r</w:t>
      </w:r>
      <w:r w:rsidR="006515AA">
        <w:rPr>
          <w:rFonts w:ascii="Arial" w:hAnsi="Arial" w:cs="Arial"/>
        </w:rPr>
        <w:t xml:space="preserve">esearch indicates that </w:t>
      </w:r>
      <w:r>
        <w:rPr>
          <w:rFonts w:ascii="Arial" w:hAnsi="Arial" w:cs="Arial"/>
        </w:rPr>
        <w:t>many</w:t>
      </w:r>
      <w:r w:rsidR="006515AA">
        <w:rPr>
          <w:rFonts w:ascii="Arial" w:hAnsi="Arial" w:cs="Arial"/>
        </w:rPr>
        <w:t xml:space="preserve"> do not want their tutors or academic supervisors to </w:t>
      </w:r>
      <w:r w:rsidR="00737F80">
        <w:rPr>
          <w:rFonts w:ascii="Arial" w:hAnsi="Arial" w:cs="Arial"/>
        </w:rPr>
        <w:t>know if</w:t>
      </w:r>
      <w:r w:rsidR="006515AA">
        <w:rPr>
          <w:rFonts w:ascii="Arial" w:hAnsi="Arial" w:cs="Arial"/>
        </w:rPr>
        <w:t xml:space="preserve"> they are </w:t>
      </w:r>
      <w:r>
        <w:rPr>
          <w:rFonts w:ascii="Arial" w:hAnsi="Arial" w:cs="Arial"/>
        </w:rPr>
        <w:t xml:space="preserve">accessing support for their mental health or wellbeing </w:t>
      </w:r>
      <w:r w:rsidR="00500A64">
        <w:rPr>
          <w:rFonts w:ascii="Arial" w:hAnsi="Arial" w:cs="Arial"/>
        </w:rPr>
        <w:t>(M</w:t>
      </w:r>
      <w:r w:rsidR="008311B2">
        <w:rPr>
          <w:rFonts w:ascii="Arial" w:hAnsi="Arial" w:cs="Arial"/>
        </w:rPr>
        <w:t>cA</w:t>
      </w:r>
      <w:r w:rsidR="00500A64">
        <w:rPr>
          <w:rFonts w:ascii="Arial" w:hAnsi="Arial" w:cs="Arial"/>
        </w:rPr>
        <w:t>llister, et al, 2014)</w:t>
      </w:r>
      <w:r w:rsidR="006515AA">
        <w:rPr>
          <w:rFonts w:ascii="Arial" w:hAnsi="Arial" w:cs="Arial"/>
        </w:rPr>
        <w:t xml:space="preserve">. </w:t>
      </w:r>
      <w:r w:rsidR="006A6498">
        <w:rPr>
          <w:rFonts w:ascii="Arial" w:hAnsi="Arial" w:cs="Arial"/>
        </w:rPr>
        <w:t xml:space="preserve">Perhaps understandably, some students report being concerned that if their academic knows they are mentally ill or </w:t>
      </w:r>
      <w:r w:rsidR="00F2529F">
        <w:rPr>
          <w:rFonts w:ascii="Arial" w:hAnsi="Arial" w:cs="Arial"/>
        </w:rPr>
        <w:t xml:space="preserve">that they </w:t>
      </w:r>
      <w:r w:rsidR="006A6498">
        <w:rPr>
          <w:rFonts w:ascii="Arial" w:hAnsi="Arial" w:cs="Arial"/>
        </w:rPr>
        <w:t>require support</w:t>
      </w:r>
      <w:r w:rsidR="00D561A7">
        <w:rPr>
          <w:rFonts w:ascii="Arial" w:hAnsi="Arial" w:cs="Arial"/>
        </w:rPr>
        <w:t>,</w:t>
      </w:r>
      <w:r w:rsidR="006A6498">
        <w:rPr>
          <w:rFonts w:ascii="Arial" w:hAnsi="Arial" w:cs="Arial"/>
        </w:rPr>
        <w:t xml:space="preserve"> </w:t>
      </w:r>
      <w:r w:rsidR="00F2529F">
        <w:rPr>
          <w:rFonts w:ascii="Arial" w:hAnsi="Arial" w:cs="Arial"/>
        </w:rPr>
        <w:t xml:space="preserve">this </w:t>
      </w:r>
      <w:r w:rsidR="006A6498">
        <w:rPr>
          <w:rFonts w:ascii="Arial" w:hAnsi="Arial" w:cs="Arial"/>
        </w:rPr>
        <w:t>may alter their</w:t>
      </w:r>
      <w:r w:rsidR="00F2529F">
        <w:rPr>
          <w:rFonts w:ascii="Arial" w:hAnsi="Arial" w:cs="Arial"/>
        </w:rPr>
        <w:t xml:space="preserve"> tutor’s</w:t>
      </w:r>
      <w:r w:rsidR="006A6498">
        <w:rPr>
          <w:rFonts w:ascii="Arial" w:hAnsi="Arial" w:cs="Arial"/>
        </w:rPr>
        <w:t xml:space="preserve"> perception of them and may </w:t>
      </w:r>
      <w:r w:rsidR="00B367CF">
        <w:rPr>
          <w:rFonts w:ascii="Arial" w:hAnsi="Arial" w:cs="Arial"/>
        </w:rPr>
        <w:t>affect</w:t>
      </w:r>
      <w:r w:rsidR="006A6498">
        <w:rPr>
          <w:rFonts w:ascii="Arial" w:hAnsi="Arial" w:cs="Arial"/>
        </w:rPr>
        <w:t xml:space="preserve"> future opportunities.</w:t>
      </w:r>
      <w:r>
        <w:rPr>
          <w:rFonts w:ascii="Arial" w:hAnsi="Arial" w:cs="Arial"/>
        </w:rPr>
        <w:t xml:space="preserve"> </w:t>
      </w:r>
    </w:p>
    <w:p w14:paraId="53E347EC" w14:textId="77777777" w:rsidR="00D347F4" w:rsidRDefault="006515AA" w:rsidP="009B6653">
      <w:pPr>
        <w:spacing w:after="160" w:line="259" w:lineRule="auto"/>
        <w:ind w:right="-357"/>
        <w:rPr>
          <w:rFonts w:ascii="Arial" w:hAnsi="Arial" w:cs="Arial"/>
        </w:rPr>
      </w:pPr>
      <w:r>
        <w:rPr>
          <w:rFonts w:ascii="Arial" w:hAnsi="Arial" w:cs="Arial"/>
        </w:rPr>
        <w:t xml:space="preserve">A clear separation between </w:t>
      </w:r>
      <w:r w:rsidR="0033376D">
        <w:rPr>
          <w:rFonts w:ascii="Arial" w:hAnsi="Arial" w:cs="Arial"/>
        </w:rPr>
        <w:t>Student S</w:t>
      </w:r>
      <w:r>
        <w:rPr>
          <w:rFonts w:ascii="Arial" w:hAnsi="Arial" w:cs="Arial"/>
        </w:rPr>
        <w:t>ervices and the academic community can</w:t>
      </w:r>
      <w:r w:rsidR="009B6653">
        <w:rPr>
          <w:rFonts w:ascii="Arial" w:hAnsi="Arial" w:cs="Arial"/>
        </w:rPr>
        <w:t>,</w:t>
      </w:r>
      <w:r>
        <w:rPr>
          <w:rFonts w:ascii="Arial" w:hAnsi="Arial" w:cs="Arial"/>
        </w:rPr>
        <w:t xml:space="preserve"> therefore help to reassure students that they can rely on the confidentiality of the support they are receiving. </w:t>
      </w:r>
      <w:r w:rsidR="009E0523">
        <w:rPr>
          <w:rFonts w:ascii="Arial" w:hAnsi="Arial" w:cs="Arial"/>
        </w:rPr>
        <w:t>While</w:t>
      </w:r>
      <w:r w:rsidR="009B6653">
        <w:rPr>
          <w:rFonts w:ascii="Arial" w:hAnsi="Arial" w:cs="Arial"/>
        </w:rPr>
        <w:t>, if students perceive this confidentiality wall to be porous</w:t>
      </w:r>
      <w:r w:rsidR="008655B3">
        <w:rPr>
          <w:rFonts w:ascii="Arial" w:hAnsi="Arial" w:cs="Arial"/>
        </w:rPr>
        <w:t>, because of a close relationship between Student Services and academics,</w:t>
      </w:r>
      <w:r w:rsidR="009B6653">
        <w:rPr>
          <w:rFonts w:ascii="Arial" w:hAnsi="Arial" w:cs="Arial"/>
        </w:rPr>
        <w:t xml:space="preserve"> they may be less willing to access professional support when needed. </w:t>
      </w:r>
      <w:r>
        <w:rPr>
          <w:rFonts w:ascii="Arial" w:hAnsi="Arial" w:cs="Arial"/>
        </w:rPr>
        <w:t xml:space="preserve"> </w:t>
      </w:r>
    </w:p>
    <w:p w14:paraId="514B0964" w14:textId="77777777" w:rsidR="00D251B6" w:rsidRDefault="007C3E4E" w:rsidP="009B6653">
      <w:pPr>
        <w:spacing w:after="160" w:line="259" w:lineRule="auto"/>
        <w:ind w:right="-357"/>
        <w:rPr>
          <w:rFonts w:ascii="Arial" w:hAnsi="Arial" w:cs="Arial"/>
        </w:rPr>
      </w:pPr>
      <w:r>
        <w:rPr>
          <w:rFonts w:ascii="Arial" w:hAnsi="Arial" w:cs="Arial"/>
        </w:rPr>
        <w:t xml:space="preserve">It </w:t>
      </w:r>
      <w:r w:rsidR="003C6F57">
        <w:rPr>
          <w:rFonts w:ascii="Arial" w:hAnsi="Arial" w:cs="Arial"/>
        </w:rPr>
        <w:t>could, therefore, be</w:t>
      </w:r>
      <w:r>
        <w:rPr>
          <w:rFonts w:ascii="Arial" w:hAnsi="Arial" w:cs="Arial"/>
        </w:rPr>
        <w:t xml:space="preserve"> </w:t>
      </w:r>
      <w:r w:rsidR="000735D1">
        <w:rPr>
          <w:rFonts w:ascii="Arial" w:hAnsi="Arial" w:cs="Arial"/>
        </w:rPr>
        <w:t>argued</w:t>
      </w:r>
      <w:r>
        <w:rPr>
          <w:rFonts w:ascii="Arial" w:hAnsi="Arial" w:cs="Arial"/>
        </w:rPr>
        <w:t xml:space="preserve"> that m</w:t>
      </w:r>
      <w:r w:rsidR="00D251B6">
        <w:rPr>
          <w:rFonts w:ascii="Arial" w:hAnsi="Arial" w:cs="Arial"/>
        </w:rPr>
        <w:t xml:space="preserve">aintaining clear separation can help avoid such </w:t>
      </w:r>
      <w:r>
        <w:rPr>
          <w:rFonts w:ascii="Arial" w:hAnsi="Arial" w:cs="Arial"/>
        </w:rPr>
        <w:t xml:space="preserve">ethical </w:t>
      </w:r>
      <w:r w:rsidR="00D251B6">
        <w:rPr>
          <w:rFonts w:ascii="Arial" w:hAnsi="Arial" w:cs="Arial"/>
        </w:rPr>
        <w:t>dilemmas.</w:t>
      </w:r>
    </w:p>
    <w:p w14:paraId="46B4274E" w14:textId="1A4394ED" w:rsidR="007648F2" w:rsidRDefault="009E0523" w:rsidP="007648F2">
      <w:pPr>
        <w:spacing w:after="160" w:line="259" w:lineRule="auto"/>
        <w:ind w:right="-357"/>
        <w:rPr>
          <w:rFonts w:ascii="Arial" w:hAnsi="Arial" w:cs="Arial"/>
        </w:rPr>
      </w:pPr>
      <w:r>
        <w:rPr>
          <w:rFonts w:ascii="Arial" w:hAnsi="Arial" w:cs="Arial"/>
        </w:rPr>
        <w:t>However, whilst this</w:t>
      </w:r>
      <w:r w:rsidR="007648F2">
        <w:rPr>
          <w:rFonts w:ascii="Arial" w:hAnsi="Arial" w:cs="Arial"/>
        </w:rPr>
        <w:t xml:space="preserve"> ethical concern deserve</w:t>
      </w:r>
      <w:r>
        <w:rPr>
          <w:rFonts w:ascii="Arial" w:hAnsi="Arial" w:cs="Arial"/>
        </w:rPr>
        <w:t>s</w:t>
      </w:r>
      <w:r w:rsidR="007648F2">
        <w:rPr>
          <w:rFonts w:ascii="Arial" w:hAnsi="Arial" w:cs="Arial"/>
        </w:rPr>
        <w:t xml:space="preserve"> consideration, research shows that separation between Student Services and the academic universe can have negative consequences for students, student wellbeing and responses to student mental illness. In particular, when there are poor or no relationships between academics and Student Services, this can create gaps in support through which students can fall. As a result, ill students do not receive the support they need, in a timely manner</w:t>
      </w:r>
      <w:r w:rsidR="00403051">
        <w:rPr>
          <w:rFonts w:ascii="Arial" w:hAnsi="Arial" w:cs="Arial"/>
        </w:rPr>
        <w:t>, potentially creating greater risk</w:t>
      </w:r>
      <w:r w:rsidR="007648F2">
        <w:rPr>
          <w:rFonts w:ascii="Arial" w:hAnsi="Arial" w:cs="Arial"/>
        </w:rPr>
        <w:t xml:space="preserve">. Conversely, when academics and Student Services are able to work together, with individual students, to co-ordinate support and allocate appropriate responsibility, this </w:t>
      </w:r>
      <w:r w:rsidR="006B0D12">
        <w:rPr>
          <w:rFonts w:ascii="Arial" w:hAnsi="Arial" w:cs="Arial"/>
        </w:rPr>
        <w:t xml:space="preserve">collaboration </w:t>
      </w:r>
      <w:r w:rsidR="007648F2">
        <w:rPr>
          <w:rFonts w:ascii="Arial" w:hAnsi="Arial" w:cs="Arial"/>
        </w:rPr>
        <w:t xml:space="preserve">provides a more effective and cohesive response (e.g. Hughes et al, 2018). </w:t>
      </w:r>
    </w:p>
    <w:p w14:paraId="0854BD59" w14:textId="77777777" w:rsidR="009E0523" w:rsidRPr="008C3EE4" w:rsidRDefault="009E0523" w:rsidP="009E0523">
      <w:pPr>
        <w:spacing w:after="160" w:line="259" w:lineRule="auto"/>
        <w:ind w:right="-357"/>
        <w:rPr>
          <w:rFonts w:ascii="Arial" w:hAnsi="Arial" w:cs="Arial"/>
        </w:rPr>
      </w:pPr>
      <w:r w:rsidRPr="008C3EE4">
        <w:rPr>
          <w:rFonts w:ascii="Arial" w:hAnsi="Arial" w:cs="Arial"/>
        </w:rPr>
        <w:t>There are also</w:t>
      </w:r>
      <w:r>
        <w:rPr>
          <w:rFonts w:ascii="Arial" w:hAnsi="Arial" w:cs="Arial"/>
        </w:rPr>
        <w:t xml:space="preserve"> </w:t>
      </w:r>
      <w:r w:rsidR="006E6D29">
        <w:rPr>
          <w:rFonts w:ascii="Arial" w:hAnsi="Arial" w:cs="Arial"/>
        </w:rPr>
        <w:t>institutional</w:t>
      </w:r>
      <w:r w:rsidRPr="008C3EE4">
        <w:rPr>
          <w:rFonts w:ascii="Arial" w:hAnsi="Arial" w:cs="Arial"/>
        </w:rPr>
        <w:t xml:space="preserve"> risk</w:t>
      </w:r>
      <w:r>
        <w:rPr>
          <w:rFonts w:ascii="Arial" w:hAnsi="Arial" w:cs="Arial"/>
        </w:rPr>
        <w:t>s f</w:t>
      </w:r>
      <w:r w:rsidRPr="008C3EE4">
        <w:rPr>
          <w:rFonts w:ascii="Arial" w:hAnsi="Arial" w:cs="Arial"/>
        </w:rPr>
        <w:t>r</w:t>
      </w:r>
      <w:r>
        <w:rPr>
          <w:rFonts w:ascii="Arial" w:hAnsi="Arial" w:cs="Arial"/>
        </w:rPr>
        <w:t>om</w:t>
      </w:r>
      <w:r w:rsidRPr="008C3EE4">
        <w:rPr>
          <w:rFonts w:ascii="Arial" w:hAnsi="Arial" w:cs="Arial"/>
        </w:rPr>
        <w:t xml:space="preserve"> Student Services departments being separated from the academic universe. </w:t>
      </w:r>
      <w:r>
        <w:rPr>
          <w:rFonts w:ascii="Arial" w:hAnsi="Arial" w:cs="Arial"/>
        </w:rPr>
        <w:t xml:space="preserve">Student Services departments often have specialised knowledge about the experiences and needs of specific student groups or of the impact of particular aspects of student life. </w:t>
      </w:r>
      <w:r w:rsidRPr="008C3EE4">
        <w:rPr>
          <w:rFonts w:ascii="Arial" w:hAnsi="Arial" w:cs="Arial"/>
        </w:rPr>
        <w:t xml:space="preserve">Separation strips Student Services departments of the opportunity to </w:t>
      </w:r>
      <w:r>
        <w:rPr>
          <w:rFonts w:ascii="Arial" w:hAnsi="Arial" w:cs="Arial"/>
        </w:rPr>
        <w:t xml:space="preserve">use this knowledge to </w:t>
      </w:r>
      <w:r w:rsidRPr="008C3EE4">
        <w:rPr>
          <w:rFonts w:ascii="Arial" w:hAnsi="Arial" w:cs="Arial"/>
        </w:rPr>
        <w:t xml:space="preserve">influence </w:t>
      </w:r>
      <w:r w:rsidR="004211A8">
        <w:rPr>
          <w:rFonts w:ascii="Arial" w:hAnsi="Arial" w:cs="Arial"/>
        </w:rPr>
        <w:t>the academic</w:t>
      </w:r>
      <w:r w:rsidRPr="008C3EE4">
        <w:rPr>
          <w:rFonts w:ascii="Arial" w:hAnsi="Arial" w:cs="Arial"/>
        </w:rPr>
        <w:t xml:space="preserve"> environment. </w:t>
      </w:r>
      <w:r w:rsidR="004211A8">
        <w:rPr>
          <w:rFonts w:ascii="Arial" w:hAnsi="Arial" w:cs="Arial"/>
        </w:rPr>
        <w:t>As a result, university</w:t>
      </w:r>
      <w:r w:rsidRPr="008C3EE4">
        <w:rPr>
          <w:rFonts w:ascii="Arial" w:hAnsi="Arial" w:cs="Arial"/>
        </w:rPr>
        <w:t xml:space="preserve"> policies, practices and culture may develop in ways which, inadvertently</w:t>
      </w:r>
      <w:r>
        <w:rPr>
          <w:rFonts w:ascii="Arial" w:hAnsi="Arial" w:cs="Arial"/>
        </w:rPr>
        <w:t>,</w:t>
      </w:r>
      <w:r w:rsidRPr="008C3EE4">
        <w:rPr>
          <w:rFonts w:ascii="Arial" w:hAnsi="Arial" w:cs="Arial"/>
        </w:rPr>
        <w:t xml:space="preserve"> have negative impacts on the wellbeing of some or all students.</w:t>
      </w:r>
      <w:r>
        <w:rPr>
          <w:rFonts w:ascii="Arial" w:hAnsi="Arial" w:cs="Arial"/>
        </w:rPr>
        <w:t xml:space="preserve"> </w:t>
      </w:r>
    </w:p>
    <w:p w14:paraId="35F0A2ED" w14:textId="77777777" w:rsidR="007648F2" w:rsidRDefault="007648F2" w:rsidP="007648F2">
      <w:pPr>
        <w:spacing w:after="160" w:line="259" w:lineRule="auto"/>
        <w:ind w:right="-357"/>
        <w:rPr>
          <w:rFonts w:ascii="Arial" w:hAnsi="Arial" w:cs="Arial"/>
        </w:rPr>
      </w:pPr>
      <w:r>
        <w:rPr>
          <w:rFonts w:ascii="Arial" w:hAnsi="Arial" w:cs="Arial"/>
        </w:rPr>
        <w:t xml:space="preserve">This suggests </w:t>
      </w:r>
      <w:r w:rsidR="00AC7D5A">
        <w:rPr>
          <w:rFonts w:ascii="Arial" w:hAnsi="Arial" w:cs="Arial"/>
        </w:rPr>
        <w:t>there is a strong</w:t>
      </w:r>
      <w:r w:rsidR="009E0523">
        <w:rPr>
          <w:rFonts w:ascii="Arial" w:hAnsi="Arial" w:cs="Arial"/>
        </w:rPr>
        <w:t>,</w:t>
      </w:r>
      <w:r w:rsidR="00AC7D5A">
        <w:rPr>
          <w:rFonts w:ascii="Arial" w:hAnsi="Arial" w:cs="Arial"/>
        </w:rPr>
        <w:t xml:space="preserve"> </w:t>
      </w:r>
      <w:r>
        <w:rPr>
          <w:rFonts w:ascii="Arial" w:hAnsi="Arial" w:cs="Arial"/>
        </w:rPr>
        <w:t>ethical case for Student Services to move in the direction of a more joined up, whole university approach.</w:t>
      </w:r>
    </w:p>
    <w:p w14:paraId="6BA71C49" w14:textId="77777777" w:rsidR="00246FAF" w:rsidRPr="00512BF5" w:rsidRDefault="00246FAF" w:rsidP="00246FAF">
      <w:pPr>
        <w:pStyle w:val="Heading2"/>
        <w:pBdr>
          <w:top w:val="single" w:sz="4" w:space="1" w:color="auto"/>
          <w:left w:val="single" w:sz="4" w:space="4" w:color="auto"/>
          <w:bottom w:val="single" w:sz="4" w:space="1" w:color="auto"/>
          <w:right w:val="single" w:sz="4" w:space="4" w:color="auto"/>
        </w:pBdr>
        <w:shd w:val="clear" w:color="auto" w:fill="92CDDC"/>
        <w:spacing w:before="0" w:after="0"/>
        <w:rPr>
          <w:rFonts w:ascii="Cambria" w:hAnsi="Cambria" w:cs="Calibri"/>
          <w:b/>
        </w:rPr>
      </w:pPr>
      <w:r>
        <w:rPr>
          <w:rFonts w:ascii="Cambria" w:hAnsi="Cambria" w:cs="Calibri"/>
          <w:b/>
        </w:rPr>
        <w:t>The whole university response to student mental health and wellbeing</w:t>
      </w:r>
    </w:p>
    <w:p w14:paraId="04F51396" w14:textId="77777777" w:rsidR="00246FAF" w:rsidRDefault="00246FAF" w:rsidP="004A4C52">
      <w:pPr>
        <w:spacing w:after="160" w:line="259" w:lineRule="auto"/>
        <w:ind w:right="-357"/>
        <w:rPr>
          <w:rFonts w:ascii="Arial" w:hAnsi="Arial" w:cs="Arial"/>
        </w:rPr>
      </w:pPr>
    </w:p>
    <w:p w14:paraId="48FD06BB" w14:textId="77777777" w:rsidR="00987926" w:rsidRDefault="00FF3E02" w:rsidP="004A4C52">
      <w:pPr>
        <w:spacing w:after="160" w:line="259" w:lineRule="auto"/>
        <w:ind w:right="-357"/>
        <w:rPr>
          <w:rFonts w:ascii="Arial" w:hAnsi="Arial" w:cs="Arial"/>
        </w:rPr>
      </w:pPr>
      <w:r>
        <w:rPr>
          <w:rFonts w:ascii="Arial" w:hAnsi="Arial" w:cs="Arial"/>
        </w:rPr>
        <w:t>I</w:t>
      </w:r>
      <w:r w:rsidR="00987926">
        <w:rPr>
          <w:rFonts w:ascii="Arial" w:hAnsi="Arial" w:cs="Arial"/>
        </w:rPr>
        <w:t>t is not hard to see why a more cohesive</w:t>
      </w:r>
      <w:r w:rsidR="009E0523">
        <w:rPr>
          <w:rFonts w:ascii="Arial" w:hAnsi="Arial" w:cs="Arial"/>
        </w:rPr>
        <w:t>,</w:t>
      </w:r>
      <w:r w:rsidR="00987926">
        <w:rPr>
          <w:rFonts w:ascii="Arial" w:hAnsi="Arial" w:cs="Arial"/>
        </w:rPr>
        <w:t xml:space="preserve"> cross university response may be necessary to support the </w:t>
      </w:r>
      <w:r w:rsidR="001F5516">
        <w:rPr>
          <w:rFonts w:ascii="Arial" w:hAnsi="Arial" w:cs="Arial"/>
        </w:rPr>
        <w:t xml:space="preserve">mental health and </w:t>
      </w:r>
      <w:r w:rsidR="00987926">
        <w:rPr>
          <w:rFonts w:ascii="Arial" w:hAnsi="Arial" w:cs="Arial"/>
        </w:rPr>
        <w:t xml:space="preserve">wellbeing of all students. </w:t>
      </w:r>
    </w:p>
    <w:p w14:paraId="2DF81857" w14:textId="77777777" w:rsidR="00987926" w:rsidRDefault="00987926" w:rsidP="004A4C52">
      <w:pPr>
        <w:spacing w:after="160" w:line="259" w:lineRule="auto"/>
        <w:ind w:right="-357"/>
        <w:rPr>
          <w:rFonts w:ascii="Arial" w:hAnsi="Arial" w:cs="Arial"/>
        </w:rPr>
      </w:pPr>
      <w:r>
        <w:rPr>
          <w:rFonts w:ascii="Arial" w:hAnsi="Arial" w:cs="Arial"/>
        </w:rPr>
        <w:t>First, students themselves do not have separate, departmentally based experiences of their time at university. They have one student experience, made up of multiple elements</w:t>
      </w:r>
      <w:r w:rsidR="00EE0040">
        <w:rPr>
          <w:rFonts w:ascii="Arial" w:hAnsi="Arial" w:cs="Arial"/>
        </w:rPr>
        <w:t>,</w:t>
      </w:r>
      <w:r>
        <w:rPr>
          <w:rFonts w:ascii="Arial" w:hAnsi="Arial" w:cs="Arial"/>
        </w:rPr>
        <w:t xml:space="preserve"> all overlapping and impacting upon each other. </w:t>
      </w:r>
      <w:r w:rsidR="002D7D89">
        <w:rPr>
          <w:rFonts w:ascii="Arial" w:hAnsi="Arial" w:cs="Arial"/>
        </w:rPr>
        <w:t>If universities do not provide education, interventions and support that span these elements, then students are left to navigate this interaction by themselves.</w:t>
      </w:r>
    </w:p>
    <w:p w14:paraId="21CA845E" w14:textId="77777777" w:rsidR="004A4C52" w:rsidRDefault="001F1771" w:rsidP="001F1771">
      <w:pPr>
        <w:spacing w:after="160" w:line="259" w:lineRule="auto"/>
        <w:ind w:right="-357"/>
        <w:rPr>
          <w:rFonts w:ascii="Arial" w:hAnsi="Arial" w:cs="Arial"/>
        </w:rPr>
      </w:pPr>
      <w:r>
        <w:rPr>
          <w:rFonts w:ascii="Arial" w:hAnsi="Arial" w:cs="Arial"/>
        </w:rPr>
        <w:t xml:space="preserve">This is a significant expectation to place </w:t>
      </w:r>
      <w:r w:rsidR="00EE0040">
        <w:rPr>
          <w:rFonts w:ascii="Arial" w:hAnsi="Arial" w:cs="Arial"/>
        </w:rPr>
        <w:t>up</w:t>
      </w:r>
      <w:r>
        <w:rPr>
          <w:rFonts w:ascii="Arial" w:hAnsi="Arial" w:cs="Arial"/>
        </w:rPr>
        <w:t>on students, who may have never been to university before, may not be able to see these connections for themselves and may not have the skills to respond effectively. As Kift (</w:t>
      </w:r>
      <w:r w:rsidR="003F4354">
        <w:rPr>
          <w:rFonts w:ascii="Arial" w:hAnsi="Arial" w:cs="Arial"/>
        </w:rPr>
        <w:t>2009; Kift, Nelson &amp; Clark, 2010</w:t>
      </w:r>
      <w:r>
        <w:rPr>
          <w:rFonts w:ascii="Arial" w:hAnsi="Arial" w:cs="Arial"/>
        </w:rPr>
        <w:t>) has pointed out in her work on transition pedagogy, universities cannot assume that students will automatically bring with them t</w:t>
      </w:r>
      <w:r w:rsidR="00A87CA8">
        <w:rPr>
          <w:rFonts w:ascii="Arial" w:hAnsi="Arial" w:cs="Arial"/>
        </w:rPr>
        <w:t>he</w:t>
      </w:r>
      <w:r>
        <w:rPr>
          <w:rFonts w:ascii="Arial" w:hAnsi="Arial" w:cs="Arial"/>
        </w:rPr>
        <w:t xml:space="preserve"> skills and knowledge to succeed at university.</w:t>
      </w:r>
      <w:r w:rsidR="009E0523">
        <w:rPr>
          <w:rFonts w:ascii="Arial" w:hAnsi="Arial" w:cs="Arial"/>
        </w:rPr>
        <w:t xml:space="preserve"> Instead, it is for universities to ensure that students have the explicit opportunities to gain all of the knowledge, understanding and skills that they will need to be successful</w:t>
      </w:r>
      <w:r>
        <w:rPr>
          <w:rFonts w:ascii="Arial" w:hAnsi="Arial" w:cs="Arial"/>
        </w:rPr>
        <w:t>.</w:t>
      </w:r>
    </w:p>
    <w:p w14:paraId="31A62C4D" w14:textId="77777777" w:rsidR="008311B2" w:rsidRDefault="00F92E12" w:rsidP="001F1771">
      <w:pPr>
        <w:spacing w:after="160" w:line="259" w:lineRule="auto"/>
        <w:ind w:right="-357"/>
        <w:rPr>
          <w:rFonts w:ascii="Arial" w:hAnsi="Arial" w:cs="Arial"/>
        </w:rPr>
      </w:pPr>
      <w:r>
        <w:rPr>
          <w:rFonts w:ascii="Arial" w:hAnsi="Arial" w:cs="Arial"/>
        </w:rPr>
        <w:t>Secondly, as is described above, many students who experience problems with their mental health do no</w:t>
      </w:r>
      <w:r w:rsidR="009A2C41">
        <w:rPr>
          <w:rFonts w:ascii="Arial" w:hAnsi="Arial" w:cs="Arial"/>
        </w:rPr>
        <w:t>t</w:t>
      </w:r>
      <w:r>
        <w:rPr>
          <w:rFonts w:ascii="Arial" w:hAnsi="Arial" w:cs="Arial"/>
        </w:rPr>
        <w:t xml:space="preserve"> access the formal support provided by Student Services. However</w:t>
      </w:r>
      <w:r w:rsidR="009A2C41">
        <w:rPr>
          <w:rFonts w:ascii="Arial" w:hAnsi="Arial" w:cs="Arial"/>
        </w:rPr>
        <w:t>,</w:t>
      </w:r>
      <w:r>
        <w:rPr>
          <w:rFonts w:ascii="Arial" w:hAnsi="Arial" w:cs="Arial"/>
        </w:rPr>
        <w:t xml:space="preserve"> research has</w:t>
      </w:r>
      <w:r w:rsidR="009A2C41">
        <w:rPr>
          <w:rFonts w:ascii="Arial" w:hAnsi="Arial" w:cs="Arial"/>
        </w:rPr>
        <w:t xml:space="preserve"> </w:t>
      </w:r>
      <w:r>
        <w:rPr>
          <w:rFonts w:ascii="Arial" w:hAnsi="Arial" w:cs="Arial"/>
        </w:rPr>
        <w:t>shown that many of these students will turn to others within the university community for support</w:t>
      </w:r>
      <w:r w:rsidR="009A2C41">
        <w:rPr>
          <w:rFonts w:ascii="Arial" w:hAnsi="Arial" w:cs="Arial"/>
        </w:rPr>
        <w:t>, such as peers and their academics</w:t>
      </w:r>
      <w:r w:rsidR="003F4354">
        <w:rPr>
          <w:rFonts w:ascii="Arial" w:hAnsi="Arial" w:cs="Arial"/>
        </w:rPr>
        <w:t xml:space="preserve"> (Byrom, 2018; Hughes, et al, 2018, Hughes &amp; Byrom, 2019)</w:t>
      </w:r>
      <w:r w:rsidR="009A2C41">
        <w:rPr>
          <w:rFonts w:ascii="Arial" w:hAnsi="Arial" w:cs="Arial"/>
        </w:rPr>
        <w:t xml:space="preserve">. </w:t>
      </w:r>
    </w:p>
    <w:p w14:paraId="7144DDEA" w14:textId="0903C13F" w:rsidR="001F1771" w:rsidRDefault="009A2C41" w:rsidP="001F1771">
      <w:pPr>
        <w:spacing w:after="160" w:line="259" w:lineRule="auto"/>
        <w:ind w:right="-357"/>
        <w:rPr>
          <w:rFonts w:ascii="Arial" w:hAnsi="Arial" w:cs="Arial"/>
        </w:rPr>
      </w:pPr>
      <w:r>
        <w:rPr>
          <w:rFonts w:ascii="Arial" w:hAnsi="Arial" w:cs="Arial"/>
        </w:rPr>
        <w:t>A recent report from Student Minds, in the UK, demonstrated that for many academics</w:t>
      </w:r>
      <w:r w:rsidR="004C3573">
        <w:rPr>
          <w:rFonts w:ascii="Arial" w:hAnsi="Arial" w:cs="Arial"/>
        </w:rPr>
        <w:t>,</w:t>
      </w:r>
      <w:r>
        <w:rPr>
          <w:rFonts w:ascii="Arial" w:hAnsi="Arial" w:cs="Arial"/>
        </w:rPr>
        <w:t xml:space="preserve"> responding to issues related to student mental health had become an inevitable part of their role</w:t>
      </w:r>
      <w:r w:rsidR="002F0E8C">
        <w:rPr>
          <w:rFonts w:ascii="Arial" w:hAnsi="Arial" w:cs="Arial"/>
        </w:rPr>
        <w:t xml:space="preserve"> (Hughes, et al, 2018)</w:t>
      </w:r>
      <w:r>
        <w:rPr>
          <w:rFonts w:ascii="Arial" w:hAnsi="Arial" w:cs="Arial"/>
        </w:rPr>
        <w:t>. In this way, aca</w:t>
      </w:r>
      <w:r w:rsidR="004C3573">
        <w:rPr>
          <w:rFonts w:ascii="Arial" w:hAnsi="Arial" w:cs="Arial"/>
        </w:rPr>
        <w:t>demics</w:t>
      </w:r>
      <w:r w:rsidR="004211A8">
        <w:rPr>
          <w:rFonts w:ascii="Arial" w:hAnsi="Arial" w:cs="Arial"/>
        </w:rPr>
        <w:t>,</w:t>
      </w:r>
      <w:r>
        <w:rPr>
          <w:rFonts w:ascii="Arial" w:hAnsi="Arial" w:cs="Arial"/>
        </w:rPr>
        <w:t xml:space="preserve"> in effect</w:t>
      </w:r>
      <w:r w:rsidR="004211A8">
        <w:rPr>
          <w:rFonts w:ascii="Arial" w:hAnsi="Arial" w:cs="Arial"/>
        </w:rPr>
        <w:t>,</w:t>
      </w:r>
      <w:r>
        <w:rPr>
          <w:rFonts w:ascii="Arial" w:hAnsi="Arial" w:cs="Arial"/>
        </w:rPr>
        <w:t xml:space="preserve"> become the invisible front line of </w:t>
      </w:r>
      <w:r w:rsidR="00331135">
        <w:rPr>
          <w:rFonts w:ascii="Arial" w:hAnsi="Arial" w:cs="Arial"/>
        </w:rPr>
        <w:t>S</w:t>
      </w:r>
      <w:r>
        <w:rPr>
          <w:rFonts w:ascii="Arial" w:hAnsi="Arial" w:cs="Arial"/>
        </w:rPr>
        <w:t xml:space="preserve">tudent </w:t>
      </w:r>
      <w:r w:rsidR="00331135">
        <w:rPr>
          <w:rFonts w:ascii="Arial" w:hAnsi="Arial" w:cs="Arial"/>
        </w:rPr>
        <w:t>S</w:t>
      </w:r>
      <w:r w:rsidR="004C3573">
        <w:rPr>
          <w:rFonts w:ascii="Arial" w:hAnsi="Arial" w:cs="Arial"/>
        </w:rPr>
        <w:t>ervices, as they a</w:t>
      </w:r>
      <w:r>
        <w:rPr>
          <w:rFonts w:ascii="Arial" w:hAnsi="Arial" w:cs="Arial"/>
        </w:rPr>
        <w:t xml:space="preserve">re </w:t>
      </w:r>
      <w:r w:rsidR="009E0523">
        <w:rPr>
          <w:rFonts w:ascii="Arial" w:hAnsi="Arial" w:cs="Arial"/>
        </w:rPr>
        <w:t xml:space="preserve">often </w:t>
      </w:r>
      <w:r>
        <w:rPr>
          <w:rFonts w:ascii="Arial" w:hAnsi="Arial" w:cs="Arial"/>
        </w:rPr>
        <w:t>the first people, within their uni</w:t>
      </w:r>
      <w:r w:rsidR="004C3573">
        <w:rPr>
          <w:rFonts w:ascii="Arial" w:hAnsi="Arial" w:cs="Arial"/>
        </w:rPr>
        <w:t xml:space="preserve">versity, to whom students </w:t>
      </w:r>
      <w:r>
        <w:rPr>
          <w:rFonts w:ascii="Arial" w:hAnsi="Arial" w:cs="Arial"/>
        </w:rPr>
        <w:t xml:space="preserve">divulge a mental health problem. </w:t>
      </w:r>
      <w:r w:rsidR="007B5D6A">
        <w:rPr>
          <w:rFonts w:ascii="Arial" w:hAnsi="Arial" w:cs="Arial"/>
        </w:rPr>
        <w:t>Academics also reported that when students were unable to access support from Student Services</w:t>
      </w:r>
      <w:r w:rsidR="00EE0040">
        <w:rPr>
          <w:rFonts w:ascii="Arial" w:hAnsi="Arial" w:cs="Arial"/>
        </w:rPr>
        <w:t>,</w:t>
      </w:r>
      <w:r w:rsidR="007B5D6A">
        <w:rPr>
          <w:rFonts w:ascii="Arial" w:hAnsi="Arial" w:cs="Arial"/>
        </w:rPr>
        <w:t xml:space="preserve"> because of long waiting lists, they returned to their academics for ongoing support.</w:t>
      </w:r>
    </w:p>
    <w:p w14:paraId="7A025D0E" w14:textId="1AF77F4D" w:rsidR="009A2C41" w:rsidRDefault="007B5D6A" w:rsidP="001F1771">
      <w:pPr>
        <w:spacing w:after="160" w:line="259" w:lineRule="auto"/>
        <w:ind w:right="-357"/>
        <w:rPr>
          <w:rFonts w:ascii="Arial" w:hAnsi="Arial" w:cs="Arial"/>
        </w:rPr>
      </w:pPr>
      <w:r>
        <w:rPr>
          <w:rFonts w:ascii="Arial" w:hAnsi="Arial" w:cs="Arial"/>
        </w:rPr>
        <w:t>The a</w:t>
      </w:r>
      <w:r w:rsidR="00DE6A7C">
        <w:rPr>
          <w:rFonts w:ascii="Arial" w:hAnsi="Arial" w:cs="Arial"/>
        </w:rPr>
        <w:t xml:space="preserve">cademics </w:t>
      </w:r>
      <w:r>
        <w:rPr>
          <w:rFonts w:ascii="Arial" w:hAnsi="Arial" w:cs="Arial"/>
        </w:rPr>
        <w:t xml:space="preserve">in </w:t>
      </w:r>
      <w:r w:rsidR="008311B2">
        <w:rPr>
          <w:rFonts w:ascii="Arial" w:hAnsi="Arial" w:cs="Arial"/>
        </w:rPr>
        <w:t>Student Minds study</w:t>
      </w:r>
      <w:r>
        <w:rPr>
          <w:rFonts w:ascii="Arial" w:hAnsi="Arial" w:cs="Arial"/>
        </w:rPr>
        <w:t xml:space="preserve"> felt</w:t>
      </w:r>
      <w:r w:rsidR="00DE6A7C">
        <w:rPr>
          <w:rFonts w:ascii="Arial" w:hAnsi="Arial" w:cs="Arial"/>
        </w:rPr>
        <w:t xml:space="preserve"> unprepared and under</w:t>
      </w:r>
      <w:r>
        <w:rPr>
          <w:rFonts w:ascii="Arial" w:hAnsi="Arial" w:cs="Arial"/>
        </w:rPr>
        <w:t>-</w:t>
      </w:r>
      <w:r w:rsidR="00DE6A7C">
        <w:rPr>
          <w:rFonts w:ascii="Arial" w:hAnsi="Arial" w:cs="Arial"/>
        </w:rPr>
        <w:t>supported for this aspect of their rol</w:t>
      </w:r>
      <w:r>
        <w:rPr>
          <w:rFonts w:ascii="Arial" w:hAnsi="Arial" w:cs="Arial"/>
        </w:rPr>
        <w:t xml:space="preserve">e and found it difficult to understand and maintain appropriate boundaries, creating risk for themselves, students and their universities. </w:t>
      </w:r>
      <w:r w:rsidR="001F5516">
        <w:rPr>
          <w:rFonts w:ascii="Arial" w:hAnsi="Arial" w:cs="Arial"/>
        </w:rPr>
        <w:t>This was also true for staff who were teaching on health care courses and were qualified mental health professionals themselves</w:t>
      </w:r>
      <w:r w:rsidR="00EE0040">
        <w:rPr>
          <w:rFonts w:ascii="Arial" w:hAnsi="Arial" w:cs="Arial"/>
        </w:rPr>
        <w:t xml:space="preserve"> </w:t>
      </w:r>
      <w:r>
        <w:rPr>
          <w:rFonts w:ascii="Arial" w:hAnsi="Arial" w:cs="Arial"/>
        </w:rPr>
        <w:t xml:space="preserve">(Hughes &amp; Byrom, 2019). </w:t>
      </w:r>
      <w:r w:rsidR="002F0E8C">
        <w:rPr>
          <w:rFonts w:ascii="Arial" w:hAnsi="Arial" w:cs="Arial"/>
        </w:rPr>
        <w:t>Given that staff with this level of expertise still found these circumstances challenging, it suggests that universities need to address these issues structurally.</w:t>
      </w:r>
    </w:p>
    <w:p w14:paraId="47B8D673" w14:textId="7C52FE31" w:rsidR="007B5D6A" w:rsidRDefault="008311B2" w:rsidP="001F1771">
      <w:pPr>
        <w:spacing w:after="160" w:line="259" w:lineRule="auto"/>
        <w:ind w:right="-357"/>
        <w:rPr>
          <w:rFonts w:ascii="Arial" w:hAnsi="Arial" w:cs="Arial"/>
        </w:rPr>
      </w:pPr>
      <w:r>
        <w:rPr>
          <w:rFonts w:ascii="Arial" w:hAnsi="Arial" w:cs="Arial"/>
        </w:rPr>
        <w:t>Finally</w:t>
      </w:r>
      <w:r w:rsidR="007B5D6A">
        <w:rPr>
          <w:rFonts w:ascii="Arial" w:hAnsi="Arial" w:cs="Arial"/>
        </w:rPr>
        <w:t>, signposting students to Student Services emerges</w:t>
      </w:r>
      <w:r w:rsidR="002F0E8C">
        <w:rPr>
          <w:rFonts w:ascii="Arial" w:hAnsi="Arial" w:cs="Arial"/>
        </w:rPr>
        <w:t xml:space="preserve"> </w:t>
      </w:r>
      <w:r w:rsidR="007B5D6A">
        <w:rPr>
          <w:rFonts w:ascii="Arial" w:hAnsi="Arial" w:cs="Arial"/>
        </w:rPr>
        <w:t>as a complex, nuanced and at times difficult task that is exacerbated by gaps in understanding and communication</w:t>
      </w:r>
      <w:r w:rsidR="0033376D">
        <w:rPr>
          <w:rFonts w:ascii="Arial" w:hAnsi="Arial" w:cs="Arial"/>
        </w:rPr>
        <w:t>,</w:t>
      </w:r>
      <w:r w:rsidR="007B5D6A">
        <w:rPr>
          <w:rFonts w:ascii="Arial" w:hAnsi="Arial" w:cs="Arial"/>
        </w:rPr>
        <w:t xml:space="preserve"> between academics and Student Services</w:t>
      </w:r>
      <w:r>
        <w:rPr>
          <w:rFonts w:ascii="Arial" w:hAnsi="Arial" w:cs="Arial"/>
        </w:rPr>
        <w:t xml:space="preserve"> (Hughes, et al, 2018)</w:t>
      </w:r>
      <w:r w:rsidR="007B5D6A">
        <w:rPr>
          <w:rFonts w:ascii="Arial" w:hAnsi="Arial" w:cs="Arial"/>
        </w:rPr>
        <w:t>.</w:t>
      </w:r>
    </w:p>
    <w:p w14:paraId="1907D711" w14:textId="2E69E33D" w:rsidR="007B5D6A" w:rsidRDefault="00F01024" w:rsidP="001F1771">
      <w:pPr>
        <w:spacing w:after="160" w:line="259" w:lineRule="auto"/>
        <w:ind w:right="-357"/>
        <w:rPr>
          <w:rFonts w:ascii="Arial" w:hAnsi="Arial" w:cs="Arial"/>
        </w:rPr>
      </w:pPr>
      <w:r>
        <w:rPr>
          <w:rFonts w:ascii="Arial" w:hAnsi="Arial" w:cs="Arial"/>
        </w:rPr>
        <w:t>All of which clearly indicates</w:t>
      </w:r>
      <w:r w:rsidR="009E0523">
        <w:rPr>
          <w:rFonts w:ascii="Arial" w:hAnsi="Arial" w:cs="Arial"/>
        </w:rPr>
        <w:t>,</w:t>
      </w:r>
      <w:r>
        <w:rPr>
          <w:rFonts w:ascii="Arial" w:hAnsi="Arial" w:cs="Arial"/>
        </w:rPr>
        <w:t xml:space="preserve"> that universities </w:t>
      </w:r>
      <w:r w:rsidR="003B1512">
        <w:rPr>
          <w:rFonts w:ascii="Arial" w:hAnsi="Arial" w:cs="Arial"/>
        </w:rPr>
        <w:t>need to do more to properly consider the role of academics</w:t>
      </w:r>
      <w:r w:rsidR="009E0523">
        <w:rPr>
          <w:rFonts w:ascii="Arial" w:hAnsi="Arial" w:cs="Arial"/>
        </w:rPr>
        <w:t xml:space="preserve"> and to ensure closer working </w:t>
      </w:r>
      <w:r w:rsidR="006B0D12">
        <w:rPr>
          <w:rFonts w:ascii="Arial" w:hAnsi="Arial" w:cs="Arial"/>
        </w:rPr>
        <w:t xml:space="preserve">relationships </w:t>
      </w:r>
      <w:r w:rsidR="009E0523">
        <w:rPr>
          <w:rFonts w:ascii="Arial" w:hAnsi="Arial" w:cs="Arial"/>
        </w:rPr>
        <w:t>between Student Services and academic staff, based on common understanding</w:t>
      </w:r>
      <w:r w:rsidR="006B0D12">
        <w:rPr>
          <w:rFonts w:ascii="Arial" w:hAnsi="Arial" w:cs="Arial"/>
        </w:rPr>
        <w:t xml:space="preserve"> and goals</w:t>
      </w:r>
      <w:r w:rsidR="003B1512">
        <w:rPr>
          <w:rFonts w:ascii="Arial" w:hAnsi="Arial" w:cs="Arial"/>
        </w:rPr>
        <w:t>.</w:t>
      </w:r>
    </w:p>
    <w:p w14:paraId="5CD2601F" w14:textId="77777777" w:rsidR="003B1512" w:rsidRDefault="003B1512" w:rsidP="001F1771">
      <w:pPr>
        <w:spacing w:after="160" w:line="259" w:lineRule="auto"/>
        <w:ind w:right="-357"/>
        <w:rPr>
          <w:rFonts w:ascii="Arial" w:hAnsi="Arial" w:cs="Arial"/>
        </w:rPr>
      </w:pPr>
      <w:r>
        <w:rPr>
          <w:rFonts w:ascii="Arial" w:hAnsi="Arial" w:cs="Arial"/>
        </w:rPr>
        <w:t>Finally, the significant, transactional link between wellbeing and learning suggests that support for mental wellbeing cannot be entirely separated from academic learning and teaching.</w:t>
      </w:r>
    </w:p>
    <w:p w14:paraId="0DBE60E7" w14:textId="77777777" w:rsidR="00403051" w:rsidRDefault="00403051" w:rsidP="001F1771">
      <w:pPr>
        <w:spacing w:after="160" w:line="259" w:lineRule="auto"/>
        <w:ind w:right="-357"/>
        <w:rPr>
          <w:rFonts w:ascii="Arial" w:hAnsi="Arial" w:cs="Arial"/>
        </w:rPr>
      </w:pPr>
    </w:p>
    <w:p w14:paraId="5B983703" w14:textId="77777777" w:rsidR="00762DA5" w:rsidRPr="00512BF5" w:rsidRDefault="003B1512" w:rsidP="00762DA5">
      <w:pPr>
        <w:pStyle w:val="Heading2"/>
        <w:pBdr>
          <w:top w:val="single" w:sz="4" w:space="1" w:color="auto"/>
          <w:left w:val="single" w:sz="4" w:space="4" w:color="auto"/>
          <w:bottom w:val="single" w:sz="4" w:space="1" w:color="auto"/>
          <w:right w:val="single" w:sz="4" w:space="4" w:color="auto"/>
        </w:pBdr>
        <w:shd w:val="clear" w:color="auto" w:fill="92CDDC"/>
        <w:spacing w:before="0" w:after="0"/>
        <w:rPr>
          <w:rFonts w:ascii="Cambria" w:hAnsi="Cambria" w:cs="Calibri"/>
          <w:b/>
        </w:rPr>
      </w:pPr>
      <w:bookmarkStart w:id="1" w:name="_Hlk7801257"/>
      <w:r>
        <w:rPr>
          <w:rFonts w:ascii="Cambria" w:hAnsi="Cambria" w:cs="Calibri"/>
          <w:b/>
          <w:i/>
        </w:rPr>
        <w:t>Student Wellbeing and Learning</w:t>
      </w:r>
      <w:r w:rsidR="00762DA5">
        <w:t xml:space="preserve"> </w:t>
      </w:r>
    </w:p>
    <w:bookmarkEnd w:id="1"/>
    <w:p w14:paraId="798357A9" w14:textId="77777777" w:rsidR="00762DA5" w:rsidRDefault="00762DA5" w:rsidP="00762DA5">
      <w:pPr>
        <w:ind w:right="-360"/>
        <w:rPr>
          <w:rFonts w:ascii="Calibri" w:hAnsi="Calibri" w:cs="Calibri"/>
          <w:b/>
          <w:sz w:val="8"/>
          <w:szCs w:val="8"/>
        </w:rPr>
      </w:pPr>
    </w:p>
    <w:p w14:paraId="3EC6EBFA" w14:textId="77777777" w:rsidR="003B1512" w:rsidRDefault="003B1512" w:rsidP="00762DA5">
      <w:pPr>
        <w:ind w:right="-360"/>
        <w:rPr>
          <w:rFonts w:ascii="Calibri" w:hAnsi="Calibri" w:cs="Calibri"/>
          <w:b/>
          <w:sz w:val="8"/>
          <w:szCs w:val="8"/>
        </w:rPr>
      </w:pPr>
    </w:p>
    <w:p w14:paraId="705799C7" w14:textId="77777777" w:rsidR="003B1512" w:rsidRDefault="003B1512" w:rsidP="003B1512">
      <w:pPr>
        <w:spacing w:after="160" w:line="259" w:lineRule="auto"/>
        <w:ind w:right="-357"/>
        <w:rPr>
          <w:rFonts w:ascii="Arial" w:hAnsi="Arial" w:cs="Arial"/>
        </w:rPr>
      </w:pPr>
      <w:r>
        <w:rPr>
          <w:rFonts w:ascii="Arial" w:hAnsi="Arial" w:cs="Arial"/>
        </w:rPr>
        <w:t xml:space="preserve">It has long been accepted that there is a clear relationship between the wellbeing of students and their ability to learn and perform academically. Taking Kraut’s </w:t>
      </w:r>
      <w:r w:rsidR="009C04E8">
        <w:rPr>
          <w:rFonts w:ascii="Arial" w:hAnsi="Arial" w:cs="Arial"/>
        </w:rPr>
        <w:t xml:space="preserve">(2009) </w:t>
      </w:r>
      <w:r>
        <w:rPr>
          <w:rFonts w:ascii="Arial" w:hAnsi="Arial" w:cs="Arial"/>
        </w:rPr>
        <w:t xml:space="preserve">conception of wellbeing as encompassing the physical, psychological (emotional and cognitive) and social aspects of an </w:t>
      </w:r>
      <w:r w:rsidR="00E85E5F">
        <w:rPr>
          <w:rFonts w:ascii="Arial" w:hAnsi="Arial" w:cs="Arial"/>
        </w:rPr>
        <w:t>individual’s life, we can see from the research literature that each has an effect on student learning.</w:t>
      </w:r>
    </w:p>
    <w:p w14:paraId="6BB35DD4" w14:textId="77777777" w:rsidR="00E85E5F" w:rsidRPr="00E85E5F" w:rsidRDefault="00E85E5F" w:rsidP="003B1512">
      <w:pPr>
        <w:spacing w:after="160" w:line="259" w:lineRule="auto"/>
        <w:ind w:right="-357"/>
        <w:rPr>
          <w:rFonts w:ascii="Arial" w:hAnsi="Arial" w:cs="Arial"/>
          <w:b/>
        </w:rPr>
      </w:pPr>
      <w:r w:rsidRPr="00E85E5F">
        <w:rPr>
          <w:rFonts w:ascii="Arial" w:hAnsi="Arial" w:cs="Arial"/>
          <w:b/>
        </w:rPr>
        <w:t>Physical wellbeing and learning</w:t>
      </w:r>
    </w:p>
    <w:p w14:paraId="5B2375A4" w14:textId="77777777" w:rsidR="00E85E5F" w:rsidRDefault="00E85E5F" w:rsidP="00E85E5F">
      <w:pPr>
        <w:jc w:val="both"/>
        <w:rPr>
          <w:rFonts w:ascii="Arial" w:eastAsia="Arial" w:hAnsi="Arial" w:cs="Arial"/>
        </w:rPr>
      </w:pPr>
      <w:r>
        <w:rPr>
          <w:rFonts w:ascii="Arial" w:eastAsia="Arial" w:hAnsi="Arial" w:cs="Arial"/>
        </w:rPr>
        <w:t>Numerous studies have demonstrated the impact of physical wellbeing on student learning and performance. Sleep (</w:t>
      </w:r>
      <w:r w:rsidR="00B81E8D">
        <w:rPr>
          <w:rFonts w:ascii="Arial" w:eastAsia="Arial" w:hAnsi="Arial" w:cs="Arial"/>
        </w:rPr>
        <w:t>Scullen, 2019; Curcio, et al, 2006</w:t>
      </w:r>
      <w:r>
        <w:rPr>
          <w:rFonts w:ascii="Arial" w:eastAsia="Arial" w:hAnsi="Arial" w:cs="Arial"/>
        </w:rPr>
        <w:t xml:space="preserve">), hydration (Pawson, et al. 2012), exercise (Rasberry et al., 2011) and </w:t>
      </w:r>
      <w:r w:rsidR="00B81E8D">
        <w:rPr>
          <w:rFonts w:ascii="Arial" w:eastAsia="Arial" w:hAnsi="Arial" w:cs="Arial"/>
        </w:rPr>
        <w:t>diet</w:t>
      </w:r>
      <w:r>
        <w:rPr>
          <w:rFonts w:ascii="Arial" w:eastAsia="Arial" w:hAnsi="Arial" w:cs="Arial"/>
        </w:rPr>
        <w:t>, (</w:t>
      </w:r>
      <w:r w:rsidR="00B81E8D">
        <w:rPr>
          <w:rFonts w:ascii="Arial" w:eastAsia="Arial" w:hAnsi="Arial" w:cs="Arial"/>
        </w:rPr>
        <w:t>Florence, et al, 2008</w:t>
      </w:r>
      <w:r>
        <w:rPr>
          <w:rFonts w:ascii="Arial" w:eastAsia="Arial" w:hAnsi="Arial" w:cs="Arial"/>
        </w:rPr>
        <w:t xml:space="preserve">), have all been shown to have clear effects on how students feel, learn and perform. </w:t>
      </w:r>
    </w:p>
    <w:p w14:paraId="7A64F682" w14:textId="77777777" w:rsidR="00B81E8D" w:rsidRDefault="00B81E8D" w:rsidP="00E85E5F">
      <w:pPr>
        <w:jc w:val="both"/>
        <w:rPr>
          <w:rFonts w:ascii="Arial" w:eastAsia="Arial" w:hAnsi="Arial" w:cs="Arial"/>
        </w:rPr>
      </w:pPr>
    </w:p>
    <w:p w14:paraId="0E51C294" w14:textId="77777777" w:rsidR="00E85E5F" w:rsidRDefault="00B81E8D" w:rsidP="003B1512">
      <w:pPr>
        <w:spacing w:after="160" w:line="259" w:lineRule="auto"/>
        <w:ind w:right="-357"/>
        <w:rPr>
          <w:rFonts w:ascii="Arial" w:hAnsi="Arial" w:cs="Arial"/>
          <w:b/>
        </w:rPr>
      </w:pPr>
      <w:r w:rsidRPr="00B81E8D">
        <w:rPr>
          <w:rFonts w:ascii="Arial" w:hAnsi="Arial" w:cs="Arial"/>
          <w:b/>
        </w:rPr>
        <w:t>Social wellbeing and learning</w:t>
      </w:r>
    </w:p>
    <w:p w14:paraId="71A26A39" w14:textId="77777777" w:rsidR="0038531D" w:rsidRPr="0038531D" w:rsidRDefault="0038531D" w:rsidP="0038531D">
      <w:pPr>
        <w:rPr>
          <w:rFonts w:ascii="Arial" w:hAnsi="Arial" w:cs="Arial"/>
          <w:color w:val="000000"/>
        </w:rPr>
      </w:pPr>
      <w:r w:rsidRPr="0038531D">
        <w:rPr>
          <w:rFonts w:ascii="Arial" w:hAnsi="Arial" w:cs="Arial"/>
        </w:rPr>
        <w:t xml:space="preserve">Researchers in social neuroscience, such as </w:t>
      </w:r>
      <w:r w:rsidRPr="0038531D">
        <w:rPr>
          <w:rFonts w:ascii="Arial" w:eastAsia="Arial" w:hAnsi="Arial" w:cs="Arial"/>
        </w:rPr>
        <w:t xml:space="preserve">Cacioppo &amp; Patrick, (2009) have demonstrated that social isolation and loneliness also reduces cognitive function. </w:t>
      </w:r>
      <w:r w:rsidRPr="0038531D">
        <w:rPr>
          <w:rFonts w:ascii="Arial" w:hAnsi="Arial" w:cs="Arial"/>
          <w:color w:val="000000"/>
        </w:rPr>
        <w:t xml:space="preserve">For students this has been shown to reduce their ability to focus attention, concentrate, remember and problem solve </w:t>
      </w:r>
      <w:r w:rsidRPr="0038531D">
        <w:rPr>
          <w:rFonts w:ascii="Arial" w:hAnsi="Arial" w:cs="Arial"/>
          <w:noProof/>
          <w:color w:val="000000"/>
        </w:rPr>
        <w:t>(Baumeister, 2002;</w:t>
      </w:r>
      <w:r w:rsidR="009C04E8">
        <w:rPr>
          <w:rFonts w:ascii="Arial" w:hAnsi="Arial" w:cs="Arial"/>
          <w:noProof/>
          <w:color w:val="000000"/>
        </w:rPr>
        <w:t xml:space="preserve"> Cacioppo, et al, 2000</w:t>
      </w:r>
      <w:r w:rsidRPr="0038531D">
        <w:rPr>
          <w:rFonts w:ascii="Arial" w:eastAsia="Calibri" w:hAnsi="Arial" w:cs="Arial"/>
          <w:noProof/>
        </w:rPr>
        <w:t>)</w:t>
      </w:r>
      <w:r w:rsidRPr="0038531D">
        <w:rPr>
          <w:rFonts w:ascii="Arial" w:hAnsi="Arial" w:cs="Arial"/>
          <w:color w:val="000000"/>
        </w:rPr>
        <w:t xml:space="preserve"> and some research has shown a direct impact on overall academic ability and grades </w:t>
      </w:r>
      <w:r w:rsidRPr="0038531D">
        <w:rPr>
          <w:rFonts w:ascii="Arial" w:hAnsi="Arial" w:cs="Arial"/>
          <w:noProof/>
          <w:color w:val="000000"/>
        </w:rPr>
        <w:t>(Baumeister, et al., 2002; Cacioppo, 200</w:t>
      </w:r>
      <w:r w:rsidR="009C04E8">
        <w:rPr>
          <w:rFonts w:ascii="Arial" w:hAnsi="Arial" w:cs="Arial"/>
          <w:noProof/>
          <w:color w:val="000000"/>
        </w:rPr>
        <w:t>9</w:t>
      </w:r>
      <w:r w:rsidRPr="0038531D">
        <w:rPr>
          <w:rFonts w:ascii="Arial" w:hAnsi="Arial" w:cs="Arial"/>
          <w:noProof/>
          <w:color w:val="000000"/>
        </w:rPr>
        <w:t>)</w:t>
      </w:r>
      <w:r w:rsidRPr="0038531D">
        <w:rPr>
          <w:rFonts w:ascii="Arial" w:hAnsi="Arial" w:cs="Arial"/>
          <w:color w:val="000000"/>
        </w:rPr>
        <w:t xml:space="preserve">. </w:t>
      </w:r>
      <w:r w:rsidR="0033376D">
        <w:rPr>
          <w:rFonts w:ascii="Arial" w:hAnsi="Arial" w:cs="Arial"/>
          <w:color w:val="000000"/>
        </w:rPr>
        <w:t>Addit</w:t>
      </w:r>
      <w:r w:rsidR="00DD607B">
        <w:rPr>
          <w:rFonts w:ascii="Arial" w:hAnsi="Arial" w:cs="Arial"/>
          <w:color w:val="000000"/>
        </w:rPr>
        <w:t>i</w:t>
      </w:r>
      <w:r w:rsidR="0033376D">
        <w:rPr>
          <w:rFonts w:ascii="Arial" w:hAnsi="Arial" w:cs="Arial"/>
          <w:color w:val="000000"/>
        </w:rPr>
        <w:t>onally</w:t>
      </w:r>
      <w:r w:rsidRPr="0038531D">
        <w:rPr>
          <w:rFonts w:ascii="Arial" w:hAnsi="Arial" w:cs="Arial"/>
          <w:color w:val="000000"/>
        </w:rPr>
        <w:t>, authors such as Vincent Tinto (1975), have long argued that student sense of belonging to their university plays a significant role in determining student persistence and success.</w:t>
      </w:r>
    </w:p>
    <w:p w14:paraId="7ED21154" w14:textId="77777777" w:rsidR="00C84592" w:rsidRDefault="00C84592" w:rsidP="0038531D">
      <w:pPr>
        <w:rPr>
          <w:rFonts w:ascii="Arial" w:hAnsi="Arial" w:cs="Arial"/>
          <w:color w:val="000000"/>
        </w:rPr>
      </w:pPr>
    </w:p>
    <w:p w14:paraId="5BEFB0D6" w14:textId="77777777" w:rsidR="0038531D" w:rsidRPr="0038531D" w:rsidRDefault="0038531D" w:rsidP="0038531D">
      <w:pPr>
        <w:spacing w:after="160" w:line="259" w:lineRule="auto"/>
        <w:rPr>
          <w:rFonts w:ascii="Arial" w:hAnsi="Arial" w:cs="Arial"/>
          <w:b/>
          <w:color w:val="000000"/>
        </w:rPr>
      </w:pPr>
      <w:r w:rsidRPr="0038531D">
        <w:rPr>
          <w:rFonts w:ascii="Arial" w:hAnsi="Arial" w:cs="Arial"/>
          <w:b/>
          <w:color w:val="000000"/>
        </w:rPr>
        <w:t xml:space="preserve">Psychological </w:t>
      </w:r>
      <w:r>
        <w:rPr>
          <w:rFonts w:ascii="Arial" w:hAnsi="Arial" w:cs="Arial"/>
          <w:b/>
          <w:color w:val="000000"/>
        </w:rPr>
        <w:t>w</w:t>
      </w:r>
      <w:r w:rsidRPr="0038531D">
        <w:rPr>
          <w:rFonts w:ascii="Arial" w:hAnsi="Arial" w:cs="Arial"/>
          <w:b/>
          <w:color w:val="000000"/>
        </w:rPr>
        <w:t>ellbeing and learning</w:t>
      </w:r>
    </w:p>
    <w:p w14:paraId="155FDC2F" w14:textId="5210F617" w:rsidR="0038531D" w:rsidRPr="0038531D" w:rsidRDefault="004211A8" w:rsidP="003B1512">
      <w:pPr>
        <w:spacing w:after="160" w:line="259" w:lineRule="auto"/>
        <w:ind w:right="-357"/>
        <w:rPr>
          <w:rFonts w:ascii="Arial" w:hAnsi="Arial" w:cs="Arial"/>
        </w:rPr>
      </w:pPr>
      <w:r>
        <w:rPr>
          <w:rFonts w:ascii="Arial" w:hAnsi="Arial" w:cs="Arial"/>
        </w:rPr>
        <w:t xml:space="preserve">UK </w:t>
      </w:r>
      <w:r w:rsidR="0038531D">
        <w:rPr>
          <w:rFonts w:ascii="Arial" w:hAnsi="Arial" w:cs="Arial"/>
        </w:rPr>
        <w:t xml:space="preserve">Government data indicates that students who experience mental illness </w:t>
      </w:r>
      <w:r w:rsidR="00A97B76">
        <w:rPr>
          <w:rFonts w:ascii="Arial" w:hAnsi="Arial" w:cs="Arial"/>
        </w:rPr>
        <w:t xml:space="preserve">are more likely to drop out of university and underperform academically. The work of authors such as Joseph le Doux, (1996), </w:t>
      </w:r>
      <w:r w:rsidR="006B0D12">
        <w:rPr>
          <w:rFonts w:ascii="Arial" w:hAnsi="Arial" w:cs="Arial"/>
        </w:rPr>
        <w:t>demonstrates</w:t>
      </w:r>
      <w:r w:rsidR="00A97B76">
        <w:rPr>
          <w:rFonts w:ascii="Arial" w:hAnsi="Arial" w:cs="Arial"/>
        </w:rPr>
        <w:t xml:space="preserve"> that anxiety and trauma reduce cognitive functioning, making it more difficult for mentally ill students to learn, concentrate, problem solve and perform to their academic potential. </w:t>
      </w:r>
      <w:r w:rsidR="007733D8">
        <w:rPr>
          <w:rFonts w:ascii="Arial" w:hAnsi="Arial" w:cs="Arial"/>
        </w:rPr>
        <w:t>A</w:t>
      </w:r>
      <w:r w:rsidR="007733D8" w:rsidRPr="007733D8">
        <w:rPr>
          <w:rFonts w:ascii="Arial" w:hAnsi="Arial" w:cs="Arial"/>
        </w:rPr>
        <w:t xml:space="preserve"> low level of mental wellbeing can </w:t>
      </w:r>
      <w:r w:rsidR="006B0D12">
        <w:rPr>
          <w:rFonts w:ascii="Arial" w:hAnsi="Arial" w:cs="Arial"/>
        </w:rPr>
        <w:t xml:space="preserve">negatively </w:t>
      </w:r>
      <w:r w:rsidR="007733D8">
        <w:rPr>
          <w:rFonts w:ascii="Arial" w:hAnsi="Arial" w:cs="Arial"/>
        </w:rPr>
        <w:t xml:space="preserve">impact </w:t>
      </w:r>
      <w:r w:rsidR="007733D8" w:rsidRPr="007733D8">
        <w:rPr>
          <w:rFonts w:ascii="Arial" w:hAnsi="Arial" w:cs="Arial"/>
        </w:rPr>
        <w:t xml:space="preserve">concentration, motivation, self-confidence, </w:t>
      </w:r>
      <w:r w:rsidR="007733D8">
        <w:rPr>
          <w:rFonts w:ascii="Arial" w:hAnsi="Arial" w:cs="Arial"/>
        </w:rPr>
        <w:t>and the ability to</w:t>
      </w:r>
      <w:r w:rsidR="007733D8" w:rsidRPr="007733D8">
        <w:rPr>
          <w:rFonts w:ascii="Arial" w:hAnsi="Arial" w:cs="Arial"/>
        </w:rPr>
        <w:t xml:space="preserve"> engage with </w:t>
      </w:r>
      <w:r w:rsidR="007733D8">
        <w:rPr>
          <w:rFonts w:ascii="Arial" w:hAnsi="Arial" w:cs="Arial"/>
        </w:rPr>
        <w:t xml:space="preserve">attendance and </w:t>
      </w:r>
      <w:r w:rsidR="007733D8" w:rsidRPr="007733D8">
        <w:rPr>
          <w:rFonts w:ascii="Arial" w:hAnsi="Arial" w:cs="Arial"/>
        </w:rPr>
        <w:t>assessment</w:t>
      </w:r>
      <w:r w:rsidR="007733D8">
        <w:rPr>
          <w:rFonts w:ascii="Arial" w:hAnsi="Arial" w:cs="Arial"/>
        </w:rPr>
        <w:t xml:space="preserve">, therefore, </w:t>
      </w:r>
      <w:r w:rsidR="007733D8" w:rsidRPr="007733D8">
        <w:rPr>
          <w:rFonts w:ascii="Arial" w:hAnsi="Arial" w:cs="Arial"/>
        </w:rPr>
        <w:t>significantly imped</w:t>
      </w:r>
      <w:r w:rsidR="007733D8">
        <w:rPr>
          <w:rFonts w:ascii="Arial" w:hAnsi="Arial" w:cs="Arial"/>
        </w:rPr>
        <w:t xml:space="preserve">ing </w:t>
      </w:r>
      <w:r w:rsidR="007733D8" w:rsidRPr="007733D8">
        <w:rPr>
          <w:rFonts w:ascii="Arial" w:hAnsi="Arial" w:cs="Arial"/>
        </w:rPr>
        <w:t>learn</w:t>
      </w:r>
      <w:r w:rsidR="007733D8">
        <w:rPr>
          <w:rFonts w:ascii="Arial" w:hAnsi="Arial" w:cs="Arial"/>
        </w:rPr>
        <w:t>ing overall</w:t>
      </w:r>
      <w:r w:rsidR="007733D8" w:rsidRPr="007733D8">
        <w:rPr>
          <w:rFonts w:ascii="Arial" w:hAnsi="Arial" w:cs="Arial"/>
        </w:rPr>
        <w:t xml:space="preserve"> (Craig and Zinckiewicz 2010; Ti</w:t>
      </w:r>
      <w:r w:rsidR="00007E0B">
        <w:rPr>
          <w:rFonts w:ascii="Arial" w:hAnsi="Arial" w:cs="Arial"/>
        </w:rPr>
        <w:t>nklin, et al,</w:t>
      </w:r>
      <w:r w:rsidR="009C04E8">
        <w:rPr>
          <w:rFonts w:ascii="Arial" w:hAnsi="Arial" w:cs="Arial"/>
        </w:rPr>
        <w:t xml:space="preserve"> 2005; Quinn et al,</w:t>
      </w:r>
      <w:r w:rsidR="007733D8" w:rsidRPr="007733D8">
        <w:rPr>
          <w:rFonts w:ascii="Arial" w:hAnsi="Arial" w:cs="Arial"/>
        </w:rPr>
        <w:t xml:space="preserve"> 2009). </w:t>
      </w:r>
      <w:r w:rsidR="00A97B76">
        <w:rPr>
          <w:rFonts w:ascii="Arial" w:hAnsi="Arial" w:cs="Arial"/>
        </w:rPr>
        <w:t>On the other hand, good wellbeing has been associated with enhanced creativity (Rothenberg, 2006) and the ability to enter into a ‘flow’ state of learning, described as a state of complete concentration or absorption</w:t>
      </w:r>
      <w:r w:rsidR="002F0E8C">
        <w:rPr>
          <w:rFonts w:ascii="Arial" w:hAnsi="Arial" w:cs="Arial"/>
        </w:rPr>
        <w:t xml:space="preserve"> that benefits learning and academic performance</w:t>
      </w:r>
      <w:r w:rsidR="00A97B76">
        <w:rPr>
          <w:rFonts w:ascii="Arial" w:hAnsi="Arial" w:cs="Arial"/>
        </w:rPr>
        <w:t xml:space="preserve"> (</w:t>
      </w:r>
      <w:r w:rsidR="00A97B76" w:rsidRPr="00DE71F0">
        <w:rPr>
          <w:rFonts w:ascii="Arial" w:hAnsi="Arial" w:cs="Arial"/>
        </w:rPr>
        <w:t>Csikszentmihalyi</w:t>
      </w:r>
      <w:r w:rsidR="00A97B76">
        <w:rPr>
          <w:rFonts w:ascii="Arial" w:hAnsi="Arial" w:cs="Arial"/>
        </w:rPr>
        <w:t>, 1992)</w:t>
      </w:r>
      <w:r w:rsidR="002F0E8C">
        <w:rPr>
          <w:rFonts w:ascii="Arial" w:hAnsi="Arial" w:cs="Arial"/>
        </w:rPr>
        <w:t>.</w:t>
      </w:r>
    </w:p>
    <w:p w14:paraId="198EB3C5" w14:textId="77777777" w:rsidR="003B1512" w:rsidRDefault="003B1512" w:rsidP="00762DA5">
      <w:pPr>
        <w:ind w:right="-360"/>
        <w:rPr>
          <w:rFonts w:ascii="Calibri" w:hAnsi="Calibri" w:cs="Calibri"/>
          <w:b/>
          <w:sz w:val="8"/>
          <w:szCs w:val="8"/>
        </w:rPr>
      </w:pPr>
    </w:p>
    <w:p w14:paraId="129344FE" w14:textId="77777777" w:rsidR="003B1512" w:rsidRDefault="003B1512" w:rsidP="00762DA5">
      <w:pPr>
        <w:ind w:right="-360"/>
        <w:rPr>
          <w:rFonts w:ascii="Calibri" w:hAnsi="Calibri" w:cs="Calibri"/>
          <w:b/>
          <w:sz w:val="8"/>
          <w:szCs w:val="8"/>
        </w:rPr>
      </w:pPr>
    </w:p>
    <w:p w14:paraId="36CA6F22" w14:textId="77777777" w:rsidR="00A97B76" w:rsidRPr="00512BF5" w:rsidRDefault="00A97B76" w:rsidP="00331135">
      <w:pPr>
        <w:pStyle w:val="Heading2"/>
        <w:pBdr>
          <w:top w:val="single" w:sz="4" w:space="1" w:color="auto"/>
          <w:left w:val="single" w:sz="4" w:space="4" w:color="auto"/>
          <w:bottom w:val="single" w:sz="4" w:space="1" w:color="auto"/>
          <w:right w:val="single" w:sz="4" w:space="4" w:color="auto"/>
        </w:pBdr>
        <w:shd w:val="clear" w:color="auto" w:fill="92CDDC"/>
        <w:spacing w:before="0" w:after="160" w:line="259" w:lineRule="auto"/>
        <w:rPr>
          <w:rFonts w:ascii="Cambria" w:hAnsi="Cambria" w:cs="Calibri"/>
          <w:b/>
        </w:rPr>
      </w:pPr>
      <w:bookmarkStart w:id="2" w:name="_Hlk8037749"/>
      <w:r>
        <w:rPr>
          <w:rFonts w:ascii="Cambria" w:hAnsi="Cambria" w:cs="Calibri"/>
          <w:b/>
          <w:i/>
        </w:rPr>
        <w:t>Impact of academic learning on wellbeing</w:t>
      </w:r>
    </w:p>
    <w:bookmarkEnd w:id="2"/>
    <w:p w14:paraId="0F16414C" w14:textId="77777777" w:rsidR="003B1512" w:rsidRDefault="003B1512" w:rsidP="00331135">
      <w:pPr>
        <w:spacing w:after="160" w:line="259" w:lineRule="auto"/>
        <w:ind w:right="-360"/>
        <w:rPr>
          <w:rFonts w:ascii="Calibri" w:hAnsi="Calibri" w:cs="Calibri"/>
          <w:b/>
          <w:sz w:val="8"/>
          <w:szCs w:val="8"/>
        </w:rPr>
      </w:pPr>
    </w:p>
    <w:p w14:paraId="63D3C132" w14:textId="77777777" w:rsidR="00E55F80" w:rsidRPr="00381D51" w:rsidRDefault="001E2AE7" w:rsidP="00331135">
      <w:pPr>
        <w:spacing w:after="160" w:line="259" w:lineRule="auto"/>
        <w:ind w:right="-357"/>
        <w:rPr>
          <w:rFonts w:ascii="Arial" w:hAnsi="Arial" w:cs="Arial"/>
        </w:rPr>
      </w:pPr>
      <w:r>
        <w:rPr>
          <w:rFonts w:ascii="Arial" w:hAnsi="Arial" w:cs="Arial"/>
        </w:rPr>
        <w:t>The impact of mental health and wellbeing on learning and academic</w:t>
      </w:r>
      <w:r w:rsidR="00BC7A29">
        <w:rPr>
          <w:rFonts w:ascii="Arial" w:hAnsi="Arial" w:cs="Arial"/>
        </w:rPr>
        <w:t xml:space="preserve"> performance</w:t>
      </w:r>
      <w:r>
        <w:rPr>
          <w:rFonts w:ascii="Arial" w:hAnsi="Arial" w:cs="Arial"/>
        </w:rPr>
        <w:t xml:space="preserve">, therefore, has a clear evidence base. However, research has also shown that this relationship is bi-directional. </w:t>
      </w:r>
      <w:r w:rsidR="003C747E">
        <w:rPr>
          <w:rFonts w:ascii="Arial" w:hAnsi="Arial" w:cs="Arial"/>
        </w:rPr>
        <w:t>That is, t</w:t>
      </w:r>
      <w:r>
        <w:rPr>
          <w:rFonts w:ascii="Arial" w:hAnsi="Arial" w:cs="Arial"/>
        </w:rPr>
        <w:t xml:space="preserve">he way in which students engage with their learning and their academic experience </w:t>
      </w:r>
      <w:r w:rsidR="002F0E8C">
        <w:rPr>
          <w:rFonts w:ascii="Arial" w:hAnsi="Arial" w:cs="Arial"/>
        </w:rPr>
        <w:t xml:space="preserve">also </w:t>
      </w:r>
      <w:r>
        <w:rPr>
          <w:rFonts w:ascii="Arial" w:hAnsi="Arial" w:cs="Arial"/>
        </w:rPr>
        <w:t>has an impact on their wellbeing.</w:t>
      </w:r>
    </w:p>
    <w:p w14:paraId="4DA78B08" w14:textId="7BEF95E7" w:rsidR="00E55F80" w:rsidRDefault="00E55F80" w:rsidP="00331135">
      <w:pPr>
        <w:pStyle w:val="ListParagraph"/>
        <w:ind w:left="0"/>
        <w:contextualSpacing w:val="0"/>
        <w:rPr>
          <w:rFonts w:ascii="Arial" w:hAnsi="Arial" w:cs="Arial"/>
          <w:sz w:val="24"/>
          <w:szCs w:val="24"/>
        </w:rPr>
      </w:pPr>
      <w:r w:rsidRPr="00E55F80">
        <w:rPr>
          <w:rFonts w:ascii="Arial" w:hAnsi="Arial" w:cs="Arial"/>
          <w:sz w:val="24"/>
          <w:szCs w:val="24"/>
        </w:rPr>
        <w:t>Researchers such as Postareff (et al, 2016), have shown that students who engage in deep learning have better wellbeing, perform better and have a better experience of their time at university. Students who engage in surface learning have lowered wellbeing</w:t>
      </w:r>
      <w:r w:rsidR="006B0D12">
        <w:rPr>
          <w:rFonts w:ascii="Arial" w:hAnsi="Arial" w:cs="Arial"/>
          <w:sz w:val="24"/>
          <w:szCs w:val="24"/>
        </w:rPr>
        <w:t>.</w:t>
      </w:r>
      <w:r w:rsidRPr="00E55F80">
        <w:rPr>
          <w:rFonts w:ascii="Arial" w:hAnsi="Arial" w:cs="Arial"/>
          <w:sz w:val="24"/>
          <w:szCs w:val="24"/>
        </w:rPr>
        <w:t xml:space="preserve"> </w:t>
      </w:r>
      <w:r w:rsidR="006B0D12">
        <w:rPr>
          <w:rFonts w:ascii="Arial" w:hAnsi="Arial" w:cs="Arial"/>
          <w:sz w:val="24"/>
          <w:szCs w:val="24"/>
        </w:rPr>
        <w:t>I</w:t>
      </w:r>
      <w:r w:rsidRPr="00E55F80">
        <w:rPr>
          <w:rFonts w:ascii="Arial" w:hAnsi="Arial" w:cs="Arial"/>
          <w:sz w:val="24"/>
          <w:szCs w:val="24"/>
        </w:rPr>
        <w:t>n particular, they are more likely to experience higher anxiety and to need others to help them address and solve problems.</w:t>
      </w:r>
    </w:p>
    <w:p w14:paraId="2F8D9304" w14:textId="77777777" w:rsidR="00E55F80" w:rsidRDefault="00E55F80" w:rsidP="00331135">
      <w:pPr>
        <w:spacing w:after="160" w:line="259" w:lineRule="auto"/>
        <w:rPr>
          <w:rFonts w:ascii="Arial" w:hAnsi="Arial" w:cs="Arial"/>
        </w:rPr>
      </w:pPr>
      <w:r>
        <w:rPr>
          <w:rFonts w:ascii="Arial" w:hAnsi="Arial" w:cs="Arial"/>
        </w:rPr>
        <w:t>In deep learning, as the name suggests, students engage deeply with their subject, motivated by their passion or interest, reading widely, connecting what they have learned to previous learning and seeking understanding.</w:t>
      </w:r>
      <w:r w:rsidR="00340642">
        <w:rPr>
          <w:rFonts w:ascii="Arial" w:hAnsi="Arial" w:cs="Arial"/>
        </w:rPr>
        <w:t xml:space="preserve"> This helps to generate meaning and </w:t>
      </w:r>
      <w:r w:rsidR="00BC7A29">
        <w:rPr>
          <w:rFonts w:ascii="Arial" w:hAnsi="Arial" w:cs="Arial"/>
        </w:rPr>
        <w:t xml:space="preserve">a sense of mastery and </w:t>
      </w:r>
      <w:r w:rsidR="00340642">
        <w:rPr>
          <w:rFonts w:ascii="Arial" w:hAnsi="Arial" w:cs="Arial"/>
        </w:rPr>
        <w:t>control, thus boosting their wellbeing.</w:t>
      </w:r>
    </w:p>
    <w:p w14:paraId="654DC383" w14:textId="77777777" w:rsidR="00E55F80" w:rsidRDefault="00E55F80" w:rsidP="00E55F80">
      <w:pPr>
        <w:spacing w:after="160" w:line="259" w:lineRule="auto"/>
        <w:rPr>
          <w:rFonts w:ascii="Arial" w:hAnsi="Arial" w:cs="Arial"/>
        </w:rPr>
      </w:pPr>
      <w:r>
        <w:rPr>
          <w:rFonts w:ascii="Arial" w:hAnsi="Arial" w:cs="Arial"/>
        </w:rPr>
        <w:t>In surface learning, students are more likely to skip over the surface of the subject, focusing only on what they need to know, to get the grade they want</w:t>
      </w:r>
      <w:r w:rsidR="00A87CA8">
        <w:rPr>
          <w:rFonts w:ascii="Arial" w:hAnsi="Arial" w:cs="Arial"/>
        </w:rPr>
        <w:t>,</w:t>
      </w:r>
      <w:r>
        <w:rPr>
          <w:rFonts w:ascii="Arial" w:hAnsi="Arial" w:cs="Arial"/>
        </w:rPr>
        <w:t xml:space="preserve"> with the minimum amount of effort. They are more likely to seek to regurgitate material rather than understand it and </w:t>
      </w:r>
      <w:r w:rsidR="00C84592">
        <w:rPr>
          <w:rFonts w:ascii="Arial" w:hAnsi="Arial" w:cs="Arial"/>
        </w:rPr>
        <w:t>learn</w:t>
      </w:r>
      <w:r w:rsidR="00331135">
        <w:rPr>
          <w:rFonts w:ascii="Arial" w:hAnsi="Arial" w:cs="Arial"/>
        </w:rPr>
        <w:t xml:space="preserve"> subjects in</w:t>
      </w:r>
      <w:r>
        <w:rPr>
          <w:rFonts w:ascii="Arial" w:hAnsi="Arial" w:cs="Arial"/>
        </w:rPr>
        <w:t xml:space="preserve"> isolation</w:t>
      </w:r>
      <w:r w:rsidR="00331135">
        <w:rPr>
          <w:rFonts w:ascii="Arial" w:hAnsi="Arial" w:cs="Arial"/>
        </w:rPr>
        <w:t xml:space="preserve"> from each other</w:t>
      </w:r>
      <w:r>
        <w:rPr>
          <w:rFonts w:ascii="Arial" w:hAnsi="Arial" w:cs="Arial"/>
        </w:rPr>
        <w:t>.</w:t>
      </w:r>
      <w:r w:rsidR="00340642">
        <w:rPr>
          <w:rFonts w:ascii="Arial" w:hAnsi="Arial" w:cs="Arial"/>
        </w:rPr>
        <w:t xml:space="preserve"> This focus on external measures (grades) denies the opportunity to generate meaning and places control for their self-perceived success on external judgements, thus lowering wellbeing overall.</w:t>
      </w:r>
    </w:p>
    <w:p w14:paraId="7352683B" w14:textId="77777777" w:rsidR="00E55F80" w:rsidRDefault="00E55F80" w:rsidP="0015643E">
      <w:pPr>
        <w:rPr>
          <w:rFonts w:ascii="Arial" w:eastAsia="Arial" w:hAnsi="Arial" w:cs="Arial"/>
        </w:rPr>
      </w:pPr>
      <w:r>
        <w:rPr>
          <w:rFonts w:ascii="Arial" w:eastAsia="Arial" w:hAnsi="Arial" w:cs="Arial"/>
        </w:rPr>
        <w:t xml:space="preserve">The </w:t>
      </w:r>
      <w:r w:rsidR="0015643E">
        <w:rPr>
          <w:rFonts w:ascii="Arial" w:eastAsia="Arial" w:hAnsi="Arial" w:cs="Arial"/>
        </w:rPr>
        <w:t>common</w:t>
      </w:r>
      <w:r>
        <w:rPr>
          <w:rFonts w:ascii="Arial" w:eastAsia="Arial" w:hAnsi="Arial" w:cs="Arial"/>
        </w:rPr>
        <w:t xml:space="preserve"> difference between these two groups </w:t>
      </w:r>
      <w:r w:rsidR="009E0523">
        <w:rPr>
          <w:rFonts w:ascii="Arial" w:eastAsia="Arial" w:hAnsi="Arial" w:cs="Arial"/>
        </w:rPr>
        <w:t>is often</w:t>
      </w:r>
      <w:r>
        <w:rPr>
          <w:rFonts w:ascii="Arial" w:eastAsia="Arial" w:hAnsi="Arial" w:cs="Arial"/>
        </w:rPr>
        <w:t xml:space="preserve"> motivational focus, with deep learners more </w:t>
      </w:r>
      <w:r w:rsidR="0015643E">
        <w:rPr>
          <w:rFonts w:ascii="Arial" w:eastAsia="Arial" w:hAnsi="Arial" w:cs="Arial"/>
        </w:rPr>
        <w:t xml:space="preserve">likely to </w:t>
      </w:r>
      <w:r w:rsidR="009E0523">
        <w:rPr>
          <w:rFonts w:ascii="Arial" w:eastAsia="Arial" w:hAnsi="Arial" w:cs="Arial"/>
        </w:rPr>
        <w:t xml:space="preserve">be </w:t>
      </w:r>
      <w:r w:rsidR="0015643E">
        <w:rPr>
          <w:rFonts w:ascii="Arial" w:eastAsia="Arial" w:hAnsi="Arial" w:cs="Arial"/>
        </w:rPr>
        <w:t>i</w:t>
      </w:r>
      <w:r>
        <w:rPr>
          <w:rFonts w:ascii="Arial" w:eastAsia="Arial" w:hAnsi="Arial" w:cs="Arial"/>
        </w:rPr>
        <w:t>ntrinsic</w:t>
      </w:r>
      <w:r w:rsidR="0015643E">
        <w:rPr>
          <w:rFonts w:ascii="Arial" w:eastAsia="Arial" w:hAnsi="Arial" w:cs="Arial"/>
        </w:rPr>
        <w:t>ally</w:t>
      </w:r>
      <w:r>
        <w:rPr>
          <w:rFonts w:ascii="Arial" w:eastAsia="Arial" w:hAnsi="Arial" w:cs="Arial"/>
        </w:rPr>
        <w:t xml:space="preserve"> m</w:t>
      </w:r>
      <w:r w:rsidR="0015643E">
        <w:rPr>
          <w:rFonts w:ascii="Arial" w:eastAsia="Arial" w:hAnsi="Arial" w:cs="Arial"/>
        </w:rPr>
        <w:t xml:space="preserve">otivated and surface learners </w:t>
      </w:r>
      <w:r>
        <w:rPr>
          <w:rFonts w:ascii="Arial" w:eastAsia="Arial" w:hAnsi="Arial" w:cs="Arial"/>
        </w:rPr>
        <w:t xml:space="preserve">more </w:t>
      </w:r>
      <w:r w:rsidR="0015643E">
        <w:rPr>
          <w:rFonts w:ascii="Arial" w:eastAsia="Arial" w:hAnsi="Arial" w:cs="Arial"/>
        </w:rPr>
        <w:t xml:space="preserve">likely to be </w:t>
      </w:r>
      <w:r>
        <w:rPr>
          <w:rFonts w:ascii="Arial" w:eastAsia="Arial" w:hAnsi="Arial" w:cs="Arial"/>
        </w:rPr>
        <w:t>extrinsic</w:t>
      </w:r>
      <w:r w:rsidR="0015643E">
        <w:rPr>
          <w:rFonts w:ascii="Arial" w:eastAsia="Arial" w:hAnsi="Arial" w:cs="Arial"/>
        </w:rPr>
        <w:t>ally motivated.</w:t>
      </w:r>
      <w:r>
        <w:rPr>
          <w:rFonts w:ascii="Arial" w:eastAsia="Arial" w:hAnsi="Arial" w:cs="Arial"/>
        </w:rPr>
        <w:t xml:space="preserve"> (Deci &amp; Ryan, 1985).</w:t>
      </w:r>
      <w:r w:rsidR="0015643E">
        <w:rPr>
          <w:rFonts w:ascii="Arial" w:eastAsia="Arial" w:hAnsi="Arial" w:cs="Arial"/>
        </w:rPr>
        <w:t xml:space="preserve"> </w:t>
      </w:r>
    </w:p>
    <w:p w14:paraId="3B759200" w14:textId="77777777" w:rsidR="00A87CA8" w:rsidRDefault="00A87CA8" w:rsidP="00C41426">
      <w:pPr>
        <w:jc w:val="both"/>
        <w:rPr>
          <w:rFonts w:ascii="Arial" w:hAnsi="Arial" w:cs="Arial"/>
        </w:rPr>
      </w:pPr>
    </w:p>
    <w:p w14:paraId="286ED980" w14:textId="77777777" w:rsidR="00E55F80" w:rsidRPr="003C747E" w:rsidRDefault="003C747E" w:rsidP="003C747E">
      <w:pPr>
        <w:pStyle w:val="ListParagraph"/>
        <w:ind w:left="0"/>
        <w:rPr>
          <w:rFonts w:ascii="Arial" w:hAnsi="Arial" w:cs="Arial"/>
          <w:i/>
          <w:sz w:val="24"/>
          <w:szCs w:val="24"/>
        </w:rPr>
      </w:pPr>
      <w:r>
        <w:rPr>
          <w:rFonts w:ascii="Arial" w:hAnsi="Arial" w:cs="Arial"/>
          <w:i/>
          <w:sz w:val="24"/>
          <w:szCs w:val="24"/>
        </w:rPr>
        <w:t>Table 1 here</w:t>
      </w:r>
    </w:p>
    <w:p w14:paraId="3F9AD2A0" w14:textId="08FD2FF5" w:rsidR="004211A8" w:rsidRDefault="00A87CA8" w:rsidP="00A97B76">
      <w:pPr>
        <w:spacing w:after="160" w:line="259" w:lineRule="auto"/>
        <w:ind w:right="-357"/>
        <w:rPr>
          <w:rFonts w:ascii="Arial" w:hAnsi="Arial" w:cs="Arial"/>
        </w:rPr>
      </w:pPr>
      <w:r>
        <w:rPr>
          <w:rFonts w:ascii="Arial" w:hAnsi="Arial" w:cs="Arial"/>
        </w:rPr>
        <w:t xml:space="preserve">However, to be able to engage deeply with their learning students require a level of </w:t>
      </w:r>
      <w:r w:rsidR="00BC7A29">
        <w:rPr>
          <w:rFonts w:ascii="Arial" w:hAnsi="Arial" w:cs="Arial"/>
        </w:rPr>
        <w:t xml:space="preserve">pre-developed </w:t>
      </w:r>
      <w:r>
        <w:rPr>
          <w:rFonts w:ascii="Arial" w:hAnsi="Arial" w:cs="Arial"/>
        </w:rPr>
        <w:t xml:space="preserve">skill, knowledge, </w:t>
      </w:r>
      <w:r w:rsidR="00BC7A29">
        <w:rPr>
          <w:rFonts w:ascii="Arial" w:hAnsi="Arial" w:cs="Arial"/>
        </w:rPr>
        <w:t>awareness</w:t>
      </w:r>
      <w:r>
        <w:rPr>
          <w:rFonts w:ascii="Arial" w:hAnsi="Arial" w:cs="Arial"/>
        </w:rPr>
        <w:t>, understanding and self-confidence. Whilst surface learning students are more likely to be anxious, it is equally true that anxious, ill-trained students are likely to reach for a surface learning approach</w:t>
      </w:r>
      <w:r w:rsidR="00F1393C">
        <w:rPr>
          <w:rFonts w:ascii="Arial" w:hAnsi="Arial" w:cs="Arial"/>
        </w:rPr>
        <w:t>,</w:t>
      </w:r>
      <w:r>
        <w:rPr>
          <w:rFonts w:ascii="Arial" w:hAnsi="Arial" w:cs="Arial"/>
        </w:rPr>
        <w:t xml:space="preserve"> as a survival strategy. </w:t>
      </w:r>
      <w:r w:rsidR="004211A8">
        <w:rPr>
          <w:rFonts w:ascii="Arial" w:hAnsi="Arial" w:cs="Arial"/>
        </w:rPr>
        <w:t>This is also true of students who face external and internal barriers to learning. For instance, students with additional caring responsibilities or those required to undertake significant amounts of paid work, may have to strategically ration their time and therefore focus solely on what must be done</w:t>
      </w:r>
      <w:r w:rsidR="00403051">
        <w:rPr>
          <w:rFonts w:ascii="Arial" w:hAnsi="Arial" w:cs="Arial"/>
        </w:rPr>
        <w:t>,</w:t>
      </w:r>
      <w:r w:rsidR="004211A8">
        <w:rPr>
          <w:rFonts w:ascii="Arial" w:hAnsi="Arial" w:cs="Arial"/>
        </w:rPr>
        <w:t xml:space="preserve"> to make it through each stage of their programme</w:t>
      </w:r>
      <w:r w:rsidR="00833918">
        <w:rPr>
          <w:rFonts w:ascii="Arial" w:hAnsi="Arial" w:cs="Arial"/>
        </w:rPr>
        <w:t xml:space="preserve"> (Haggis, 2013)</w:t>
      </w:r>
      <w:r w:rsidR="004211A8">
        <w:rPr>
          <w:rFonts w:ascii="Arial" w:hAnsi="Arial" w:cs="Arial"/>
        </w:rPr>
        <w:t xml:space="preserve">. </w:t>
      </w:r>
    </w:p>
    <w:p w14:paraId="318F16C6" w14:textId="7655AA7F" w:rsidR="00BC7A29" w:rsidRDefault="00BC7A29" w:rsidP="00A97B76">
      <w:pPr>
        <w:spacing w:after="160" w:line="259" w:lineRule="auto"/>
        <w:ind w:right="-357"/>
        <w:rPr>
          <w:rFonts w:ascii="Arial" w:hAnsi="Arial" w:cs="Arial"/>
        </w:rPr>
      </w:pPr>
      <w:r>
        <w:rPr>
          <w:rFonts w:ascii="Arial" w:hAnsi="Arial" w:cs="Arial"/>
        </w:rPr>
        <w:t>On the other hand, s</w:t>
      </w:r>
      <w:r w:rsidR="00224A36">
        <w:rPr>
          <w:rFonts w:ascii="Arial" w:hAnsi="Arial" w:cs="Arial"/>
        </w:rPr>
        <w:t xml:space="preserve">tudents who have been taught to learn </w:t>
      </w:r>
      <w:r>
        <w:rPr>
          <w:rFonts w:ascii="Arial" w:hAnsi="Arial" w:cs="Arial"/>
        </w:rPr>
        <w:t xml:space="preserve">well </w:t>
      </w:r>
      <w:r w:rsidR="00224A36">
        <w:rPr>
          <w:rFonts w:ascii="Arial" w:hAnsi="Arial" w:cs="Arial"/>
        </w:rPr>
        <w:t xml:space="preserve">at </w:t>
      </w:r>
      <w:r w:rsidR="006B0D12">
        <w:rPr>
          <w:rFonts w:ascii="Arial" w:hAnsi="Arial" w:cs="Arial"/>
        </w:rPr>
        <w:t xml:space="preserve">university </w:t>
      </w:r>
      <w:r w:rsidR="00224A36">
        <w:rPr>
          <w:rFonts w:ascii="Arial" w:hAnsi="Arial" w:cs="Arial"/>
        </w:rPr>
        <w:t>level, have good pre-existing subject knowledge</w:t>
      </w:r>
      <w:r w:rsidR="004211A8">
        <w:rPr>
          <w:rFonts w:ascii="Arial" w:hAnsi="Arial" w:cs="Arial"/>
        </w:rPr>
        <w:t>, face no additional barriers</w:t>
      </w:r>
      <w:r w:rsidR="00224A36">
        <w:rPr>
          <w:rFonts w:ascii="Arial" w:hAnsi="Arial" w:cs="Arial"/>
        </w:rPr>
        <w:t xml:space="preserve"> and who feel confident, safe, supported and emotionally positive, will find it easier to engage in deep learning</w:t>
      </w:r>
      <w:r w:rsidR="00833918">
        <w:rPr>
          <w:rFonts w:ascii="Arial" w:hAnsi="Arial" w:cs="Arial"/>
        </w:rPr>
        <w:t xml:space="preserve"> (</w:t>
      </w:r>
      <w:r w:rsidR="00833918" w:rsidRPr="00C63BD6">
        <w:rPr>
          <w:rFonts w:ascii="Arial" w:eastAsia="Arial" w:hAnsi="Arial" w:cs="Arial"/>
          <w:sz w:val="22"/>
          <w:szCs w:val="22"/>
        </w:rPr>
        <w:t>Csikszentmihalyi</w:t>
      </w:r>
      <w:r w:rsidR="00833918">
        <w:rPr>
          <w:rFonts w:ascii="Arial" w:eastAsia="Arial" w:hAnsi="Arial" w:cs="Arial"/>
          <w:sz w:val="22"/>
          <w:szCs w:val="22"/>
        </w:rPr>
        <w:t>, 1992)</w:t>
      </w:r>
      <w:r w:rsidR="00224A36">
        <w:rPr>
          <w:rFonts w:ascii="Arial" w:hAnsi="Arial" w:cs="Arial"/>
        </w:rPr>
        <w:t xml:space="preserve">. </w:t>
      </w:r>
    </w:p>
    <w:p w14:paraId="59696AD1" w14:textId="77777777" w:rsidR="00E55F80" w:rsidRDefault="00A87CA8" w:rsidP="00A97B76">
      <w:pPr>
        <w:spacing w:after="160" w:line="259" w:lineRule="auto"/>
        <w:ind w:right="-357"/>
        <w:rPr>
          <w:rFonts w:ascii="Arial" w:hAnsi="Arial" w:cs="Arial"/>
        </w:rPr>
      </w:pPr>
      <w:r>
        <w:rPr>
          <w:rFonts w:ascii="Arial" w:hAnsi="Arial" w:cs="Arial"/>
        </w:rPr>
        <w:t>Deep, active learning</w:t>
      </w:r>
      <w:r w:rsidR="00224A36">
        <w:rPr>
          <w:rFonts w:ascii="Arial" w:hAnsi="Arial" w:cs="Arial"/>
        </w:rPr>
        <w:t>, in other words,</w:t>
      </w:r>
      <w:r>
        <w:rPr>
          <w:rFonts w:ascii="Arial" w:hAnsi="Arial" w:cs="Arial"/>
        </w:rPr>
        <w:t xml:space="preserve"> is a function of self-confidence</w:t>
      </w:r>
      <w:r w:rsidR="004211A8">
        <w:rPr>
          <w:rFonts w:ascii="Arial" w:hAnsi="Arial" w:cs="Arial"/>
        </w:rPr>
        <w:t>, capacity</w:t>
      </w:r>
      <w:r>
        <w:rPr>
          <w:rFonts w:ascii="Arial" w:hAnsi="Arial" w:cs="Arial"/>
        </w:rPr>
        <w:t xml:space="preserve"> and the </w:t>
      </w:r>
      <w:r w:rsidR="00C84592">
        <w:rPr>
          <w:rFonts w:ascii="Arial" w:hAnsi="Arial" w:cs="Arial"/>
        </w:rPr>
        <w:t>possession of necessary</w:t>
      </w:r>
      <w:r>
        <w:rPr>
          <w:rFonts w:ascii="Arial" w:hAnsi="Arial" w:cs="Arial"/>
        </w:rPr>
        <w:t xml:space="preserve"> ‘pre-knowledge’</w:t>
      </w:r>
      <w:r w:rsidR="00771BCB">
        <w:rPr>
          <w:rFonts w:ascii="Arial" w:hAnsi="Arial" w:cs="Arial"/>
        </w:rPr>
        <w:t xml:space="preserve"> (De Bruyckere, 2018).</w:t>
      </w:r>
      <w:r>
        <w:rPr>
          <w:rFonts w:ascii="Arial" w:hAnsi="Arial" w:cs="Arial"/>
        </w:rPr>
        <w:t xml:space="preserve"> </w:t>
      </w:r>
    </w:p>
    <w:p w14:paraId="3C33B94E" w14:textId="61072457" w:rsidR="00A87CA8" w:rsidRDefault="00A87CA8" w:rsidP="00A97B76">
      <w:pPr>
        <w:spacing w:after="160" w:line="259" w:lineRule="auto"/>
        <w:ind w:right="-357"/>
        <w:rPr>
          <w:rFonts w:ascii="Arial" w:hAnsi="Arial" w:cs="Arial"/>
        </w:rPr>
      </w:pPr>
      <w:r>
        <w:rPr>
          <w:rFonts w:ascii="Arial" w:hAnsi="Arial" w:cs="Arial"/>
        </w:rPr>
        <w:t>The wellbeing impact of a student</w:t>
      </w:r>
      <w:r w:rsidR="00371EF6">
        <w:rPr>
          <w:rFonts w:ascii="Arial" w:hAnsi="Arial" w:cs="Arial"/>
        </w:rPr>
        <w:t>’</w:t>
      </w:r>
      <w:r>
        <w:rPr>
          <w:rFonts w:ascii="Arial" w:hAnsi="Arial" w:cs="Arial"/>
        </w:rPr>
        <w:t>s academic experience will therefore depend upon their level of competence and mastery, pre-knowledge, locus of motivation, mindset</w:t>
      </w:r>
      <w:r w:rsidR="00224A36">
        <w:rPr>
          <w:rFonts w:ascii="Arial" w:hAnsi="Arial" w:cs="Arial"/>
        </w:rPr>
        <w:t>, support</w:t>
      </w:r>
      <w:r w:rsidR="00963F25">
        <w:rPr>
          <w:rFonts w:ascii="Arial" w:hAnsi="Arial" w:cs="Arial"/>
        </w:rPr>
        <w:t>, external and internal barriers</w:t>
      </w:r>
      <w:r w:rsidR="00371EF6">
        <w:rPr>
          <w:rFonts w:ascii="Arial" w:hAnsi="Arial" w:cs="Arial"/>
        </w:rPr>
        <w:t xml:space="preserve"> and learning approach</w:t>
      </w:r>
      <w:r w:rsidR="00512F97">
        <w:rPr>
          <w:rFonts w:ascii="Arial" w:hAnsi="Arial" w:cs="Arial"/>
        </w:rPr>
        <w:t xml:space="preserve"> (Black &amp; Deci, 2000; Houghton &amp; Anderson, 2017; Postareff, et al, 2016)</w:t>
      </w:r>
      <w:r w:rsidR="00371EF6">
        <w:rPr>
          <w:rFonts w:ascii="Arial" w:hAnsi="Arial" w:cs="Arial"/>
        </w:rPr>
        <w:t xml:space="preserve">. </w:t>
      </w:r>
    </w:p>
    <w:p w14:paraId="2758B5F6" w14:textId="77777777" w:rsidR="00371EF6" w:rsidRDefault="00224A36" w:rsidP="00A97B76">
      <w:pPr>
        <w:spacing w:after="160" w:line="259" w:lineRule="auto"/>
        <w:ind w:right="-357"/>
        <w:rPr>
          <w:rFonts w:ascii="Arial" w:hAnsi="Arial" w:cs="Arial"/>
        </w:rPr>
      </w:pPr>
      <w:r>
        <w:rPr>
          <w:rFonts w:ascii="Arial" w:hAnsi="Arial" w:cs="Arial"/>
        </w:rPr>
        <w:t>This then suggests that a student’s mental wellbeing and academic learning exist in a circular relationship, with the potential for both positive and negative outcomes.</w:t>
      </w:r>
    </w:p>
    <w:p w14:paraId="114962EE" w14:textId="77777777" w:rsidR="00224A36" w:rsidRDefault="00224A36" w:rsidP="00A97B76">
      <w:pPr>
        <w:spacing w:after="160" w:line="259" w:lineRule="auto"/>
        <w:ind w:right="-357"/>
        <w:rPr>
          <w:rFonts w:ascii="Arial" w:hAnsi="Arial" w:cs="Arial"/>
          <w:i/>
        </w:rPr>
      </w:pPr>
      <w:r w:rsidRPr="00224A36">
        <w:rPr>
          <w:rFonts w:ascii="Arial" w:hAnsi="Arial" w:cs="Arial"/>
          <w:i/>
        </w:rPr>
        <w:t>Figure 1 here</w:t>
      </w:r>
    </w:p>
    <w:p w14:paraId="4764FFA7" w14:textId="77777777" w:rsidR="006E6D29" w:rsidRDefault="006E6D29" w:rsidP="00A97B76">
      <w:pPr>
        <w:spacing w:after="160" w:line="259" w:lineRule="auto"/>
        <w:ind w:right="-357"/>
        <w:rPr>
          <w:rFonts w:ascii="Arial" w:hAnsi="Arial" w:cs="Arial"/>
          <w:i/>
        </w:rPr>
      </w:pPr>
    </w:p>
    <w:p w14:paraId="08B0968B" w14:textId="77777777" w:rsidR="00DE52F9" w:rsidRPr="00512BF5" w:rsidRDefault="00DE52F9" w:rsidP="00DE52F9">
      <w:pPr>
        <w:pStyle w:val="Heading2"/>
        <w:pBdr>
          <w:top w:val="single" w:sz="4" w:space="1" w:color="auto"/>
          <w:left w:val="single" w:sz="4" w:space="4" w:color="auto"/>
          <w:bottom w:val="single" w:sz="4" w:space="1" w:color="auto"/>
          <w:right w:val="single" w:sz="4" w:space="4" w:color="auto"/>
        </w:pBdr>
        <w:shd w:val="clear" w:color="auto" w:fill="92CDDC"/>
        <w:spacing w:before="0" w:after="0"/>
        <w:rPr>
          <w:rFonts w:ascii="Cambria" w:hAnsi="Cambria" w:cs="Calibri"/>
          <w:b/>
        </w:rPr>
      </w:pPr>
      <w:bookmarkStart w:id="3" w:name="_Hlk8123339"/>
      <w:r>
        <w:rPr>
          <w:rFonts w:ascii="Cambria" w:hAnsi="Cambria" w:cs="Calibri"/>
          <w:b/>
          <w:i/>
        </w:rPr>
        <w:t>The role of the curriculum</w:t>
      </w:r>
    </w:p>
    <w:bookmarkEnd w:id="3"/>
    <w:p w14:paraId="798C030C" w14:textId="77777777" w:rsidR="00DE52F9" w:rsidRDefault="00DE52F9" w:rsidP="00A97B76">
      <w:pPr>
        <w:spacing w:after="160" w:line="259" w:lineRule="auto"/>
        <w:ind w:right="-357"/>
        <w:rPr>
          <w:rFonts w:ascii="Arial" w:hAnsi="Arial" w:cs="Arial"/>
          <w:i/>
        </w:rPr>
      </w:pPr>
    </w:p>
    <w:p w14:paraId="0B5DD82D" w14:textId="5335DCDF" w:rsidR="00224A36" w:rsidRDefault="007733D8" w:rsidP="00A97B76">
      <w:pPr>
        <w:spacing w:after="160" w:line="259" w:lineRule="auto"/>
        <w:ind w:right="-357"/>
        <w:rPr>
          <w:rFonts w:ascii="Arial" w:hAnsi="Arial" w:cs="Arial"/>
        </w:rPr>
      </w:pPr>
      <w:r>
        <w:rPr>
          <w:rFonts w:ascii="Arial" w:hAnsi="Arial" w:cs="Arial"/>
        </w:rPr>
        <w:t xml:space="preserve">Taking Kift’s </w:t>
      </w:r>
      <w:r w:rsidR="00512F97">
        <w:rPr>
          <w:rFonts w:ascii="Arial" w:hAnsi="Arial" w:cs="Arial"/>
        </w:rPr>
        <w:t xml:space="preserve">(2009) </w:t>
      </w:r>
      <w:r>
        <w:rPr>
          <w:rFonts w:ascii="Arial" w:hAnsi="Arial" w:cs="Arial"/>
        </w:rPr>
        <w:t>view that if something is required for students to be successful, they should encounter the opportunity to acquire it in a timely way</w:t>
      </w:r>
      <w:r w:rsidR="00BA6D81">
        <w:rPr>
          <w:rFonts w:ascii="Arial" w:hAnsi="Arial" w:cs="Arial"/>
        </w:rPr>
        <w:t>,</w:t>
      </w:r>
      <w:r>
        <w:rPr>
          <w:rFonts w:ascii="Arial" w:hAnsi="Arial" w:cs="Arial"/>
        </w:rPr>
        <w:t xml:space="preserve"> while at university, this relationship between wellbeing and learning becomes a topic that must be specifically addressed with students. </w:t>
      </w:r>
      <w:r w:rsidR="00331135">
        <w:rPr>
          <w:rFonts w:ascii="Arial" w:hAnsi="Arial" w:cs="Arial"/>
        </w:rPr>
        <w:t xml:space="preserve">This interconnection must be explained to them and explored with them. </w:t>
      </w:r>
      <w:r w:rsidR="00224A36">
        <w:rPr>
          <w:rFonts w:ascii="Arial" w:hAnsi="Arial" w:cs="Arial"/>
        </w:rPr>
        <w:t xml:space="preserve">All of which creates a challenge for universities and Student Services, as the different sides of this circular relationship have tended to be addressed by different departments – academic learning by academic programme teams and study skills or learner development teams, student wellbeing by Student Services. </w:t>
      </w:r>
      <w:r w:rsidR="00C124EC">
        <w:rPr>
          <w:rFonts w:ascii="Arial" w:hAnsi="Arial" w:cs="Arial"/>
        </w:rPr>
        <w:t xml:space="preserve">This potentially leaves a gap in student </w:t>
      </w:r>
      <w:r w:rsidR="001F5516">
        <w:rPr>
          <w:rFonts w:ascii="Arial" w:hAnsi="Arial" w:cs="Arial"/>
        </w:rPr>
        <w:t>knowledge and understanding (and therefore behaviour)</w:t>
      </w:r>
      <w:r w:rsidR="00C124EC">
        <w:rPr>
          <w:rFonts w:ascii="Arial" w:hAnsi="Arial" w:cs="Arial"/>
        </w:rPr>
        <w:t xml:space="preserve"> and a</w:t>
      </w:r>
      <w:r w:rsidR="00340642">
        <w:rPr>
          <w:rFonts w:ascii="Arial" w:hAnsi="Arial" w:cs="Arial"/>
        </w:rPr>
        <w:t xml:space="preserve">s discussed above, places the burden of making these connections </w:t>
      </w:r>
      <w:r w:rsidR="00BC7A29">
        <w:rPr>
          <w:rFonts w:ascii="Arial" w:hAnsi="Arial" w:cs="Arial"/>
        </w:rPr>
        <w:t>on potentially</w:t>
      </w:r>
      <w:r w:rsidR="00BF5005">
        <w:rPr>
          <w:rFonts w:ascii="Arial" w:hAnsi="Arial" w:cs="Arial"/>
        </w:rPr>
        <w:t xml:space="preserve"> under prepared </w:t>
      </w:r>
      <w:r w:rsidR="00340642">
        <w:rPr>
          <w:rFonts w:ascii="Arial" w:hAnsi="Arial" w:cs="Arial"/>
        </w:rPr>
        <w:t>students.</w:t>
      </w:r>
    </w:p>
    <w:p w14:paraId="2A3AF0B8" w14:textId="77777777" w:rsidR="00BC7A29" w:rsidRPr="00224A36" w:rsidRDefault="00F735BC" w:rsidP="00A97B76">
      <w:pPr>
        <w:spacing w:after="160" w:line="259" w:lineRule="auto"/>
        <w:ind w:right="-357"/>
        <w:rPr>
          <w:rFonts w:ascii="Arial" w:hAnsi="Arial" w:cs="Arial"/>
        </w:rPr>
      </w:pPr>
      <w:r>
        <w:rPr>
          <w:rFonts w:ascii="Arial" w:hAnsi="Arial" w:cs="Arial"/>
        </w:rPr>
        <w:t>To re</w:t>
      </w:r>
      <w:r w:rsidR="006B4CE3">
        <w:rPr>
          <w:rFonts w:ascii="Arial" w:hAnsi="Arial" w:cs="Arial"/>
        </w:rPr>
        <w:t>move this burden from students, it is then necessary for universities to create and deliver interventions that make these connections explicitly and support students to develop strategies, skills and knowledge to enhance both their wellbeing and learning in an interconnected manner. Ensuring that this reaches all students places a particular focus upon the development and delivery of curriculum.</w:t>
      </w:r>
    </w:p>
    <w:p w14:paraId="3231896D" w14:textId="6DFF9D28" w:rsidR="00FC7747" w:rsidRDefault="006B4CE3" w:rsidP="00FC7747">
      <w:pPr>
        <w:spacing w:after="160" w:line="259" w:lineRule="auto"/>
        <w:rPr>
          <w:rStyle w:val="normaltextrun"/>
          <w:rFonts w:ascii="Arial" w:hAnsi="Arial" w:cs="Arial"/>
          <w:color w:val="000000"/>
        </w:rPr>
      </w:pPr>
      <w:r>
        <w:rPr>
          <w:rFonts w:ascii="Arial" w:eastAsia="Arial" w:hAnsi="Arial" w:cs="Arial"/>
        </w:rPr>
        <w:t xml:space="preserve">Research demonstrates that curriculum design </w:t>
      </w:r>
      <w:r w:rsidR="003F0784">
        <w:rPr>
          <w:rFonts w:ascii="Arial" w:eastAsia="Arial" w:hAnsi="Arial" w:cs="Arial"/>
        </w:rPr>
        <w:t xml:space="preserve">and delivery </w:t>
      </w:r>
      <w:r>
        <w:rPr>
          <w:rFonts w:ascii="Arial" w:eastAsia="Arial" w:hAnsi="Arial" w:cs="Arial"/>
        </w:rPr>
        <w:t>can have both a negative and positive impact on student wellbeing</w:t>
      </w:r>
      <w:r w:rsidR="00B95C85">
        <w:rPr>
          <w:rFonts w:ascii="Arial" w:eastAsia="Arial" w:hAnsi="Arial" w:cs="Arial"/>
        </w:rPr>
        <w:t xml:space="preserve"> </w:t>
      </w:r>
      <w:r w:rsidR="00B95C85" w:rsidRPr="00B95C85">
        <w:rPr>
          <w:rFonts w:ascii="Arial" w:eastAsia="Arial" w:hAnsi="Arial" w:cs="Arial"/>
        </w:rPr>
        <w:t>(</w:t>
      </w:r>
      <w:r w:rsidR="00B95C85">
        <w:rPr>
          <w:rFonts w:ascii="Arial" w:eastAsia="Arial" w:hAnsi="Arial" w:cs="Arial"/>
        </w:rPr>
        <w:t xml:space="preserve">Slavin, et al, 2014; </w:t>
      </w:r>
      <w:r w:rsidR="00B95C85" w:rsidRPr="00B95C85">
        <w:rPr>
          <w:rFonts w:ascii="Arial" w:eastAsia="Arial" w:hAnsi="Arial" w:cs="Arial"/>
        </w:rPr>
        <w:t>Stephens, 2013; Thomas &amp; Asselin, 2018; Thomas &amp; Revell, 2016)</w:t>
      </w:r>
      <w:r>
        <w:rPr>
          <w:rFonts w:ascii="Arial" w:eastAsia="Arial" w:hAnsi="Arial" w:cs="Arial"/>
        </w:rPr>
        <w:t>.</w:t>
      </w:r>
      <w:r w:rsidR="00B95C85">
        <w:rPr>
          <w:rFonts w:ascii="Arial" w:eastAsia="Arial" w:hAnsi="Arial" w:cs="Arial"/>
        </w:rPr>
        <w:t xml:space="preserve"> </w:t>
      </w:r>
      <w:r w:rsidR="003F0784">
        <w:rPr>
          <w:rFonts w:ascii="Arial" w:eastAsia="Arial" w:hAnsi="Arial" w:cs="Arial"/>
        </w:rPr>
        <w:t>What students learn (content) and t</w:t>
      </w:r>
      <w:r w:rsidR="00B95C85">
        <w:rPr>
          <w:rFonts w:ascii="Arial" w:eastAsia="Arial" w:hAnsi="Arial" w:cs="Arial"/>
        </w:rPr>
        <w:t xml:space="preserve">he ways in which students are taught and assessed can generate confidence, deep learning, positive self-regard and a sense of belonging or </w:t>
      </w:r>
      <w:r w:rsidR="00C71A6C">
        <w:rPr>
          <w:rFonts w:ascii="Arial" w:eastAsia="Arial" w:hAnsi="Arial" w:cs="Arial"/>
        </w:rPr>
        <w:t xml:space="preserve">alternatively; </w:t>
      </w:r>
      <w:r w:rsidR="00B95C85">
        <w:rPr>
          <w:rFonts w:ascii="Arial" w:eastAsia="Arial" w:hAnsi="Arial" w:cs="Arial"/>
        </w:rPr>
        <w:t>anxiety, surface learning, doubt and imposter syndrome and a sense of isolation and competition</w:t>
      </w:r>
      <w:r w:rsidR="00512F97">
        <w:rPr>
          <w:rFonts w:ascii="Arial" w:eastAsia="Arial" w:hAnsi="Arial" w:cs="Arial"/>
        </w:rPr>
        <w:t xml:space="preserve"> (Sheldon &amp; Krieger, 2007; Slavin, et al, 2014)</w:t>
      </w:r>
      <w:r w:rsidR="00B95C85" w:rsidRPr="00B95C85">
        <w:rPr>
          <w:rStyle w:val="normaltextrun"/>
          <w:rFonts w:ascii="Arial" w:hAnsi="Arial" w:cs="Arial"/>
          <w:color w:val="000000"/>
        </w:rPr>
        <w:t xml:space="preserve">. </w:t>
      </w:r>
      <w:r w:rsidR="00FC7747">
        <w:rPr>
          <w:rStyle w:val="normaltextrun"/>
          <w:rFonts w:ascii="Arial" w:hAnsi="Arial" w:cs="Arial"/>
          <w:color w:val="000000"/>
        </w:rPr>
        <w:t>A number of d</w:t>
      </w:r>
      <w:r w:rsidR="00FC7747" w:rsidRPr="00B95C85">
        <w:rPr>
          <w:rStyle w:val="normaltextrun"/>
          <w:rFonts w:ascii="Arial" w:hAnsi="Arial" w:cs="Arial"/>
          <w:color w:val="000000"/>
        </w:rPr>
        <w:t xml:space="preserve">isparate approaches </w:t>
      </w:r>
      <w:r w:rsidR="00FC7747">
        <w:rPr>
          <w:rStyle w:val="normaltextrun"/>
          <w:rFonts w:ascii="Arial" w:hAnsi="Arial" w:cs="Arial"/>
          <w:color w:val="000000"/>
        </w:rPr>
        <w:t xml:space="preserve">to addressing </w:t>
      </w:r>
      <w:r w:rsidR="00F1393C">
        <w:rPr>
          <w:rStyle w:val="normaltextrun"/>
          <w:rFonts w:ascii="Arial" w:hAnsi="Arial" w:cs="Arial"/>
          <w:color w:val="000000"/>
        </w:rPr>
        <w:t xml:space="preserve">this </w:t>
      </w:r>
      <w:r w:rsidR="00FC7747">
        <w:rPr>
          <w:rStyle w:val="normaltextrun"/>
          <w:rFonts w:ascii="Arial" w:hAnsi="Arial" w:cs="Arial"/>
          <w:color w:val="000000"/>
        </w:rPr>
        <w:t xml:space="preserve">problem </w:t>
      </w:r>
      <w:r w:rsidR="00FC7747" w:rsidRPr="00B95C85">
        <w:rPr>
          <w:rStyle w:val="normaltextrun"/>
          <w:rFonts w:ascii="Arial" w:hAnsi="Arial" w:cs="Arial"/>
          <w:color w:val="000000"/>
        </w:rPr>
        <w:t xml:space="preserve">have been </w:t>
      </w:r>
      <w:r w:rsidR="004C3573" w:rsidRPr="00B95C85">
        <w:rPr>
          <w:rStyle w:val="normaltextrun"/>
          <w:rFonts w:ascii="Arial" w:hAnsi="Arial" w:cs="Arial"/>
          <w:color w:val="000000"/>
        </w:rPr>
        <w:t>trialled</w:t>
      </w:r>
      <w:r w:rsidR="00FC7747" w:rsidRPr="00B95C85">
        <w:rPr>
          <w:rStyle w:val="normaltextrun"/>
          <w:rFonts w:ascii="Arial" w:hAnsi="Arial" w:cs="Arial"/>
          <w:color w:val="000000"/>
        </w:rPr>
        <w:t>, from workshops and modules s</w:t>
      </w:r>
      <w:r w:rsidR="00771BCB">
        <w:rPr>
          <w:rStyle w:val="normaltextrun"/>
          <w:rFonts w:ascii="Arial" w:hAnsi="Arial" w:cs="Arial"/>
          <w:color w:val="000000"/>
        </w:rPr>
        <w:t>tudents can chose to attend (e.g. Pennock, 2015</w:t>
      </w:r>
      <w:r w:rsidR="00FC7747" w:rsidRPr="00B95C85">
        <w:rPr>
          <w:rStyle w:val="normaltextrun"/>
          <w:rFonts w:ascii="Arial" w:hAnsi="Arial" w:cs="Arial"/>
          <w:color w:val="000000"/>
        </w:rPr>
        <w:t xml:space="preserve">), to curriculum embedded psycho-education, (e.g. </w:t>
      </w:r>
      <w:r w:rsidR="00771BCB">
        <w:rPr>
          <w:rStyle w:val="normaltextrun"/>
          <w:rFonts w:ascii="Arial" w:hAnsi="Arial" w:cs="Arial"/>
          <w:color w:val="000000"/>
        </w:rPr>
        <w:t>What Works Wellbeing, 2018)</w:t>
      </w:r>
      <w:r w:rsidR="00FC7747" w:rsidRPr="00B95C85">
        <w:rPr>
          <w:rStyle w:val="normaltextrun"/>
          <w:rFonts w:ascii="Arial" w:hAnsi="Arial" w:cs="Arial"/>
          <w:color w:val="000000"/>
        </w:rPr>
        <w:t xml:space="preserve"> to redesigning assessment strategy and teaching (</w:t>
      </w:r>
      <w:r w:rsidR="00771BCB">
        <w:rPr>
          <w:rStyle w:val="normaltextrun"/>
          <w:rFonts w:ascii="Arial" w:hAnsi="Arial" w:cs="Arial"/>
          <w:color w:val="000000"/>
        </w:rPr>
        <w:t>Houghton &amp; Anderson, 2017</w:t>
      </w:r>
      <w:r w:rsidR="00FC7747" w:rsidRPr="00B95C85">
        <w:rPr>
          <w:rStyle w:val="normaltextrun"/>
          <w:rFonts w:ascii="Arial" w:hAnsi="Arial" w:cs="Arial"/>
          <w:color w:val="000000"/>
        </w:rPr>
        <w:t>)</w:t>
      </w:r>
      <w:r w:rsidR="00FC7747">
        <w:rPr>
          <w:rStyle w:val="normaltextrun"/>
          <w:rFonts w:ascii="Arial" w:hAnsi="Arial" w:cs="Arial"/>
          <w:color w:val="000000"/>
        </w:rPr>
        <w:t xml:space="preserve"> However, these approaches are often attempts to add to or ‘bolt on’ additional content and delivery, rather than a deliberate redesign of subject specific delivery.</w:t>
      </w:r>
    </w:p>
    <w:p w14:paraId="3171F87C" w14:textId="77777777" w:rsidR="003F0784" w:rsidRDefault="00FC7747" w:rsidP="00FC7747">
      <w:pPr>
        <w:rPr>
          <w:rFonts w:ascii="Arial" w:eastAsia="Arial" w:hAnsi="Arial" w:cs="Arial"/>
        </w:rPr>
      </w:pPr>
      <w:r>
        <w:rPr>
          <w:rFonts w:ascii="Arial" w:eastAsia="Arial" w:hAnsi="Arial" w:cs="Arial"/>
        </w:rPr>
        <w:t xml:space="preserve">As </w:t>
      </w:r>
      <w:r w:rsidR="003F0784">
        <w:rPr>
          <w:rFonts w:ascii="Arial" w:eastAsia="Arial" w:hAnsi="Arial" w:cs="Arial"/>
        </w:rPr>
        <w:t>Houghton and Anderson (2017) argue</w:t>
      </w:r>
      <w:r w:rsidR="006917CA">
        <w:rPr>
          <w:rFonts w:ascii="Arial" w:eastAsia="Arial" w:hAnsi="Arial" w:cs="Arial"/>
        </w:rPr>
        <w:t>,</w:t>
      </w:r>
      <w:r w:rsidR="003F0784">
        <w:rPr>
          <w:rFonts w:ascii="Arial" w:eastAsia="Arial" w:hAnsi="Arial" w:cs="Arial"/>
        </w:rPr>
        <w:t xml:space="preserve"> because of the role that emotions play in the learning process, responses to student mental health should have the curriculum at their core. </w:t>
      </w:r>
      <w:r>
        <w:rPr>
          <w:rFonts w:ascii="Arial" w:eastAsia="Arial" w:hAnsi="Arial" w:cs="Arial"/>
        </w:rPr>
        <w:t>If this is not considered</w:t>
      </w:r>
      <w:r w:rsidR="00F1393C">
        <w:rPr>
          <w:rFonts w:ascii="Arial" w:eastAsia="Arial" w:hAnsi="Arial" w:cs="Arial"/>
        </w:rPr>
        <w:t>,</w:t>
      </w:r>
      <w:r>
        <w:rPr>
          <w:rFonts w:ascii="Arial" w:eastAsia="Arial" w:hAnsi="Arial" w:cs="Arial"/>
        </w:rPr>
        <w:t xml:space="preserve"> then not only are universities passing up an opportunity to positively impact on student wellbeing and learning but curriculum may be having a negative impact on both.</w:t>
      </w:r>
    </w:p>
    <w:p w14:paraId="7C56775F" w14:textId="77777777" w:rsidR="003F0784" w:rsidRDefault="003F0784" w:rsidP="00FA41C3">
      <w:pPr>
        <w:jc w:val="both"/>
        <w:rPr>
          <w:rFonts w:ascii="Arial" w:eastAsia="Arial" w:hAnsi="Arial" w:cs="Arial"/>
        </w:rPr>
      </w:pPr>
    </w:p>
    <w:p w14:paraId="1C2E7EE9" w14:textId="77777777" w:rsidR="003F0784" w:rsidRDefault="003F0784" w:rsidP="00FA41C3">
      <w:pPr>
        <w:jc w:val="both"/>
        <w:rPr>
          <w:rFonts w:ascii="Arial" w:eastAsia="Arial" w:hAnsi="Arial" w:cs="Arial"/>
          <w:i/>
        </w:rPr>
      </w:pPr>
      <w:r w:rsidRPr="003F0784">
        <w:rPr>
          <w:rFonts w:ascii="Arial" w:eastAsia="Arial" w:hAnsi="Arial" w:cs="Arial"/>
          <w:i/>
        </w:rPr>
        <w:t>Figure 2 here</w:t>
      </w:r>
    </w:p>
    <w:p w14:paraId="3EC76CD0" w14:textId="77777777" w:rsidR="003F0784" w:rsidRDefault="003F0784" w:rsidP="00FA41C3">
      <w:pPr>
        <w:jc w:val="both"/>
        <w:rPr>
          <w:rFonts w:ascii="Arial" w:eastAsia="Arial" w:hAnsi="Arial" w:cs="Arial"/>
        </w:rPr>
      </w:pPr>
    </w:p>
    <w:p w14:paraId="03A63BF0" w14:textId="4A6A4BD6" w:rsidR="003F0784" w:rsidRDefault="003F0784" w:rsidP="0026157B">
      <w:pPr>
        <w:rPr>
          <w:rFonts w:ascii="Arial" w:eastAsia="Arial" w:hAnsi="Arial" w:cs="Arial"/>
        </w:rPr>
      </w:pPr>
      <w:r>
        <w:rPr>
          <w:rFonts w:ascii="Arial" w:eastAsia="Arial" w:hAnsi="Arial" w:cs="Arial"/>
        </w:rPr>
        <w:t>However, research has also demonstrated that many academics lack</w:t>
      </w:r>
      <w:r w:rsidR="00FC7747">
        <w:rPr>
          <w:rFonts w:ascii="Arial" w:eastAsia="Arial" w:hAnsi="Arial" w:cs="Arial"/>
        </w:rPr>
        <w:t xml:space="preserve"> the</w:t>
      </w:r>
      <w:r>
        <w:rPr>
          <w:rFonts w:ascii="Arial" w:eastAsia="Arial" w:hAnsi="Arial" w:cs="Arial"/>
        </w:rPr>
        <w:t xml:space="preserve"> knowledge and resource</w:t>
      </w:r>
      <w:r w:rsidR="00F46709">
        <w:rPr>
          <w:rFonts w:ascii="Arial" w:eastAsia="Arial" w:hAnsi="Arial" w:cs="Arial"/>
        </w:rPr>
        <w:t>s</w:t>
      </w:r>
      <w:r>
        <w:rPr>
          <w:rFonts w:ascii="Arial" w:eastAsia="Arial" w:hAnsi="Arial" w:cs="Arial"/>
        </w:rPr>
        <w:t xml:space="preserve"> to be able to consider wellbeing</w:t>
      </w:r>
      <w:r w:rsidR="00FC7747">
        <w:rPr>
          <w:rFonts w:ascii="Arial" w:eastAsia="Arial" w:hAnsi="Arial" w:cs="Arial"/>
        </w:rPr>
        <w:t xml:space="preserve"> in designing and delivering curriculum. </w:t>
      </w:r>
    </w:p>
    <w:p w14:paraId="1B560788" w14:textId="77777777" w:rsidR="003F0784" w:rsidRPr="003F0784" w:rsidRDefault="003F0784" w:rsidP="00FA41C3">
      <w:pPr>
        <w:jc w:val="both"/>
        <w:rPr>
          <w:rFonts w:ascii="Arial" w:eastAsia="Arial" w:hAnsi="Arial" w:cs="Arial"/>
        </w:rPr>
      </w:pPr>
    </w:p>
    <w:p w14:paraId="4E6BBFBA" w14:textId="77777777" w:rsidR="00B95C85" w:rsidRDefault="00CD4B10" w:rsidP="00C124EC">
      <w:pPr>
        <w:rPr>
          <w:rFonts w:ascii="Arial" w:eastAsia="Arial" w:hAnsi="Arial" w:cs="Arial"/>
        </w:rPr>
      </w:pPr>
      <w:r>
        <w:rPr>
          <w:rFonts w:ascii="Arial" w:eastAsia="Arial" w:hAnsi="Arial" w:cs="Arial"/>
        </w:rPr>
        <w:t>This places a challenge back to Student Services teams, who do have the knowledge and understanding of student wellbeing and how it can be improved</w:t>
      </w:r>
      <w:r w:rsidR="00C84592">
        <w:rPr>
          <w:rFonts w:ascii="Arial" w:eastAsia="Arial" w:hAnsi="Arial" w:cs="Arial"/>
        </w:rPr>
        <w:t>,</w:t>
      </w:r>
      <w:r>
        <w:rPr>
          <w:rFonts w:ascii="Arial" w:eastAsia="Arial" w:hAnsi="Arial" w:cs="Arial"/>
        </w:rPr>
        <w:t xml:space="preserve"> to be able to share this knowledge with colleagues an</w:t>
      </w:r>
      <w:r w:rsidR="00C124EC">
        <w:rPr>
          <w:rFonts w:ascii="Arial" w:eastAsia="Arial" w:hAnsi="Arial" w:cs="Arial"/>
        </w:rPr>
        <w:t>d</w:t>
      </w:r>
      <w:r>
        <w:rPr>
          <w:rFonts w:ascii="Arial" w:eastAsia="Arial" w:hAnsi="Arial" w:cs="Arial"/>
        </w:rPr>
        <w:t xml:space="preserve"> influence the curriculum. </w:t>
      </w:r>
      <w:r w:rsidR="00F1393C">
        <w:rPr>
          <w:rFonts w:ascii="Arial" w:eastAsia="Arial" w:hAnsi="Arial" w:cs="Arial"/>
        </w:rPr>
        <w:t xml:space="preserve">As </w:t>
      </w:r>
      <w:r w:rsidR="00BA6D81">
        <w:rPr>
          <w:rFonts w:ascii="Arial" w:eastAsia="Arial" w:hAnsi="Arial" w:cs="Arial"/>
        </w:rPr>
        <w:t>a</w:t>
      </w:r>
      <w:r w:rsidR="00F1393C">
        <w:rPr>
          <w:rFonts w:ascii="Arial" w:eastAsia="Arial" w:hAnsi="Arial" w:cs="Arial"/>
        </w:rPr>
        <w:t xml:space="preserve"> repository of expertise </w:t>
      </w:r>
      <w:r w:rsidR="00C71A6C">
        <w:rPr>
          <w:rFonts w:ascii="Arial" w:eastAsia="Arial" w:hAnsi="Arial" w:cs="Arial"/>
        </w:rPr>
        <w:t>within universities</w:t>
      </w:r>
      <w:r w:rsidR="0033376D">
        <w:rPr>
          <w:rFonts w:ascii="Arial" w:eastAsia="Arial" w:hAnsi="Arial" w:cs="Arial"/>
        </w:rPr>
        <w:t>,</w:t>
      </w:r>
      <w:r w:rsidR="00C71A6C">
        <w:rPr>
          <w:rFonts w:ascii="Arial" w:eastAsia="Arial" w:hAnsi="Arial" w:cs="Arial"/>
        </w:rPr>
        <w:t xml:space="preserve"> </w:t>
      </w:r>
      <w:r w:rsidR="00F1393C">
        <w:rPr>
          <w:rFonts w:ascii="Arial" w:eastAsia="Arial" w:hAnsi="Arial" w:cs="Arial"/>
        </w:rPr>
        <w:t>on student mental health</w:t>
      </w:r>
      <w:r w:rsidR="004C3573">
        <w:rPr>
          <w:rFonts w:ascii="Arial" w:eastAsia="Arial" w:hAnsi="Arial" w:cs="Arial"/>
        </w:rPr>
        <w:t xml:space="preserve"> and wellbeing</w:t>
      </w:r>
      <w:r w:rsidR="00F1393C">
        <w:rPr>
          <w:rFonts w:ascii="Arial" w:eastAsia="Arial" w:hAnsi="Arial" w:cs="Arial"/>
        </w:rPr>
        <w:t xml:space="preserve">, this is a responsibility that </w:t>
      </w:r>
      <w:r w:rsidR="00BA6D81">
        <w:rPr>
          <w:rFonts w:ascii="Arial" w:eastAsia="Arial" w:hAnsi="Arial" w:cs="Arial"/>
        </w:rPr>
        <w:t>must lie</w:t>
      </w:r>
      <w:r w:rsidR="0026157B">
        <w:rPr>
          <w:rFonts w:ascii="Arial" w:eastAsia="Arial" w:hAnsi="Arial" w:cs="Arial"/>
        </w:rPr>
        <w:t>,</w:t>
      </w:r>
      <w:r w:rsidR="00BA6D81">
        <w:rPr>
          <w:rFonts w:ascii="Arial" w:eastAsia="Arial" w:hAnsi="Arial" w:cs="Arial"/>
        </w:rPr>
        <w:t xml:space="preserve"> at least partly</w:t>
      </w:r>
      <w:r w:rsidR="0026157B">
        <w:rPr>
          <w:rFonts w:ascii="Arial" w:eastAsia="Arial" w:hAnsi="Arial" w:cs="Arial"/>
        </w:rPr>
        <w:t>,</w:t>
      </w:r>
      <w:r w:rsidR="00F1393C">
        <w:rPr>
          <w:rFonts w:ascii="Arial" w:eastAsia="Arial" w:hAnsi="Arial" w:cs="Arial"/>
        </w:rPr>
        <w:t xml:space="preserve"> with Student Services.</w:t>
      </w:r>
      <w:r w:rsidR="004C3573">
        <w:rPr>
          <w:rFonts w:ascii="Arial" w:eastAsia="Arial" w:hAnsi="Arial" w:cs="Arial"/>
        </w:rPr>
        <w:t xml:space="preserve"> T</w:t>
      </w:r>
      <w:r>
        <w:rPr>
          <w:rFonts w:ascii="Arial" w:eastAsia="Arial" w:hAnsi="Arial" w:cs="Arial"/>
        </w:rPr>
        <w:t xml:space="preserve">his requires Student Services to be engaged with academics and academic programme delivery. </w:t>
      </w:r>
      <w:r w:rsidR="0026157B">
        <w:rPr>
          <w:rFonts w:ascii="Arial" w:eastAsia="Arial" w:hAnsi="Arial" w:cs="Arial"/>
        </w:rPr>
        <w:t>As argued above, i</w:t>
      </w:r>
      <w:r>
        <w:rPr>
          <w:rFonts w:ascii="Arial" w:eastAsia="Arial" w:hAnsi="Arial" w:cs="Arial"/>
        </w:rPr>
        <w:t>f complete separation exists, it is not possible for Student Services to have this influence or impact.</w:t>
      </w:r>
    </w:p>
    <w:p w14:paraId="16A71BD0" w14:textId="77777777" w:rsidR="00C124EC" w:rsidRDefault="00C124EC" w:rsidP="00FA41C3">
      <w:pPr>
        <w:jc w:val="both"/>
        <w:rPr>
          <w:rFonts w:ascii="Arial" w:eastAsia="Arial" w:hAnsi="Arial" w:cs="Arial"/>
        </w:rPr>
      </w:pPr>
    </w:p>
    <w:p w14:paraId="23E2BADA" w14:textId="6E9088C3" w:rsidR="004C3573" w:rsidRDefault="00C124EC" w:rsidP="00BA6D81">
      <w:pPr>
        <w:rPr>
          <w:rFonts w:ascii="Arial" w:eastAsia="Arial" w:hAnsi="Arial" w:cs="Arial"/>
        </w:rPr>
      </w:pPr>
      <w:r>
        <w:rPr>
          <w:rFonts w:ascii="Arial" w:eastAsia="Arial" w:hAnsi="Arial" w:cs="Arial"/>
        </w:rPr>
        <w:t xml:space="preserve">However, </w:t>
      </w:r>
      <w:r w:rsidR="00A26BE2">
        <w:rPr>
          <w:rFonts w:ascii="Arial" w:eastAsia="Arial" w:hAnsi="Arial" w:cs="Arial"/>
        </w:rPr>
        <w:t xml:space="preserve">the relationship between learning and wellbeing and </w:t>
      </w:r>
      <w:r>
        <w:rPr>
          <w:rFonts w:ascii="Arial" w:eastAsia="Arial" w:hAnsi="Arial" w:cs="Arial"/>
        </w:rPr>
        <w:t>a requirement to be able to support academic colleagues to develop curriculum that benefits wellbeing and learning</w:t>
      </w:r>
      <w:r w:rsidR="004C3573">
        <w:rPr>
          <w:rFonts w:ascii="Arial" w:eastAsia="Arial" w:hAnsi="Arial" w:cs="Arial"/>
        </w:rPr>
        <w:t>,</w:t>
      </w:r>
      <w:r>
        <w:rPr>
          <w:rFonts w:ascii="Arial" w:eastAsia="Arial" w:hAnsi="Arial" w:cs="Arial"/>
        </w:rPr>
        <w:t xml:space="preserve"> </w:t>
      </w:r>
      <w:r w:rsidR="007000F4">
        <w:rPr>
          <w:rFonts w:ascii="Arial" w:eastAsia="Arial" w:hAnsi="Arial" w:cs="Arial"/>
        </w:rPr>
        <w:t>have</w:t>
      </w:r>
      <w:r>
        <w:rPr>
          <w:rFonts w:ascii="Arial" w:eastAsia="Arial" w:hAnsi="Arial" w:cs="Arial"/>
        </w:rPr>
        <w:t xml:space="preserve"> a number of significant implications for Student Services departments</w:t>
      </w:r>
      <w:r w:rsidR="006B0D12">
        <w:rPr>
          <w:rFonts w:ascii="Arial" w:eastAsia="Arial" w:hAnsi="Arial" w:cs="Arial"/>
        </w:rPr>
        <w:t>.</w:t>
      </w:r>
      <w:r>
        <w:rPr>
          <w:rFonts w:ascii="Arial" w:eastAsia="Arial" w:hAnsi="Arial" w:cs="Arial"/>
        </w:rPr>
        <w:t xml:space="preserve"> </w:t>
      </w:r>
      <w:r w:rsidR="006B0D12">
        <w:rPr>
          <w:rFonts w:ascii="Arial" w:eastAsia="Arial" w:hAnsi="Arial" w:cs="Arial"/>
        </w:rPr>
        <w:t>I</w:t>
      </w:r>
      <w:r w:rsidR="003243A7">
        <w:rPr>
          <w:rFonts w:ascii="Arial" w:eastAsia="Arial" w:hAnsi="Arial" w:cs="Arial"/>
        </w:rPr>
        <w:t>n particular</w:t>
      </w:r>
      <w:r w:rsidR="006B0D12">
        <w:rPr>
          <w:rFonts w:ascii="Arial" w:eastAsia="Arial" w:hAnsi="Arial" w:cs="Arial"/>
        </w:rPr>
        <w:t>, there are potential consequences</w:t>
      </w:r>
      <w:r w:rsidR="003243A7">
        <w:rPr>
          <w:rFonts w:ascii="Arial" w:eastAsia="Arial" w:hAnsi="Arial" w:cs="Arial"/>
        </w:rPr>
        <w:t xml:space="preserve"> for </w:t>
      </w:r>
      <w:r>
        <w:rPr>
          <w:rFonts w:ascii="Arial" w:eastAsia="Arial" w:hAnsi="Arial" w:cs="Arial"/>
        </w:rPr>
        <w:t>staff</w:t>
      </w:r>
      <w:r w:rsidR="003243A7">
        <w:rPr>
          <w:rFonts w:ascii="Arial" w:eastAsia="Arial" w:hAnsi="Arial" w:cs="Arial"/>
        </w:rPr>
        <w:t xml:space="preserve"> whose primary responsibility is supporting student mental health</w:t>
      </w:r>
      <w:r>
        <w:rPr>
          <w:rFonts w:ascii="Arial" w:eastAsia="Arial" w:hAnsi="Arial" w:cs="Arial"/>
        </w:rPr>
        <w:t>.</w:t>
      </w:r>
    </w:p>
    <w:p w14:paraId="4C271131" w14:textId="77777777" w:rsidR="004C3573" w:rsidRPr="00B95C85" w:rsidRDefault="004C3573" w:rsidP="00FA41C3">
      <w:pPr>
        <w:jc w:val="both"/>
        <w:rPr>
          <w:rFonts w:ascii="Arial" w:eastAsia="Arial" w:hAnsi="Arial" w:cs="Arial"/>
        </w:rPr>
      </w:pPr>
    </w:p>
    <w:p w14:paraId="11CB5008" w14:textId="77777777" w:rsidR="003B1512" w:rsidRDefault="003B1512" w:rsidP="00762DA5">
      <w:pPr>
        <w:ind w:right="-360"/>
        <w:rPr>
          <w:rFonts w:ascii="Calibri" w:hAnsi="Calibri" w:cs="Calibri"/>
          <w:b/>
          <w:sz w:val="8"/>
          <w:szCs w:val="8"/>
        </w:rPr>
      </w:pPr>
    </w:p>
    <w:p w14:paraId="3FCA0478" w14:textId="77777777" w:rsidR="003B1512" w:rsidRPr="00762DA5" w:rsidRDefault="003B1512" w:rsidP="00762DA5">
      <w:pPr>
        <w:ind w:right="-360"/>
        <w:rPr>
          <w:rFonts w:ascii="Calibri" w:hAnsi="Calibri" w:cs="Calibri"/>
          <w:b/>
          <w:sz w:val="8"/>
          <w:szCs w:val="8"/>
        </w:rPr>
      </w:pPr>
    </w:p>
    <w:p w14:paraId="441A46F6" w14:textId="77777777" w:rsidR="0091163C" w:rsidRPr="00512BF5" w:rsidRDefault="00DE52F9" w:rsidP="0091163C">
      <w:pPr>
        <w:pStyle w:val="Heading2"/>
        <w:pBdr>
          <w:top w:val="single" w:sz="4" w:space="1" w:color="auto"/>
          <w:left w:val="single" w:sz="4" w:space="4" w:color="auto"/>
          <w:bottom w:val="single" w:sz="4" w:space="1" w:color="auto"/>
          <w:right w:val="single" w:sz="4" w:space="4" w:color="auto"/>
        </w:pBdr>
        <w:shd w:val="clear" w:color="auto" w:fill="92CDDC"/>
        <w:spacing w:before="0" w:after="0"/>
        <w:rPr>
          <w:rFonts w:ascii="Cambria" w:hAnsi="Cambria" w:cs="Calibri"/>
          <w:b/>
        </w:rPr>
      </w:pPr>
      <w:r>
        <w:rPr>
          <w:rFonts w:ascii="Cambria" w:hAnsi="Cambria" w:cs="Calibri"/>
          <w:b/>
        </w:rPr>
        <w:t xml:space="preserve">Student Services </w:t>
      </w:r>
      <w:r w:rsidR="00BD16AF">
        <w:rPr>
          <w:rFonts w:ascii="Cambria" w:hAnsi="Cambria" w:cs="Calibri"/>
          <w:b/>
        </w:rPr>
        <w:t>relationship to Core Mission 1: Learning and teaching</w:t>
      </w:r>
    </w:p>
    <w:p w14:paraId="3F211D44" w14:textId="77777777" w:rsidR="0091163C" w:rsidRDefault="0091163C" w:rsidP="00512BF5">
      <w:pPr>
        <w:ind w:right="-360"/>
        <w:rPr>
          <w:rFonts w:ascii="Calibri" w:hAnsi="Calibri" w:cs="Calibri"/>
          <w:b/>
          <w:sz w:val="22"/>
          <w:szCs w:val="22"/>
        </w:rPr>
      </w:pPr>
    </w:p>
    <w:p w14:paraId="746C81A2" w14:textId="77777777" w:rsidR="00246FAF" w:rsidRDefault="00246FAF" w:rsidP="007000F4">
      <w:pPr>
        <w:pStyle w:val="paragraph"/>
        <w:spacing w:before="0" w:beforeAutospacing="0" w:after="160" w:afterAutospacing="0" w:line="259" w:lineRule="auto"/>
        <w:textAlignment w:val="baseline"/>
        <w:rPr>
          <w:rFonts w:ascii="Arial" w:hAnsi="Arial" w:cs="Arial"/>
        </w:rPr>
      </w:pPr>
      <w:r>
        <w:rPr>
          <w:rFonts w:ascii="Arial" w:hAnsi="Arial" w:cs="Arial"/>
        </w:rPr>
        <w:t>T</w:t>
      </w:r>
      <w:r w:rsidR="004C3573">
        <w:rPr>
          <w:rFonts w:ascii="Arial" w:hAnsi="Arial" w:cs="Arial"/>
        </w:rPr>
        <w:t>o explore the potential role of</w:t>
      </w:r>
      <w:r>
        <w:rPr>
          <w:rFonts w:ascii="Arial" w:hAnsi="Arial" w:cs="Arial"/>
        </w:rPr>
        <w:t xml:space="preserve"> Student Services in relation to learning and teaching, it is worth considering a specific example in which the overlap between wellbeing and academic learning and achievement is most obvious.</w:t>
      </w:r>
    </w:p>
    <w:p w14:paraId="01B60C15" w14:textId="3167D20B" w:rsidR="007000F4" w:rsidRDefault="007000F4" w:rsidP="007000F4">
      <w:pPr>
        <w:pStyle w:val="paragraph"/>
        <w:spacing w:before="0" w:beforeAutospacing="0" w:after="160" w:afterAutospacing="0" w:line="259" w:lineRule="auto"/>
        <w:textAlignment w:val="baseline"/>
        <w:rPr>
          <w:rStyle w:val="eop"/>
          <w:rFonts w:ascii="Arial" w:hAnsi="Arial" w:cs="Arial"/>
          <w:b/>
          <w:color w:val="000000"/>
        </w:rPr>
      </w:pPr>
      <w:r>
        <w:rPr>
          <w:rFonts w:ascii="Arial" w:hAnsi="Arial" w:cs="Arial"/>
        </w:rPr>
        <w:t xml:space="preserve">Exam anxiety is one of the most </w:t>
      </w:r>
      <w:r w:rsidR="006B0D12">
        <w:rPr>
          <w:rFonts w:ascii="Arial" w:hAnsi="Arial" w:cs="Arial"/>
        </w:rPr>
        <w:t>identifiable</w:t>
      </w:r>
      <w:r w:rsidR="006B30D4">
        <w:rPr>
          <w:rFonts w:ascii="Arial" w:hAnsi="Arial" w:cs="Arial"/>
        </w:rPr>
        <w:t xml:space="preserve"> </w:t>
      </w:r>
      <w:r>
        <w:rPr>
          <w:rFonts w:ascii="Arial" w:hAnsi="Arial" w:cs="Arial"/>
        </w:rPr>
        <w:t xml:space="preserve">points of connection between mental wellbeing and student learning and performance. </w:t>
      </w:r>
      <w:r w:rsidR="00210349">
        <w:rPr>
          <w:rFonts w:ascii="Arial" w:hAnsi="Arial" w:cs="Arial"/>
        </w:rPr>
        <w:t>E</w:t>
      </w:r>
      <w:r w:rsidR="00B419BC">
        <w:rPr>
          <w:rStyle w:val="eop"/>
          <w:rFonts w:ascii="Arial" w:hAnsi="Arial" w:cs="Arial"/>
          <w:color w:val="000000"/>
        </w:rPr>
        <w:t>stimated to effect 25 – 30% of students</w:t>
      </w:r>
      <w:r w:rsidR="00210349">
        <w:rPr>
          <w:rStyle w:val="eop"/>
          <w:rFonts w:ascii="Arial" w:hAnsi="Arial" w:cs="Arial"/>
          <w:color w:val="000000"/>
        </w:rPr>
        <w:t>, exam anxiety</w:t>
      </w:r>
      <w:r w:rsidR="00B419BC">
        <w:rPr>
          <w:rStyle w:val="eop"/>
          <w:rFonts w:ascii="Arial" w:hAnsi="Arial" w:cs="Arial"/>
          <w:color w:val="000000"/>
        </w:rPr>
        <w:t xml:space="preserve"> is d</w:t>
      </w:r>
      <w:r>
        <w:rPr>
          <w:rFonts w:ascii="Arial" w:hAnsi="Arial" w:cs="Arial"/>
        </w:rPr>
        <w:t xml:space="preserve">efined as </w:t>
      </w:r>
      <w:r w:rsidRPr="007000F4">
        <w:rPr>
          <w:rStyle w:val="normaltextrun"/>
          <w:rFonts w:ascii="Arial" w:hAnsi="Arial" w:cs="Arial"/>
          <w:color w:val="000000"/>
          <w:position w:val="1"/>
        </w:rPr>
        <w:t>a tendency to respond to test situations with worry, physiological arousal, tension and mental disorganisation</w:t>
      </w:r>
      <w:r w:rsidR="00B419BC">
        <w:rPr>
          <w:rStyle w:val="normaltextrun"/>
          <w:rFonts w:ascii="Arial" w:hAnsi="Arial" w:cs="Arial"/>
          <w:color w:val="000000"/>
          <w:position w:val="1"/>
        </w:rPr>
        <w:t xml:space="preserve"> and to have a negative impact on exam performance</w:t>
      </w:r>
      <w:r w:rsidR="00BA6D81" w:rsidRPr="00BA6D81">
        <w:rPr>
          <w:rFonts w:ascii="Arial" w:hAnsi="Arial" w:cs="Arial"/>
        </w:rPr>
        <w:t xml:space="preserve"> </w:t>
      </w:r>
      <w:r w:rsidR="00BA6D81">
        <w:rPr>
          <w:rFonts w:ascii="Arial" w:hAnsi="Arial" w:cs="Arial"/>
        </w:rPr>
        <w:t>(Orbach, Lindsay &amp; Gray, 200</w:t>
      </w:r>
      <w:r w:rsidR="00640785">
        <w:rPr>
          <w:rFonts w:ascii="Arial" w:hAnsi="Arial" w:cs="Arial"/>
        </w:rPr>
        <w:t>7</w:t>
      </w:r>
      <w:r w:rsidR="00BA6D81">
        <w:rPr>
          <w:rFonts w:ascii="Arial" w:hAnsi="Arial" w:cs="Arial"/>
        </w:rPr>
        <w:t>)</w:t>
      </w:r>
      <w:r w:rsidR="00B419BC">
        <w:rPr>
          <w:rStyle w:val="normaltextrun"/>
          <w:rFonts w:ascii="Arial" w:hAnsi="Arial" w:cs="Arial"/>
          <w:color w:val="000000"/>
          <w:position w:val="1"/>
        </w:rPr>
        <w:t>.</w:t>
      </w:r>
      <w:r>
        <w:rPr>
          <w:rStyle w:val="eop"/>
          <w:rFonts w:ascii="Arial" w:hAnsi="Arial" w:cs="Arial"/>
          <w:color w:val="000000"/>
        </w:rPr>
        <w:t xml:space="preserve"> </w:t>
      </w:r>
      <w:r w:rsidR="00B419BC">
        <w:rPr>
          <w:rStyle w:val="eop"/>
          <w:rFonts w:ascii="Arial" w:hAnsi="Arial" w:cs="Arial"/>
          <w:color w:val="000000"/>
        </w:rPr>
        <w:t xml:space="preserve">Within the literature it is possible to find </w:t>
      </w:r>
      <w:r>
        <w:rPr>
          <w:rStyle w:val="eop"/>
          <w:rFonts w:ascii="Arial" w:hAnsi="Arial" w:cs="Arial"/>
          <w:color w:val="000000"/>
        </w:rPr>
        <w:t xml:space="preserve">a significant variety of approaches </w:t>
      </w:r>
      <w:r w:rsidR="00B419BC">
        <w:rPr>
          <w:rStyle w:val="eop"/>
          <w:rFonts w:ascii="Arial" w:hAnsi="Arial" w:cs="Arial"/>
          <w:color w:val="000000"/>
        </w:rPr>
        <w:t xml:space="preserve">and treatments for </w:t>
      </w:r>
      <w:r>
        <w:rPr>
          <w:rStyle w:val="eop"/>
          <w:rFonts w:ascii="Arial" w:hAnsi="Arial" w:cs="Arial"/>
          <w:color w:val="000000"/>
        </w:rPr>
        <w:t>exam anxiety but a meta-analysis conducted by Ergene (2003), identified that multi-modal treatments ha</w:t>
      </w:r>
      <w:r w:rsidR="00B419BC">
        <w:rPr>
          <w:rStyle w:val="eop"/>
          <w:rFonts w:ascii="Arial" w:hAnsi="Arial" w:cs="Arial"/>
          <w:color w:val="000000"/>
        </w:rPr>
        <w:t>ve</w:t>
      </w:r>
      <w:r>
        <w:rPr>
          <w:rStyle w:val="eop"/>
          <w:rFonts w:ascii="Arial" w:hAnsi="Arial" w:cs="Arial"/>
          <w:color w:val="000000"/>
        </w:rPr>
        <w:t xml:space="preserve"> the best outcomes. That is, students </w:t>
      </w:r>
      <w:r w:rsidR="00B419BC">
        <w:rPr>
          <w:rStyle w:val="eop"/>
          <w:rFonts w:ascii="Arial" w:hAnsi="Arial" w:cs="Arial"/>
          <w:color w:val="000000"/>
        </w:rPr>
        <w:t>are</w:t>
      </w:r>
      <w:r>
        <w:rPr>
          <w:rStyle w:val="eop"/>
          <w:rFonts w:ascii="Arial" w:hAnsi="Arial" w:cs="Arial"/>
          <w:color w:val="000000"/>
        </w:rPr>
        <w:t xml:space="preserve"> more likely to overcome exam anxiety, following interventions that combine a variety of therapeutic approaches, support to implement lifestyle changes and study skills support </w:t>
      </w:r>
      <w:r w:rsidRPr="007000F4">
        <w:rPr>
          <w:rStyle w:val="eop"/>
          <w:rFonts w:ascii="Arial" w:hAnsi="Arial" w:cs="Arial"/>
          <w:b/>
          <w:color w:val="000000"/>
        </w:rPr>
        <w:t>within the same intervention.</w:t>
      </w:r>
    </w:p>
    <w:p w14:paraId="3FFA2838" w14:textId="77777777" w:rsidR="007000F4" w:rsidRPr="000A65A9" w:rsidRDefault="000A65A9" w:rsidP="007000F4">
      <w:pPr>
        <w:pStyle w:val="paragraph"/>
        <w:spacing w:before="0" w:beforeAutospacing="0" w:after="160" w:afterAutospacing="0" w:line="259" w:lineRule="auto"/>
        <w:textAlignment w:val="baseline"/>
        <w:rPr>
          <w:rStyle w:val="eop"/>
          <w:rFonts w:ascii="Arial" w:hAnsi="Arial" w:cs="Arial"/>
          <w:color w:val="000000"/>
        </w:rPr>
      </w:pPr>
      <w:r w:rsidRPr="000A65A9">
        <w:rPr>
          <w:rStyle w:val="eop"/>
          <w:rFonts w:ascii="Arial" w:hAnsi="Arial" w:cs="Arial"/>
          <w:color w:val="000000"/>
        </w:rPr>
        <w:t xml:space="preserve">Taken together with </w:t>
      </w:r>
      <w:r>
        <w:rPr>
          <w:rStyle w:val="eop"/>
          <w:rFonts w:ascii="Arial" w:hAnsi="Arial" w:cs="Arial"/>
          <w:color w:val="000000"/>
        </w:rPr>
        <w:t>the unbreakable relationship between student learning and wellbeing</w:t>
      </w:r>
      <w:r w:rsidRPr="000A65A9">
        <w:rPr>
          <w:rStyle w:val="eop"/>
          <w:rFonts w:ascii="Arial" w:hAnsi="Arial" w:cs="Arial"/>
          <w:color w:val="000000"/>
        </w:rPr>
        <w:t>, this suggests</w:t>
      </w:r>
      <w:r>
        <w:rPr>
          <w:rStyle w:val="eop"/>
          <w:rFonts w:ascii="Arial" w:hAnsi="Arial" w:cs="Arial"/>
          <w:color w:val="000000"/>
        </w:rPr>
        <w:t xml:space="preserve"> that effective treatment and interventions for student mental health must be able to directly address aspects of student learning. In other words, that student counselling and </w:t>
      </w:r>
      <w:r w:rsidR="004C3573">
        <w:rPr>
          <w:rStyle w:val="eop"/>
          <w:rFonts w:ascii="Arial" w:hAnsi="Arial" w:cs="Arial"/>
          <w:color w:val="000000"/>
        </w:rPr>
        <w:t xml:space="preserve">other support for student mental health and wellbeing </w:t>
      </w:r>
      <w:r>
        <w:rPr>
          <w:rStyle w:val="eop"/>
          <w:rFonts w:ascii="Arial" w:hAnsi="Arial" w:cs="Arial"/>
          <w:color w:val="000000"/>
        </w:rPr>
        <w:t xml:space="preserve">should be regarded as a specialism, with student learning and academic performance recognised as a key contextual factor in the mental wellbeing of students. Mental health interventions, </w:t>
      </w:r>
      <w:r w:rsidR="0026157B">
        <w:rPr>
          <w:rStyle w:val="eop"/>
          <w:rFonts w:ascii="Arial" w:hAnsi="Arial" w:cs="Arial"/>
          <w:color w:val="000000"/>
        </w:rPr>
        <w:t>of whatever type</w:t>
      </w:r>
      <w:r>
        <w:rPr>
          <w:rStyle w:val="eop"/>
          <w:rFonts w:ascii="Arial" w:hAnsi="Arial" w:cs="Arial"/>
          <w:color w:val="000000"/>
        </w:rPr>
        <w:t>, should also address how students approach their learning and provide psycho-education on meta-learning and effective learning techniques, to support students to develop mastery, academic confidence and deep learning approaches.</w:t>
      </w:r>
    </w:p>
    <w:p w14:paraId="7AE5B4B9" w14:textId="77777777" w:rsidR="007000F4" w:rsidRDefault="009C7590" w:rsidP="007000F4">
      <w:pPr>
        <w:pStyle w:val="paragraph"/>
        <w:spacing w:before="0" w:beforeAutospacing="0" w:after="0" w:afterAutospacing="0"/>
        <w:textAlignment w:val="baseline"/>
        <w:rPr>
          <w:rFonts w:ascii="Arial" w:hAnsi="Arial" w:cs="Arial"/>
          <w:color w:val="000000"/>
          <w:sz w:val="25"/>
          <w:szCs w:val="25"/>
        </w:rPr>
      </w:pPr>
      <w:r w:rsidRPr="00AB429B">
        <w:rPr>
          <w:rFonts w:ascii="Arial" w:hAnsi="Arial" w:cs="Arial"/>
          <w:color w:val="000000"/>
          <w:sz w:val="25"/>
          <w:szCs w:val="25"/>
        </w:rPr>
        <w:t xml:space="preserve">This then provides </w:t>
      </w:r>
      <w:r w:rsidR="00AB429B">
        <w:rPr>
          <w:rFonts w:ascii="Arial" w:hAnsi="Arial" w:cs="Arial"/>
          <w:color w:val="000000"/>
          <w:sz w:val="25"/>
          <w:szCs w:val="25"/>
        </w:rPr>
        <w:t xml:space="preserve">a 4 axis model of student wellbeing taking into account physical, psychological, social and academic aspects and the inter-relationship between them. </w:t>
      </w:r>
    </w:p>
    <w:p w14:paraId="59531FE1" w14:textId="77777777" w:rsidR="00AB429B" w:rsidRDefault="00AB429B" w:rsidP="007000F4">
      <w:pPr>
        <w:pStyle w:val="paragraph"/>
        <w:spacing w:before="0" w:beforeAutospacing="0" w:after="0" w:afterAutospacing="0"/>
        <w:textAlignment w:val="baseline"/>
        <w:rPr>
          <w:rFonts w:ascii="Arial" w:hAnsi="Arial" w:cs="Arial"/>
          <w:color w:val="000000"/>
          <w:sz w:val="25"/>
          <w:szCs w:val="25"/>
        </w:rPr>
      </w:pPr>
    </w:p>
    <w:p w14:paraId="64FAF28C" w14:textId="77777777" w:rsidR="00AB429B" w:rsidRDefault="00AB429B" w:rsidP="007000F4">
      <w:pPr>
        <w:pStyle w:val="paragraph"/>
        <w:spacing w:before="0" w:beforeAutospacing="0" w:after="0" w:afterAutospacing="0"/>
        <w:textAlignment w:val="baseline"/>
        <w:rPr>
          <w:rFonts w:ascii="Arial" w:hAnsi="Arial" w:cs="Arial"/>
          <w:i/>
          <w:color w:val="000000"/>
          <w:sz w:val="25"/>
          <w:szCs w:val="25"/>
        </w:rPr>
      </w:pPr>
      <w:r>
        <w:rPr>
          <w:rFonts w:ascii="Arial" w:hAnsi="Arial" w:cs="Arial"/>
          <w:i/>
          <w:color w:val="000000"/>
          <w:sz w:val="25"/>
          <w:szCs w:val="25"/>
        </w:rPr>
        <w:t>Figure 3 here</w:t>
      </w:r>
    </w:p>
    <w:p w14:paraId="0A37CFB6" w14:textId="77777777" w:rsidR="00AB429B" w:rsidRDefault="00AB429B" w:rsidP="007000F4">
      <w:pPr>
        <w:pStyle w:val="paragraph"/>
        <w:spacing w:before="0" w:beforeAutospacing="0" w:after="0" w:afterAutospacing="0"/>
        <w:textAlignment w:val="baseline"/>
        <w:rPr>
          <w:rFonts w:ascii="Arial" w:hAnsi="Arial" w:cs="Arial"/>
          <w:i/>
          <w:color w:val="000000"/>
          <w:sz w:val="25"/>
          <w:szCs w:val="25"/>
        </w:rPr>
      </w:pPr>
    </w:p>
    <w:p w14:paraId="1A282D58" w14:textId="77777777" w:rsidR="00AB429B" w:rsidRDefault="00AB429B" w:rsidP="007000F4">
      <w:pPr>
        <w:pStyle w:val="paragraph"/>
        <w:spacing w:before="0" w:beforeAutospacing="0" w:after="0" w:afterAutospacing="0"/>
        <w:textAlignment w:val="baseline"/>
        <w:rPr>
          <w:rFonts w:ascii="Arial" w:hAnsi="Arial" w:cs="Arial"/>
          <w:color w:val="000000"/>
        </w:rPr>
      </w:pPr>
      <w:r>
        <w:rPr>
          <w:rFonts w:ascii="Arial" w:hAnsi="Arial" w:cs="Arial"/>
          <w:color w:val="000000"/>
        </w:rPr>
        <w:t>In turn, this can be used to provide structure and thinking around the activities of Student Services departments in this area and help provide some definition of the role of universities in supporting student mental health.</w:t>
      </w:r>
    </w:p>
    <w:p w14:paraId="1260539A" w14:textId="77777777" w:rsidR="00AB429B" w:rsidRDefault="00AB429B" w:rsidP="007000F4">
      <w:pPr>
        <w:pStyle w:val="paragraph"/>
        <w:spacing w:before="0" w:beforeAutospacing="0" w:after="0" w:afterAutospacing="0"/>
        <w:textAlignment w:val="baseline"/>
        <w:rPr>
          <w:rFonts w:ascii="Arial" w:hAnsi="Arial" w:cs="Arial"/>
          <w:color w:val="000000"/>
        </w:rPr>
      </w:pPr>
    </w:p>
    <w:p w14:paraId="1473EB21" w14:textId="77777777" w:rsidR="00AB429B" w:rsidRDefault="0026157B" w:rsidP="007000F4">
      <w:pPr>
        <w:pStyle w:val="paragraph"/>
        <w:spacing w:before="0" w:beforeAutospacing="0" w:after="0" w:afterAutospacing="0"/>
        <w:textAlignment w:val="baseline"/>
        <w:rPr>
          <w:rFonts w:ascii="Arial" w:hAnsi="Arial" w:cs="Arial"/>
          <w:color w:val="000000"/>
        </w:rPr>
      </w:pPr>
      <w:r>
        <w:rPr>
          <w:rFonts w:ascii="Arial" w:hAnsi="Arial" w:cs="Arial"/>
          <w:color w:val="000000"/>
        </w:rPr>
        <w:t xml:space="preserve">Given that </w:t>
      </w:r>
      <w:r w:rsidR="00AB429B">
        <w:rPr>
          <w:rFonts w:ascii="Arial" w:hAnsi="Arial" w:cs="Arial"/>
          <w:color w:val="000000"/>
        </w:rPr>
        <w:t xml:space="preserve">student mental health </w:t>
      </w:r>
      <w:r>
        <w:rPr>
          <w:rFonts w:ascii="Arial" w:hAnsi="Arial" w:cs="Arial"/>
          <w:color w:val="000000"/>
        </w:rPr>
        <w:t>is</w:t>
      </w:r>
      <w:r w:rsidR="00AB429B">
        <w:rPr>
          <w:rFonts w:ascii="Arial" w:hAnsi="Arial" w:cs="Arial"/>
          <w:color w:val="000000"/>
        </w:rPr>
        <w:t xml:space="preserve"> a specialism which incorporates student learning, it </w:t>
      </w:r>
      <w:r>
        <w:rPr>
          <w:rFonts w:ascii="Arial" w:hAnsi="Arial" w:cs="Arial"/>
          <w:color w:val="000000"/>
        </w:rPr>
        <w:t>is therefore clearly an</w:t>
      </w:r>
      <w:r w:rsidR="00AB429B">
        <w:rPr>
          <w:rFonts w:ascii="Arial" w:hAnsi="Arial" w:cs="Arial"/>
          <w:color w:val="000000"/>
        </w:rPr>
        <w:t xml:space="preserve"> area which falls legitimately within the purview of universities. It is unlikely that external health services will be able to develop the specialist insight and knowledge that this approach will require. </w:t>
      </w:r>
    </w:p>
    <w:p w14:paraId="3E0FFC99" w14:textId="77777777" w:rsidR="00AB429B" w:rsidRDefault="00AB429B" w:rsidP="007000F4">
      <w:pPr>
        <w:pStyle w:val="paragraph"/>
        <w:spacing w:before="0" w:beforeAutospacing="0" w:after="0" w:afterAutospacing="0"/>
        <w:textAlignment w:val="baseline"/>
        <w:rPr>
          <w:rFonts w:ascii="Arial" w:hAnsi="Arial" w:cs="Arial"/>
          <w:color w:val="000000"/>
        </w:rPr>
      </w:pPr>
    </w:p>
    <w:p w14:paraId="065A487C" w14:textId="77777777" w:rsidR="00813EA5" w:rsidRDefault="00AB429B" w:rsidP="00813EA5">
      <w:pPr>
        <w:pStyle w:val="paragraph"/>
        <w:spacing w:before="0" w:beforeAutospacing="0" w:after="160" w:afterAutospacing="0" w:line="259" w:lineRule="auto"/>
        <w:textAlignment w:val="baseline"/>
        <w:rPr>
          <w:rFonts w:ascii="Arial" w:hAnsi="Arial" w:cs="Arial"/>
          <w:color w:val="000000"/>
        </w:rPr>
      </w:pPr>
      <w:r>
        <w:rPr>
          <w:rFonts w:ascii="Arial" w:hAnsi="Arial" w:cs="Arial"/>
          <w:color w:val="000000"/>
        </w:rPr>
        <w:t>This can be given clearer definition again</w:t>
      </w:r>
      <w:r w:rsidR="004211A8">
        <w:rPr>
          <w:rFonts w:ascii="Arial" w:hAnsi="Arial" w:cs="Arial"/>
          <w:color w:val="000000"/>
        </w:rPr>
        <w:t>,</w:t>
      </w:r>
      <w:r>
        <w:rPr>
          <w:rFonts w:ascii="Arial" w:hAnsi="Arial" w:cs="Arial"/>
          <w:color w:val="000000"/>
        </w:rPr>
        <w:t xml:space="preserve"> if a developmentalist approach is taken towards the mental</w:t>
      </w:r>
      <w:r w:rsidR="00210349">
        <w:rPr>
          <w:rFonts w:ascii="Arial" w:hAnsi="Arial" w:cs="Arial"/>
          <w:color w:val="000000"/>
        </w:rPr>
        <w:t xml:space="preserve"> health and</w:t>
      </w:r>
      <w:r>
        <w:rPr>
          <w:rFonts w:ascii="Arial" w:hAnsi="Arial" w:cs="Arial"/>
          <w:color w:val="000000"/>
        </w:rPr>
        <w:t xml:space="preserve"> wellbeing of students. For decades it has been recognised </w:t>
      </w:r>
      <w:r w:rsidR="00813EA5">
        <w:rPr>
          <w:rFonts w:ascii="Arial" w:hAnsi="Arial" w:cs="Arial"/>
          <w:color w:val="000000"/>
        </w:rPr>
        <w:t>that students can be particularly receptive to counselling and other mental health interventions because, by the nature of undertaking study, they are in a stage of profound development and open to new learning</w:t>
      </w:r>
      <w:r w:rsidR="00BF3823">
        <w:rPr>
          <w:rFonts w:ascii="Arial" w:hAnsi="Arial" w:cs="Arial"/>
          <w:color w:val="000000"/>
        </w:rPr>
        <w:t xml:space="preserve"> (Walker, 1979)</w:t>
      </w:r>
      <w:r w:rsidR="00813EA5">
        <w:rPr>
          <w:rFonts w:ascii="Arial" w:hAnsi="Arial" w:cs="Arial"/>
          <w:color w:val="000000"/>
        </w:rPr>
        <w:t xml:space="preserve">. If Student Services departments view their role as developmentalist and in support of student learning, it </w:t>
      </w:r>
      <w:r w:rsidR="004C3573">
        <w:rPr>
          <w:rFonts w:ascii="Arial" w:hAnsi="Arial" w:cs="Arial"/>
          <w:color w:val="000000"/>
        </w:rPr>
        <w:t xml:space="preserve">also </w:t>
      </w:r>
      <w:r w:rsidR="00813EA5">
        <w:rPr>
          <w:rFonts w:ascii="Arial" w:hAnsi="Arial" w:cs="Arial"/>
          <w:color w:val="000000"/>
        </w:rPr>
        <w:t xml:space="preserve">places them closer to the core mission of universities and provides greater clarity of purpose. </w:t>
      </w:r>
    </w:p>
    <w:p w14:paraId="509B7AC9" w14:textId="301C49B2" w:rsidR="00813EA5" w:rsidRDefault="00813EA5" w:rsidP="00813EA5">
      <w:pPr>
        <w:pStyle w:val="paragraph"/>
        <w:spacing w:before="0" w:beforeAutospacing="0" w:after="160" w:afterAutospacing="0" w:line="259" w:lineRule="auto"/>
        <w:textAlignment w:val="baseline"/>
        <w:rPr>
          <w:rFonts w:ascii="Arial" w:hAnsi="Arial" w:cs="Arial"/>
          <w:color w:val="000000"/>
        </w:rPr>
      </w:pPr>
      <w:r>
        <w:rPr>
          <w:rFonts w:ascii="Arial" w:hAnsi="Arial" w:cs="Arial"/>
          <w:color w:val="000000"/>
        </w:rPr>
        <w:t xml:space="preserve">The nature of this learning will inevitably vary depending upon context. Within counselling or psychotherapy, for instance, the student may be supported to learn more about themselves, their past, their own emotions, their responses to particular situations and to develop new understandings, strategies and behaviours that improve their wellbeing. </w:t>
      </w:r>
      <w:r w:rsidR="006B30D4">
        <w:rPr>
          <w:rFonts w:ascii="Arial" w:hAnsi="Arial" w:cs="Arial"/>
          <w:color w:val="000000"/>
        </w:rPr>
        <w:t xml:space="preserve">For some students, this may </w:t>
      </w:r>
      <w:r w:rsidR="006B0D12">
        <w:rPr>
          <w:rFonts w:ascii="Arial" w:hAnsi="Arial" w:cs="Arial"/>
          <w:color w:val="000000"/>
        </w:rPr>
        <w:t>include</w:t>
      </w:r>
      <w:r w:rsidR="006B30D4">
        <w:rPr>
          <w:rFonts w:ascii="Arial" w:hAnsi="Arial" w:cs="Arial"/>
          <w:color w:val="000000"/>
        </w:rPr>
        <w:t xml:space="preserve"> their approach to learning, their study behaviours and steps they can take to adopt more effective learning, as a way of increasing their sense of competence, control, self-efficacy and meaning, thereby improving their mental health and wellbeing.</w:t>
      </w:r>
    </w:p>
    <w:p w14:paraId="77C264A1" w14:textId="62534AE2" w:rsidR="003E6897" w:rsidRDefault="003E6897" w:rsidP="00813EA5">
      <w:pPr>
        <w:pStyle w:val="paragraph"/>
        <w:spacing w:before="0" w:beforeAutospacing="0" w:after="160" w:afterAutospacing="0" w:line="259" w:lineRule="auto"/>
        <w:textAlignment w:val="baseline"/>
        <w:rPr>
          <w:rFonts w:ascii="Arial" w:hAnsi="Arial" w:cs="Arial"/>
          <w:color w:val="000000"/>
        </w:rPr>
      </w:pPr>
      <w:r>
        <w:rPr>
          <w:rFonts w:ascii="Arial" w:hAnsi="Arial" w:cs="Arial"/>
          <w:color w:val="000000"/>
        </w:rPr>
        <w:t>In crisis situations involving risk, it may be more difficult to take this developmentalist approach (for example, if a student is experiencing psychosis and presents a risk to themselves or others). This can therefore lend definition to those times when external health services</w:t>
      </w:r>
      <w:r w:rsidR="00210349">
        <w:rPr>
          <w:rFonts w:ascii="Arial" w:hAnsi="Arial" w:cs="Arial"/>
          <w:color w:val="000000"/>
        </w:rPr>
        <w:t xml:space="preserve"> must play the key role in responding to mental illness</w:t>
      </w:r>
      <w:r>
        <w:rPr>
          <w:rFonts w:ascii="Arial" w:hAnsi="Arial" w:cs="Arial"/>
          <w:color w:val="000000"/>
        </w:rPr>
        <w:t xml:space="preserve">. However, universities </w:t>
      </w:r>
      <w:r w:rsidR="00210349">
        <w:rPr>
          <w:rFonts w:ascii="Arial" w:hAnsi="Arial" w:cs="Arial"/>
          <w:color w:val="000000"/>
        </w:rPr>
        <w:t>may still be able to play a learning role even in this scenario</w:t>
      </w:r>
      <w:r w:rsidR="006B0D12">
        <w:rPr>
          <w:rFonts w:ascii="Arial" w:hAnsi="Arial" w:cs="Arial"/>
          <w:color w:val="000000"/>
        </w:rPr>
        <w:t>.</w:t>
      </w:r>
      <w:r w:rsidR="00210349">
        <w:rPr>
          <w:rFonts w:ascii="Arial" w:hAnsi="Arial" w:cs="Arial"/>
          <w:color w:val="000000"/>
        </w:rPr>
        <w:t xml:space="preserve"> </w:t>
      </w:r>
      <w:r w:rsidR="006B0D12">
        <w:rPr>
          <w:rFonts w:ascii="Arial" w:hAnsi="Arial" w:cs="Arial"/>
          <w:color w:val="000000"/>
        </w:rPr>
        <w:t>F</w:t>
      </w:r>
      <w:r w:rsidR="00210349">
        <w:rPr>
          <w:rFonts w:ascii="Arial" w:hAnsi="Arial" w:cs="Arial"/>
          <w:color w:val="000000"/>
        </w:rPr>
        <w:t>or instance, by helping the student to develop an understanding of the need for medica</w:t>
      </w:r>
      <w:r w:rsidR="00E607C4">
        <w:rPr>
          <w:rFonts w:ascii="Arial" w:hAnsi="Arial" w:cs="Arial"/>
          <w:color w:val="000000"/>
        </w:rPr>
        <w:t>l intervention. During recovery,</w:t>
      </w:r>
      <w:r w:rsidR="00210349">
        <w:rPr>
          <w:rFonts w:ascii="Arial" w:hAnsi="Arial" w:cs="Arial"/>
          <w:color w:val="000000"/>
        </w:rPr>
        <w:t xml:space="preserve"> Student Services staff, working</w:t>
      </w:r>
      <w:r>
        <w:rPr>
          <w:rFonts w:ascii="Arial" w:hAnsi="Arial" w:cs="Arial"/>
          <w:color w:val="000000"/>
        </w:rPr>
        <w:t xml:space="preserve"> in collaboration with external services, </w:t>
      </w:r>
      <w:r w:rsidR="00210349">
        <w:rPr>
          <w:rFonts w:ascii="Arial" w:hAnsi="Arial" w:cs="Arial"/>
          <w:color w:val="000000"/>
        </w:rPr>
        <w:t>may also be able to support</w:t>
      </w:r>
      <w:r>
        <w:rPr>
          <w:rFonts w:ascii="Arial" w:hAnsi="Arial" w:cs="Arial"/>
          <w:color w:val="000000"/>
        </w:rPr>
        <w:t xml:space="preserve"> the student to </w:t>
      </w:r>
      <w:r w:rsidR="00210349">
        <w:rPr>
          <w:rFonts w:ascii="Arial" w:hAnsi="Arial" w:cs="Arial"/>
          <w:color w:val="000000"/>
        </w:rPr>
        <w:t xml:space="preserve">learn about and </w:t>
      </w:r>
      <w:r>
        <w:rPr>
          <w:rFonts w:ascii="Arial" w:hAnsi="Arial" w:cs="Arial"/>
          <w:color w:val="000000"/>
        </w:rPr>
        <w:t>understand their experience, so they can return to study safely and red</w:t>
      </w:r>
      <w:r w:rsidR="00210349">
        <w:rPr>
          <w:rFonts w:ascii="Arial" w:hAnsi="Arial" w:cs="Arial"/>
          <w:color w:val="000000"/>
        </w:rPr>
        <w:t>uce the possibility of relapse.</w:t>
      </w:r>
    </w:p>
    <w:p w14:paraId="779B7F1A" w14:textId="77777777" w:rsidR="00122D63" w:rsidRDefault="00122D63" w:rsidP="00813EA5">
      <w:pPr>
        <w:pStyle w:val="paragraph"/>
        <w:spacing w:before="0" w:beforeAutospacing="0" w:after="160" w:afterAutospacing="0" w:line="259" w:lineRule="auto"/>
        <w:textAlignment w:val="baseline"/>
        <w:rPr>
          <w:rFonts w:ascii="Arial" w:hAnsi="Arial" w:cs="Arial"/>
          <w:color w:val="000000"/>
        </w:rPr>
      </w:pPr>
      <w:r>
        <w:rPr>
          <w:rFonts w:ascii="Arial" w:hAnsi="Arial" w:cs="Arial"/>
          <w:color w:val="000000"/>
        </w:rPr>
        <w:t xml:space="preserve">Theoretical support for this approach can be found in recent advances in the literature. Byrom and </w:t>
      </w:r>
      <w:r w:rsidR="00C63BD6">
        <w:rPr>
          <w:rFonts w:ascii="Arial" w:hAnsi="Arial" w:cs="Arial"/>
          <w:color w:val="000000"/>
        </w:rPr>
        <w:t>Murphy</w:t>
      </w:r>
      <w:r>
        <w:rPr>
          <w:rFonts w:ascii="Arial" w:hAnsi="Arial" w:cs="Arial"/>
          <w:color w:val="000000"/>
        </w:rPr>
        <w:t xml:space="preserve"> (2018) propose a new 3 factor model for understanding how mental health develops in the individual. While traditional models of mental health devel</w:t>
      </w:r>
      <w:r w:rsidR="004836B7">
        <w:rPr>
          <w:rFonts w:ascii="Arial" w:hAnsi="Arial" w:cs="Arial"/>
          <w:color w:val="000000"/>
        </w:rPr>
        <w:t>opment have considered that it i</w:t>
      </w:r>
      <w:r>
        <w:rPr>
          <w:rFonts w:ascii="Arial" w:hAnsi="Arial" w:cs="Arial"/>
          <w:color w:val="000000"/>
        </w:rPr>
        <w:t>s largely a confluence of genetic characteristics and the environment, the</w:t>
      </w:r>
      <w:r w:rsidR="006917CA">
        <w:rPr>
          <w:rFonts w:ascii="Arial" w:hAnsi="Arial" w:cs="Arial"/>
          <w:color w:val="000000"/>
        </w:rPr>
        <w:t>ir work</w:t>
      </w:r>
      <w:r>
        <w:rPr>
          <w:rFonts w:ascii="Arial" w:hAnsi="Arial" w:cs="Arial"/>
          <w:color w:val="000000"/>
        </w:rPr>
        <w:t xml:space="preserve"> suggest</w:t>
      </w:r>
      <w:r w:rsidR="00114439">
        <w:rPr>
          <w:rFonts w:ascii="Arial" w:hAnsi="Arial" w:cs="Arial"/>
          <w:color w:val="000000"/>
        </w:rPr>
        <w:t>s</w:t>
      </w:r>
      <w:r>
        <w:rPr>
          <w:rFonts w:ascii="Arial" w:hAnsi="Arial" w:cs="Arial"/>
          <w:color w:val="000000"/>
        </w:rPr>
        <w:t xml:space="preserve"> that learning should be seen as a third mediating factor. That is, that it is through learning that we adapt to our genetic </w:t>
      </w:r>
      <w:r w:rsidR="004C3573">
        <w:rPr>
          <w:rFonts w:ascii="Arial" w:hAnsi="Arial" w:cs="Arial"/>
          <w:color w:val="000000"/>
        </w:rPr>
        <w:t>makeup</w:t>
      </w:r>
      <w:r>
        <w:rPr>
          <w:rFonts w:ascii="Arial" w:hAnsi="Arial" w:cs="Arial"/>
          <w:color w:val="000000"/>
        </w:rPr>
        <w:t xml:space="preserve"> and the environment. Individuals who learn to adopt flexible, sophisticated and balanced responses to their environment and </w:t>
      </w:r>
      <w:r w:rsidR="00E607C4">
        <w:rPr>
          <w:rFonts w:ascii="Arial" w:hAnsi="Arial" w:cs="Arial"/>
          <w:color w:val="000000"/>
        </w:rPr>
        <w:t xml:space="preserve">their </w:t>
      </w:r>
      <w:r>
        <w:rPr>
          <w:rFonts w:ascii="Arial" w:hAnsi="Arial" w:cs="Arial"/>
          <w:color w:val="000000"/>
        </w:rPr>
        <w:t>own characteristics are more likely to develop good mental health. However, this is obviously easier for those whose genes and environment are less challenging.</w:t>
      </w:r>
    </w:p>
    <w:p w14:paraId="23680A26" w14:textId="77777777" w:rsidR="00122D63" w:rsidRDefault="00122D63" w:rsidP="00813EA5">
      <w:pPr>
        <w:pStyle w:val="paragraph"/>
        <w:spacing w:before="0" w:beforeAutospacing="0" w:after="160" w:afterAutospacing="0" w:line="259" w:lineRule="auto"/>
        <w:textAlignment w:val="baseline"/>
        <w:rPr>
          <w:rFonts w:ascii="Arial" w:hAnsi="Arial" w:cs="Arial"/>
          <w:color w:val="000000"/>
        </w:rPr>
      </w:pPr>
      <w:r>
        <w:rPr>
          <w:rFonts w:ascii="Arial" w:hAnsi="Arial" w:cs="Arial"/>
          <w:color w:val="000000"/>
        </w:rPr>
        <w:t>This provides an additional theoretical structure through which universities can think about student mental health and in particular, can envision whole university approaches which do not fall foul of accusations of ‘victim blaming’</w:t>
      </w:r>
      <w:r w:rsidR="000735F7">
        <w:rPr>
          <w:rFonts w:ascii="Arial" w:hAnsi="Arial" w:cs="Arial"/>
          <w:color w:val="000000"/>
        </w:rPr>
        <w:t xml:space="preserve"> </w:t>
      </w:r>
      <w:r w:rsidR="00210349">
        <w:rPr>
          <w:rFonts w:ascii="Arial" w:hAnsi="Arial" w:cs="Arial"/>
          <w:color w:val="000000"/>
        </w:rPr>
        <w:t xml:space="preserve">as mentioned in the introduction </w:t>
      </w:r>
      <w:r w:rsidR="000735F7">
        <w:rPr>
          <w:rFonts w:ascii="Arial" w:hAnsi="Arial" w:cs="Arial"/>
          <w:color w:val="000000"/>
        </w:rPr>
        <w:t xml:space="preserve">but remain developmental and holistic in outlook. </w:t>
      </w:r>
    </w:p>
    <w:p w14:paraId="695A1776" w14:textId="77777777" w:rsidR="00122D63" w:rsidRDefault="00122D63" w:rsidP="00813EA5">
      <w:pPr>
        <w:pStyle w:val="paragraph"/>
        <w:spacing w:before="0" w:beforeAutospacing="0" w:after="160" w:afterAutospacing="0" w:line="259" w:lineRule="auto"/>
        <w:textAlignment w:val="baseline"/>
        <w:rPr>
          <w:rFonts w:ascii="Arial" w:hAnsi="Arial" w:cs="Arial"/>
          <w:i/>
          <w:color w:val="000000"/>
        </w:rPr>
      </w:pPr>
      <w:r w:rsidRPr="00122D63">
        <w:rPr>
          <w:rFonts w:ascii="Arial" w:hAnsi="Arial" w:cs="Arial"/>
          <w:i/>
          <w:color w:val="000000"/>
        </w:rPr>
        <w:t>Figure 4 here</w:t>
      </w:r>
    </w:p>
    <w:p w14:paraId="40430AE5" w14:textId="45C05AD4" w:rsidR="00122D63" w:rsidRDefault="00122D63" w:rsidP="00813EA5">
      <w:pPr>
        <w:pStyle w:val="paragraph"/>
        <w:spacing w:before="0" w:beforeAutospacing="0" w:after="160" w:afterAutospacing="0" w:line="259" w:lineRule="auto"/>
        <w:textAlignment w:val="baseline"/>
        <w:rPr>
          <w:rFonts w:ascii="Arial" w:hAnsi="Arial" w:cs="Arial"/>
          <w:color w:val="000000"/>
        </w:rPr>
      </w:pPr>
      <w:r>
        <w:rPr>
          <w:rFonts w:ascii="Arial" w:hAnsi="Arial" w:cs="Arial"/>
          <w:color w:val="000000"/>
        </w:rPr>
        <w:t xml:space="preserve">This </w:t>
      </w:r>
      <w:r w:rsidR="0033376D">
        <w:rPr>
          <w:rFonts w:ascii="Arial" w:hAnsi="Arial" w:cs="Arial"/>
          <w:color w:val="000000"/>
        </w:rPr>
        <w:t xml:space="preserve">structure </w:t>
      </w:r>
      <w:r>
        <w:rPr>
          <w:rFonts w:ascii="Arial" w:hAnsi="Arial" w:cs="Arial"/>
          <w:color w:val="000000"/>
        </w:rPr>
        <w:t xml:space="preserve">suggests that universities must consider </w:t>
      </w:r>
      <w:r w:rsidR="009F4202">
        <w:rPr>
          <w:rFonts w:ascii="Arial" w:hAnsi="Arial" w:cs="Arial"/>
          <w:color w:val="000000"/>
        </w:rPr>
        <w:t>(Byrom &amp; Murphy, 2018)</w:t>
      </w:r>
    </w:p>
    <w:p w14:paraId="6705C4C9" w14:textId="77777777" w:rsidR="00122D63" w:rsidRDefault="00122D63" w:rsidP="00813EA5">
      <w:pPr>
        <w:pStyle w:val="paragraph"/>
        <w:spacing w:before="0" w:beforeAutospacing="0" w:after="160" w:afterAutospacing="0" w:line="259" w:lineRule="auto"/>
        <w:textAlignment w:val="baseline"/>
        <w:rPr>
          <w:rFonts w:ascii="Arial" w:hAnsi="Arial" w:cs="Arial"/>
          <w:color w:val="000000"/>
        </w:rPr>
      </w:pPr>
      <w:r w:rsidRPr="00122D63">
        <w:rPr>
          <w:rFonts w:ascii="Arial" w:hAnsi="Arial" w:cs="Arial"/>
          <w:b/>
          <w:color w:val="000000"/>
        </w:rPr>
        <w:t>Gene</w:t>
      </w:r>
      <w:r>
        <w:rPr>
          <w:rFonts w:ascii="Arial" w:hAnsi="Arial" w:cs="Arial"/>
          <w:b/>
          <w:color w:val="000000"/>
        </w:rPr>
        <w:t xml:space="preserve">tic factors – </w:t>
      </w:r>
      <w:r>
        <w:rPr>
          <w:rFonts w:ascii="Arial" w:hAnsi="Arial" w:cs="Arial"/>
          <w:color w:val="000000"/>
        </w:rPr>
        <w:t>students with particular characteristics that make them more vulnerable to mental health difficulties, e.g. Autism</w:t>
      </w:r>
      <w:r w:rsidR="00A67B99">
        <w:rPr>
          <w:rFonts w:ascii="Arial" w:hAnsi="Arial" w:cs="Arial"/>
          <w:color w:val="000000"/>
        </w:rPr>
        <w:t>, may require specialist types of proactive support to ensure they meet their potential</w:t>
      </w:r>
      <w:r w:rsidR="000735F7">
        <w:rPr>
          <w:rFonts w:ascii="Arial" w:hAnsi="Arial" w:cs="Arial"/>
          <w:color w:val="000000"/>
        </w:rPr>
        <w:t xml:space="preserve">. This incorporates a range of the </w:t>
      </w:r>
      <w:r w:rsidR="00E6600D">
        <w:rPr>
          <w:rFonts w:ascii="Arial" w:hAnsi="Arial" w:cs="Arial"/>
          <w:color w:val="000000"/>
        </w:rPr>
        <w:t>typical</w:t>
      </w:r>
      <w:r w:rsidR="000735F7">
        <w:rPr>
          <w:rFonts w:ascii="Arial" w:hAnsi="Arial" w:cs="Arial"/>
          <w:color w:val="000000"/>
        </w:rPr>
        <w:t xml:space="preserve"> services offered by Student Services e.g. disability services</w:t>
      </w:r>
    </w:p>
    <w:p w14:paraId="635B4BCD" w14:textId="538A2A43" w:rsidR="00A67B99" w:rsidRDefault="00A67B99" w:rsidP="00813EA5">
      <w:pPr>
        <w:pStyle w:val="paragraph"/>
        <w:spacing w:before="0" w:beforeAutospacing="0" w:after="160" w:afterAutospacing="0" w:line="259" w:lineRule="auto"/>
        <w:textAlignment w:val="baseline"/>
        <w:rPr>
          <w:rFonts w:ascii="Arial" w:hAnsi="Arial" w:cs="Arial"/>
          <w:color w:val="000000"/>
        </w:rPr>
      </w:pPr>
      <w:r w:rsidRPr="00A67B99">
        <w:rPr>
          <w:rFonts w:ascii="Arial" w:hAnsi="Arial" w:cs="Arial"/>
          <w:b/>
          <w:color w:val="000000"/>
        </w:rPr>
        <w:t xml:space="preserve">Environmental factors </w:t>
      </w:r>
      <w:r>
        <w:rPr>
          <w:rFonts w:ascii="Arial" w:hAnsi="Arial" w:cs="Arial"/>
          <w:b/>
          <w:color w:val="000000"/>
        </w:rPr>
        <w:t xml:space="preserve">– </w:t>
      </w:r>
      <w:r w:rsidRPr="00A67B99">
        <w:rPr>
          <w:rFonts w:ascii="Arial" w:hAnsi="Arial" w:cs="Arial"/>
          <w:color w:val="000000"/>
        </w:rPr>
        <w:t>students require a university environment that is conducive to good mental health</w:t>
      </w:r>
      <w:r w:rsidR="006B0D12">
        <w:rPr>
          <w:rFonts w:ascii="Arial" w:hAnsi="Arial" w:cs="Arial"/>
          <w:color w:val="000000"/>
        </w:rPr>
        <w:t>.</w:t>
      </w:r>
      <w:r>
        <w:rPr>
          <w:rFonts w:ascii="Arial" w:hAnsi="Arial" w:cs="Arial"/>
          <w:color w:val="000000"/>
        </w:rPr>
        <w:t xml:space="preserve"> </w:t>
      </w:r>
      <w:r w:rsidR="006B0D12">
        <w:rPr>
          <w:rFonts w:ascii="Arial" w:hAnsi="Arial" w:cs="Arial"/>
          <w:color w:val="000000"/>
        </w:rPr>
        <w:t>T</w:t>
      </w:r>
      <w:r>
        <w:rPr>
          <w:rFonts w:ascii="Arial" w:hAnsi="Arial" w:cs="Arial"/>
          <w:color w:val="000000"/>
        </w:rPr>
        <w:t>his includes all university activities</w:t>
      </w:r>
      <w:r w:rsidR="00E6600D">
        <w:rPr>
          <w:rFonts w:ascii="Arial" w:hAnsi="Arial" w:cs="Arial"/>
          <w:color w:val="000000"/>
        </w:rPr>
        <w:t>,</w:t>
      </w:r>
      <w:r>
        <w:rPr>
          <w:rFonts w:ascii="Arial" w:hAnsi="Arial" w:cs="Arial"/>
          <w:color w:val="000000"/>
        </w:rPr>
        <w:t xml:space="preserve"> including the curriculum. Universities should also consider </w:t>
      </w:r>
      <w:r w:rsidR="000735F7">
        <w:rPr>
          <w:rFonts w:ascii="Arial" w:hAnsi="Arial" w:cs="Arial"/>
          <w:color w:val="000000"/>
        </w:rPr>
        <w:t xml:space="preserve">(1) </w:t>
      </w:r>
      <w:r>
        <w:rPr>
          <w:rFonts w:ascii="Arial" w:hAnsi="Arial" w:cs="Arial"/>
          <w:color w:val="000000"/>
        </w:rPr>
        <w:t xml:space="preserve">the environments from which students are coming to university and the impacts these may already have had and </w:t>
      </w:r>
      <w:r w:rsidR="000735F7">
        <w:rPr>
          <w:rFonts w:ascii="Arial" w:hAnsi="Arial" w:cs="Arial"/>
          <w:color w:val="000000"/>
        </w:rPr>
        <w:t xml:space="preserve">(2) </w:t>
      </w:r>
      <w:r>
        <w:rPr>
          <w:rFonts w:ascii="Arial" w:hAnsi="Arial" w:cs="Arial"/>
          <w:color w:val="000000"/>
        </w:rPr>
        <w:t>the need for an inclusive university environment, that responds to intersectional issues that can</w:t>
      </w:r>
      <w:r w:rsidR="004836B7">
        <w:rPr>
          <w:rFonts w:ascii="Arial" w:hAnsi="Arial" w:cs="Arial"/>
          <w:color w:val="000000"/>
        </w:rPr>
        <w:t xml:space="preserve"> otherwise</w:t>
      </w:r>
      <w:r>
        <w:rPr>
          <w:rFonts w:ascii="Arial" w:hAnsi="Arial" w:cs="Arial"/>
          <w:color w:val="000000"/>
        </w:rPr>
        <w:t xml:space="preserve"> create the potential for mental health difficulties e.g. for LGBT+ students</w:t>
      </w:r>
      <w:r w:rsidR="004836B7">
        <w:rPr>
          <w:rFonts w:ascii="Arial" w:hAnsi="Arial" w:cs="Arial"/>
          <w:color w:val="000000"/>
        </w:rPr>
        <w:t>.</w:t>
      </w:r>
    </w:p>
    <w:p w14:paraId="4077F02F" w14:textId="77777777" w:rsidR="00A67B99" w:rsidRDefault="00A67B99" w:rsidP="00813EA5">
      <w:pPr>
        <w:pStyle w:val="paragraph"/>
        <w:spacing w:before="0" w:beforeAutospacing="0" w:after="160" w:afterAutospacing="0" w:line="259" w:lineRule="auto"/>
        <w:textAlignment w:val="baseline"/>
        <w:rPr>
          <w:rFonts w:ascii="Arial" w:hAnsi="Arial" w:cs="Arial"/>
          <w:color w:val="000000"/>
        </w:rPr>
      </w:pPr>
      <w:r>
        <w:rPr>
          <w:rFonts w:ascii="Arial" w:hAnsi="Arial" w:cs="Arial"/>
          <w:b/>
          <w:color w:val="000000"/>
        </w:rPr>
        <w:t xml:space="preserve">Learning – </w:t>
      </w:r>
      <w:r>
        <w:rPr>
          <w:rFonts w:ascii="Arial" w:hAnsi="Arial" w:cs="Arial"/>
          <w:color w:val="000000"/>
        </w:rPr>
        <w:t xml:space="preserve">students may need to develop insights, understanding, skills and strategies to </w:t>
      </w:r>
      <w:r w:rsidR="00E6600D">
        <w:rPr>
          <w:rFonts w:ascii="Arial" w:hAnsi="Arial" w:cs="Arial"/>
          <w:color w:val="000000"/>
        </w:rPr>
        <w:t xml:space="preserve">improve academic achievement and to </w:t>
      </w:r>
      <w:r>
        <w:rPr>
          <w:rFonts w:ascii="Arial" w:hAnsi="Arial" w:cs="Arial"/>
          <w:color w:val="000000"/>
        </w:rPr>
        <w:t xml:space="preserve">better manage their own wellbeing </w:t>
      </w:r>
      <w:r w:rsidR="00E6600D">
        <w:rPr>
          <w:rFonts w:ascii="Arial" w:hAnsi="Arial" w:cs="Arial"/>
          <w:color w:val="000000"/>
        </w:rPr>
        <w:t>now and in</w:t>
      </w:r>
      <w:r>
        <w:rPr>
          <w:rFonts w:ascii="Arial" w:hAnsi="Arial" w:cs="Arial"/>
          <w:color w:val="000000"/>
        </w:rPr>
        <w:t xml:space="preserve"> their future lives and careers</w:t>
      </w:r>
      <w:r w:rsidR="003E6897">
        <w:rPr>
          <w:rFonts w:ascii="Arial" w:hAnsi="Arial" w:cs="Arial"/>
          <w:color w:val="000000"/>
        </w:rPr>
        <w:t>.</w:t>
      </w:r>
    </w:p>
    <w:p w14:paraId="54460673" w14:textId="77777777" w:rsidR="00A67B99" w:rsidRPr="00A67B99" w:rsidRDefault="00BD255E" w:rsidP="00813EA5">
      <w:pPr>
        <w:pStyle w:val="paragraph"/>
        <w:spacing w:before="0" w:beforeAutospacing="0" w:after="160" w:afterAutospacing="0" w:line="259" w:lineRule="auto"/>
        <w:textAlignment w:val="baseline"/>
        <w:rPr>
          <w:rFonts w:ascii="Arial" w:hAnsi="Arial" w:cs="Arial"/>
          <w:color w:val="000000"/>
        </w:rPr>
      </w:pPr>
      <w:r>
        <w:rPr>
          <w:rFonts w:ascii="Arial" w:hAnsi="Arial" w:cs="Arial"/>
          <w:color w:val="000000"/>
        </w:rPr>
        <w:t xml:space="preserve">Bringing all of this together, it is possible to construct a vision of Student Services as playing a central developmentalist role in a whole university response to student wellbeing, </w:t>
      </w:r>
      <w:r w:rsidR="00CD0726">
        <w:rPr>
          <w:rFonts w:ascii="Arial" w:hAnsi="Arial" w:cs="Arial"/>
          <w:color w:val="000000"/>
        </w:rPr>
        <w:t xml:space="preserve">delivering learning </w:t>
      </w:r>
      <w:r w:rsidR="00F1393C">
        <w:rPr>
          <w:rFonts w:ascii="Arial" w:hAnsi="Arial" w:cs="Arial"/>
          <w:color w:val="000000"/>
        </w:rPr>
        <w:t xml:space="preserve">to support good wellbeing </w:t>
      </w:r>
      <w:r w:rsidR="00CD0726">
        <w:rPr>
          <w:rFonts w:ascii="Arial" w:hAnsi="Arial" w:cs="Arial"/>
          <w:color w:val="000000"/>
        </w:rPr>
        <w:t xml:space="preserve">and </w:t>
      </w:r>
      <w:r w:rsidR="00E6600D">
        <w:rPr>
          <w:rFonts w:ascii="Arial" w:hAnsi="Arial" w:cs="Arial"/>
          <w:color w:val="000000"/>
        </w:rPr>
        <w:t>contributing</w:t>
      </w:r>
      <w:r w:rsidR="00CD0726">
        <w:rPr>
          <w:rFonts w:ascii="Arial" w:hAnsi="Arial" w:cs="Arial"/>
          <w:color w:val="000000"/>
        </w:rPr>
        <w:t xml:space="preserve"> to the development of curriculum and pedagogy that supports wellbeing and learning. Th</w:t>
      </w:r>
      <w:r w:rsidR="007852F0">
        <w:rPr>
          <w:rFonts w:ascii="Arial" w:hAnsi="Arial" w:cs="Arial"/>
          <w:color w:val="000000"/>
        </w:rPr>
        <w:t>i</w:t>
      </w:r>
      <w:r w:rsidR="00CD0726">
        <w:rPr>
          <w:rFonts w:ascii="Arial" w:hAnsi="Arial" w:cs="Arial"/>
          <w:color w:val="000000"/>
        </w:rPr>
        <w:t xml:space="preserve">s situates Student Services closer to one of the core missions of universities, protects the professionalism of services and delivers a response to mental health that can have a positive impact on the </w:t>
      </w:r>
      <w:r w:rsidR="00E6600D">
        <w:rPr>
          <w:rFonts w:ascii="Arial" w:hAnsi="Arial" w:cs="Arial"/>
          <w:color w:val="000000"/>
        </w:rPr>
        <w:t xml:space="preserve">mental health and </w:t>
      </w:r>
      <w:r w:rsidR="00CD0726">
        <w:rPr>
          <w:rFonts w:ascii="Arial" w:hAnsi="Arial" w:cs="Arial"/>
          <w:color w:val="000000"/>
        </w:rPr>
        <w:t>wellbeing of all students.</w:t>
      </w:r>
    </w:p>
    <w:p w14:paraId="1D725FA4" w14:textId="77777777" w:rsidR="0091163C" w:rsidRPr="00512BF5" w:rsidRDefault="007852F0" w:rsidP="0091163C">
      <w:pPr>
        <w:pStyle w:val="Heading2"/>
        <w:pBdr>
          <w:top w:val="single" w:sz="4" w:space="1" w:color="auto"/>
          <w:left w:val="single" w:sz="4" w:space="4" w:color="auto"/>
          <w:bottom w:val="single" w:sz="4" w:space="1" w:color="auto"/>
          <w:right w:val="single" w:sz="4" w:space="4" w:color="auto"/>
        </w:pBdr>
        <w:shd w:val="clear" w:color="auto" w:fill="92CDDC"/>
        <w:spacing w:before="0" w:after="0"/>
        <w:rPr>
          <w:rFonts w:ascii="Cambria" w:hAnsi="Cambria" w:cs="Calibri"/>
          <w:b/>
        </w:rPr>
      </w:pPr>
      <w:r>
        <w:rPr>
          <w:rFonts w:ascii="Cambria" w:hAnsi="Cambria" w:cs="Calibri"/>
          <w:b/>
        </w:rPr>
        <w:t>Barriers</w:t>
      </w:r>
      <w:r w:rsidR="000735F7">
        <w:rPr>
          <w:rFonts w:ascii="Cambria" w:hAnsi="Cambria" w:cs="Calibri"/>
          <w:b/>
        </w:rPr>
        <w:t xml:space="preserve"> and possible solutions</w:t>
      </w:r>
    </w:p>
    <w:p w14:paraId="47CBE5B4" w14:textId="77777777" w:rsidR="0091163C" w:rsidRDefault="0091163C" w:rsidP="00512BF5">
      <w:pPr>
        <w:ind w:right="-360"/>
        <w:rPr>
          <w:rFonts w:ascii="Calibri" w:hAnsi="Calibri" w:cs="Calibri"/>
          <w:b/>
          <w:sz w:val="22"/>
          <w:szCs w:val="22"/>
        </w:rPr>
      </w:pPr>
    </w:p>
    <w:p w14:paraId="7437FD09" w14:textId="77777777" w:rsidR="000735F7" w:rsidRDefault="00F21F6A" w:rsidP="000735F7">
      <w:pPr>
        <w:spacing w:after="160" w:line="259" w:lineRule="auto"/>
        <w:ind w:right="-357"/>
        <w:rPr>
          <w:rFonts w:ascii="Arial" w:hAnsi="Arial" w:cs="Arial"/>
        </w:rPr>
      </w:pPr>
      <w:r>
        <w:rPr>
          <w:rFonts w:ascii="Arial" w:hAnsi="Arial" w:cs="Arial"/>
        </w:rPr>
        <w:t>While there is a strong research and theoretical basis for Student Services to adopt a developmentalist, whole university approach to student mental health</w:t>
      </w:r>
      <w:r w:rsidR="004C3573">
        <w:rPr>
          <w:rFonts w:ascii="Arial" w:hAnsi="Arial" w:cs="Arial"/>
        </w:rPr>
        <w:t xml:space="preserve"> and wellbeing</w:t>
      </w:r>
      <w:r>
        <w:rPr>
          <w:rFonts w:ascii="Arial" w:hAnsi="Arial" w:cs="Arial"/>
        </w:rPr>
        <w:t>, this may not be where many departments find themselves today and there may be a number of barriers to adopt</w:t>
      </w:r>
      <w:r w:rsidR="00E8132E">
        <w:rPr>
          <w:rFonts w:ascii="Arial" w:hAnsi="Arial" w:cs="Arial"/>
        </w:rPr>
        <w:t>ing</w:t>
      </w:r>
      <w:r>
        <w:rPr>
          <w:rFonts w:ascii="Arial" w:hAnsi="Arial" w:cs="Arial"/>
        </w:rPr>
        <w:t xml:space="preserve"> this model. </w:t>
      </w:r>
    </w:p>
    <w:p w14:paraId="22F32986" w14:textId="77777777" w:rsidR="00E607C4" w:rsidRDefault="00E8132E" w:rsidP="000735F7">
      <w:pPr>
        <w:spacing w:after="160" w:line="259" w:lineRule="auto"/>
        <w:ind w:right="-357"/>
        <w:rPr>
          <w:rFonts w:ascii="Arial" w:hAnsi="Arial" w:cs="Arial"/>
        </w:rPr>
      </w:pPr>
      <w:r>
        <w:rPr>
          <w:rFonts w:ascii="Arial" w:hAnsi="Arial" w:cs="Arial"/>
        </w:rPr>
        <w:t xml:space="preserve">For instance, to implement this model would require staff in mental health roles (counsellors, psychotherapists, mental health practitioners etc.) to be able to at least discuss learning approaches, strategies and techniques with students. This may require a level of professional development in terms of both knowledge and pedagogic techniques. </w:t>
      </w:r>
      <w:r w:rsidR="00E607C4">
        <w:rPr>
          <w:rFonts w:ascii="Arial" w:hAnsi="Arial" w:cs="Arial"/>
        </w:rPr>
        <w:t>This, however, may create opportunities for two way exchanges of learning between academic staff and Student Services staff – with academics providing learning on pedagogy to Student Services staff and Student Services staff providing learning on student wellbeing to academics.</w:t>
      </w:r>
    </w:p>
    <w:p w14:paraId="658CB8D8" w14:textId="77777777" w:rsidR="00E8132E" w:rsidRDefault="00E8132E" w:rsidP="000735F7">
      <w:pPr>
        <w:spacing w:after="160" w:line="259" w:lineRule="auto"/>
        <w:ind w:right="-357"/>
        <w:rPr>
          <w:rFonts w:ascii="Arial" w:hAnsi="Arial" w:cs="Arial"/>
        </w:rPr>
      </w:pPr>
      <w:r>
        <w:rPr>
          <w:rFonts w:ascii="Arial" w:hAnsi="Arial" w:cs="Arial"/>
        </w:rPr>
        <w:t>There are</w:t>
      </w:r>
      <w:r w:rsidR="00E607C4">
        <w:rPr>
          <w:rFonts w:ascii="Arial" w:hAnsi="Arial" w:cs="Arial"/>
        </w:rPr>
        <w:t xml:space="preserve"> also existing</w:t>
      </w:r>
      <w:r>
        <w:rPr>
          <w:rFonts w:ascii="Arial" w:hAnsi="Arial" w:cs="Arial"/>
        </w:rPr>
        <w:t xml:space="preserve"> structures which could support this development – the Higher Education </w:t>
      </w:r>
      <w:r w:rsidR="004836B7">
        <w:rPr>
          <w:rFonts w:ascii="Arial" w:hAnsi="Arial" w:cs="Arial"/>
        </w:rPr>
        <w:t xml:space="preserve">Academy </w:t>
      </w:r>
      <w:r>
        <w:rPr>
          <w:rFonts w:ascii="Arial" w:hAnsi="Arial" w:cs="Arial"/>
        </w:rPr>
        <w:t>Fellowship scheme, for instance, is an international award that can provide</w:t>
      </w:r>
      <w:r w:rsidR="00E6600D">
        <w:rPr>
          <w:rFonts w:ascii="Arial" w:hAnsi="Arial" w:cs="Arial"/>
        </w:rPr>
        <w:t xml:space="preserve"> a</w:t>
      </w:r>
      <w:r>
        <w:rPr>
          <w:rFonts w:ascii="Arial" w:hAnsi="Arial" w:cs="Arial"/>
        </w:rPr>
        <w:t xml:space="preserve"> structure and recognition </w:t>
      </w:r>
      <w:r w:rsidR="00E6600D">
        <w:rPr>
          <w:rFonts w:ascii="Arial" w:hAnsi="Arial" w:cs="Arial"/>
        </w:rPr>
        <w:t xml:space="preserve">for </w:t>
      </w:r>
      <w:r w:rsidR="00E607C4">
        <w:rPr>
          <w:rFonts w:ascii="Arial" w:hAnsi="Arial" w:cs="Arial"/>
        </w:rPr>
        <w:t>staff undertaking</w:t>
      </w:r>
      <w:r w:rsidR="007116B7">
        <w:rPr>
          <w:rFonts w:ascii="Arial" w:hAnsi="Arial" w:cs="Arial"/>
        </w:rPr>
        <w:t xml:space="preserve"> development</w:t>
      </w:r>
      <w:r w:rsidR="00E607C4">
        <w:rPr>
          <w:rFonts w:ascii="Arial" w:hAnsi="Arial" w:cs="Arial"/>
        </w:rPr>
        <w:t xml:space="preserve"> in learning and teaching</w:t>
      </w:r>
      <w:r>
        <w:rPr>
          <w:rFonts w:ascii="Arial" w:hAnsi="Arial" w:cs="Arial"/>
        </w:rPr>
        <w:t>.</w:t>
      </w:r>
    </w:p>
    <w:p w14:paraId="629C1507" w14:textId="5D130B59" w:rsidR="00E8132E" w:rsidRDefault="007116B7" w:rsidP="000735F7">
      <w:pPr>
        <w:spacing w:after="160" w:line="259" w:lineRule="auto"/>
        <w:ind w:right="-357"/>
        <w:rPr>
          <w:rFonts w:ascii="Arial" w:hAnsi="Arial" w:cs="Arial"/>
        </w:rPr>
      </w:pPr>
      <w:r>
        <w:rPr>
          <w:rFonts w:ascii="Arial" w:hAnsi="Arial" w:cs="Arial"/>
        </w:rPr>
        <w:t xml:space="preserve">Similarly, Student Services leaders must possess </w:t>
      </w:r>
      <w:r w:rsidR="00BC4D23">
        <w:rPr>
          <w:rFonts w:ascii="Arial" w:hAnsi="Arial" w:cs="Arial"/>
        </w:rPr>
        <w:t>sufficient</w:t>
      </w:r>
      <w:r>
        <w:rPr>
          <w:rFonts w:ascii="Arial" w:hAnsi="Arial" w:cs="Arial"/>
        </w:rPr>
        <w:t xml:space="preserve"> knowledge and understanding to be able to advocate for the development of curriculum that supports high quality learning and wellbeing. In particular, they must be able to respond to the concerns of some academics that considering wellbeing within the curriculum will distract from or dilute scholarship and the disciplinary integrity of a degree programme (Ecclestone &amp; Hayes, 2009</w:t>
      </w:r>
      <w:r w:rsidR="009F4202">
        <w:rPr>
          <w:rFonts w:ascii="Arial" w:hAnsi="Arial" w:cs="Arial"/>
        </w:rPr>
        <w:t>; 2008</w:t>
      </w:r>
      <w:r>
        <w:rPr>
          <w:rFonts w:ascii="Arial" w:hAnsi="Arial" w:cs="Arial"/>
        </w:rPr>
        <w:t xml:space="preserve">). </w:t>
      </w:r>
      <w:r w:rsidR="00BD16AF">
        <w:rPr>
          <w:rFonts w:ascii="Arial" w:hAnsi="Arial" w:cs="Arial"/>
        </w:rPr>
        <w:t>This requires a familiarity with evidence</w:t>
      </w:r>
      <w:r w:rsidR="00640785">
        <w:rPr>
          <w:rFonts w:ascii="Arial" w:hAnsi="Arial" w:cs="Arial"/>
        </w:rPr>
        <w:t>,</w:t>
      </w:r>
      <w:r w:rsidR="00BD16AF">
        <w:rPr>
          <w:rFonts w:ascii="Arial" w:hAnsi="Arial" w:cs="Arial"/>
        </w:rPr>
        <w:t xml:space="preserve"> demonstrating th</w:t>
      </w:r>
      <w:r w:rsidR="00BC4D23">
        <w:rPr>
          <w:rFonts w:ascii="Arial" w:hAnsi="Arial" w:cs="Arial"/>
        </w:rPr>
        <w:t>at scholarship and wellbeing are</w:t>
      </w:r>
      <w:r w:rsidR="00BD16AF">
        <w:rPr>
          <w:rFonts w:ascii="Arial" w:hAnsi="Arial" w:cs="Arial"/>
        </w:rPr>
        <w:t xml:space="preserve"> not in opposition to each other but are in fact interlinked.</w:t>
      </w:r>
      <w:r w:rsidR="003B1B81">
        <w:rPr>
          <w:rFonts w:ascii="Arial" w:hAnsi="Arial" w:cs="Arial"/>
        </w:rPr>
        <w:t xml:space="preserve"> </w:t>
      </w:r>
    </w:p>
    <w:p w14:paraId="18DF903A" w14:textId="77777777" w:rsidR="003B1B81" w:rsidRDefault="003B1B81" w:rsidP="000735F7">
      <w:pPr>
        <w:spacing w:after="160" w:line="259" w:lineRule="auto"/>
        <w:ind w:right="-357"/>
        <w:rPr>
          <w:rFonts w:ascii="Arial" w:hAnsi="Arial" w:cs="Arial"/>
        </w:rPr>
      </w:pPr>
      <w:r>
        <w:rPr>
          <w:rFonts w:ascii="Arial" w:hAnsi="Arial" w:cs="Arial"/>
        </w:rPr>
        <w:t>While this may be a significant distance to travel for some Student Services professionals, there are examples of this in practice across the world. In the US, for instance, it is common for Student Affairs staff to be well versed in theories of learner development.</w:t>
      </w:r>
    </w:p>
    <w:p w14:paraId="53ACBD03" w14:textId="020F372D" w:rsidR="003B1B81" w:rsidRDefault="004160AA" w:rsidP="000735F7">
      <w:pPr>
        <w:spacing w:after="160" w:line="259" w:lineRule="auto"/>
        <w:ind w:right="-357"/>
        <w:rPr>
          <w:rFonts w:ascii="Arial" w:hAnsi="Arial" w:cs="Arial"/>
        </w:rPr>
      </w:pPr>
      <w:r>
        <w:rPr>
          <w:rFonts w:ascii="Arial" w:hAnsi="Arial" w:cs="Arial"/>
        </w:rPr>
        <w:t>However, even where Student Services staff have the requisite knowledge and understanding</w:t>
      </w:r>
      <w:r w:rsidR="003E6897">
        <w:rPr>
          <w:rFonts w:ascii="Arial" w:hAnsi="Arial" w:cs="Arial"/>
        </w:rPr>
        <w:t>,</w:t>
      </w:r>
      <w:r>
        <w:rPr>
          <w:rFonts w:ascii="Arial" w:hAnsi="Arial" w:cs="Arial"/>
        </w:rPr>
        <w:t xml:space="preserve"> a more challenging barrier may simply be their profile and perception within their institution</w:t>
      </w:r>
      <w:r w:rsidR="009F4202">
        <w:rPr>
          <w:rFonts w:ascii="Arial" w:hAnsi="Arial" w:cs="Arial"/>
        </w:rPr>
        <w:t xml:space="preserve"> (Greatrix, 2018)</w:t>
      </w:r>
      <w:r>
        <w:rPr>
          <w:rFonts w:ascii="Arial" w:hAnsi="Arial" w:cs="Arial"/>
        </w:rPr>
        <w:t xml:space="preserve">. The division between academic and </w:t>
      </w:r>
      <w:r w:rsidR="005F7FCB">
        <w:rPr>
          <w:rFonts w:ascii="Arial" w:hAnsi="Arial" w:cs="Arial"/>
        </w:rPr>
        <w:t>professional</w:t>
      </w:r>
      <w:r>
        <w:rPr>
          <w:rFonts w:ascii="Arial" w:hAnsi="Arial" w:cs="Arial"/>
        </w:rPr>
        <w:t xml:space="preserve"> staff is often deep and both culturally and structurally maintained.</w:t>
      </w:r>
      <w:r w:rsidR="00BD16AF">
        <w:rPr>
          <w:rFonts w:ascii="Arial" w:hAnsi="Arial" w:cs="Arial"/>
        </w:rPr>
        <w:t xml:space="preserve"> </w:t>
      </w:r>
    </w:p>
    <w:p w14:paraId="24DC01EB" w14:textId="77777777" w:rsidR="00E607C4" w:rsidRDefault="004160AA" w:rsidP="000735F7">
      <w:pPr>
        <w:spacing w:after="160" w:line="259" w:lineRule="auto"/>
        <w:ind w:right="-357"/>
        <w:rPr>
          <w:rFonts w:ascii="Arial" w:hAnsi="Arial" w:cs="Arial"/>
        </w:rPr>
      </w:pPr>
      <w:r>
        <w:rPr>
          <w:rFonts w:ascii="Arial" w:hAnsi="Arial" w:cs="Arial"/>
        </w:rPr>
        <w:t xml:space="preserve">Overcoming these barriers can take time, persistence and sustained commitment. However, there are examples of </w:t>
      </w:r>
      <w:r w:rsidR="003F5B07">
        <w:rPr>
          <w:rFonts w:ascii="Arial" w:hAnsi="Arial" w:cs="Arial"/>
        </w:rPr>
        <w:t>institutions</w:t>
      </w:r>
      <w:r>
        <w:rPr>
          <w:rFonts w:ascii="Arial" w:hAnsi="Arial" w:cs="Arial"/>
        </w:rPr>
        <w:t xml:space="preserve"> where </w:t>
      </w:r>
      <w:r w:rsidR="003F5B07">
        <w:rPr>
          <w:rFonts w:ascii="Arial" w:hAnsi="Arial" w:cs="Arial"/>
        </w:rPr>
        <w:t xml:space="preserve">significant </w:t>
      </w:r>
      <w:r>
        <w:rPr>
          <w:rFonts w:ascii="Arial" w:hAnsi="Arial" w:cs="Arial"/>
        </w:rPr>
        <w:t>progress has been made</w:t>
      </w:r>
      <w:r w:rsidR="003F5B07">
        <w:rPr>
          <w:rFonts w:ascii="Arial" w:hAnsi="Arial" w:cs="Arial"/>
        </w:rPr>
        <w:t>, which highlight a number of principles that may be key to achieving these changes. This chapter will now consider one of these examples as an illustration case study</w:t>
      </w:r>
    </w:p>
    <w:p w14:paraId="27426871" w14:textId="77777777" w:rsidR="00E607C4" w:rsidRDefault="00E607C4" w:rsidP="000735F7">
      <w:pPr>
        <w:spacing w:after="160" w:line="259" w:lineRule="auto"/>
        <w:ind w:right="-357"/>
        <w:rPr>
          <w:rFonts w:ascii="Arial" w:hAnsi="Arial" w:cs="Arial"/>
        </w:rPr>
      </w:pPr>
    </w:p>
    <w:p w14:paraId="39AD893F" w14:textId="77777777" w:rsidR="003F5B07" w:rsidRPr="00512BF5" w:rsidRDefault="003F5B07" w:rsidP="003F5B07">
      <w:pPr>
        <w:pStyle w:val="Heading2"/>
        <w:pBdr>
          <w:top w:val="single" w:sz="4" w:space="1" w:color="auto"/>
          <w:left w:val="single" w:sz="4" w:space="4" w:color="auto"/>
          <w:bottom w:val="single" w:sz="4" w:space="1" w:color="auto"/>
          <w:right w:val="single" w:sz="4" w:space="4" w:color="auto"/>
        </w:pBdr>
        <w:shd w:val="clear" w:color="auto" w:fill="92CDDC"/>
        <w:spacing w:before="0" w:after="0"/>
        <w:rPr>
          <w:rFonts w:ascii="Cambria" w:hAnsi="Cambria" w:cs="Calibri"/>
          <w:b/>
        </w:rPr>
      </w:pPr>
      <w:r>
        <w:rPr>
          <w:rFonts w:ascii="Cambria" w:hAnsi="Cambria" w:cs="Calibri"/>
          <w:b/>
          <w:i/>
        </w:rPr>
        <w:t>Case study – the University of Derby</w:t>
      </w:r>
    </w:p>
    <w:p w14:paraId="517719B1" w14:textId="77777777" w:rsidR="003F5B07" w:rsidRPr="000735F7" w:rsidRDefault="003F5B07" w:rsidP="000735F7">
      <w:pPr>
        <w:spacing w:after="160" w:line="259" w:lineRule="auto"/>
        <w:ind w:right="-357"/>
        <w:rPr>
          <w:rFonts w:ascii="Arial" w:hAnsi="Arial" w:cs="Arial"/>
        </w:rPr>
      </w:pPr>
    </w:p>
    <w:p w14:paraId="6121730A" w14:textId="77777777" w:rsidR="000735F7" w:rsidRDefault="003F5B07" w:rsidP="003F5B07">
      <w:pPr>
        <w:spacing w:after="160" w:line="259" w:lineRule="auto"/>
        <w:ind w:right="-357"/>
        <w:rPr>
          <w:rFonts w:ascii="Arial" w:hAnsi="Arial" w:cs="Arial"/>
        </w:rPr>
      </w:pPr>
      <w:r>
        <w:rPr>
          <w:rFonts w:ascii="Arial" w:hAnsi="Arial" w:cs="Arial"/>
        </w:rPr>
        <w:t xml:space="preserve">As can be seen from </w:t>
      </w:r>
      <w:r w:rsidR="00E02B1E">
        <w:rPr>
          <w:rFonts w:ascii="Arial" w:hAnsi="Arial" w:cs="Arial"/>
        </w:rPr>
        <w:t>(cross reference 1)</w:t>
      </w:r>
      <w:r>
        <w:rPr>
          <w:rFonts w:ascii="Arial" w:hAnsi="Arial" w:cs="Arial"/>
        </w:rPr>
        <w:t xml:space="preserve"> in this book, Student Wellbeing at the University of Derby (part of Student Services), plays a key role in pedagogic developments within the institution and is now </w:t>
      </w:r>
      <w:r w:rsidR="00356CA8">
        <w:rPr>
          <w:rFonts w:ascii="Arial" w:hAnsi="Arial" w:cs="Arial"/>
        </w:rPr>
        <w:t>routinely</w:t>
      </w:r>
      <w:r>
        <w:rPr>
          <w:rFonts w:ascii="Arial" w:hAnsi="Arial" w:cs="Arial"/>
        </w:rPr>
        <w:t xml:space="preserve"> included in discussions around teaching</w:t>
      </w:r>
      <w:r w:rsidR="00356CA8">
        <w:rPr>
          <w:rFonts w:ascii="Arial" w:hAnsi="Arial" w:cs="Arial"/>
        </w:rPr>
        <w:t>,</w:t>
      </w:r>
      <w:r>
        <w:rPr>
          <w:rFonts w:ascii="Arial" w:hAnsi="Arial" w:cs="Arial"/>
        </w:rPr>
        <w:t xml:space="preserve"> learning and academic development. </w:t>
      </w:r>
      <w:r w:rsidR="002C4E13">
        <w:rPr>
          <w:rFonts w:ascii="Arial" w:hAnsi="Arial" w:cs="Arial"/>
        </w:rPr>
        <w:t xml:space="preserve">However, this situation has developed over time and began in a similar context to that described above, in which Student Services and academics existed largely separately, in different language and cultures and in which Student Wellbeing’s voice was not </w:t>
      </w:r>
      <w:r w:rsidR="00356CA8">
        <w:rPr>
          <w:rFonts w:ascii="Arial" w:hAnsi="Arial" w:cs="Arial"/>
        </w:rPr>
        <w:t>usually</w:t>
      </w:r>
      <w:r w:rsidR="002C4E13">
        <w:rPr>
          <w:rFonts w:ascii="Arial" w:hAnsi="Arial" w:cs="Arial"/>
        </w:rPr>
        <w:t xml:space="preserve"> included in discussions around curriculum. Changing this environment required years of work in a ground up strategy</w:t>
      </w:r>
      <w:r w:rsidR="005F7FCB">
        <w:rPr>
          <w:rFonts w:ascii="Arial" w:hAnsi="Arial" w:cs="Arial"/>
        </w:rPr>
        <w:t>,</w:t>
      </w:r>
      <w:r w:rsidR="002C4E13">
        <w:rPr>
          <w:rFonts w:ascii="Arial" w:hAnsi="Arial" w:cs="Arial"/>
        </w:rPr>
        <w:t xml:space="preserve"> requiring the development of Student Services staff, the building of a network of relationships and creating a new profile for the department.</w:t>
      </w:r>
    </w:p>
    <w:p w14:paraId="5B473B5F" w14:textId="77777777" w:rsidR="002C4E13" w:rsidRDefault="002C4E13" w:rsidP="00F575B2">
      <w:pPr>
        <w:spacing w:after="160" w:line="259" w:lineRule="auto"/>
        <w:ind w:right="-357"/>
        <w:rPr>
          <w:rFonts w:ascii="Arial" w:hAnsi="Arial" w:cs="Arial"/>
        </w:rPr>
      </w:pPr>
      <w:r w:rsidRPr="002C4E13">
        <w:rPr>
          <w:rFonts w:ascii="Arial" w:hAnsi="Arial" w:cs="Arial"/>
        </w:rPr>
        <w:t>The initial intervention that helped to build bridges between Student Services and academics was the development of a programme of psycho-education</w:t>
      </w:r>
      <w:r>
        <w:rPr>
          <w:rFonts w:ascii="Arial" w:hAnsi="Arial" w:cs="Arial"/>
        </w:rPr>
        <w:t>,</w:t>
      </w:r>
      <w:r w:rsidRPr="002C4E13">
        <w:rPr>
          <w:rFonts w:ascii="Arial" w:hAnsi="Arial" w:cs="Arial"/>
        </w:rPr>
        <w:t xml:space="preserve"> designed to empower students with knowledge, skills, motivation and belief to take control of their own wellbeing</w:t>
      </w:r>
      <w:r w:rsidR="00D962CA">
        <w:rPr>
          <w:rFonts w:ascii="Arial" w:hAnsi="Arial" w:cs="Arial"/>
        </w:rPr>
        <w:t xml:space="preserve"> and learning</w:t>
      </w:r>
      <w:r>
        <w:rPr>
          <w:rFonts w:ascii="Arial" w:hAnsi="Arial" w:cs="Arial"/>
        </w:rPr>
        <w:t>.</w:t>
      </w:r>
      <w:r w:rsidRPr="002C4E13">
        <w:rPr>
          <w:rFonts w:ascii="Arial" w:hAnsi="Arial" w:cs="Arial"/>
        </w:rPr>
        <w:t xml:space="preserve"> Each session blended education on effective learning and practical steps to improve wellbeing and </w:t>
      </w:r>
      <w:r w:rsidR="00A35A81" w:rsidRPr="002C4E13">
        <w:rPr>
          <w:rFonts w:ascii="Arial" w:hAnsi="Arial" w:cs="Arial"/>
        </w:rPr>
        <w:t>focused</w:t>
      </w:r>
      <w:r w:rsidRPr="002C4E13">
        <w:rPr>
          <w:rFonts w:ascii="Arial" w:hAnsi="Arial" w:cs="Arial"/>
        </w:rPr>
        <w:t xml:space="preserve"> on topics such as Learning and Wellbeing, Improving Performance in Assessments, and Maintaining Motivation</w:t>
      </w:r>
      <w:r>
        <w:rPr>
          <w:rFonts w:ascii="Arial" w:hAnsi="Arial" w:cs="Arial"/>
        </w:rPr>
        <w:t>.</w:t>
      </w:r>
      <w:r w:rsidR="00B4333B">
        <w:rPr>
          <w:rFonts w:ascii="Arial" w:hAnsi="Arial" w:cs="Arial"/>
        </w:rPr>
        <w:t xml:space="preserve"> These sessions were </w:t>
      </w:r>
      <w:r w:rsidR="00D962CA">
        <w:rPr>
          <w:rFonts w:ascii="Arial" w:hAnsi="Arial" w:cs="Arial"/>
        </w:rPr>
        <w:t xml:space="preserve">initially </w:t>
      </w:r>
      <w:r w:rsidR="00B4333B">
        <w:rPr>
          <w:rFonts w:ascii="Arial" w:hAnsi="Arial" w:cs="Arial"/>
        </w:rPr>
        <w:t xml:space="preserve">offered to academic teams to book and were delivered into academic programmes. </w:t>
      </w:r>
      <w:r w:rsidR="00D962CA">
        <w:rPr>
          <w:rFonts w:ascii="Arial" w:hAnsi="Arial" w:cs="Arial"/>
        </w:rPr>
        <w:t>They</w:t>
      </w:r>
      <w:r w:rsidR="00B4333B">
        <w:rPr>
          <w:rFonts w:ascii="Arial" w:hAnsi="Arial" w:cs="Arial"/>
        </w:rPr>
        <w:t xml:space="preserve"> are now embedded into undergraduate programme</w:t>
      </w:r>
      <w:r w:rsidR="00E607C4">
        <w:rPr>
          <w:rFonts w:ascii="Arial" w:hAnsi="Arial" w:cs="Arial"/>
        </w:rPr>
        <w:t>s</w:t>
      </w:r>
      <w:r w:rsidR="00B4333B">
        <w:rPr>
          <w:rFonts w:ascii="Arial" w:hAnsi="Arial" w:cs="Arial"/>
        </w:rPr>
        <w:t xml:space="preserve"> at Derby and into several PG taught programmes.</w:t>
      </w:r>
    </w:p>
    <w:p w14:paraId="56BD8533" w14:textId="77777777" w:rsidR="00B4333B" w:rsidRPr="00B4333B" w:rsidRDefault="00B4333B" w:rsidP="00F575B2">
      <w:pPr>
        <w:spacing w:after="160" w:line="259" w:lineRule="auto"/>
        <w:ind w:right="-360"/>
        <w:rPr>
          <w:rFonts w:ascii="Arial" w:hAnsi="Arial" w:cs="Arial"/>
        </w:rPr>
      </w:pPr>
      <w:r w:rsidRPr="00B4333B">
        <w:rPr>
          <w:rFonts w:ascii="Arial" w:hAnsi="Arial" w:cs="Arial"/>
        </w:rPr>
        <w:t xml:space="preserve">Central to </w:t>
      </w:r>
      <w:r w:rsidR="00F575B2">
        <w:rPr>
          <w:rFonts w:ascii="Arial" w:hAnsi="Arial" w:cs="Arial"/>
        </w:rPr>
        <w:t>the programme</w:t>
      </w:r>
      <w:r w:rsidR="00E607C4">
        <w:rPr>
          <w:rFonts w:ascii="Arial" w:hAnsi="Arial" w:cs="Arial"/>
        </w:rPr>
        <w:t>’</w:t>
      </w:r>
      <w:r w:rsidR="00F575B2">
        <w:rPr>
          <w:rFonts w:ascii="Arial" w:hAnsi="Arial" w:cs="Arial"/>
        </w:rPr>
        <w:t>s</w:t>
      </w:r>
      <w:r w:rsidRPr="00B4333B">
        <w:rPr>
          <w:rFonts w:ascii="Arial" w:hAnsi="Arial" w:cs="Arial"/>
        </w:rPr>
        <w:t xml:space="preserve"> success is that the material</w:t>
      </w:r>
      <w:r>
        <w:rPr>
          <w:rFonts w:ascii="Arial" w:hAnsi="Arial" w:cs="Arial"/>
        </w:rPr>
        <w:t xml:space="preserve"> for each session</w:t>
      </w:r>
      <w:r w:rsidRPr="00B4333B">
        <w:rPr>
          <w:rFonts w:ascii="Arial" w:hAnsi="Arial" w:cs="Arial"/>
        </w:rPr>
        <w:t xml:space="preserve"> has been adapted to ensure it is relevant to the curriculum of each programme. Using student </w:t>
      </w:r>
      <w:r w:rsidR="00BD16AF">
        <w:rPr>
          <w:rFonts w:ascii="Arial" w:hAnsi="Arial" w:cs="Arial"/>
        </w:rPr>
        <w:t>evaluations</w:t>
      </w:r>
      <w:r w:rsidRPr="00B4333B">
        <w:rPr>
          <w:rFonts w:ascii="Arial" w:hAnsi="Arial" w:cs="Arial"/>
        </w:rPr>
        <w:t xml:space="preserve"> and the importance of the situated nature of learning, individual workshops were fitted around subject material that was already familiar to students. Thus, </w:t>
      </w:r>
      <w:r>
        <w:rPr>
          <w:rFonts w:ascii="Arial" w:hAnsi="Arial" w:cs="Arial"/>
        </w:rPr>
        <w:t>a</w:t>
      </w:r>
      <w:r w:rsidRPr="00B4333B">
        <w:rPr>
          <w:rFonts w:ascii="Arial" w:hAnsi="Arial" w:cs="Arial"/>
        </w:rPr>
        <w:t xml:space="preserve"> session on Learning and Wellbeing became “Emotional Intelligence in the Workplace” for Business students and “Improving Live Music Performance” for Popular Music students. </w:t>
      </w:r>
    </w:p>
    <w:p w14:paraId="3FABDFA0" w14:textId="77777777" w:rsidR="002C4E13" w:rsidRDefault="00B4333B" w:rsidP="00F575B2">
      <w:pPr>
        <w:spacing w:after="160" w:line="259" w:lineRule="auto"/>
        <w:ind w:right="-360"/>
        <w:rPr>
          <w:rFonts w:ascii="Arial" w:hAnsi="Arial" w:cs="Arial"/>
        </w:rPr>
      </w:pPr>
      <w:r w:rsidRPr="00B4333B">
        <w:rPr>
          <w:rFonts w:ascii="Arial" w:hAnsi="Arial" w:cs="Arial"/>
        </w:rPr>
        <w:t xml:space="preserve">The need to alter each session </w:t>
      </w:r>
      <w:r w:rsidR="00BD16AF">
        <w:rPr>
          <w:rFonts w:ascii="Arial" w:hAnsi="Arial" w:cs="Arial"/>
        </w:rPr>
        <w:t xml:space="preserve">in this way, </w:t>
      </w:r>
      <w:r w:rsidRPr="00B4333B">
        <w:rPr>
          <w:rFonts w:ascii="Arial" w:hAnsi="Arial" w:cs="Arial"/>
        </w:rPr>
        <w:t>created an opportunity to work with programme-based academics</w:t>
      </w:r>
      <w:r w:rsidR="00BD16AF">
        <w:rPr>
          <w:rFonts w:ascii="Arial" w:hAnsi="Arial" w:cs="Arial"/>
        </w:rPr>
        <w:t>. B</w:t>
      </w:r>
      <w:r>
        <w:rPr>
          <w:rFonts w:ascii="Arial" w:hAnsi="Arial" w:cs="Arial"/>
        </w:rPr>
        <w:t>y being present in the classroom, demonstrating knowledge, understanding and an ability to teach</w:t>
      </w:r>
      <w:r w:rsidR="00F575B2">
        <w:rPr>
          <w:rFonts w:ascii="Arial" w:hAnsi="Arial" w:cs="Arial"/>
        </w:rPr>
        <w:t>,</w:t>
      </w:r>
      <w:r>
        <w:rPr>
          <w:rFonts w:ascii="Arial" w:hAnsi="Arial" w:cs="Arial"/>
        </w:rPr>
        <w:t xml:space="preserve"> staff were </w:t>
      </w:r>
      <w:r w:rsidR="00BD16AF">
        <w:rPr>
          <w:rFonts w:ascii="Arial" w:hAnsi="Arial" w:cs="Arial"/>
        </w:rPr>
        <w:t xml:space="preserve">also </w:t>
      </w:r>
      <w:r>
        <w:rPr>
          <w:rFonts w:ascii="Arial" w:hAnsi="Arial" w:cs="Arial"/>
        </w:rPr>
        <w:t>able to win over academic staff and positively change perceptions.</w:t>
      </w:r>
    </w:p>
    <w:p w14:paraId="3FAEDEC2" w14:textId="77777777" w:rsidR="00E324BF" w:rsidRDefault="00E324BF" w:rsidP="00F575B2">
      <w:pPr>
        <w:spacing w:after="160" w:line="259" w:lineRule="auto"/>
        <w:ind w:right="-360"/>
        <w:rPr>
          <w:rFonts w:ascii="Arial" w:hAnsi="Arial" w:cs="Arial"/>
        </w:rPr>
      </w:pPr>
      <w:r>
        <w:rPr>
          <w:rFonts w:ascii="Arial" w:hAnsi="Arial" w:cs="Arial"/>
        </w:rPr>
        <w:t>In addition, by placing themselves in the classroom, Student Wellbeing staff were also better able to understand the experiences of the whole student body (not just those who presented to services) and this learning, in turn, was used to inform the development of other new interventions and ongoing practice.</w:t>
      </w:r>
    </w:p>
    <w:p w14:paraId="32A485F4" w14:textId="77777777" w:rsidR="00F575B2" w:rsidRDefault="00F575B2" w:rsidP="00F575B2">
      <w:pPr>
        <w:spacing w:after="160" w:line="259" w:lineRule="auto"/>
        <w:ind w:right="-360"/>
        <w:rPr>
          <w:rFonts w:ascii="Arial" w:hAnsi="Arial" w:cs="Arial"/>
        </w:rPr>
      </w:pPr>
      <w:r>
        <w:rPr>
          <w:rFonts w:ascii="Arial" w:hAnsi="Arial" w:cs="Arial"/>
        </w:rPr>
        <w:t>To reach this point, however, a number of principles had to be fulfilled</w:t>
      </w:r>
      <w:r w:rsidR="00E02B1E">
        <w:rPr>
          <w:rFonts w:ascii="Arial" w:hAnsi="Arial" w:cs="Arial"/>
        </w:rPr>
        <w:t>;</w:t>
      </w:r>
      <w:r>
        <w:rPr>
          <w:rFonts w:ascii="Arial" w:hAnsi="Arial" w:cs="Arial"/>
        </w:rPr>
        <w:t xml:space="preserve"> </w:t>
      </w:r>
    </w:p>
    <w:p w14:paraId="6CB3B46F" w14:textId="77777777" w:rsidR="00F575B2" w:rsidRDefault="00F575B2" w:rsidP="00F575B2">
      <w:pPr>
        <w:numPr>
          <w:ilvl w:val="0"/>
          <w:numId w:val="10"/>
        </w:numPr>
        <w:spacing w:after="160" w:line="259" w:lineRule="auto"/>
        <w:ind w:right="-360"/>
        <w:rPr>
          <w:rFonts w:ascii="Arial" w:hAnsi="Arial" w:cs="Arial"/>
        </w:rPr>
      </w:pPr>
      <w:r>
        <w:rPr>
          <w:rFonts w:ascii="Arial" w:hAnsi="Arial" w:cs="Arial"/>
        </w:rPr>
        <w:t xml:space="preserve">Staff developing the psycho-education programme </w:t>
      </w:r>
      <w:r w:rsidR="00BD16AF">
        <w:rPr>
          <w:rFonts w:ascii="Arial" w:hAnsi="Arial" w:cs="Arial"/>
        </w:rPr>
        <w:t xml:space="preserve">had previous teaching experience and </w:t>
      </w:r>
      <w:r>
        <w:rPr>
          <w:rFonts w:ascii="Arial" w:hAnsi="Arial" w:cs="Arial"/>
        </w:rPr>
        <w:t>undertook professional development</w:t>
      </w:r>
      <w:r w:rsidR="00485DCD">
        <w:rPr>
          <w:rFonts w:ascii="Arial" w:hAnsi="Arial" w:cs="Arial"/>
        </w:rPr>
        <w:t>,</w:t>
      </w:r>
      <w:r>
        <w:rPr>
          <w:rFonts w:ascii="Arial" w:hAnsi="Arial" w:cs="Arial"/>
        </w:rPr>
        <w:t xml:space="preserve"> to ensure they could discuss and employ evidenced based pedagogy</w:t>
      </w:r>
      <w:r w:rsidR="00E02B1E">
        <w:rPr>
          <w:rFonts w:ascii="Arial" w:hAnsi="Arial" w:cs="Arial"/>
        </w:rPr>
        <w:t>.</w:t>
      </w:r>
      <w:r w:rsidR="00BD16AF">
        <w:rPr>
          <w:rFonts w:ascii="Arial" w:hAnsi="Arial" w:cs="Arial"/>
        </w:rPr>
        <w:t xml:space="preserve"> </w:t>
      </w:r>
    </w:p>
    <w:p w14:paraId="451DFB83" w14:textId="77777777" w:rsidR="00F575B2" w:rsidRDefault="00F575B2" w:rsidP="00F575B2">
      <w:pPr>
        <w:numPr>
          <w:ilvl w:val="0"/>
          <w:numId w:val="10"/>
        </w:numPr>
        <w:spacing w:after="160" w:line="259" w:lineRule="auto"/>
        <w:ind w:right="-360"/>
        <w:rPr>
          <w:rFonts w:ascii="Arial" w:hAnsi="Arial" w:cs="Arial"/>
        </w:rPr>
      </w:pPr>
      <w:r>
        <w:rPr>
          <w:rFonts w:ascii="Arial" w:hAnsi="Arial" w:cs="Arial"/>
        </w:rPr>
        <w:t>All staff delivering psycho-education were mental health professionals with deep knowledge and experience in supporting students to improve their wellbeing</w:t>
      </w:r>
      <w:r w:rsidR="00E02B1E">
        <w:rPr>
          <w:rFonts w:ascii="Arial" w:hAnsi="Arial" w:cs="Arial"/>
        </w:rPr>
        <w:t>.</w:t>
      </w:r>
    </w:p>
    <w:p w14:paraId="2A46ADBA" w14:textId="77777777" w:rsidR="00634A95" w:rsidRDefault="00634A95" w:rsidP="00F575B2">
      <w:pPr>
        <w:numPr>
          <w:ilvl w:val="0"/>
          <w:numId w:val="10"/>
        </w:numPr>
        <w:spacing w:after="160" w:line="259" w:lineRule="auto"/>
        <w:ind w:right="-360"/>
        <w:rPr>
          <w:rFonts w:ascii="Arial" w:hAnsi="Arial" w:cs="Arial"/>
        </w:rPr>
      </w:pPr>
      <w:r>
        <w:rPr>
          <w:rFonts w:ascii="Arial" w:hAnsi="Arial" w:cs="Arial"/>
        </w:rPr>
        <w:t>The psycho-education team were also able and willing to have discussions with academics to understand cohort and subject context, the challenges they faced and to work to shape appropriate responses together</w:t>
      </w:r>
      <w:r w:rsidR="00E02B1E">
        <w:rPr>
          <w:rFonts w:ascii="Arial" w:hAnsi="Arial" w:cs="Arial"/>
        </w:rPr>
        <w:t>.</w:t>
      </w:r>
    </w:p>
    <w:p w14:paraId="748389F1" w14:textId="77777777" w:rsidR="00634A95" w:rsidRDefault="00634A95" w:rsidP="00F575B2">
      <w:pPr>
        <w:numPr>
          <w:ilvl w:val="0"/>
          <w:numId w:val="10"/>
        </w:numPr>
        <w:spacing w:after="160" w:line="259" w:lineRule="auto"/>
        <w:ind w:right="-360"/>
        <w:rPr>
          <w:rFonts w:ascii="Arial" w:hAnsi="Arial" w:cs="Arial"/>
        </w:rPr>
      </w:pPr>
      <w:r>
        <w:rPr>
          <w:rFonts w:ascii="Arial" w:hAnsi="Arial" w:cs="Arial"/>
        </w:rPr>
        <w:t>The psycho-education programme itself took a holistic, developmentalist approach, helping students to find positive ways to improve both wellbeing and learning, without requiring any diminishing of subject or scholarship</w:t>
      </w:r>
      <w:r w:rsidR="00D962CA">
        <w:rPr>
          <w:rFonts w:ascii="Arial" w:hAnsi="Arial" w:cs="Arial"/>
        </w:rPr>
        <w:t>, thus gaining credibility with academic staff</w:t>
      </w:r>
      <w:r w:rsidR="00E02B1E">
        <w:rPr>
          <w:rFonts w:ascii="Arial" w:hAnsi="Arial" w:cs="Arial"/>
        </w:rPr>
        <w:t>.</w:t>
      </w:r>
    </w:p>
    <w:p w14:paraId="754FC66D" w14:textId="77777777" w:rsidR="00BD16AF" w:rsidRDefault="00BD16AF" w:rsidP="00BD16AF">
      <w:pPr>
        <w:spacing w:after="160" w:line="259" w:lineRule="auto"/>
        <w:ind w:left="720" w:right="-360"/>
        <w:rPr>
          <w:rFonts w:ascii="Arial" w:hAnsi="Arial" w:cs="Arial"/>
        </w:rPr>
      </w:pPr>
    </w:p>
    <w:p w14:paraId="107C48C0" w14:textId="77777777" w:rsidR="00BD16AF" w:rsidRPr="00512BF5" w:rsidRDefault="00BD16AF" w:rsidP="00BD16AF">
      <w:pPr>
        <w:pStyle w:val="Heading2"/>
        <w:pBdr>
          <w:top w:val="single" w:sz="4" w:space="1" w:color="auto"/>
          <w:left w:val="single" w:sz="4" w:space="4" w:color="auto"/>
          <w:bottom w:val="single" w:sz="4" w:space="1" w:color="auto"/>
          <w:right w:val="single" w:sz="4" w:space="4" w:color="auto"/>
        </w:pBdr>
        <w:shd w:val="clear" w:color="auto" w:fill="92CDDC"/>
        <w:spacing w:before="0" w:after="0"/>
        <w:rPr>
          <w:rFonts w:ascii="Cambria" w:hAnsi="Cambria" w:cs="Calibri"/>
          <w:b/>
        </w:rPr>
      </w:pPr>
      <w:r>
        <w:rPr>
          <w:rFonts w:ascii="Cambria" w:hAnsi="Cambria" w:cs="Calibri"/>
          <w:b/>
        </w:rPr>
        <w:t>Student Services relationship to Core Mission 2: Research</w:t>
      </w:r>
    </w:p>
    <w:p w14:paraId="0AFF98B0" w14:textId="77777777" w:rsidR="00BD16AF" w:rsidRDefault="00BD16AF" w:rsidP="00D962CA">
      <w:pPr>
        <w:spacing w:after="160" w:line="259" w:lineRule="auto"/>
        <w:ind w:right="-360"/>
        <w:rPr>
          <w:rFonts w:ascii="Arial" w:hAnsi="Arial" w:cs="Arial"/>
        </w:rPr>
      </w:pPr>
    </w:p>
    <w:p w14:paraId="0A914E7D" w14:textId="77777777" w:rsidR="00D962CA" w:rsidRDefault="00D962CA" w:rsidP="00D962CA">
      <w:pPr>
        <w:spacing w:after="160" w:line="259" w:lineRule="auto"/>
        <w:ind w:right="-360"/>
        <w:rPr>
          <w:rFonts w:ascii="Arial" w:hAnsi="Arial" w:cs="Arial"/>
        </w:rPr>
      </w:pPr>
      <w:r>
        <w:rPr>
          <w:rFonts w:ascii="Arial" w:hAnsi="Arial" w:cs="Arial"/>
        </w:rPr>
        <w:t xml:space="preserve">Alongside this work, Student Wellbeing also began to develop a strand of research activity. It is a curious fact that despite existing within universities, many Student Services teams do not engage in </w:t>
      </w:r>
      <w:r w:rsidR="004B195F">
        <w:rPr>
          <w:rFonts w:ascii="Arial" w:hAnsi="Arial" w:cs="Arial"/>
        </w:rPr>
        <w:t xml:space="preserve">conducting publishable </w:t>
      </w:r>
      <w:r>
        <w:rPr>
          <w:rFonts w:ascii="Arial" w:hAnsi="Arial" w:cs="Arial"/>
        </w:rPr>
        <w:t>research and there is no institutional expectation that they do so.</w:t>
      </w:r>
    </w:p>
    <w:p w14:paraId="037CCDE2" w14:textId="77777777" w:rsidR="00D962CA" w:rsidRDefault="00D962CA" w:rsidP="00D962CA">
      <w:pPr>
        <w:spacing w:after="160" w:line="259" w:lineRule="auto"/>
        <w:ind w:right="-360"/>
        <w:rPr>
          <w:rFonts w:ascii="Arial" w:hAnsi="Arial" w:cs="Arial"/>
        </w:rPr>
      </w:pPr>
      <w:r>
        <w:rPr>
          <w:rFonts w:ascii="Arial" w:hAnsi="Arial" w:cs="Arial"/>
        </w:rPr>
        <w:t xml:space="preserve">However, this is problematic, for a number of reasons, particularly in relation to student mental health. First, there is a recognition that there are significant gaps in our current knowledge about student mental health, the causes of </w:t>
      </w:r>
      <w:r w:rsidR="005F7FCB">
        <w:rPr>
          <w:rFonts w:ascii="Arial" w:hAnsi="Arial" w:cs="Arial"/>
        </w:rPr>
        <w:t xml:space="preserve">student </w:t>
      </w:r>
      <w:r>
        <w:rPr>
          <w:rFonts w:ascii="Arial" w:hAnsi="Arial" w:cs="Arial"/>
        </w:rPr>
        <w:t>mental illness and what the most effective responses might be. Student Services are situated in the optimal position to be able to address this gap.</w:t>
      </w:r>
    </w:p>
    <w:p w14:paraId="65F2FA9E" w14:textId="77777777" w:rsidR="00BD16AF" w:rsidRDefault="00D962CA" w:rsidP="00D962CA">
      <w:pPr>
        <w:spacing w:after="160" w:line="259" w:lineRule="auto"/>
        <w:ind w:right="-360"/>
        <w:rPr>
          <w:rFonts w:ascii="Arial" w:hAnsi="Arial" w:cs="Arial"/>
        </w:rPr>
      </w:pPr>
      <w:r>
        <w:rPr>
          <w:rFonts w:ascii="Arial" w:hAnsi="Arial" w:cs="Arial"/>
        </w:rPr>
        <w:t>Secondly, research into student mental health is</w:t>
      </w:r>
      <w:r w:rsidR="00F95B77">
        <w:rPr>
          <w:rFonts w:ascii="Arial" w:hAnsi="Arial" w:cs="Arial"/>
        </w:rPr>
        <w:t xml:space="preserve"> often conducted without the involvement of Student Services staff in design or implementation. As a result, this research can produce findings that are detached from day to day practice and recommendations that cannot be implemented, in reality, within universities. Franchising research out to academics within the institution can be a tempting way to address this problem but even here, if Student Services staff do not understand the research process enough to guide the study, it may still produce findings that do not contribute to more effective practice.</w:t>
      </w:r>
      <w:r w:rsidR="003A01A3">
        <w:rPr>
          <w:rFonts w:ascii="Arial" w:hAnsi="Arial" w:cs="Arial"/>
        </w:rPr>
        <w:t xml:space="preserve"> </w:t>
      </w:r>
    </w:p>
    <w:p w14:paraId="35855CFC" w14:textId="77777777" w:rsidR="00D962CA" w:rsidRDefault="00356CA8" w:rsidP="00D962CA">
      <w:pPr>
        <w:spacing w:after="160" w:line="259" w:lineRule="auto"/>
        <w:ind w:right="-360"/>
        <w:rPr>
          <w:rFonts w:ascii="Arial" w:hAnsi="Arial" w:cs="Arial"/>
        </w:rPr>
      </w:pPr>
      <w:r>
        <w:rPr>
          <w:rFonts w:ascii="Arial" w:hAnsi="Arial" w:cs="Arial"/>
        </w:rPr>
        <w:t>In effect, i</w:t>
      </w:r>
      <w:r w:rsidR="004B195F">
        <w:rPr>
          <w:rFonts w:ascii="Arial" w:hAnsi="Arial" w:cs="Arial"/>
        </w:rPr>
        <w:t>f Student Services are not leading research,</w:t>
      </w:r>
      <w:r w:rsidR="003A01A3">
        <w:rPr>
          <w:rFonts w:ascii="Arial" w:hAnsi="Arial" w:cs="Arial"/>
        </w:rPr>
        <w:t xml:space="preserve"> </w:t>
      </w:r>
      <w:r w:rsidR="004B195F">
        <w:rPr>
          <w:rFonts w:ascii="Arial" w:hAnsi="Arial" w:cs="Arial"/>
        </w:rPr>
        <w:t xml:space="preserve">this can lead to </w:t>
      </w:r>
      <w:r w:rsidR="00A1655D">
        <w:rPr>
          <w:rFonts w:ascii="Arial" w:hAnsi="Arial" w:cs="Arial"/>
        </w:rPr>
        <w:t>interventions and activity to address mental health</w:t>
      </w:r>
      <w:r w:rsidR="004B195F">
        <w:rPr>
          <w:rFonts w:ascii="Arial" w:hAnsi="Arial" w:cs="Arial"/>
        </w:rPr>
        <w:t>,</w:t>
      </w:r>
      <w:r w:rsidR="00A1655D">
        <w:rPr>
          <w:rFonts w:ascii="Arial" w:hAnsi="Arial" w:cs="Arial"/>
        </w:rPr>
        <w:t xml:space="preserve"> being delivered to students, without a clear, justifiable evidence base</w:t>
      </w:r>
      <w:r w:rsidR="001A1F43">
        <w:rPr>
          <w:rFonts w:ascii="Arial" w:hAnsi="Arial" w:cs="Arial"/>
        </w:rPr>
        <w:t xml:space="preserve"> that is clearly relevant to the university context</w:t>
      </w:r>
      <w:r w:rsidR="00A1655D">
        <w:rPr>
          <w:rFonts w:ascii="Arial" w:hAnsi="Arial" w:cs="Arial"/>
        </w:rPr>
        <w:t xml:space="preserve">. </w:t>
      </w:r>
    </w:p>
    <w:p w14:paraId="584D045D" w14:textId="77777777" w:rsidR="00F95B77" w:rsidRDefault="00F95B77" w:rsidP="00D962CA">
      <w:pPr>
        <w:spacing w:after="160" w:line="259" w:lineRule="auto"/>
        <w:ind w:right="-360"/>
        <w:rPr>
          <w:rFonts w:ascii="Arial" w:hAnsi="Arial" w:cs="Arial"/>
        </w:rPr>
      </w:pPr>
      <w:r>
        <w:rPr>
          <w:rFonts w:ascii="Arial" w:hAnsi="Arial" w:cs="Arial"/>
        </w:rPr>
        <w:t>Third, as has already been discussed</w:t>
      </w:r>
      <w:r w:rsidR="004B195F">
        <w:rPr>
          <w:rFonts w:ascii="Arial" w:hAnsi="Arial" w:cs="Arial"/>
        </w:rPr>
        <w:t>,</w:t>
      </w:r>
      <w:r>
        <w:rPr>
          <w:rFonts w:ascii="Arial" w:hAnsi="Arial" w:cs="Arial"/>
        </w:rPr>
        <w:t xml:space="preserve"> by not contributing or engaging with research output, Student Services are decoupled from one of the core missions of universities.</w:t>
      </w:r>
    </w:p>
    <w:p w14:paraId="1DAD554E" w14:textId="77777777" w:rsidR="00F95B77" w:rsidRDefault="001A1F43" w:rsidP="00D962CA">
      <w:pPr>
        <w:spacing w:after="160" w:line="259" w:lineRule="auto"/>
        <w:ind w:right="-360"/>
        <w:rPr>
          <w:rFonts w:ascii="Arial" w:hAnsi="Arial" w:cs="Arial"/>
        </w:rPr>
      </w:pPr>
      <w:r>
        <w:rPr>
          <w:rFonts w:ascii="Arial" w:hAnsi="Arial" w:cs="Arial"/>
        </w:rPr>
        <w:t>At Derby, c</w:t>
      </w:r>
      <w:r w:rsidR="00A1655D">
        <w:rPr>
          <w:rFonts w:ascii="Arial" w:hAnsi="Arial" w:cs="Arial"/>
        </w:rPr>
        <w:t>onducting research and publishing in peer reviewed journals, books and conferences has helped Student Wellbeing to develop evidence informed practice and to evaluate and revise current interventions (</w:t>
      </w:r>
      <w:r w:rsidR="00BF3823">
        <w:rPr>
          <w:rFonts w:ascii="Arial" w:hAnsi="Arial" w:cs="Arial"/>
        </w:rPr>
        <w:t>e.g. Hughes, et al, 2018; Hughes &amp; Byrom, 2019</w:t>
      </w:r>
      <w:r w:rsidR="00A1655D">
        <w:rPr>
          <w:rFonts w:ascii="Arial" w:hAnsi="Arial" w:cs="Arial"/>
        </w:rPr>
        <w:t>).</w:t>
      </w:r>
      <w:r w:rsidR="004B195F">
        <w:rPr>
          <w:rFonts w:ascii="Arial" w:hAnsi="Arial" w:cs="Arial"/>
        </w:rPr>
        <w:t xml:space="preserve"> </w:t>
      </w:r>
    </w:p>
    <w:p w14:paraId="1DAE4BEF" w14:textId="77777777" w:rsidR="000735F7" w:rsidRDefault="00A1655D" w:rsidP="00324DE7">
      <w:pPr>
        <w:spacing w:after="160" w:line="259" w:lineRule="auto"/>
        <w:ind w:right="-360"/>
        <w:rPr>
          <w:rFonts w:ascii="Calibri" w:hAnsi="Calibri" w:cs="Calibri"/>
          <w:b/>
          <w:sz w:val="22"/>
          <w:szCs w:val="22"/>
        </w:rPr>
      </w:pPr>
      <w:r>
        <w:rPr>
          <w:rFonts w:ascii="Arial" w:hAnsi="Arial" w:cs="Arial"/>
        </w:rPr>
        <w:t>As importantly, it also raised the profile of the service within the academic community, gaining additional credibility and placing Student Wellbeing in the same universe as academics; sharing experiences, viewpo</w:t>
      </w:r>
      <w:r w:rsidR="005F7FCB">
        <w:rPr>
          <w:rFonts w:ascii="Arial" w:hAnsi="Arial" w:cs="Arial"/>
        </w:rPr>
        <w:t>ints and a more common language and demonstrating that building closer relationships between academics and Student Services is possible.</w:t>
      </w:r>
    </w:p>
    <w:p w14:paraId="42A3C4F3" w14:textId="77777777" w:rsidR="0091163C" w:rsidRDefault="0091163C" w:rsidP="00512BF5">
      <w:pPr>
        <w:ind w:right="-360"/>
        <w:rPr>
          <w:rFonts w:ascii="Calibri" w:hAnsi="Calibri" w:cs="Calibri"/>
          <w:b/>
          <w:sz w:val="22"/>
          <w:szCs w:val="22"/>
        </w:rPr>
      </w:pPr>
    </w:p>
    <w:p w14:paraId="1FC76FCD" w14:textId="77777777" w:rsidR="00C1457D" w:rsidRPr="00512BF5" w:rsidRDefault="00A1655D" w:rsidP="00512BF5">
      <w:pPr>
        <w:pStyle w:val="Heading2"/>
        <w:pBdr>
          <w:top w:val="single" w:sz="4" w:space="1" w:color="auto"/>
          <w:left w:val="single" w:sz="4" w:space="4" w:color="auto"/>
          <w:bottom w:val="single" w:sz="4" w:space="1" w:color="auto"/>
          <w:right w:val="single" w:sz="4" w:space="4" w:color="auto"/>
        </w:pBdr>
        <w:shd w:val="clear" w:color="auto" w:fill="92CDDC"/>
        <w:spacing w:before="0" w:after="0"/>
        <w:rPr>
          <w:rFonts w:ascii="Cambria" w:hAnsi="Cambria" w:cs="Calibri"/>
          <w:b/>
        </w:rPr>
      </w:pPr>
      <w:r>
        <w:rPr>
          <w:rFonts w:ascii="Cambria" w:hAnsi="Cambria" w:cs="Calibri"/>
          <w:b/>
        </w:rPr>
        <w:t>Student Services – moving forward</w:t>
      </w:r>
    </w:p>
    <w:p w14:paraId="4118D6ED" w14:textId="77777777" w:rsidR="00762DA5" w:rsidRPr="00762DA5" w:rsidRDefault="00762DA5" w:rsidP="00762DA5">
      <w:pPr>
        <w:ind w:right="-360"/>
        <w:rPr>
          <w:rFonts w:ascii="Calibri" w:hAnsi="Calibri" w:cs="Calibri"/>
          <w:b/>
          <w:sz w:val="8"/>
          <w:szCs w:val="8"/>
        </w:rPr>
      </w:pPr>
    </w:p>
    <w:p w14:paraId="70FA1890" w14:textId="77777777" w:rsidR="0091163C" w:rsidRDefault="00A1655D" w:rsidP="00A1655D">
      <w:pPr>
        <w:spacing w:after="160" w:line="259" w:lineRule="auto"/>
        <w:ind w:right="-357"/>
        <w:rPr>
          <w:rFonts w:ascii="Arial" w:hAnsi="Arial" w:cs="Arial"/>
        </w:rPr>
      </w:pPr>
      <w:r>
        <w:rPr>
          <w:rFonts w:ascii="Arial" w:hAnsi="Arial" w:cs="Arial"/>
        </w:rPr>
        <w:t>This chapter began with a number of challenges facing Student Services in relation to student mental health</w:t>
      </w:r>
      <w:r w:rsidR="00E324BF">
        <w:rPr>
          <w:rFonts w:ascii="Arial" w:hAnsi="Arial" w:cs="Arial"/>
        </w:rPr>
        <w:t xml:space="preserve"> and a series of </w:t>
      </w:r>
      <w:r w:rsidR="00BD16AF">
        <w:rPr>
          <w:rFonts w:ascii="Arial" w:hAnsi="Arial" w:cs="Arial"/>
        </w:rPr>
        <w:t xml:space="preserve">questions </w:t>
      </w:r>
      <w:r w:rsidR="00E324BF">
        <w:rPr>
          <w:rFonts w:ascii="Arial" w:hAnsi="Arial" w:cs="Arial"/>
        </w:rPr>
        <w:t>created by those challenges. In addressing those challenges</w:t>
      </w:r>
      <w:r w:rsidR="00A35A81">
        <w:rPr>
          <w:rFonts w:ascii="Arial" w:hAnsi="Arial" w:cs="Arial"/>
        </w:rPr>
        <w:t>,</w:t>
      </w:r>
      <w:r w:rsidR="00E324BF">
        <w:rPr>
          <w:rFonts w:ascii="Arial" w:hAnsi="Arial" w:cs="Arial"/>
        </w:rPr>
        <w:t xml:space="preserve"> this chapter has sought to pull together evidence from research, theoretical understandings and an example from practice to construct a theoretical model of Student Services in thinking about and responding to student mental health. </w:t>
      </w:r>
    </w:p>
    <w:p w14:paraId="458D3DAE" w14:textId="77777777" w:rsidR="00E324BF" w:rsidRDefault="00E324BF" w:rsidP="00A1655D">
      <w:pPr>
        <w:spacing w:after="160" w:line="259" w:lineRule="auto"/>
        <w:ind w:right="-357"/>
        <w:rPr>
          <w:rFonts w:ascii="Arial" w:hAnsi="Arial" w:cs="Arial"/>
        </w:rPr>
      </w:pPr>
      <w:r>
        <w:rPr>
          <w:rFonts w:ascii="Arial" w:hAnsi="Arial" w:cs="Arial"/>
        </w:rPr>
        <w:t>This model may be described as a research, practice and teaching model, taking a holistic, developmentalist, whole university approach to student mental health.</w:t>
      </w:r>
    </w:p>
    <w:p w14:paraId="56840F4E" w14:textId="77777777" w:rsidR="00E324BF" w:rsidRPr="00E324BF" w:rsidRDefault="00E324BF" w:rsidP="00A1655D">
      <w:pPr>
        <w:spacing w:after="160" w:line="259" w:lineRule="auto"/>
        <w:ind w:right="-357"/>
        <w:rPr>
          <w:rFonts w:ascii="Arial" w:hAnsi="Arial" w:cs="Arial"/>
          <w:i/>
        </w:rPr>
      </w:pPr>
      <w:r w:rsidRPr="00E324BF">
        <w:rPr>
          <w:rFonts w:ascii="Arial" w:hAnsi="Arial" w:cs="Arial"/>
          <w:i/>
        </w:rPr>
        <w:t>Figure 5 here</w:t>
      </w:r>
    </w:p>
    <w:p w14:paraId="234C0E09" w14:textId="77777777" w:rsidR="00E324BF" w:rsidRDefault="00E324BF" w:rsidP="00A1655D">
      <w:pPr>
        <w:spacing w:after="160" w:line="259" w:lineRule="auto"/>
        <w:ind w:right="-357"/>
        <w:rPr>
          <w:rFonts w:ascii="Arial" w:hAnsi="Arial" w:cs="Arial"/>
        </w:rPr>
      </w:pPr>
      <w:r>
        <w:rPr>
          <w:rFonts w:ascii="Arial" w:hAnsi="Arial" w:cs="Arial"/>
        </w:rPr>
        <w:t>In this model, research, practice and teaching inform each other, driving continual learning, improvement and influence. Student Services are better positioned to be able to support and work with academic staff, to ensure students don’t fall through gaps in communication or understanding and to influence institutional development of curriculum and pedagogy.</w:t>
      </w:r>
    </w:p>
    <w:p w14:paraId="37C33BEC" w14:textId="7EA3F007" w:rsidR="00E324BF" w:rsidRDefault="00E324BF" w:rsidP="00A1655D">
      <w:pPr>
        <w:spacing w:after="160" w:line="259" w:lineRule="auto"/>
        <w:ind w:right="-357"/>
        <w:rPr>
          <w:rFonts w:ascii="Arial" w:hAnsi="Arial" w:cs="Arial"/>
        </w:rPr>
      </w:pPr>
      <w:r>
        <w:rPr>
          <w:rFonts w:ascii="Arial" w:hAnsi="Arial" w:cs="Arial"/>
        </w:rPr>
        <w:t xml:space="preserve">There is also a </w:t>
      </w:r>
      <w:r w:rsidR="004B195F">
        <w:rPr>
          <w:rFonts w:ascii="Arial" w:hAnsi="Arial" w:cs="Arial"/>
        </w:rPr>
        <w:t>closer li</w:t>
      </w:r>
      <w:r w:rsidR="008463F3">
        <w:rPr>
          <w:rFonts w:ascii="Arial" w:hAnsi="Arial" w:cs="Arial"/>
        </w:rPr>
        <w:t xml:space="preserve">nk to core mission </w:t>
      </w:r>
      <w:r w:rsidR="004B195F">
        <w:rPr>
          <w:rFonts w:ascii="Arial" w:hAnsi="Arial" w:cs="Arial"/>
        </w:rPr>
        <w:t xml:space="preserve">and </w:t>
      </w:r>
      <w:r>
        <w:rPr>
          <w:rFonts w:ascii="Arial" w:hAnsi="Arial" w:cs="Arial"/>
        </w:rPr>
        <w:t>a clearer definition of Student Services role</w:t>
      </w:r>
      <w:r w:rsidR="008463F3">
        <w:rPr>
          <w:rFonts w:ascii="Arial" w:hAnsi="Arial" w:cs="Arial"/>
        </w:rPr>
        <w:t xml:space="preserve">, ensuring that the department is </w:t>
      </w:r>
      <w:r w:rsidR="006B0D12">
        <w:rPr>
          <w:rFonts w:ascii="Arial" w:hAnsi="Arial" w:cs="Arial"/>
        </w:rPr>
        <w:t xml:space="preserve">better </w:t>
      </w:r>
      <w:r w:rsidR="008463F3">
        <w:rPr>
          <w:rFonts w:ascii="Arial" w:hAnsi="Arial" w:cs="Arial"/>
        </w:rPr>
        <w:t>able to make key contributions to strategic university priorities</w:t>
      </w:r>
      <w:r>
        <w:rPr>
          <w:rFonts w:ascii="Arial" w:hAnsi="Arial" w:cs="Arial"/>
        </w:rPr>
        <w:t>.</w:t>
      </w:r>
    </w:p>
    <w:p w14:paraId="57DE9F9B" w14:textId="77777777" w:rsidR="00E324BF" w:rsidRDefault="00E324BF" w:rsidP="00A1655D">
      <w:pPr>
        <w:spacing w:after="160" w:line="259" w:lineRule="auto"/>
        <w:ind w:right="-357"/>
        <w:rPr>
          <w:rFonts w:ascii="Arial" w:hAnsi="Arial" w:cs="Arial"/>
        </w:rPr>
      </w:pPr>
      <w:r>
        <w:rPr>
          <w:rFonts w:ascii="Arial" w:hAnsi="Arial" w:cs="Arial"/>
        </w:rPr>
        <w:t xml:space="preserve">There is </w:t>
      </w:r>
      <w:r w:rsidR="00A35A81">
        <w:rPr>
          <w:rFonts w:ascii="Arial" w:hAnsi="Arial" w:cs="Arial"/>
        </w:rPr>
        <w:t xml:space="preserve">also </w:t>
      </w:r>
      <w:r w:rsidR="00091BB4">
        <w:rPr>
          <w:rFonts w:ascii="Arial" w:hAnsi="Arial" w:cs="Arial"/>
        </w:rPr>
        <w:t>a clearer answer to the question of whether universities</w:t>
      </w:r>
      <w:r>
        <w:rPr>
          <w:rFonts w:ascii="Arial" w:hAnsi="Arial" w:cs="Arial"/>
        </w:rPr>
        <w:t xml:space="preserve"> should play </w:t>
      </w:r>
      <w:r w:rsidR="00091BB4">
        <w:rPr>
          <w:rFonts w:ascii="Arial" w:hAnsi="Arial" w:cs="Arial"/>
        </w:rPr>
        <w:t xml:space="preserve">a role </w:t>
      </w:r>
      <w:r>
        <w:rPr>
          <w:rFonts w:ascii="Arial" w:hAnsi="Arial" w:cs="Arial"/>
        </w:rPr>
        <w:t xml:space="preserve">in responding to student mental health. </w:t>
      </w:r>
      <w:r w:rsidR="00091BB4">
        <w:rPr>
          <w:rFonts w:ascii="Arial" w:hAnsi="Arial" w:cs="Arial"/>
        </w:rPr>
        <w:t xml:space="preserve">Taking Byrom and </w:t>
      </w:r>
      <w:r w:rsidR="00C63BD6">
        <w:rPr>
          <w:rFonts w:ascii="Arial" w:hAnsi="Arial" w:cs="Arial"/>
        </w:rPr>
        <w:t>Murphy</w:t>
      </w:r>
      <w:r w:rsidR="00091BB4">
        <w:rPr>
          <w:rFonts w:ascii="Arial" w:hAnsi="Arial" w:cs="Arial"/>
        </w:rPr>
        <w:t>’s model, i</w:t>
      </w:r>
      <w:r>
        <w:rPr>
          <w:rFonts w:ascii="Arial" w:hAnsi="Arial" w:cs="Arial"/>
        </w:rPr>
        <w:t xml:space="preserve">t is apparent that universities do have a role in providing an environment and learning that supports good mental health </w:t>
      </w:r>
      <w:r w:rsidR="005F7FCB">
        <w:rPr>
          <w:rFonts w:ascii="Arial" w:hAnsi="Arial" w:cs="Arial"/>
        </w:rPr>
        <w:t xml:space="preserve">and wellbeing </w:t>
      </w:r>
      <w:r>
        <w:rPr>
          <w:rFonts w:ascii="Arial" w:hAnsi="Arial" w:cs="Arial"/>
        </w:rPr>
        <w:t xml:space="preserve">and </w:t>
      </w:r>
      <w:r w:rsidR="00091BB4">
        <w:rPr>
          <w:rFonts w:ascii="Arial" w:hAnsi="Arial" w:cs="Arial"/>
        </w:rPr>
        <w:t>additional support for those with further barriers or vulnerabilities to mental illness. Taking a developmentalist approach, Student Services can also support students to improve their academic learning and to prepare for life after university, rather than relying on reactive support that may not be available after they graduate.</w:t>
      </w:r>
      <w:r w:rsidR="00BF3823">
        <w:rPr>
          <w:rFonts w:ascii="Arial" w:hAnsi="Arial" w:cs="Arial"/>
        </w:rPr>
        <w:t xml:space="preserve"> This definition also provides some increased clarity </w:t>
      </w:r>
      <w:r w:rsidR="003B60E7">
        <w:rPr>
          <w:rFonts w:ascii="Arial" w:hAnsi="Arial" w:cs="Arial"/>
        </w:rPr>
        <w:t>about a university’s threshold of responsibility in relation to students who are seriously mentally ill,</w:t>
      </w:r>
      <w:r w:rsidR="00BF3823">
        <w:rPr>
          <w:rFonts w:ascii="Arial" w:hAnsi="Arial" w:cs="Arial"/>
        </w:rPr>
        <w:t xml:space="preserve"> when developmental learning will not address the situation and </w:t>
      </w:r>
      <w:r w:rsidR="004836B7">
        <w:rPr>
          <w:rFonts w:ascii="Arial" w:hAnsi="Arial" w:cs="Arial"/>
        </w:rPr>
        <w:t xml:space="preserve">a student </w:t>
      </w:r>
      <w:r w:rsidR="003B60E7">
        <w:rPr>
          <w:rFonts w:ascii="Arial" w:hAnsi="Arial" w:cs="Arial"/>
        </w:rPr>
        <w:t xml:space="preserve">requires </w:t>
      </w:r>
      <w:r w:rsidR="003B60E7" w:rsidRPr="003B60E7">
        <w:rPr>
          <w:rFonts w:ascii="Arial" w:hAnsi="Arial" w:cs="Arial"/>
        </w:rPr>
        <w:t>medication</w:t>
      </w:r>
      <w:r w:rsidR="003B60E7">
        <w:rPr>
          <w:rFonts w:ascii="Arial" w:hAnsi="Arial" w:cs="Arial"/>
        </w:rPr>
        <w:t>, hospitalisation or specialis</w:t>
      </w:r>
      <w:r w:rsidR="00BF3823">
        <w:rPr>
          <w:rFonts w:ascii="Arial" w:hAnsi="Arial" w:cs="Arial"/>
        </w:rPr>
        <w:t>ed health care.</w:t>
      </w:r>
    </w:p>
    <w:p w14:paraId="129DD31B" w14:textId="77777777" w:rsidR="00091BB4" w:rsidRDefault="00091BB4" w:rsidP="00A1655D">
      <w:pPr>
        <w:spacing w:after="160" w:line="259" w:lineRule="auto"/>
        <w:ind w:right="-357"/>
        <w:rPr>
          <w:rFonts w:ascii="Arial" w:hAnsi="Arial" w:cs="Arial"/>
        </w:rPr>
      </w:pPr>
      <w:r>
        <w:rPr>
          <w:rFonts w:ascii="Arial" w:hAnsi="Arial" w:cs="Arial"/>
        </w:rPr>
        <w:t xml:space="preserve">There remains however, the ethical </w:t>
      </w:r>
      <w:r w:rsidR="008463F3">
        <w:rPr>
          <w:rFonts w:ascii="Arial" w:hAnsi="Arial" w:cs="Arial"/>
        </w:rPr>
        <w:t>concern that creating closer relationships between academics and Student Services, may result in students losing confidence in the confidentiality of services</w:t>
      </w:r>
      <w:r>
        <w:rPr>
          <w:rFonts w:ascii="Arial" w:hAnsi="Arial" w:cs="Arial"/>
        </w:rPr>
        <w:t>. As has been argued elsewhere</w:t>
      </w:r>
      <w:r w:rsidR="00BF3823">
        <w:rPr>
          <w:rFonts w:ascii="Arial" w:hAnsi="Arial" w:cs="Arial"/>
        </w:rPr>
        <w:t xml:space="preserve"> (Hughes &amp; Wilson, 2017)</w:t>
      </w:r>
      <w:r>
        <w:rPr>
          <w:rFonts w:ascii="Arial" w:hAnsi="Arial" w:cs="Arial"/>
        </w:rPr>
        <w:t xml:space="preserve">, this then calls for </w:t>
      </w:r>
      <w:r w:rsidR="00BF3823">
        <w:rPr>
          <w:rFonts w:ascii="Arial" w:hAnsi="Arial" w:cs="Arial"/>
        </w:rPr>
        <w:t>the repositioning of S</w:t>
      </w:r>
      <w:r>
        <w:rPr>
          <w:rFonts w:ascii="Arial" w:hAnsi="Arial" w:cs="Arial"/>
        </w:rPr>
        <w:t xml:space="preserve">tudent </w:t>
      </w:r>
      <w:r w:rsidR="00BF3823">
        <w:rPr>
          <w:rFonts w:ascii="Arial" w:hAnsi="Arial" w:cs="Arial"/>
        </w:rPr>
        <w:t>S</w:t>
      </w:r>
      <w:r>
        <w:rPr>
          <w:rFonts w:ascii="Arial" w:hAnsi="Arial" w:cs="Arial"/>
        </w:rPr>
        <w:t xml:space="preserve">ervices and academics, with a closer working, overlapping relationship but with </w:t>
      </w:r>
      <w:r w:rsidR="00A35A81">
        <w:rPr>
          <w:rFonts w:ascii="Arial" w:hAnsi="Arial" w:cs="Arial"/>
        </w:rPr>
        <w:t xml:space="preserve">appropriate </w:t>
      </w:r>
      <w:r>
        <w:rPr>
          <w:rFonts w:ascii="Arial" w:hAnsi="Arial" w:cs="Arial"/>
        </w:rPr>
        <w:t xml:space="preserve">boundaries that still remain.  </w:t>
      </w:r>
    </w:p>
    <w:p w14:paraId="4BB86576" w14:textId="77777777" w:rsidR="00091BB4" w:rsidRDefault="00091BB4" w:rsidP="00A1655D">
      <w:pPr>
        <w:spacing w:after="160" w:line="259" w:lineRule="auto"/>
        <w:ind w:right="-357"/>
        <w:rPr>
          <w:rFonts w:ascii="Arial" w:hAnsi="Arial" w:cs="Arial"/>
        </w:rPr>
      </w:pPr>
      <w:r>
        <w:rPr>
          <w:rFonts w:ascii="Arial" w:hAnsi="Arial" w:cs="Arial"/>
        </w:rPr>
        <w:t>Th</w:t>
      </w:r>
      <w:r w:rsidR="00E02B1E">
        <w:rPr>
          <w:rFonts w:ascii="Arial" w:hAnsi="Arial" w:cs="Arial"/>
        </w:rPr>
        <w:t>is</w:t>
      </w:r>
      <w:r>
        <w:rPr>
          <w:rFonts w:ascii="Arial" w:hAnsi="Arial" w:cs="Arial"/>
        </w:rPr>
        <w:t xml:space="preserve"> collaborative model still maintains appropriate boundaries</w:t>
      </w:r>
      <w:r w:rsidR="008463F3">
        <w:rPr>
          <w:rFonts w:ascii="Arial" w:hAnsi="Arial" w:cs="Arial"/>
        </w:rPr>
        <w:t xml:space="preserve"> that can and should be clearly communicated to students, such as the boundary of confidentiality.</w:t>
      </w:r>
      <w:r>
        <w:rPr>
          <w:rFonts w:ascii="Arial" w:hAnsi="Arial" w:cs="Arial"/>
        </w:rPr>
        <w:t xml:space="preserve"> </w:t>
      </w:r>
      <w:r w:rsidR="008463F3">
        <w:rPr>
          <w:rFonts w:ascii="Arial" w:hAnsi="Arial" w:cs="Arial"/>
        </w:rPr>
        <w:t>However,</w:t>
      </w:r>
      <w:r>
        <w:rPr>
          <w:rFonts w:ascii="Arial" w:hAnsi="Arial" w:cs="Arial"/>
        </w:rPr>
        <w:t xml:space="preserve"> these </w:t>
      </w:r>
      <w:r w:rsidRPr="00091BB4">
        <w:rPr>
          <w:rFonts w:ascii="Arial" w:hAnsi="Arial" w:cs="Arial"/>
        </w:rPr>
        <w:t>boundaries should be positioned so that there is clear overlap, ensuring that students are engaged with their own wellbeing, understand the links between wellbeing and learning and have clear access to support if needed.</w:t>
      </w:r>
    </w:p>
    <w:p w14:paraId="7C19319C" w14:textId="77777777" w:rsidR="003B63F7" w:rsidRDefault="003B63F7" w:rsidP="00A1655D">
      <w:pPr>
        <w:spacing w:after="160" w:line="259" w:lineRule="auto"/>
        <w:ind w:right="-357"/>
        <w:rPr>
          <w:rFonts w:ascii="Arial" w:hAnsi="Arial" w:cs="Arial"/>
          <w:i/>
        </w:rPr>
      </w:pPr>
      <w:r w:rsidRPr="003B63F7">
        <w:rPr>
          <w:rFonts w:ascii="Arial" w:hAnsi="Arial" w:cs="Arial"/>
          <w:i/>
        </w:rPr>
        <w:t xml:space="preserve">Figure </w:t>
      </w:r>
      <w:r w:rsidR="00270568">
        <w:rPr>
          <w:rFonts w:ascii="Arial" w:hAnsi="Arial" w:cs="Arial"/>
          <w:i/>
        </w:rPr>
        <w:t>6</w:t>
      </w:r>
      <w:r w:rsidRPr="003B63F7">
        <w:rPr>
          <w:rFonts w:ascii="Arial" w:hAnsi="Arial" w:cs="Arial"/>
          <w:i/>
        </w:rPr>
        <w:t xml:space="preserve"> here</w:t>
      </w:r>
    </w:p>
    <w:p w14:paraId="6D913464" w14:textId="77777777" w:rsidR="003B63F7" w:rsidRDefault="003A1F8E" w:rsidP="00A1655D">
      <w:pPr>
        <w:spacing w:after="160" w:line="259" w:lineRule="auto"/>
        <w:ind w:right="-357"/>
        <w:rPr>
          <w:rFonts w:ascii="Arial" w:hAnsi="Arial" w:cs="Arial"/>
        </w:rPr>
      </w:pPr>
      <w:r>
        <w:rPr>
          <w:rFonts w:ascii="Arial" w:hAnsi="Arial" w:cs="Arial"/>
        </w:rPr>
        <w:t xml:space="preserve">As George Box </w:t>
      </w:r>
      <w:r w:rsidR="00C63BD6">
        <w:rPr>
          <w:rFonts w:ascii="Arial" w:hAnsi="Arial" w:cs="Arial"/>
        </w:rPr>
        <w:t xml:space="preserve">(1979) </w:t>
      </w:r>
      <w:r>
        <w:rPr>
          <w:rFonts w:ascii="Arial" w:hAnsi="Arial" w:cs="Arial"/>
        </w:rPr>
        <w:t xml:space="preserve">said, all models are wrong but some models are useful. </w:t>
      </w:r>
      <w:r w:rsidR="00E02B1E">
        <w:rPr>
          <w:rFonts w:ascii="Arial" w:hAnsi="Arial" w:cs="Arial"/>
        </w:rPr>
        <w:t>The theoretical model, constructed in this chapter, is</w:t>
      </w:r>
      <w:r>
        <w:rPr>
          <w:rFonts w:ascii="Arial" w:hAnsi="Arial" w:cs="Arial"/>
        </w:rPr>
        <w:t xml:space="preserve"> offered in the hope that it can provide a clearer platform for thinking about, interrogating and advancing the role of Student Services</w:t>
      </w:r>
      <w:r w:rsidR="00E02B1E">
        <w:rPr>
          <w:rFonts w:ascii="Arial" w:hAnsi="Arial" w:cs="Arial"/>
        </w:rPr>
        <w:t>,</w:t>
      </w:r>
      <w:r>
        <w:rPr>
          <w:rFonts w:ascii="Arial" w:hAnsi="Arial" w:cs="Arial"/>
        </w:rPr>
        <w:t xml:space="preserve"> when considering student mental health and wellbeing. Moving Student Services to a more influential position within universities, tied to the core missions of teaching and research and able to more powerfully advocate for student need</w:t>
      </w:r>
      <w:r w:rsidR="00A35A81">
        <w:rPr>
          <w:rFonts w:ascii="Arial" w:hAnsi="Arial" w:cs="Arial"/>
        </w:rPr>
        <w:t>,</w:t>
      </w:r>
      <w:r>
        <w:rPr>
          <w:rFonts w:ascii="Arial" w:hAnsi="Arial" w:cs="Arial"/>
        </w:rPr>
        <w:t xml:space="preserve"> is arguably key if the current rise in student mental health problems is to be properly addressed. Having a stronger theoretical conception of the role of Student Services, might also allow Student Services leaders to exploit the opportunities presented by initiatives such as the University </w:t>
      </w:r>
      <w:r w:rsidR="00274C30">
        <w:rPr>
          <w:rFonts w:ascii="Arial" w:hAnsi="Arial" w:cs="Arial"/>
        </w:rPr>
        <w:t>M</w:t>
      </w:r>
      <w:r>
        <w:rPr>
          <w:rFonts w:ascii="Arial" w:hAnsi="Arial" w:cs="Arial"/>
        </w:rPr>
        <w:t xml:space="preserve">ental Health Charter in the UK and the </w:t>
      </w:r>
      <w:r w:rsidR="00274C30">
        <w:rPr>
          <w:rFonts w:ascii="Arial" w:hAnsi="Arial" w:cs="Arial"/>
        </w:rPr>
        <w:t xml:space="preserve">University Mental Health Framework in Australia to bring these issues from the fringes of university activity into the core of day to day business. </w:t>
      </w:r>
    </w:p>
    <w:p w14:paraId="7693D0F1" w14:textId="77777777" w:rsidR="00274C30" w:rsidRPr="003B63F7" w:rsidRDefault="00274C30" w:rsidP="00A1655D">
      <w:pPr>
        <w:spacing w:after="160" w:line="259" w:lineRule="auto"/>
        <w:ind w:right="-357"/>
        <w:rPr>
          <w:rFonts w:ascii="Arial" w:hAnsi="Arial" w:cs="Arial"/>
        </w:rPr>
      </w:pPr>
      <w:r>
        <w:rPr>
          <w:rFonts w:ascii="Arial" w:hAnsi="Arial" w:cs="Arial"/>
        </w:rPr>
        <w:t xml:space="preserve">This in turn, may offer opportunities to reduce gaps in support, lower risk and deliver more effective whole university responses that can turn back the tide on student mental </w:t>
      </w:r>
      <w:r w:rsidR="003B60E7">
        <w:rPr>
          <w:rFonts w:ascii="Arial" w:hAnsi="Arial" w:cs="Arial"/>
        </w:rPr>
        <w:t>illness</w:t>
      </w:r>
      <w:r>
        <w:rPr>
          <w:rFonts w:ascii="Arial" w:hAnsi="Arial" w:cs="Arial"/>
        </w:rPr>
        <w:t>, allowing universities to become environments that promote good wellbeing and producing healthy, thriving students, who emerge ready to change the world for the better.</w:t>
      </w:r>
    </w:p>
    <w:p w14:paraId="1FC3AE0E" w14:textId="77777777" w:rsidR="0091163C" w:rsidRDefault="0091163C" w:rsidP="00762DA5">
      <w:pPr>
        <w:ind w:right="-360"/>
        <w:rPr>
          <w:rFonts w:ascii="Calibri" w:hAnsi="Calibri" w:cs="Calibri"/>
          <w:b/>
          <w:sz w:val="22"/>
          <w:szCs w:val="22"/>
        </w:rPr>
      </w:pPr>
    </w:p>
    <w:p w14:paraId="30F91658" w14:textId="77777777" w:rsidR="002B0425" w:rsidRPr="00512BF5" w:rsidRDefault="003B12AD" w:rsidP="00512BF5">
      <w:pPr>
        <w:pStyle w:val="Heading2"/>
        <w:pBdr>
          <w:top w:val="single" w:sz="4" w:space="1" w:color="auto"/>
          <w:left w:val="single" w:sz="4" w:space="4" w:color="auto"/>
          <w:bottom w:val="single" w:sz="4" w:space="1" w:color="auto"/>
          <w:right w:val="single" w:sz="4" w:space="4" w:color="auto"/>
        </w:pBdr>
        <w:shd w:val="clear" w:color="auto" w:fill="92CDDC"/>
        <w:spacing w:before="0" w:after="0"/>
        <w:rPr>
          <w:rFonts w:ascii="Cambria" w:hAnsi="Cambria" w:cs="Calibri"/>
          <w:b/>
        </w:rPr>
      </w:pPr>
      <w:r>
        <w:rPr>
          <w:rFonts w:ascii="Cambria" w:hAnsi="Cambria" w:cs="Calibri"/>
          <w:b/>
        </w:rPr>
        <w:t>Cross-</w:t>
      </w:r>
      <w:r w:rsidR="005E00B3">
        <w:rPr>
          <w:rFonts w:ascii="Cambria" w:hAnsi="Cambria" w:cs="Calibri"/>
          <w:b/>
        </w:rPr>
        <w:t>R</w:t>
      </w:r>
      <w:r>
        <w:rPr>
          <w:rFonts w:ascii="Cambria" w:hAnsi="Cambria" w:cs="Calibri"/>
          <w:b/>
        </w:rPr>
        <w:t>eferences</w:t>
      </w:r>
    </w:p>
    <w:p w14:paraId="5EDAFDD7" w14:textId="77777777" w:rsidR="00512BF5" w:rsidRPr="00096455" w:rsidRDefault="00512BF5" w:rsidP="00512BF5">
      <w:pPr>
        <w:ind w:right="-360"/>
        <w:rPr>
          <w:rFonts w:ascii="Calibri" w:hAnsi="Calibri" w:cs="Calibri"/>
          <w:sz w:val="8"/>
          <w:szCs w:val="8"/>
        </w:rPr>
      </w:pPr>
    </w:p>
    <w:p w14:paraId="12491313" w14:textId="77777777" w:rsidR="003B12AD" w:rsidRPr="002A085E" w:rsidRDefault="002A085E" w:rsidP="003B12AD">
      <w:pPr>
        <w:ind w:right="-360"/>
        <w:rPr>
          <w:rFonts w:ascii="Calibri" w:hAnsi="Calibri" w:cs="Calibri"/>
          <w:sz w:val="22"/>
          <w:szCs w:val="22"/>
        </w:rPr>
      </w:pPr>
      <w:r w:rsidRPr="002A085E">
        <w:rPr>
          <w:rFonts w:ascii="Calibri" w:hAnsi="Calibri" w:cs="Calibri"/>
          <w:color w:val="000000"/>
          <w:sz w:val="22"/>
          <w:szCs w:val="22"/>
        </w:rPr>
        <w:t>Include a list of related entries in this cross-reference section that may be of further interest to your readers, if relevant. For the</w:t>
      </w:r>
      <w:r w:rsidR="005E00B3">
        <w:rPr>
          <w:rFonts w:ascii="Calibri" w:hAnsi="Calibri" w:cs="Calibri"/>
          <w:color w:val="000000"/>
          <w:sz w:val="22"/>
          <w:szCs w:val="22"/>
        </w:rPr>
        <w:t xml:space="preserve"> current</w:t>
      </w:r>
      <w:r w:rsidRPr="002A085E">
        <w:rPr>
          <w:rFonts w:ascii="Calibri" w:hAnsi="Calibri" w:cs="Calibri"/>
          <w:color w:val="000000"/>
          <w:sz w:val="22"/>
          <w:szCs w:val="22"/>
        </w:rPr>
        <w:t xml:space="preserve"> table of contents, log in to the project website on </w:t>
      </w:r>
      <w:hyperlink r:id="rId8" w:history="1">
        <w:r w:rsidRPr="002A085E">
          <w:rPr>
            <w:rStyle w:val="Hyperlink"/>
            <w:rFonts w:ascii="Calibri" w:hAnsi="Calibri" w:cs="Calibri"/>
            <w:sz w:val="22"/>
            <w:szCs w:val="22"/>
          </w:rPr>
          <w:t>Meteor</w:t>
        </w:r>
      </w:hyperlink>
      <w:r w:rsidRPr="002A085E">
        <w:rPr>
          <w:rFonts w:ascii="Calibri" w:hAnsi="Calibri" w:cs="Calibri"/>
          <w:color w:val="000000"/>
          <w:sz w:val="22"/>
          <w:szCs w:val="22"/>
        </w:rPr>
        <w:t>.</w:t>
      </w:r>
    </w:p>
    <w:p w14:paraId="186D7DF2" w14:textId="77777777" w:rsidR="003B12AD" w:rsidRDefault="003B12AD" w:rsidP="003B12AD">
      <w:pPr>
        <w:ind w:right="-360"/>
        <w:rPr>
          <w:rFonts w:ascii="Calibri" w:hAnsi="Calibri" w:cs="Calibri"/>
          <w:sz w:val="22"/>
          <w:szCs w:val="22"/>
        </w:rPr>
      </w:pPr>
      <w:r>
        <w:rPr>
          <w:rFonts w:ascii="Calibri" w:hAnsi="Calibri" w:cs="Calibri"/>
          <w:sz w:val="22"/>
          <w:szCs w:val="22"/>
        </w:rPr>
        <w:sym w:font="Wingdings 3" w:char="F0D2"/>
      </w:r>
      <w:r w:rsidR="00485DCD">
        <w:rPr>
          <w:rFonts w:ascii="Calibri" w:hAnsi="Calibri" w:cs="Calibri"/>
          <w:sz w:val="22"/>
          <w:szCs w:val="22"/>
        </w:rPr>
        <w:t xml:space="preserve"> Hughes, G</w:t>
      </w:r>
      <w:r w:rsidR="00E653E3">
        <w:rPr>
          <w:rFonts w:ascii="Calibri" w:hAnsi="Calibri" w:cs="Calibri"/>
          <w:sz w:val="22"/>
          <w:szCs w:val="22"/>
        </w:rPr>
        <w:t>.</w:t>
      </w:r>
      <w:r w:rsidR="00485DCD">
        <w:rPr>
          <w:rFonts w:ascii="Calibri" w:hAnsi="Calibri" w:cs="Calibri"/>
          <w:sz w:val="22"/>
          <w:szCs w:val="22"/>
        </w:rPr>
        <w:t xml:space="preserve"> &amp; Bowers-Brown, T. “</w:t>
      </w:r>
      <w:r w:rsidR="00485DCD" w:rsidRPr="00485DCD">
        <w:rPr>
          <w:rFonts w:ascii="Calibri" w:hAnsi="Calibri" w:cs="Calibri"/>
          <w:sz w:val="22"/>
          <w:szCs w:val="22"/>
        </w:rPr>
        <w:t>Student Services, Personal Tutors and Student Mental Health – a case study</w:t>
      </w:r>
      <w:r w:rsidR="00485DCD">
        <w:rPr>
          <w:rFonts w:ascii="Calibri" w:hAnsi="Calibri" w:cs="Calibri"/>
          <w:sz w:val="22"/>
          <w:szCs w:val="22"/>
        </w:rPr>
        <w:t>”</w:t>
      </w:r>
    </w:p>
    <w:p w14:paraId="3B856FAD" w14:textId="77777777" w:rsidR="003B12AD" w:rsidRDefault="003B12AD" w:rsidP="003B12AD">
      <w:pPr>
        <w:ind w:right="-360"/>
        <w:rPr>
          <w:rFonts w:ascii="Calibri" w:hAnsi="Calibri" w:cs="Calibri"/>
          <w:sz w:val="22"/>
          <w:szCs w:val="22"/>
        </w:rPr>
      </w:pPr>
      <w:r>
        <w:rPr>
          <w:rFonts w:ascii="Calibri" w:hAnsi="Calibri" w:cs="Calibri"/>
          <w:sz w:val="22"/>
          <w:szCs w:val="22"/>
        </w:rPr>
        <w:sym w:font="Wingdings 3" w:char="F0D2"/>
      </w:r>
      <w:r>
        <w:rPr>
          <w:rFonts w:ascii="Calibri" w:hAnsi="Calibri" w:cs="Calibri"/>
          <w:sz w:val="22"/>
          <w:szCs w:val="22"/>
        </w:rPr>
        <w:t xml:space="preserve"> …</w:t>
      </w:r>
    </w:p>
    <w:p w14:paraId="091A139F" w14:textId="77777777" w:rsidR="00512BF5" w:rsidRDefault="003B12AD" w:rsidP="003B12AD">
      <w:pPr>
        <w:ind w:right="-360"/>
        <w:rPr>
          <w:rFonts w:ascii="Calibri" w:hAnsi="Calibri" w:cs="Calibri"/>
          <w:sz w:val="22"/>
          <w:szCs w:val="22"/>
        </w:rPr>
      </w:pPr>
      <w:r>
        <w:rPr>
          <w:rFonts w:ascii="Calibri" w:hAnsi="Calibri" w:cs="Calibri"/>
          <w:sz w:val="22"/>
          <w:szCs w:val="22"/>
        </w:rPr>
        <w:sym w:font="Wingdings 3" w:char="F0D2"/>
      </w:r>
      <w:r>
        <w:rPr>
          <w:rFonts w:ascii="Calibri" w:hAnsi="Calibri" w:cs="Calibri"/>
          <w:sz w:val="22"/>
          <w:szCs w:val="22"/>
        </w:rPr>
        <w:t xml:space="preserve"> …</w:t>
      </w:r>
    </w:p>
    <w:p w14:paraId="486F7116" w14:textId="77777777" w:rsidR="003B12AD" w:rsidRDefault="003B12AD" w:rsidP="003B12AD">
      <w:pPr>
        <w:ind w:right="-360"/>
        <w:rPr>
          <w:rFonts w:ascii="Calibri" w:hAnsi="Calibri" w:cs="Calibri"/>
          <w:sz w:val="22"/>
          <w:szCs w:val="22"/>
        </w:rPr>
      </w:pPr>
    </w:p>
    <w:p w14:paraId="765226EA" w14:textId="77777777" w:rsidR="00762DA5" w:rsidRPr="00512BF5" w:rsidRDefault="00762DA5" w:rsidP="00762DA5">
      <w:pPr>
        <w:pStyle w:val="Heading2"/>
        <w:pBdr>
          <w:top w:val="single" w:sz="4" w:space="1" w:color="auto"/>
          <w:left w:val="single" w:sz="4" w:space="4" w:color="auto"/>
          <w:bottom w:val="single" w:sz="4" w:space="1" w:color="auto"/>
          <w:right w:val="single" w:sz="4" w:space="4" w:color="auto"/>
        </w:pBdr>
        <w:shd w:val="clear" w:color="auto" w:fill="92CDDC"/>
        <w:spacing w:before="0" w:after="0"/>
        <w:rPr>
          <w:rFonts w:ascii="Cambria" w:hAnsi="Cambria" w:cs="Calibri"/>
          <w:b/>
        </w:rPr>
      </w:pPr>
      <w:r>
        <w:rPr>
          <w:rFonts w:ascii="Cambria" w:hAnsi="Cambria" w:cs="Calibri"/>
          <w:b/>
        </w:rPr>
        <w:t xml:space="preserve">References </w:t>
      </w:r>
      <w:r w:rsidRPr="00512BF5">
        <w:rPr>
          <w:rFonts w:ascii="Calibri" w:hAnsi="Calibri" w:cs="Calibri"/>
          <w:sz w:val="20"/>
          <w:szCs w:val="20"/>
        </w:rPr>
        <w:t>(</w:t>
      </w:r>
      <w:r>
        <w:rPr>
          <w:rFonts w:ascii="Calibri" w:hAnsi="Calibri" w:cs="Calibri"/>
          <w:sz w:val="20"/>
          <w:szCs w:val="20"/>
        </w:rPr>
        <w:t>up to 50</w:t>
      </w:r>
      <w:r w:rsidR="005E00B3">
        <w:rPr>
          <w:rFonts w:ascii="Calibri" w:hAnsi="Calibri" w:cs="Calibri"/>
          <w:sz w:val="20"/>
          <w:szCs w:val="20"/>
        </w:rPr>
        <w:t>; refer to author guidelines for citation and bibliography styles to use for this publication</w:t>
      </w:r>
      <w:r w:rsidRPr="00512BF5">
        <w:rPr>
          <w:rFonts w:ascii="Calibri" w:hAnsi="Calibri" w:cs="Calibri"/>
          <w:sz w:val="20"/>
          <w:szCs w:val="20"/>
        </w:rPr>
        <w:t>)</w:t>
      </w:r>
    </w:p>
    <w:p w14:paraId="48ABDB9D" w14:textId="77777777" w:rsidR="00762DA5" w:rsidRPr="00096455" w:rsidRDefault="00762DA5" w:rsidP="00762DA5">
      <w:pPr>
        <w:ind w:right="-360"/>
        <w:rPr>
          <w:rFonts w:ascii="Calibri" w:hAnsi="Calibri" w:cs="Calibri"/>
          <w:sz w:val="8"/>
          <w:szCs w:val="8"/>
        </w:rPr>
      </w:pPr>
    </w:p>
    <w:p w14:paraId="0414F293" w14:textId="77777777" w:rsidR="00C63BD6" w:rsidRPr="00C63BD6" w:rsidRDefault="00C63BD6" w:rsidP="00C63BD6">
      <w:pPr>
        <w:ind w:right="-360"/>
        <w:rPr>
          <w:rFonts w:ascii="Arial" w:hAnsi="Arial" w:cs="Arial"/>
          <w:sz w:val="22"/>
          <w:szCs w:val="22"/>
        </w:rPr>
      </w:pPr>
      <w:r w:rsidRPr="00C63BD6">
        <w:rPr>
          <w:rFonts w:ascii="Arial" w:hAnsi="Arial" w:cs="Arial"/>
          <w:sz w:val="22"/>
          <w:szCs w:val="22"/>
        </w:rPr>
        <w:t>Auerbach, R. P., Mortier, P., Bruffaerts, R., Alonso, J., Benjet, C., &amp; Kessler, R. C. (2018). The WHO World Mental Health Surveys International College Student Project: Prevalence and Distribution of Mental Disorders. Journal of Abnormal Psychology.</w:t>
      </w:r>
    </w:p>
    <w:p w14:paraId="32AAB164" w14:textId="77777777" w:rsidR="00C63BD6" w:rsidRPr="00C63BD6" w:rsidRDefault="00C63BD6" w:rsidP="00C63BD6">
      <w:pPr>
        <w:ind w:right="-360"/>
        <w:rPr>
          <w:rFonts w:ascii="Arial" w:hAnsi="Arial" w:cs="Arial"/>
          <w:sz w:val="22"/>
          <w:szCs w:val="22"/>
        </w:rPr>
      </w:pPr>
    </w:p>
    <w:p w14:paraId="596427D0" w14:textId="77777777" w:rsidR="00C63BD6" w:rsidRPr="00C63BD6" w:rsidRDefault="00C63BD6" w:rsidP="00C63BD6">
      <w:pPr>
        <w:ind w:right="-360"/>
        <w:rPr>
          <w:rFonts w:ascii="Arial" w:hAnsi="Arial" w:cs="Arial"/>
          <w:sz w:val="22"/>
          <w:szCs w:val="22"/>
        </w:rPr>
      </w:pPr>
      <w:r w:rsidRPr="00C63BD6">
        <w:rPr>
          <w:rFonts w:ascii="Arial" w:hAnsi="Arial" w:cs="Arial"/>
          <w:sz w:val="22"/>
          <w:szCs w:val="22"/>
        </w:rPr>
        <w:t xml:space="preserve">BACP, (2018). </w:t>
      </w:r>
      <w:hyperlink r:id="rId9" w:history="1">
        <w:r w:rsidRPr="00C63BD6">
          <w:rPr>
            <w:rFonts w:ascii="Arial" w:hAnsi="Arial" w:cs="Arial"/>
            <w:color w:val="0000FF"/>
            <w:sz w:val="22"/>
            <w:szCs w:val="22"/>
            <w:u w:val="single"/>
          </w:rPr>
          <w:t>https://www.bacp.co.uk/media/4159/bacp-student-mental-health-briefing.pdf</w:t>
        </w:r>
      </w:hyperlink>
    </w:p>
    <w:p w14:paraId="72583246" w14:textId="77777777" w:rsidR="00C63BD6" w:rsidRPr="00C63BD6" w:rsidRDefault="00C63BD6" w:rsidP="00C63BD6">
      <w:pPr>
        <w:ind w:right="-360"/>
        <w:rPr>
          <w:rFonts w:ascii="Arial" w:hAnsi="Arial" w:cs="Arial"/>
          <w:sz w:val="22"/>
          <w:szCs w:val="22"/>
        </w:rPr>
      </w:pPr>
    </w:p>
    <w:p w14:paraId="3C8D8DDB" w14:textId="77777777" w:rsidR="00C63BD6" w:rsidRPr="00C63BD6" w:rsidRDefault="00C63BD6" w:rsidP="00C63BD6">
      <w:pPr>
        <w:spacing w:after="160" w:line="259" w:lineRule="auto"/>
        <w:rPr>
          <w:rFonts w:ascii="Arial" w:eastAsia="Calibri" w:hAnsi="Arial" w:cs="Arial"/>
          <w:noProof/>
          <w:sz w:val="22"/>
          <w:szCs w:val="22"/>
        </w:rPr>
      </w:pPr>
      <w:r w:rsidRPr="00C63BD6">
        <w:rPr>
          <w:rFonts w:ascii="Arial" w:eastAsia="Calibri" w:hAnsi="Arial" w:cs="Arial"/>
          <w:noProof/>
          <w:sz w:val="22"/>
          <w:szCs w:val="22"/>
        </w:rPr>
        <w:t xml:space="preserve">Baumeister, R., Twenge &amp; &amp; Nuss, C. K., 2002. Effects of social exclusion on cognitive processes: Anticipated aloneness reduces intelligent thought... </w:t>
      </w:r>
      <w:r w:rsidRPr="00C63BD6">
        <w:rPr>
          <w:rFonts w:ascii="Arial" w:eastAsia="Calibri" w:hAnsi="Arial" w:cs="Arial"/>
          <w:i/>
          <w:iCs/>
          <w:noProof/>
          <w:sz w:val="22"/>
          <w:szCs w:val="22"/>
        </w:rPr>
        <w:t xml:space="preserve">Journal of personality and social psychology, </w:t>
      </w:r>
      <w:r w:rsidRPr="00C63BD6">
        <w:rPr>
          <w:rFonts w:ascii="Arial" w:eastAsia="Calibri" w:hAnsi="Arial" w:cs="Arial"/>
          <w:noProof/>
          <w:sz w:val="22"/>
          <w:szCs w:val="22"/>
        </w:rPr>
        <w:t>83(4), pp. 817-827.</w:t>
      </w:r>
    </w:p>
    <w:p w14:paraId="1D87F017" w14:textId="77777777" w:rsidR="00C63BD6" w:rsidRPr="00C63BD6" w:rsidRDefault="00C63BD6" w:rsidP="00C63BD6">
      <w:pPr>
        <w:ind w:right="-360"/>
        <w:rPr>
          <w:rFonts w:ascii="Arial" w:hAnsi="Arial" w:cs="Arial"/>
          <w:sz w:val="22"/>
          <w:szCs w:val="22"/>
        </w:rPr>
      </w:pPr>
      <w:r w:rsidRPr="00C63BD6">
        <w:rPr>
          <w:rFonts w:ascii="Arial" w:hAnsi="Arial" w:cs="Arial"/>
          <w:sz w:val="22"/>
          <w:szCs w:val="22"/>
        </w:rPr>
        <w:t xml:space="preserve">Binnie, G., 2016. Struggling students are not 'lacking resilience' – they need more support. </w:t>
      </w:r>
      <w:r w:rsidRPr="00C63BD6">
        <w:rPr>
          <w:rFonts w:ascii="Arial" w:hAnsi="Arial" w:cs="Arial"/>
          <w:i/>
          <w:iCs/>
          <w:sz w:val="22"/>
          <w:szCs w:val="22"/>
        </w:rPr>
        <w:t>The Guardian</w:t>
      </w:r>
      <w:r w:rsidRPr="00C63BD6">
        <w:rPr>
          <w:rFonts w:ascii="Arial" w:hAnsi="Arial" w:cs="Arial"/>
          <w:sz w:val="22"/>
          <w:szCs w:val="22"/>
        </w:rPr>
        <w:t xml:space="preserve">. Available at: </w:t>
      </w:r>
      <w:hyperlink r:id="rId10" w:history="1">
        <w:r w:rsidRPr="00C63BD6">
          <w:rPr>
            <w:rFonts w:ascii="Arial" w:hAnsi="Arial" w:cs="Arial"/>
            <w:color w:val="0000FF"/>
            <w:sz w:val="22"/>
            <w:szCs w:val="22"/>
            <w:u w:val="single"/>
          </w:rPr>
          <w:t>https://www.theguardian.com/higher-education-network/2016/aug/18/struggling-students-are-not-lacking-resilience-they-need-more-support</w:t>
        </w:r>
      </w:hyperlink>
      <w:r w:rsidRPr="00C63BD6">
        <w:rPr>
          <w:rFonts w:ascii="Arial" w:hAnsi="Arial" w:cs="Arial"/>
          <w:sz w:val="22"/>
          <w:szCs w:val="22"/>
        </w:rPr>
        <w:t xml:space="preserve"> [Accessed May 10, 2019]. </w:t>
      </w:r>
    </w:p>
    <w:p w14:paraId="03125A8E" w14:textId="6C81A207" w:rsidR="00C63BD6" w:rsidRPr="009F4202" w:rsidRDefault="00C63BD6" w:rsidP="00C63BD6">
      <w:pPr>
        <w:ind w:right="-360"/>
        <w:rPr>
          <w:rFonts w:ascii="Arial" w:hAnsi="Arial" w:cs="Arial"/>
          <w:sz w:val="22"/>
          <w:szCs w:val="22"/>
        </w:rPr>
      </w:pPr>
    </w:p>
    <w:p w14:paraId="4431CC72" w14:textId="280DB86C" w:rsidR="00512F97" w:rsidRPr="009F4202" w:rsidRDefault="00512F97" w:rsidP="00C63BD6">
      <w:pPr>
        <w:ind w:right="-360"/>
        <w:rPr>
          <w:rFonts w:ascii="Arial" w:hAnsi="Arial" w:cs="Arial"/>
          <w:sz w:val="22"/>
          <w:szCs w:val="22"/>
        </w:rPr>
      </w:pPr>
      <w:r w:rsidRPr="009F4202">
        <w:rPr>
          <w:rFonts w:ascii="Arial" w:hAnsi="Arial" w:cs="Arial"/>
          <w:shd w:val="clear" w:color="auto" w:fill="FFFFFF"/>
        </w:rPr>
        <w:t>Black, A. E., &amp; Deci, E. L. (2000). The effects of instructors’ autonomy support and students’ autonomous motivation on learning organic chemistry: A self</w:t>
      </w:r>
      <w:r w:rsidRPr="009F4202">
        <w:rPr>
          <w:rFonts w:ascii="Cambria Math" w:hAnsi="Cambria Math" w:cs="Cambria Math"/>
          <w:shd w:val="clear" w:color="auto" w:fill="FFFFFF"/>
        </w:rPr>
        <w:t>‐</w:t>
      </w:r>
      <w:r w:rsidRPr="009F4202">
        <w:rPr>
          <w:rFonts w:ascii="Arial" w:hAnsi="Arial" w:cs="Arial"/>
          <w:shd w:val="clear" w:color="auto" w:fill="FFFFFF"/>
        </w:rPr>
        <w:t>determination theory perspective. </w:t>
      </w:r>
      <w:r w:rsidRPr="009F4202">
        <w:rPr>
          <w:rStyle w:val="Emphasis"/>
          <w:rFonts w:ascii="&amp;quot" w:hAnsi="&amp;quot"/>
        </w:rPr>
        <w:t>Science education</w:t>
      </w:r>
      <w:r w:rsidRPr="009F4202">
        <w:rPr>
          <w:rFonts w:ascii="Arial" w:hAnsi="Arial" w:cs="Arial"/>
          <w:shd w:val="clear" w:color="auto" w:fill="FFFFFF"/>
        </w:rPr>
        <w:t>, </w:t>
      </w:r>
      <w:r w:rsidRPr="009F4202">
        <w:rPr>
          <w:rStyle w:val="Emphasis"/>
          <w:rFonts w:ascii="&amp;quot" w:hAnsi="&amp;quot"/>
        </w:rPr>
        <w:t>84</w:t>
      </w:r>
      <w:r w:rsidRPr="009F4202">
        <w:rPr>
          <w:rFonts w:ascii="Arial" w:hAnsi="Arial" w:cs="Arial"/>
          <w:shd w:val="clear" w:color="auto" w:fill="FFFFFF"/>
        </w:rPr>
        <w:t>(6), 740-756.</w:t>
      </w:r>
    </w:p>
    <w:p w14:paraId="691BE8FF" w14:textId="77777777" w:rsidR="00512F97" w:rsidRPr="00C63BD6" w:rsidRDefault="00512F97" w:rsidP="00C63BD6">
      <w:pPr>
        <w:ind w:right="-360"/>
        <w:rPr>
          <w:rFonts w:ascii="Arial" w:hAnsi="Arial" w:cs="Arial"/>
          <w:sz w:val="22"/>
          <w:szCs w:val="22"/>
        </w:rPr>
      </w:pPr>
    </w:p>
    <w:p w14:paraId="7228B5E7" w14:textId="77777777" w:rsidR="00C63BD6" w:rsidRPr="00C63BD6" w:rsidRDefault="00C63BD6" w:rsidP="00C63BD6">
      <w:pPr>
        <w:ind w:right="-360"/>
        <w:rPr>
          <w:rFonts w:ascii="Arial" w:hAnsi="Arial" w:cs="Arial"/>
          <w:sz w:val="22"/>
          <w:szCs w:val="22"/>
        </w:rPr>
      </w:pPr>
      <w:r w:rsidRPr="00C63BD6">
        <w:rPr>
          <w:rFonts w:ascii="Arial" w:eastAsia="Arial" w:hAnsi="Arial" w:cs="Arial"/>
          <w:sz w:val="22"/>
          <w:szCs w:val="22"/>
        </w:rPr>
        <w:t xml:space="preserve">Box, G. E. P. (1979), </w:t>
      </w:r>
      <w:r w:rsidRPr="00C63BD6">
        <w:rPr>
          <w:rFonts w:ascii="Arial" w:eastAsia="Arial" w:hAnsi="Arial" w:cs="Arial"/>
          <w:i/>
          <w:sz w:val="22"/>
          <w:szCs w:val="22"/>
        </w:rPr>
        <w:t>"Robustness in the strategy of scientific model building"</w:t>
      </w:r>
      <w:r w:rsidRPr="00C63BD6">
        <w:rPr>
          <w:rFonts w:ascii="Arial" w:eastAsia="Arial" w:hAnsi="Arial" w:cs="Arial"/>
          <w:sz w:val="22"/>
          <w:szCs w:val="22"/>
        </w:rPr>
        <w:t xml:space="preserve">, in Launer, R. L.; Wilkinson, G. N., </w:t>
      </w:r>
      <w:r w:rsidRPr="00C63BD6">
        <w:rPr>
          <w:rFonts w:ascii="Arial" w:eastAsia="Arial" w:hAnsi="Arial" w:cs="Arial"/>
          <w:i/>
          <w:sz w:val="22"/>
          <w:szCs w:val="22"/>
        </w:rPr>
        <w:t>Robustness in Statistics</w:t>
      </w:r>
      <w:r w:rsidRPr="00C63BD6">
        <w:rPr>
          <w:rFonts w:ascii="Arial" w:eastAsia="Arial" w:hAnsi="Arial" w:cs="Arial"/>
          <w:sz w:val="22"/>
          <w:szCs w:val="22"/>
        </w:rPr>
        <w:t>,</w:t>
      </w:r>
      <w:hyperlink r:id="rId11">
        <w:r w:rsidRPr="00C63BD6">
          <w:rPr>
            <w:rFonts w:ascii="Arial" w:eastAsia="Arial" w:hAnsi="Arial" w:cs="Arial"/>
            <w:sz w:val="22"/>
            <w:szCs w:val="22"/>
            <w:u w:val="single"/>
          </w:rPr>
          <w:t xml:space="preserve"> </w:t>
        </w:r>
      </w:hyperlink>
      <w:hyperlink r:id="rId12">
        <w:r w:rsidRPr="00C63BD6">
          <w:rPr>
            <w:rFonts w:ascii="Arial" w:eastAsia="Arial" w:hAnsi="Arial" w:cs="Arial"/>
            <w:sz w:val="22"/>
            <w:szCs w:val="22"/>
          </w:rPr>
          <w:t>Academic Press</w:t>
        </w:r>
      </w:hyperlink>
      <w:r w:rsidRPr="00C63BD6">
        <w:rPr>
          <w:rFonts w:ascii="Arial" w:eastAsia="Arial" w:hAnsi="Arial" w:cs="Arial"/>
          <w:sz w:val="22"/>
          <w:szCs w:val="22"/>
        </w:rPr>
        <w:t>, pp. 201–236</w:t>
      </w:r>
    </w:p>
    <w:p w14:paraId="1ED7413B" w14:textId="77777777" w:rsidR="00C63BD6" w:rsidRPr="00C63BD6" w:rsidRDefault="00C63BD6" w:rsidP="00C63BD6">
      <w:pPr>
        <w:ind w:right="-360"/>
        <w:rPr>
          <w:rFonts w:ascii="Arial" w:hAnsi="Arial" w:cs="Arial"/>
          <w:sz w:val="22"/>
          <w:szCs w:val="22"/>
        </w:rPr>
      </w:pPr>
    </w:p>
    <w:p w14:paraId="42EE249D" w14:textId="77777777" w:rsidR="00C63BD6" w:rsidRPr="00C63BD6" w:rsidRDefault="00C63BD6" w:rsidP="00C63BD6">
      <w:pPr>
        <w:ind w:right="-360"/>
        <w:rPr>
          <w:rFonts w:ascii="Arial" w:hAnsi="Arial" w:cs="Arial"/>
          <w:sz w:val="22"/>
          <w:szCs w:val="22"/>
        </w:rPr>
      </w:pPr>
      <w:r w:rsidRPr="00C63BD6">
        <w:rPr>
          <w:rFonts w:ascii="Arial" w:hAnsi="Arial" w:cs="Arial"/>
          <w:sz w:val="22"/>
          <w:szCs w:val="22"/>
        </w:rPr>
        <w:t>Broglia, E.; Millings, A. &amp; Barkham, M. (2018) Challenges to addressing student mental health in embedded counselling services: a survey of UK higher and further education institutions, British Journal of Guidance &amp; Counselling, 46:4, 441-455, DOI: 10.1080/03069885.2017.1370695</w:t>
      </w:r>
    </w:p>
    <w:p w14:paraId="44FF6D02" w14:textId="77777777" w:rsidR="00C63BD6" w:rsidRPr="00C63BD6" w:rsidRDefault="00C63BD6" w:rsidP="00C63BD6">
      <w:pPr>
        <w:ind w:right="-360"/>
        <w:rPr>
          <w:rFonts w:ascii="Arial" w:hAnsi="Arial" w:cs="Arial"/>
          <w:sz w:val="22"/>
          <w:szCs w:val="22"/>
        </w:rPr>
      </w:pPr>
    </w:p>
    <w:p w14:paraId="1605B4A1" w14:textId="77777777" w:rsidR="00C63BD6" w:rsidRPr="00C63BD6" w:rsidRDefault="00C63BD6" w:rsidP="00C63BD6">
      <w:pPr>
        <w:ind w:right="-360"/>
        <w:rPr>
          <w:rFonts w:ascii="Arial" w:hAnsi="Arial" w:cs="Arial"/>
          <w:sz w:val="22"/>
          <w:szCs w:val="22"/>
        </w:rPr>
      </w:pPr>
      <w:r w:rsidRPr="00C63BD6">
        <w:rPr>
          <w:rFonts w:ascii="Arial" w:hAnsi="Arial" w:cs="Arial"/>
          <w:sz w:val="22"/>
          <w:szCs w:val="22"/>
        </w:rPr>
        <w:t xml:space="preserve">Byrom, N. (2018). An evaluation of a peer support intervention for student mental health. </w:t>
      </w:r>
      <w:r w:rsidRPr="00C63BD6">
        <w:rPr>
          <w:rFonts w:ascii="Arial" w:hAnsi="Arial" w:cs="Arial"/>
          <w:i/>
          <w:sz w:val="22"/>
          <w:szCs w:val="22"/>
        </w:rPr>
        <w:t xml:space="preserve">Journal of Mental Health. </w:t>
      </w:r>
      <w:r w:rsidRPr="00C63BD6">
        <w:rPr>
          <w:rFonts w:ascii="Arial" w:hAnsi="Arial" w:cs="Arial"/>
          <w:sz w:val="22"/>
          <w:szCs w:val="22"/>
        </w:rPr>
        <w:t xml:space="preserve">27(3) pp 240-246. doi: 10.1080/09638237.2018.1437605 </w:t>
      </w:r>
    </w:p>
    <w:p w14:paraId="73EF423A" w14:textId="77777777" w:rsidR="00C63BD6" w:rsidRPr="00C63BD6" w:rsidRDefault="00C63BD6" w:rsidP="00C63BD6">
      <w:pPr>
        <w:ind w:right="-360"/>
        <w:rPr>
          <w:rFonts w:ascii="Arial" w:hAnsi="Arial" w:cs="Arial"/>
          <w:sz w:val="22"/>
          <w:szCs w:val="22"/>
        </w:rPr>
      </w:pPr>
    </w:p>
    <w:p w14:paraId="3CCC9EAF" w14:textId="77777777" w:rsidR="00C63BD6" w:rsidRPr="00C63BD6" w:rsidRDefault="00C63BD6" w:rsidP="00C63BD6">
      <w:pPr>
        <w:ind w:right="-360"/>
        <w:rPr>
          <w:rFonts w:ascii="Arial" w:hAnsi="Arial" w:cs="Arial"/>
          <w:sz w:val="22"/>
          <w:szCs w:val="22"/>
        </w:rPr>
      </w:pPr>
      <w:r w:rsidRPr="00C63BD6">
        <w:rPr>
          <w:rFonts w:ascii="Arial" w:hAnsi="Arial" w:cs="Arial"/>
          <w:sz w:val="22"/>
          <w:szCs w:val="22"/>
        </w:rPr>
        <w:t xml:space="preserve">Byrom, N. C. &amp; Murphy, R. A. (2018) Individual differences are more than a gene × environment interaction: The role of learning. </w:t>
      </w:r>
      <w:r w:rsidRPr="00C63BD6">
        <w:rPr>
          <w:rFonts w:ascii="Arial" w:hAnsi="Arial" w:cs="Arial"/>
          <w:i/>
          <w:sz w:val="22"/>
          <w:szCs w:val="22"/>
        </w:rPr>
        <w:t>Journal of Experimental Psychology: Animal Learning and Cognition</w:t>
      </w:r>
      <w:r w:rsidRPr="00C63BD6">
        <w:rPr>
          <w:rFonts w:ascii="Arial" w:hAnsi="Arial" w:cs="Arial"/>
          <w:sz w:val="22"/>
          <w:szCs w:val="22"/>
        </w:rPr>
        <w:t>. 44(1), pp 36-55</w:t>
      </w:r>
    </w:p>
    <w:p w14:paraId="10F083E8" w14:textId="77777777" w:rsidR="00C63BD6" w:rsidRPr="00C63BD6" w:rsidRDefault="00C63BD6" w:rsidP="00C63BD6">
      <w:pPr>
        <w:ind w:right="-360"/>
        <w:rPr>
          <w:rFonts w:ascii="Arial" w:hAnsi="Arial" w:cs="Arial"/>
          <w:sz w:val="22"/>
          <w:szCs w:val="22"/>
        </w:rPr>
      </w:pPr>
    </w:p>
    <w:p w14:paraId="76011712" w14:textId="77777777" w:rsidR="00C63BD6" w:rsidRPr="00C63BD6" w:rsidRDefault="00C63BD6" w:rsidP="00C63BD6">
      <w:pPr>
        <w:widowControl w:val="0"/>
        <w:pBdr>
          <w:top w:val="nil"/>
          <w:left w:val="nil"/>
          <w:bottom w:val="nil"/>
          <w:right w:val="nil"/>
          <w:between w:val="nil"/>
        </w:pBdr>
        <w:spacing w:after="200" w:line="276" w:lineRule="auto"/>
        <w:jc w:val="both"/>
        <w:rPr>
          <w:rFonts w:ascii="Arial" w:eastAsia="Arial" w:hAnsi="Arial" w:cs="Arial"/>
          <w:color w:val="000000"/>
          <w:sz w:val="22"/>
          <w:szCs w:val="22"/>
          <w:lang w:eastAsia="en-GB"/>
        </w:rPr>
      </w:pPr>
      <w:r w:rsidRPr="00C63BD6">
        <w:rPr>
          <w:rFonts w:ascii="Arial" w:eastAsia="Arial" w:hAnsi="Arial" w:cs="Arial"/>
          <w:color w:val="000000"/>
          <w:sz w:val="22"/>
          <w:szCs w:val="22"/>
          <w:lang w:eastAsia="en-GB"/>
        </w:rPr>
        <w:t xml:space="preserve">Cacioppo, J. T., &amp; Patrick, W. B. (2009). </w:t>
      </w:r>
      <w:r w:rsidRPr="00C63BD6">
        <w:rPr>
          <w:rFonts w:ascii="Arial" w:eastAsia="Arial" w:hAnsi="Arial" w:cs="Arial"/>
          <w:i/>
          <w:color w:val="000000"/>
          <w:sz w:val="22"/>
          <w:szCs w:val="22"/>
          <w:lang w:eastAsia="en-GB"/>
        </w:rPr>
        <w:t>Loneliness: Human nature and the need for social connection</w:t>
      </w:r>
      <w:r w:rsidRPr="00C63BD6">
        <w:rPr>
          <w:rFonts w:ascii="Arial" w:eastAsia="Arial" w:hAnsi="Arial" w:cs="Arial"/>
          <w:color w:val="000000"/>
          <w:sz w:val="22"/>
          <w:szCs w:val="22"/>
          <w:lang w:eastAsia="en-GB"/>
        </w:rPr>
        <w:t xml:space="preserve">. New York: Norton, W. W. &amp; Company. </w:t>
      </w:r>
    </w:p>
    <w:p w14:paraId="22DF0BCC" w14:textId="77777777" w:rsidR="00C63BD6" w:rsidRPr="00C63BD6" w:rsidRDefault="00C63BD6" w:rsidP="00C63BD6">
      <w:pPr>
        <w:ind w:right="-360"/>
        <w:rPr>
          <w:rFonts w:ascii="Arial" w:hAnsi="Arial" w:cs="Arial"/>
          <w:sz w:val="22"/>
          <w:szCs w:val="22"/>
        </w:rPr>
      </w:pPr>
      <w:r w:rsidRPr="00C63BD6">
        <w:rPr>
          <w:rFonts w:ascii="Arial" w:hAnsi="Arial" w:cs="Arial"/>
          <w:sz w:val="22"/>
          <w:szCs w:val="22"/>
        </w:rPr>
        <w:t xml:space="preserve">Cacioppo JT, Ernst JM, Burleson MH, McClintock MK, Malarkey WB, Hawkley LC, Kowalewski RB, Paulsen A, Hobson JA, Hugdahl K, Spiegel D, Berntson GG. (2000). Lonely traits and concomitant physiological processes: the MacArthur social neuroscience studies. </w:t>
      </w:r>
      <w:r w:rsidRPr="00C63BD6">
        <w:rPr>
          <w:rFonts w:ascii="Arial" w:hAnsi="Arial" w:cs="Arial"/>
          <w:i/>
          <w:sz w:val="22"/>
          <w:szCs w:val="22"/>
        </w:rPr>
        <w:t xml:space="preserve">International Journal of Psychophysiology, </w:t>
      </w:r>
      <w:r w:rsidRPr="00C63BD6">
        <w:rPr>
          <w:rFonts w:ascii="Arial" w:hAnsi="Arial" w:cs="Arial"/>
          <w:sz w:val="22"/>
          <w:szCs w:val="22"/>
        </w:rPr>
        <w:t>35(2-3) pp 143-54</w:t>
      </w:r>
    </w:p>
    <w:p w14:paraId="61D44722" w14:textId="77777777" w:rsidR="00C63BD6" w:rsidRPr="00C63BD6" w:rsidRDefault="00C63BD6" w:rsidP="00C63BD6">
      <w:pPr>
        <w:ind w:right="-360"/>
        <w:rPr>
          <w:rFonts w:ascii="Arial" w:hAnsi="Arial" w:cs="Arial"/>
          <w:sz w:val="22"/>
          <w:szCs w:val="22"/>
        </w:rPr>
      </w:pPr>
    </w:p>
    <w:p w14:paraId="14AC696D" w14:textId="2849DDAC" w:rsidR="00C63BD6" w:rsidRPr="00C63BD6" w:rsidRDefault="00C63BD6" w:rsidP="00C63BD6">
      <w:pPr>
        <w:ind w:right="-360"/>
        <w:rPr>
          <w:rFonts w:ascii="Arial" w:hAnsi="Arial" w:cs="Arial"/>
          <w:sz w:val="22"/>
          <w:szCs w:val="22"/>
        </w:rPr>
      </w:pPr>
      <w:r w:rsidRPr="00C63BD6">
        <w:rPr>
          <w:rFonts w:ascii="Arial" w:hAnsi="Arial" w:cs="Arial"/>
          <w:sz w:val="22"/>
          <w:szCs w:val="22"/>
        </w:rPr>
        <w:t xml:space="preserve">Craig, N. and Zinckiewicz, L. (2010) Inclusive Practice within Psychology Higher Education. York: Higher Education Academy Psychology Network [Internet]. Available from: </w:t>
      </w:r>
      <w:hyperlink r:id="rId13" w:history="1">
        <w:r w:rsidRPr="00C63BD6">
          <w:rPr>
            <w:rFonts w:ascii="Arial" w:hAnsi="Arial" w:cs="Arial"/>
            <w:color w:val="0000FF"/>
            <w:sz w:val="22"/>
            <w:szCs w:val="22"/>
            <w:u w:val="single"/>
          </w:rPr>
          <w:t>https://www.heacademy.ac.uk/resource/inclusive-practice-within-psychology-higher-education</w:t>
        </w:r>
      </w:hyperlink>
      <w:r w:rsidRPr="00C63BD6">
        <w:rPr>
          <w:rFonts w:ascii="Arial" w:hAnsi="Arial" w:cs="Arial"/>
          <w:sz w:val="22"/>
          <w:szCs w:val="22"/>
        </w:rPr>
        <w:t xml:space="preserve"> </w:t>
      </w:r>
    </w:p>
    <w:p w14:paraId="355541B5" w14:textId="77777777" w:rsidR="00C63BD6" w:rsidRPr="00C63BD6" w:rsidRDefault="00C63BD6" w:rsidP="00C63BD6">
      <w:pPr>
        <w:ind w:right="-360"/>
        <w:rPr>
          <w:rFonts w:ascii="Arial" w:hAnsi="Arial" w:cs="Arial"/>
          <w:sz w:val="22"/>
          <w:szCs w:val="22"/>
        </w:rPr>
      </w:pPr>
    </w:p>
    <w:p w14:paraId="22C67EB1" w14:textId="77777777" w:rsidR="00C63BD6" w:rsidRPr="00C63BD6" w:rsidRDefault="00C63BD6" w:rsidP="00C63BD6">
      <w:pPr>
        <w:spacing w:after="160" w:line="259" w:lineRule="auto"/>
        <w:rPr>
          <w:rFonts w:ascii="Arial" w:eastAsia="Calibri" w:hAnsi="Arial" w:cs="Arial"/>
          <w:noProof/>
          <w:sz w:val="22"/>
          <w:szCs w:val="22"/>
        </w:rPr>
      </w:pPr>
      <w:r w:rsidRPr="00C63BD6">
        <w:rPr>
          <w:rFonts w:ascii="Arial" w:eastAsia="Calibri" w:hAnsi="Arial" w:cs="Arial"/>
          <w:noProof/>
          <w:sz w:val="22"/>
          <w:szCs w:val="22"/>
        </w:rPr>
        <w:t xml:space="preserve">Curcio, G. &amp; Ferrara, M. &amp;. D. G. L., 2006. Sleep Loss, Learning Capacity and Academic Performance. </w:t>
      </w:r>
      <w:r w:rsidRPr="00C63BD6">
        <w:rPr>
          <w:rFonts w:ascii="Arial" w:eastAsia="Calibri" w:hAnsi="Arial" w:cs="Arial"/>
          <w:i/>
          <w:iCs/>
          <w:noProof/>
          <w:sz w:val="22"/>
          <w:szCs w:val="22"/>
        </w:rPr>
        <w:t xml:space="preserve">Sleep Medicine Reviews, </w:t>
      </w:r>
      <w:r w:rsidRPr="00C63BD6">
        <w:rPr>
          <w:rFonts w:ascii="Arial" w:eastAsia="Calibri" w:hAnsi="Arial" w:cs="Arial"/>
          <w:noProof/>
          <w:sz w:val="22"/>
          <w:szCs w:val="22"/>
        </w:rPr>
        <w:t>Volume 10, pp. 232-337.</w:t>
      </w:r>
    </w:p>
    <w:p w14:paraId="33F72026" w14:textId="77777777" w:rsidR="00C63BD6" w:rsidRPr="00C63BD6" w:rsidRDefault="00C63BD6" w:rsidP="00C63BD6">
      <w:pPr>
        <w:spacing w:after="200" w:line="276" w:lineRule="auto"/>
        <w:jc w:val="both"/>
        <w:rPr>
          <w:rFonts w:ascii="Arial" w:eastAsia="Arial" w:hAnsi="Arial" w:cs="Arial"/>
          <w:sz w:val="22"/>
          <w:szCs w:val="22"/>
        </w:rPr>
      </w:pPr>
      <w:r w:rsidRPr="00C63BD6">
        <w:rPr>
          <w:rFonts w:ascii="Arial" w:eastAsia="Arial" w:hAnsi="Arial" w:cs="Arial"/>
          <w:sz w:val="22"/>
          <w:szCs w:val="22"/>
        </w:rPr>
        <w:t xml:space="preserve">Csikszentmihalyi, M. (1992). </w:t>
      </w:r>
      <w:r w:rsidRPr="00C63BD6">
        <w:rPr>
          <w:rFonts w:ascii="Arial" w:eastAsia="Arial" w:hAnsi="Arial" w:cs="Arial"/>
          <w:i/>
          <w:sz w:val="22"/>
          <w:szCs w:val="22"/>
        </w:rPr>
        <w:t>Flow: The psychology of happiness</w:t>
      </w:r>
      <w:r w:rsidRPr="00C63BD6">
        <w:rPr>
          <w:rFonts w:ascii="Arial" w:eastAsia="Arial" w:hAnsi="Arial" w:cs="Arial"/>
          <w:sz w:val="22"/>
          <w:szCs w:val="22"/>
        </w:rPr>
        <w:t xml:space="preserve">. London: Rider &amp; Co </w:t>
      </w:r>
    </w:p>
    <w:p w14:paraId="2A990F19" w14:textId="77777777" w:rsidR="00C63BD6" w:rsidRPr="00C63BD6" w:rsidRDefault="00C63BD6" w:rsidP="00C63BD6">
      <w:pPr>
        <w:widowControl w:val="0"/>
        <w:pBdr>
          <w:top w:val="nil"/>
          <w:left w:val="nil"/>
          <w:bottom w:val="nil"/>
          <w:right w:val="nil"/>
          <w:between w:val="nil"/>
        </w:pBdr>
        <w:spacing w:after="200" w:line="276" w:lineRule="auto"/>
        <w:jc w:val="both"/>
        <w:rPr>
          <w:rFonts w:ascii="Arial" w:eastAsia="Arial" w:hAnsi="Arial" w:cs="Arial"/>
          <w:color w:val="212121"/>
          <w:sz w:val="22"/>
          <w:szCs w:val="22"/>
          <w:lang w:eastAsia="en-GB"/>
        </w:rPr>
      </w:pPr>
      <w:r w:rsidRPr="00C63BD6">
        <w:rPr>
          <w:rFonts w:ascii="Arial" w:hAnsi="Arial" w:cs="Arial"/>
          <w:sz w:val="22"/>
          <w:szCs w:val="22"/>
        </w:rPr>
        <w:t xml:space="preserve">De Bruyckere, P., 2018. </w:t>
      </w:r>
      <w:r w:rsidRPr="00C63BD6">
        <w:rPr>
          <w:rFonts w:ascii="Arial" w:hAnsi="Arial" w:cs="Arial"/>
          <w:i/>
          <w:sz w:val="22"/>
          <w:szCs w:val="22"/>
        </w:rPr>
        <w:t xml:space="preserve">The Ingredients for Great Teaching. </w:t>
      </w:r>
      <w:r w:rsidRPr="00C63BD6">
        <w:rPr>
          <w:rFonts w:ascii="Arial" w:hAnsi="Arial" w:cs="Arial"/>
          <w:sz w:val="22"/>
          <w:szCs w:val="22"/>
        </w:rPr>
        <w:t>London: Sage Publications</w:t>
      </w:r>
    </w:p>
    <w:p w14:paraId="4CE4FBE3" w14:textId="77777777" w:rsidR="00C63BD6" w:rsidRPr="00C63BD6" w:rsidRDefault="00C63BD6" w:rsidP="00C63BD6">
      <w:pPr>
        <w:widowControl w:val="0"/>
        <w:pBdr>
          <w:top w:val="nil"/>
          <w:left w:val="nil"/>
          <w:bottom w:val="nil"/>
          <w:right w:val="nil"/>
          <w:between w:val="nil"/>
        </w:pBdr>
        <w:spacing w:after="200" w:line="276" w:lineRule="auto"/>
        <w:jc w:val="both"/>
        <w:rPr>
          <w:rFonts w:ascii="Arial" w:eastAsia="Arial" w:hAnsi="Arial" w:cs="Arial"/>
          <w:color w:val="000000"/>
          <w:sz w:val="22"/>
          <w:szCs w:val="22"/>
          <w:lang w:eastAsia="en-GB"/>
        </w:rPr>
      </w:pPr>
      <w:r w:rsidRPr="00C63BD6">
        <w:rPr>
          <w:rFonts w:ascii="Arial" w:eastAsia="Arial" w:hAnsi="Arial" w:cs="Arial"/>
          <w:color w:val="212121"/>
          <w:sz w:val="22"/>
          <w:szCs w:val="22"/>
          <w:lang w:eastAsia="en-GB"/>
        </w:rPr>
        <w:t xml:space="preserve">Deci, E. L., &amp; Ryan, R. M. (1985). </w:t>
      </w:r>
      <w:r w:rsidRPr="00C63BD6">
        <w:rPr>
          <w:rFonts w:ascii="Arial" w:eastAsia="Arial" w:hAnsi="Arial" w:cs="Arial"/>
          <w:i/>
          <w:color w:val="212121"/>
          <w:sz w:val="22"/>
          <w:szCs w:val="22"/>
          <w:lang w:eastAsia="en-GB"/>
        </w:rPr>
        <w:t>Intrinsic motivation and self-determination in human behavior</w:t>
      </w:r>
      <w:r w:rsidRPr="00C63BD6">
        <w:rPr>
          <w:rFonts w:ascii="Arial" w:eastAsia="Arial" w:hAnsi="Arial" w:cs="Arial"/>
          <w:color w:val="212121"/>
          <w:sz w:val="22"/>
          <w:szCs w:val="22"/>
          <w:lang w:eastAsia="en-GB"/>
        </w:rPr>
        <w:t xml:space="preserve"> (3rd Ed.). New York: Plenum Publishing Co. N.Y.</w:t>
      </w:r>
      <w:r w:rsidRPr="00C63BD6">
        <w:rPr>
          <w:rFonts w:ascii="Arial" w:eastAsia="Arial" w:hAnsi="Arial" w:cs="Arial"/>
          <w:color w:val="000000"/>
          <w:sz w:val="22"/>
          <w:szCs w:val="22"/>
          <w:lang w:eastAsia="en-GB"/>
        </w:rPr>
        <w:t xml:space="preserve"> </w:t>
      </w:r>
    </w:p>
    <w:p w14:paraId="07A00A16" w14:textId="77777777" w:rsidR="00C63BD6" w:rsidRPr="00C63BD6" w:rsidRDefault="00C63BD6" w:rsidP="00C63BD6">
      <w:pPr>
        <w:rPr>
          <w:rFonts w:ascii="Arial" w:hAnsi="Arial" w:cs="Arial"/>
          <w:sz w:val="22"/>
          <w:szCs w:val="22"/>
        </w:rPr>
      </w:pPr>
      <w:r w:rsidRPr="00C63BD6">
        <w:rPr>
          <w:rFonts w:ascii="Arial" w:hAnsi="Arial" w:cs="Arial"/>
          <w:sz w:val="22"/>
          <w:szCs w:val="22"/>
        </w:rPr>
        <w:t xml:space="preserve">Ecclestone, K. and Hayes, D. (2009) </w:t>
      </w:r>
      <w:r w:rsidRPr="00C63BD6">
        <w:rPr>
          <w:rFonts w:ascii="Arial" w:hAnsi="Arial" w:cs="Arial"/>
          <w:i/>
          <w:sz w:val="22"/>
          <w:szCs w:val="22"/>
        </w:rPr>
        <w:t>Changing the Subject: the Educational Implications of Developing Emotional Well-being</w:t>
      </w:r>
      <w:r w:rsidRPr="00C63BD6">
        <w:rPr>
          <w:rFonts w:ascii="Arial" w:hAnsi="Arial" w:cs="Arial"/>
          <w:sz w:val="22"/>
          <w:szCs w:val="22"/>
        </w:rPr>
        <w:t>. Oxford Review of Education 35 (3), 371–89.</w:t>
      </w:r>
    </w:p>
    <w:p w14:paraId="21AFA092" w14:textId="77777777" w:rsidR="00C63BD6" w:rsidRPr="00C63BD6" w:rsidRDefault="00C63BD6" w:rsidP="00C63BD6">
      <w:pPr>
        <w:rPr>
          <w:rFonts w:ascii="Arial" w:hAnsi="Arial" w:cs="Arial"/>
          <w:sz w:val="22"/>
          <w:szCs w:val="22"/>
        </w:rPr>
      </w:pPr>
    </w:p>
    <w:p w14:paraId="69AFCBD1" w14:textId="0A1196E9" w:rsidR="00C63BD6" w:rsidRDefault="00C63BD6" w:rsidP="00C63BD6">
      <w:pPr>
        <w:rPr>
          <w:rFonts w:ascii="Arial" w:hAnsi="Arial" w:cs="Arial"/>
          <w:sz w:val="22"/>
          <w:szCs w:val="22"/>
        </w:rPr>
      </w:pPr>
      <w:r w:rsidRPr="00C63BD6">
        <w:rPr>
          <w:rFonts w:ascii="Arial" w:hAnsi="Arial" w:cs="Arial"/>
          <w:sz w:val="22"/>
          <w:szCs w:val="22"/>
        </w:rPr>
        <w:t xml:space="preserve">Ecclestone, K. and Hayes, D. (2008) </w:t>
      </w:r>
      <w:r w:rsidRPr="00C63BD6">
        <w:rPr>
          <w:rFonts w:ascii="Arial" w:hAnsi="Arial" w:cs="Arial"/>
          <w:i/>
          <w:sz w:val="22"/>
          <w:szCs w:val="22"/>
        </w:rPr>
        <w:t>The Dangerous rise of Therapeutic Education</w:t>
      </w:r>
      <w:r w:rsidRPr="00C63BD6">
        <w:rPr>
          <w:rFonts w:ascii="Arial" w:hAnsi="Arial" w:cs="Arial"/>
          <w:sz w:val="22"/>
          <w:szCs w:val="22"/>
        </w:rPr>
        <w:t>. London: Routledge.</w:t>
      </w:r>
    </w:p>
    <w:p w14:paraId="5FD72DBA" w14:textId="13C9CC96" w:rsidR="009F4202" w:rsidRDefault="009F4202" w:rsidP="00C63BD6">
      <w:pPr>
        <w:rPr>
          <w:rFonts w:ascii="Arial" w:hAnsi="Arial" w:cs="Arial"/>
          <w:sz w:val="22"/>
          <w:szCs w:val="22"/>
        </w:rPr>
      </w:pPr>
    </w:p>
    <w:p w14:paraId="3FBA5AFA" w14:textId="15E00C57" w:rsidR="009F4202" w:rsidRPr="009F4202" w:rsidRDefault="009F4202" w:rsidP="00C63BD6">
      <w:pPr>
        <w:rPr>
          <w:rFonts w:ascii="Arial" w:hAnsi="Arial" w:cs="Arial"/>
          <w:color w:val="333333"/>
          <w:sz w:val="21"/>
          <w:szCs w:val="21"/>
          <w:shd w:val="clear" w:color="auto" w:fill="FFFFFF"/>
        </w:rPr>
      </w:pPr>
      <w:r w:rsidRPr="009F4202">
        <w:rPr>
          <w:rFonts w:ascii="Arial" w:hAnsi="Arial" w:cs="Arial"/>
          <w:sz w:val="22"/>
          <w:szCs w:val="22"/>
        </w:rPr>
        <w:t xml:space="preserve">Ergene, T. (2003). Effective Interventions on Test Anxiety Reduction: A Meta-Analysis. </w:t>
      </w:r>
      <w:r w:rsidRPr="009F4202">
        <w:rPr>
          <w:rFonts w:ascii="Arial" w:hAnsi="Arial" w:cs="Arial"/>
          <w:i/>
          <w:sz w:val="22"/>
          <w:szCs w:val="22"/>
        </w:rPr>
        <w:t>School Psychology International.</w:t>
      </w:r>
      <w:r>
        <w:rPr>
          <w:rFonts w:ascii="Arial" w:hAnsi="Arial" w:cs="Arial"/>
          <w:i/>
          <w:sz w:val="22"/>
          <w:szCs w:val="22"/>
          <w:u w:val="single"/>
        </w:rPr>
        <w:t xml:space="preserve"> </w:t>
      </w:r>
      <w:r>
        <w:rPr>
          <w:rFonts w:ascii="Arial" w:hAnsi="Arial" w:cs="Arial"/>
          <w:color w:val="333333"/>
          <w:sz w:val="21"/>
          <w:szCs w:val="21"/>
          <w:shd w:val="clear" w:color="auto" w:fill="FFFFFF"/>
        </w:rPr>
        <w:t>24(3), pp: 313-328</w:t>
      </w:r>
    </w:p>
    <w:p w14:paraId="182AF568" w14:textId="77777777" w:rsidR="00C63BD6" w:rsidRPr="00C63BD6" w:rsidRDefault="00C63BD6" w:rsidP="00C63BD6">
      <w:pPr>
        <w:rPr>
          <w:rFonts w:ascii="Arial" w:hAnsi="Arial" w:cs="Arial"/>
          <w:sz w:val="22"/>
          <w:szCs w:val="22"/>
        </w:rPr>
      </w:pPr>
    </w:p>
    <w:p w14:paraId="43156083" w14:textId="77777777" w:rsidR="00C63BD6" w:rsidRPr="00C63BD6" w:rsidRDefault="00C63BD6" w:rsidP="00C63BD6">
      <w:pPr>
        <w:ind w:right="-360"/>
        <w:rPr>
          <w:rFonts w:ascii="Arial" w:hAnsi="Arial" w:cs="Arial"/>
          <w:sz w:val="22"/>
          <w:szCs w:val="22"/>
        </w:rPr>
      </w:pPr>
      <w:r w:rsidRPr="00C63BD6">
        <w:rPr>
          <w:rFonts w:ascii="Arial" w:hAnsi="Arial" w:cs="Arial"/>
          <w:sz w:val="22"/>
          <w:szCs w:val="22"/>
        </w:rPr>
        <w:t xml:space="preserve">Evans, L. J.; Beck, A.; Burdett, M. (2017). The effect of length, duration, and intensity of psychological therapy on CORE global distress scores. </w:t>
      </w:r>
      <w:r w:rsidRPr="00C63BD6">
        <w:rPr>
          <w:rFonts w:ascii="Arial" w:hAnsi="Arial" w:cs="Arial"/>
          <w:i/>
          <w:sz w:val="22"/>
          <w:szCs w:val="22"/>
        </w:rPr>
        <w:t>Psychology &amp; Psychotherapy: Theory, Research &amp; Practice</w:t>
      </w:r>
      <w:r w:rsidRPr="00C63BD6">
        <w:rPr>
          <w:rFonts w:ascii="Arial" w:hAnsi="Arial" w:cs="Arial"/>
          <w:sz w:val="22"/>
          <w:szCs w:val="22"/>
        </w:rPr>
        <w:t xml:space="preserve"> Sep2017; 90(3): 389-400 </w:t>
      </w:r>
      <w:hyperlink r:id="rId14" w:history="1">
        <w:r w:rsidRPr="00C63BD6">
          <w:rPr>
            <w:rFonts w:ascii="Arial" w:hAnsi="Arial" w:cs="Arial"/>
            <w:color w:val="0000FF"/>
            <w:sz w:val="22"/>
            <w:szCs w:val="22"/>
            <w:u w:val="single"/>
          </w:rPr>
          <w:t>http://dx.doi.org.ezproxy.derby.ac.uk/10.1111/papt.12120</w:t>
        </w:r>
      </w:hyperlink>
    </w:p>
    <w:p w14:paraId="2624513E" w14:textId="77777777" w:rsidR="00C63BD6" w:rsidRPr="00C63BD6" w:rsidRDefault="00C63BD6" w:rsidP="00C63BD6">
      <w:pPr>
        <w:rPr>
          <w:rFonts w:ascii="Arial" w:hAnsi="Arial" w:cs="Arial"/>
          <w:sz w:val="22"/>
          <w:szCs w:val="22"/>
        </w:rPr>
      </w:pPr>
    </w:p>
    <w:p w14:paraId="5A4D6E38" w14:textId="77777777" w:rsidR="00C63BD6" w:rsidRPr="00C63BD6" w:rsidRDefault="00C63BD6" w:rsidP="00C63BD6">
      <w:pPr>
        <w:spacing w:after="160" w:line="259" w:lineRule="auto"/>
        <w:rPr>
          <w:rFonts w:ascii="Arial" w:eastAsia="Calibri" w:hAnsi="Arial" w:cs="Arial"/>
          <w:noProof/>
          <w:sz w:val="22"/>
          <w:szCs w:val="22"/>
        </w:rPr>
      </w:pPr>
      <w:r w:rsidRPr="00C63BD6">
        <w:rPr>
          <w:rFonts w:ascii="Arial" w:eastAsia="Calibri" w:hAnsi="Arial" w:cs="Arial"/>
          <w:noProof/>
          <w:sz w:val="22"/>
          <w:szCs w:val="22"/>
        </w:rPr>
        <w:t xml:space="preserve">Florence MD, </w:t>
      </w:r>
      <w:r w:rsidRPr="00C63BD6">
        <w:rPr>
          <w:rFonts w:ascii="Arial" w:eastAsia="Calibri" w:hAnsi="Arial" w:cs="Arial"/>
          <w:bCs/>
          <w:noProof/>
          <w:sz w:val="22"/>
          <w:szCs w:val="22"/>
        </w:rPr>
        <w:t>Asbridge</w:t>
      </w:r>
      <w:r>
        <w:rPr>
          <w:rFonts w:ascii="Arial" w:eastAsia="Calibri" w:hAnsi="Arial" w:cs="Arial"/>
          <w:bCs/>
          <w:noProof/>
          <w:sz w:val="22"/>
          <w:szCs w:val="22"/>
        </w:rPr>
        <w:t>,</w:t>
      </w:r>
      <w:r w:rsidRPr="00C63BD6">
        <w:rPr>
          <w:rFonts w:ascii="Arial" w:eastAsia="Calibri" w:hAnsi="Arial" w:cs="Arial"/>
          <w:bCs/>
          <w:noProof/>
          <w:sz w:val="22"/>
          <w:szCs w:val="22"/>
        </w:rPr>
        <w:t xml:space="preserve"> M, Veugelers PJ</w:t>
      </w:r>
      <w:r w:rsidRPr="00C63BD6">
        <w:rPr>
          <w:rFonts w:ascii="Arial" w:eastAsia="Calibri" w:hAnsi="Arial" w:cs="Arial"/>
          <w:noProof/>
          <w:sz w:val="22"/>
          <w:szCs w:val="22"/>
        </w:rPr>
        <w:t xml:space="preserve">., 2008. Diet quality and academic performance.. </w:t>
      </w:r>
      <w:r w:rsidRPr="00C63BD6">
        <w:rPr>
          <w:rFonts w:ascii="Arial" w:eastAsia="Calibri" w:hAnsi="Arial" w:cs="Arial"/>
          <w:i/>
          <w:iCs/>
          <w:noProof/>
          <w:sz w:val="22"/>
          <w:szCs w:val="22"/>
        </w:rPr>
        <w:t xml:space="preserve">The Journal of School Health, </w:t>
      </w:r>
      <w:r w:rsidRPr="00C63BD6">
        <w:rPr>
          <w:rFonts w:ascii="Arial" w:eastAsia="Calibri" w:hAnsi="Arial" w:cs="Arial"/>
          <w:noProof/>
          <w:sz w:val="22"/>
          <w:szCs w:val="22"/>
        </w:rPr>
        <w:t>78(4), pp. 209-215.</w:t>
      </w:r>
    </w:p>
    <w:p w14:paraId="678A4B1C" w14:textId="77777777" w:rsidR="00C63BD6" w:rsidRPr="00C63BD6" w:rsidRDefault="00C63BD6" w:rsidP="00C63BD6">
      <w:pPr>
        <w:rPr>
          <w:rFonts w:ascii="Arial" w:hAnsi="Arial" w:cs="Arial"/>
          <w:sz w:val="22"/>
          <w:szCs w:val="22"/>
        </w:rPr>
      </w:pPr>
      <w:r w:rsidRPr="00C63BD6">
        <w:rPr>
          <w:rFonts w:ascii="Arial" w:hAnsi="Arial" w:cs="Arial"/>
          <w:sz w:val="22"/>
          <w:szCs w:val="22"/>
        </w:rPr>
        <w:t xml:space="preserve">Furedi, F. (2003). </w:t>
      </w:r>
      <w:r w:rsidRPr="00C63BD6">
        <w:rPr>
          <w:rFonts w:ascii="Arial" w:hAnsi="Arial" w:cs="Arial"/>
          <w:i/>
          <w:sz w:val="22"/>
          <w:szCs w:val="22"/>
        </w:rPr>
        <w:t xml:space="preserve">Therapy Culture: Cultivating Vulnerability in an Uncertain Age. </w:t>
      </w:r>
      <w:r w:rsidRPr="00C63BD6">
        <w:rPr>
          <w:rFonts w:ascii="Arial" w:hAnsi="Arial" w:cs="Arial"/>
          <w:sz w:val="22"/>
          <w:szCs w:val="22"/>
        </w:rPr>
        <w:t>London:</w:t>
      </w:r>
      <w:r w:rsidRPr="00C63BD6">
        <w:rPr>
          <w:rFonts w:ascii="Arial" w:hAnsi="Arial" w:cs="Arial"/>
          <w:i/>
          <w:sz w:val="22"/>
          <w:szCs w:val="22"/>
        </w:rPr>
        <w:t xml:space="preserve"> </w:t>
      </w:r>
      <w:r w:rsidRPr="00C63BD6">
        <w:rPr>
          <w:rFonts w:ascii="Arial" w:hAnsi="Arial" w:cs="Arial"/>
          <w:sz w:val="22"/>
          <w:szCs w:val="22"/>
        </w:rPr>
        <w:t>Routledge</w:t>
      </w:r>
    </w:p>
    <w:p w14:paraId="3F70592C" w14:textId="77777777" w:rsidR="00C63BD6" w:rsidRPr="00C63BD6" w:rsidRDefault="00C63BD6" w:rsidP="00C63BD6">
      <w:pPr>
        <w:rPr>
          <w:rFonts w:ascii="Arial" w:hAnsi="Arial" w:cs="Arial"/>
          <w:sz w:val="22"/>
          <w:szCs w:val="22"/>
        </w:rPr>
      </w:pPr>
    </w:p>
    <w:p w14:paraId="5419CB51" w14:textId="77777777" w:rsidR="00C63BD6" w:rsidRPr="00C63BD6" w:rsidRDefault="00C63BD6" w:rsidP="00C63BD6">
      <w:pPr>
        <w:rPr>
          <w:rFonts w:ascii="Arial" w:hAnsi="Arial" w:cs="Arial"/>
          <w:sz w:val="22"/>
          <w:szCs w:val="22"/>
        </w:rPr>
      </w:pPr>
      <w:r w:rsidRPr="00C63BD6">
        <w:rPr>
          <w:rFonts w:ascii="Arial" w:hAnsi="Arial" w:cs="Arial"/>
          <w:sz w:val="22"/>
          <w:szCs w:val="22"/>
        </w:rPr>
        <w:t xml:space="preserve">Greatrix, P. (2018). Academics and administrators: No more ‘us and them’. </w:t>
      </w:r>
      <w:r w:rsidRPr="00C63BD6">
        <w:rPr>
          <w:rFonts w:ascii="Arial" w:hAnsi="Arial" w:cs="Arial"/>
          <w:i/>
          <w:sz w:val="22"/>
          <w:szCs w:val="22"/>
        </w:rPr>
        <w:t xml:space="preserve">WonkHE: available at </w:t>
      </w:r>
      <w:hyperlink r:id="rId15" w:history="1">
        <w:r w:rsidRPr="00C63BD6">
          <w:rPr>
            <w:rFonts w:ascii="Arial" w:hAnsi="Arial" w:cs="Arial"/>
            <w:i/>
            <w:color w:val="0000FF"/>
            <w:sz w:val="22"/>
            <w:szCs w:val="22"/>
            <w:u w:val="single"/>
          </w:rPr>
          <w:t>https://wonkhe.com/blogs/academics-and-administrators-no-more-us-and-them/</w:t>
        </w:r>
      </w:hyperlink>
      <w:r w:rsidRPr="00C63BD6">
        <w:rPr>
          <w:rFonts w:ascii="Arial" w:hAnsi="Arial" w:cs="Arial"/>
          <w:i/>
          <w:sz w:val="22"/>
          <w:szCs w:val="22"/>
        </w:rPr>
        <w:t xml:space="preserve"> </w:t>
      </w:r>
      <w:r w:rsidRPr="00C63BD6">
        <w:rPr>
          <w:rFonts w:ascii="Arial" w:hAnsi="Arial" w:cs="Arial"/>
          <w:sz w:val="22"/>
          <w:szCs w:val="22"/>
        </w:rPr>
        <w:t>[Accessed 10 May 2019]</w:t>
      </w:r>
    </w:p>
    <w:p w14:paraId="7C99D690" w14:textId="4C132D1B" w:rsidR="00C63BD6" w:rsidRDefault="00C63BD6" w:rsidP="00C63BD6">
      <w:pPr>
        <w:rPr>
          <w:rFonts w:ascii="Arial" w:hAnsi="Arial" w:cs="Arial"/>
          <w:sz w:val="22"/>
          <w:szCs w:val="22"/>
        </w:rPr>
      </w:pPr>
    </w:p>
    <w:p w14:paraId="16B65175" w14:textId="194F4675" w:rsidR="00833918" w:rsidRDefault="00833918" w:rsidP="00C63BD6">
      <w:pPr>
        <w:rPr>
          <w:rFonts w:ascii="Arial" w:hAnsi="Arial" w:cs="Arial"/>
          <w:sz w:val="22"/>
          <w:szCs w:val="22"/>
        </w:rPr>
      </w:pPr>
      <w:r w:rsidRPr="00833918">
        <w:rPr>
          <w:rFonts w:ascii="Arial" w:hAnsi="Arial" w:cs="Arial"/>
          <w:sz w:val="22"/>
          <w:szCs w:val="22"/>
        </w:rPr>
        <w:t>H</w:t>
      </w:r>
      <w:r>
        <w:rPr>
          <w:rFonts w:ascii="Arial" w:hAnsi="Arial" w:cs="Arial"/>
          <w:sz w:val="22"/>
          <w:szCs w:val="22"/>
        </w:rPr>
        <w:t>aggis</w:t>
      </w:r>
      <w:r w:rsidRPr="00833918">
        <w:rPr>
          <w:rFonts w:ascii="Arial" w:hAnsi="Arial" w:cs="Arial"/>
          <w:sz w:val="22"/>
          <w:szCs w:val="22"/>
        </w:rPr>
        <w:t>, T. (2003), Constructing Images of Ourselves? A Critical Investigation into ‘Approaches to Learning’ Research in Higher Education. British Educational Research Journal, 29: 89-104. doi:</w:t>
      </w:r>
      <w:hyperlink r:id="rId16" w:history="1">
        <w:r w:rsidRPr="00833918">
          <w:rPr>
            <w:rStyle w:val="Hyperlink"/>
            <w:rFonts w:ascii="Arial" w:hAnsi="Arial" w:cs="Arial"/>
            <w:sz w:val="22"/>
            <w:szCs w:val="22"/>
          </w:rPr>
          <w:t>10.1080/0141192032000057401</w:t>
        </w:r>
      </w:hyperlink>
    </w:p>
    <w:p w14:paraId="0734910E" w14:textId="77777777" w:rsidR="00833918" w:rsidRPr="00C63BD6" w:rsidRDefault="00833918" w:rsidP="00C63BD6">
      <w:pPr>
        <w:rPr>
          <w:rFonts w:ascii="Arial" w:hAnsi="Arial" w:cs="Arial"/>
          <w:sz w:val="22"/>
          <w:szCs w:val="22"/>
        </w:rPr>
      </w:pPr>
    </w:p>
    <w:p w14:paraId="34C940FC" w14:textId="77777777" w:rsidR="00C63BD6" w:rsidRPr="00C63BD6" w:rsidRDefault="00C63BD6" w:rsidP="00C63BD6">
      <w:pPr>
        <w:rPr>
          <w:rFonts w:ascii="Arial" w:hAnsi="Arial" w:cs="Arial"/>
          <w:sz w:val="22"/>
          <w:szCs w:val="22"/>
        </w:rPr>
      </w:pPr>
      <w:r w:rsidRPr="00C63BD6">
        <w:rPr>
          <w:rFonts w:ascii="Arial" w:hAnsi="Arial" w:cs="Arial"/>
          <w:sz w:val="22"/>
          <w:szCs w:val="22"/>
        </w:rPr>
        <w:t xml:space="preserve">Hewitt, R. (2019). </w:t>
      </w:r>
      <w:r w:rsidRPr="00C63BD6">
        <w:rPr>
          <w:rFonts w:ascii="Arial" w:hAnsi="Arial" w:cs="Arial"/>
          <w:i/>
          <w:sz w:val="22"/>
          <w:szCs w:val="22"/>
        </w:rPr>
        <w:t xml:space="preserve">Measuring well-being in higher education, HEPI Policy note 13. </w:t>
      </w:r>
      <w:r w:rsidRPr="00C63BD6">
        <w:rPr>
          <w:rFonts w:ascii="Arial" w:hAnsi="Arial" w:cs="Arial"/>
          <w:sz w:val="22"/>
          <w:szCs w:val="22"/>
        </w:rPr>
        <w:t>HEPI</w:t>
      </w:r>
      <w:r w:rsidRPr="00C63BD6">
        <w:rPr>
          <w:rFonts w:ascii="Arial" w:hAnsi="Arial" w:cs="Arial"/>
          <w:i/>
          <w:sz w:val="22"/>
          <w:szCs w:val="22"/>
        </w:rPr>
        <w:t xml:space="preserve"> </w:t>
      </w:r>
      <w:r w:rsidRPr="00C63BD6">
        <w:rPr>
          <w:rFonts w:ascii="Arial" w:hAnsi="Arial" w:cs="Arial"/>
          <w:sz w:val="22"/>
          <w:szCs w:val="22"/>
        </w:rPr>
        <w:t xml:space="preserve">available at: </w:t>
      </w:r>
      <w:hyperlink r:id="rId17" w:history="1">
        <w:r w:rsidRPr="00C63BD6">
          <w:rPr>
            <w:rFonts w:ascii="Arial" w:hAnsi="Arial" w:cs="Arial"/>
            <w:color w:val="0000FF"/>
            <w:sz w:val="22"/>
            <w:szCs w:val="22"/>
            <w:u w:val="single"/>
          </w:rPr>
          <w:t>https://www.hepi.ac.uk/wp-content/uploads/2019/05/Policy-Note-13-Paper-May-2019-Measuring-well-being-in-higher-education-8-Pages-5.pdf</w:t>
        </w:r>
      </w:hyperlink>
      <w:r w:rsidRPr="00C63BD6">
        <w:rPr>
          <w:rFonts w:ascii="Arial" w:hAnsi="Arial" w:cs="Arial"/>
          <w:sz w:val="22"/>
          <w:szCs w:val="22"/>
        </w:rPr>
        <w:t xml:space="preserve"> [Accessed May 10, 2019]</w:t>
      </w:r>
    </w:p>
    <w:p w14:paraId="27CEC1F7" w14:textId="77777777" w:rsidR="00C63BD6" w:rsidRPr="00C63BD6" w:rsidRDefault="00C63BD6" w:rsidP="00C63BD6">
      <w:pPr>
        <w:rPr>
          <w:rFonts w:ascii="Arial" w:hAnsi="Arial" w:cs="Arial"/>
          <w:sz w:val="22"/>
          <w:szCs w:val="22"/>
        </w:rPr>
      </w:pPr>
    </w:p>
    <w:p w14:paraId="41F3DFF8" w14:textId="77777777" w:rsidR="00C63BD6" w:rsidRPr="00C63BD6" w:rsidRDefault="00C63BD6" w:rsidP="00C63BD6">
      <w:pPr>
        <w:rPr>
          <w:rFonts w:ascii="Arial" w:hAnsi="Arial" w:cs="Arial"/>
          <w:sz w:val="22"/>
          <w:szCs w:val="22"/>
        </w:rPr>
      </w:pPr>
      <w:r w:rsidRPr="00C63BD6">
        <w:rPr>
          <w:rFonts w:ascii="Arial" w:hAnsi="Arial" w:cs="Arial"/>
          <w:sz w:val="22"/>
          <w:szCs w:val="22"/>
        </w:rPr>
        <w:t xml:space="preserve">Houghton, A-M. &amp; Anderson, J. (2017) </w:t>
      </w:r>
      <w:r w:rsidRPr="00C63BD6">
        <w:rPr>
          <w:rFonts w:ascii="Arial" w:hAnsi="Arial" w:cs="Arial"/>
          <w:i/>
          <w:sz w:val="22"/>
          <w:szCs w:val="22"/>
        </w:rPr>
        <w:t xml:space="preserve">Embedding mental wellbeing in the curriculum: maximising success in higher education. York: </w:t>
      </w:r>
      <w:r w:rsidRPr="00C63BD6">
        <w:rPr>
          <w:rFonts w:ascii="Arial" w:hAnsi="Arial" w:cs="Arial"/>
          <w:sz w:val="22"/>
          <w:szCs w:val="22"/>
        </w:rPr>
        <w:t>Higher Education Academy</w:t>
      </w:r>
    </w:p>
    <w:p w14:paraId="43E4129F" w14:textId="77777777" w:rsidR="00C63BD6" w:rsidRPr="00C63BD6" w:rsidRDefault="00C63BD6" w:rsidP="00C63BD6">
      <w:pPr>
        <w:rPr>
          <w:rFonts w:ascii="Arial" w:hAnsi="Arial" w:cs="Arial"/>
          <w:i/>
          <w:sz w:val="22"/>
          <w:szCs w:val="22"/>
        </w:rPr>
      </w:pPr>
    </w:p>
    <w:p w14:paraId="1FAB3C53" w14:textId="77777777" w:rsidR="00C63BD6" w:rsidRPr="00C63BD6" w:rsidRDefault="00C63BD6" w:rsidP="00C63BD6">
      <w:pPr>
        <w:rPr>
          <w:rFonts w:ascii="Arial" w:hAnsi="Arial" w:cs="Arial"/>
          <w:color w:val="494A4C"/>
          <w:sz w:val="22"/>
          <w:szCs w:val="22"/>
          <w:shd w:val="clear" w:color="auto" w:fill="FFFFFF"/>
        </w:rPr>
      </w:pPr>
      <w:r w:rsidRPr="00C63BD6">
        <w:rPr>
          <w:rFonts w:ascii="Arial" w:hAnsi="Arial" w:cs="Arial"/>
          <w:color w:val="000000"/>
          <w:sz w:val="22"/>
          <w:szCs w:val="22"/>
          <w:shd w:val="clear" w:color="auto" w:fill="FFFFFF"/>
        </w:rPr>
        <w:t xml:space="preserve">Hughes, G., Panjwani, M., Tulcidas, P., Byrom, N. (2018). </w:t>
      </w:r>
      <w:r w:rsidRPr="00C63BD6">
        <w:rPr>
          <w:rFonts w:ascii="Arial" w:hAnsi="Arial" w:cs="Arial"/>
          <w:i/>
          <w:color w:val="000000"/>
          <w:sz w:val="22"/>
          <w:szCs w:val="22"/>
          <w:shd w:val="clear" w:color="auto" w:fill="FFFFFF"/>
        </w:rPr>
        <w:t xml:space="preserve">Student mental health: The role and responsibilities of academics </w:t>
      </w:r>
      <w:r w:rsidRPr="00C63BD6">
        <w:rPr>
          <w:rFonts w:ascii="Arial" w:hAnsi="Arial" w:cs="Arial"/>
          <w:color w:val="000000"/>
          <w:sz w:val="22"/>
          <w:szCs w:val="22"/>
          <w:shd w:val="clear" w:color="auto" w:fill="FFFFFF"/>
        </w:rPr>
        <w:t xml:space="preserve">(Rep). Oxford: Student Minds. </w:t>
      </w:r>
      <w:hyperlink r:id="rId18" w:history="1">
        <w:r w:rsidRPr="00C63BD6">
          <w:rPr>
            <w:rFonts w:ascii="Arial" w:hAnsi="Arial" w:cs="Arial"/>
            <w:color w:val="0000FF"/>
            <w:sz w:val="22"/>
            <w:szCs w:val="22"/>
            <w:u w:val="single"/>
            <w:shd w:val="clear" w:color="auto" w:fill="FFFFFF"/>
          </w:rPr>
          <w:t>http://www.studentminds.org.uk/uploads/3/7/8/4/3784584/180129_student_mental_health__the_role_and_experience_of_academics__student_minds_pdf.pdf</w:t>
        </w:r>
      </w:hyperlink>
    </w:p>
    <w:p w14:paraId="0735F879" w14:textId="77777777" w:rsidR="00C63BD6" w:rsidRPr="00C63BD6" w:rsidRDefault="00C63BD6" w:rsidP="00C63BD6">
      <w:pPr>
        <w:rPr>
          <w:rFonts w:ascii="Arial" w:hAnsi="Arial" w:cs="Arial"/>
          <w:sz w:val="22"/>
          <w:szCs w:val="22"/>
        </w:rPr>
      </w:pPr>
    </w:p>
    <w:p w14:paraId="3C89F5E6" w14:textId="77777777" w:rsidR="00C63BD6" w:rsidRPr="00C63BD6" w:rsidRDefault="00C63BD6" w:rsidP="00C63BD6">
      <w:pPr>
        <w:rPr>
          <w:rFonts w:ascii="Arial" w:hAnsi="Arial" w:cs="Arial"/>
          <w:sz w:val="22"/>
          <w:szCs w:val="22"/>
        </w:rPr>
      </w:pPr>
      <w:r w:rsidRPr="00C63BD6">
        <w:rPr>
          <w:rFonts w:ascii="Arial" w:hAnsi="Arial" w:cs="Arial"/>
          <w:sz w:val="22"/>
          <w:szCs w:val="22"/>
        </w:rPr>
        <w:t>Hughes, G. J. &amp; Byrom, N. C. (2019), Managing student mental health: The challenges faced by academics on professional healthcare courses</w:t>
      </w:r>
    </w:p>
    <w:p w14:paraId="13AB5E63" w14:textId="77777777" w:rsidR="00C63BD6" w:rsidRDefault="00C63BD6" w:rsidP="00C63BD6">
      <w:pPr>
        <w:rPr>
          <w:rFonts w:ascii="Arial" w:hAnsi="Arial" w:cs="Arial"/>
          <w:color w:val="1C1D1E"/>
          <w:sz w:val="22"/>
          <w:szCs w:val="22"/>
        </w:rPr>
      </w:pPr>
      <w:r w:rsidRPr="00C63BD6">
        <w:rPr>
          <w:rFonts w:ascii="Arial" w:hAnsi="Arial" w:cs="Arial"/>
          <w:i/>
          <w:sz w:val="22"/>
          <w:szCs w:val="22"/>
        </w:rPr>
        <w:t>Journal of Advanced Nursing</w:t>
      </w:r>
      <w:r w:rsidRPr="00C63BD6">
        <w:rPr>
          <w:rFonts w:ascii="Arial" w:hAnsi="Arial" w:cs="Arial"/>
          <w:sz w:val="22"/>
          <w:szCs w:val="22"/>
        </w:rPr>
        <w:t>.</w:t>
      </w:r>
      <w:r w:rsidRPr="00C63BD6">
        <w:rPr>
          <w:rFonts w:ascii="Arial" w:hAnsi="Arial" w:cs="Arial"/>
          <w:color w:val="1C1D1E"/>
          <w:sz w:val="22"/>
          <w:szCs w:val="22"/>
        </w:rPr>
        <w:t xml:space="preserve"> 00: 1– 10. </w:t>
      </w:r>
      <w:hyperlink r:id="rId19" w:history="1">
        <w:r w:rsidRPr="00C63BD6">
          <w:rPr>
            <w:rFonts w:ascii="Arial" w:hAnsi="Arial" w:cs="Arial"/>
            <w:color w:val="1C1D1E"/>
            <w:sz w:val="22"/>
            <w:szCs w:val="22"/>
          </w:rPr>
          <w:t>https://doi.org/10.1111/jan.13989</w:t>
        </w:r>
      </w:hyperlink>
    </w:p>
    <w:p w14:paraId="3050A9AC" w14:textId="77777777" w:rsidR="0033376D" w:rsidRDefault="0033376D" w:rsidP="00C63BD6">
      <w:pPr>
        <w:rPr>
          <w:rFonts w:ascii="Arial" w:hAnsi="Arial" w:cs="Arial"/>
          <w:color w:val="1C1D1E"/>
          <w:sz w:val="22"/>
          <w:szCs w:val="22"/>
        </w:rPr>
      </w:pPr>
    </w:p>
    <w:p w14:paraId="2189FDAF" w14:textId="77777777" w:rsidR="00C63BD6" w:rsidRPr="0033376D" w:rsidRDefault="0033376D" w:rsidP="0033376D">
      <w:pPr>
        <w:widowControl w:val="0"/>
        <w:pBdr>
          <w:top w:val="nil"/>
          <w:left w:val="nil"/>
          <w:bottom w:val="nil"/>
          <w:right w:val="nil"/>
          <w:between w:val="nil"/>
        </w:pBdr>
        <w:spacing w:after="200" w:line="276" w:lineRule="auto"/>
        <w:jc w:val="both"/>
        <w:rPr>
          <w:rFonts w:ascii="Arial" w:hAnsi="Arial" w:cs="Arial"/>
          <w:sz w:val="22"/>
          <w:szCs w:val="22"/>
        </w:rPr>
      </w:pPr>
      <w:r w:rsidRPr="0033376D">
        <w:rPr>
          <w:rFonts w:ascii="Arial" w:eastAsia="Arial" w:hAnsi="Arial" w:cs="Arial"/>
          <w:color w:val="000000"/>
          <w:sz w:val="22"/>
          <w:szCs w:val="22"/>
          <w:lang w:eastAsia="en-GB"/>
        </w:rPr>
        <w:t xml:space="preserve">Hughes, G. and Wilson, C. (2017) From transcendence to general maintenance: Exploring the creativity and wellbeing dynamic in higher education, in Reisman. F ed. </w:t>
      </w:r>
      <w:r w:rsidRPr="0033376D">
        <w:rPr>
          <w:rFonts w:ascii="Arial" w:eastAsia="Arial" w:hAnsi="Arial" w:cs="Arial"/>
          <w:i/>
          <w:color w:val="000000"/>
          <w:sz w:val="22"/>
          <w:szCs w:val="22"/>
          <w:lang w:eastAsia="en-GB"/>
        </w:rPr>
        <w:t>Creativity, Innovation and Wellbeing</w:t>
      </w:r>
      <w:r w:rsidRPr="0033376D">
        <w:rPr>
          <w:rFonts w:ascii="Arial" w:eastAsia="Arial" w:hAnsi="Arial" w:cs="Arial"/>
          <w:color w:val="000000"/>
          <w:sz w:val="22"/>
          <w:szCs w:val="22"/>
          <w:lang w:eastAsia="en-GB"/>
        </w:rPr>
        <w:t>. KIE Conference Publications: London. p. 23-65.</w:t>
      </w:r>
    </w:p>
    <w:p w14:paraId="45D5E004" w14:textId="77777777" w:rsidR="00C63BD6" w:rsidRPr="00C63BD6" w:rsidRDefault="00C63BD6" w:rsidP="00C63BD6">
      <w:pPr>
        <w:rPr>
          <w:rFonts w:ascii="Arial" w:hAnsi="Arial" w:cs="Arial"/>
          <w:sz w:val="22"/>
          <w:szCs w:val="22"/>
        </w:rPr>
      </w:pPr>
      <w:r w:rsidRPr="00C63BD6">
        <w:rPr>
          <w:rFonts w:ascii="Arial" w:hAnsi="Arial" w:cs="Arial"/>
          <w:sz w:val="22"/>
          <w:szCs w:val="22"/>
        </w:rPr>
        <w:t>Hunt, J., &amp; Eisenberg, D. (2010). Mental health problems and help-seeking behavior among college students. J Adolesc Health, 46(1), 3-10. doi: 10.1016/j.jadohealth.2009.08.008</w:t>
      </w:r>
    </w:p>
    <w:p w14:paraId="38FFD132" w14:textId="77777777" w:rsidR="00C63BD6" w:rsidRPr="00C63BD6" w:rsidRDefault="00C63BD6" w:rsidP="00C63BD6">
      <w:pPr>
        <w:rPr>
          <w:rFonts w:ascii="Arial" w:hAnsi="Arial" w:cs="Arial"/>
          <w:sz w:val="22"/>
          <w:szCs w:val="22"/>
        </w:rPr>
      </w:pPr>
    </w:p>
    <w:p w14:paraId="4909398A" w14:textId="77777777" w:rsidR="00C63BD6" w:rsidRPr="00C63BD6" w:rsidRDefault="00C63BD6" w:rsidP="00C63BD6">
      <w:pPr>
        <w:ind w:right="-360"/>
        <w:rPr>
          <w:rFonts w:ascii="Arial" w:hAnsi="Arial" w:cs="Arial"/>
          <w:sz w:val="22"/>
          <w:szCs w:val="22"/>
          <w:u w:val="single"/>
        </w:rPr>
      </w:pPr>
      <w:r w:rsidRPr="00C63BD6">
        <w:rPr>
          <w:rFonts w:ascii="Arial" w:hAnsi="Arial" w:cs="Arial"/>
          <w:sz w:val="22"/>
          <w:szCs w:val="22"/>
        </w:rPr>
        <w:t xml:space="preserve">Jacobs, M. (1979), Counselling Within a Student Health Service. In ed. Wilkinson, A. </w:t>
      </w:r>
      <w:r w:rsidRPr="00C63BD6">
        <w:rPr>
          <w:rFonts w:ascii="Arial" w:hAnsi="Arial" w:cs="Arial"/>
          <w:i/>
          <w:sz w:val="22"/>
          <w:szCs w:val="22"/>
        </w:rPr>
        <w:t xml:space="preserve">Student Health Practice. </w:t>
      </w:r>
      <w:r w:rsidRPr="00C63BD6">
        <w:rPr>
          <w:rFonts w:ascii="Arial" w:hAnsi="Arial" w:cs="Arial"/>
          <w:sz w:val="22"/>
          <w:szCs w:val="22"/>
        </w:rPr>
        <w:t>Tunbridge Wells: Pitman Medical Publishing Company Ltd.</w:t>
      </w:r>
    </w:p>
    <w:p w14:paraId="01F13CD3" w14:textId="77777777" w:rsidR="00C63BD6" w:rsidRPr="00C63BD6" w:rsidRDefault="00C63BD6" w:rsidP="00C63BD6">
      <w:pPr>
        <w:spacing w:before="100" w:beforeAutospacing="1" w:after="100" w:afterAutospacing="1"/>
        <w:rPr>
          <w:rFonts w:ascii="Arial" w:hAnsi="Arial" w:cs="Arial"/>
          <w:sz w:val="22"/>
          <w:szCs w:val="22"/>
          <w:lang w:eastAsia="en-GB"/>
        </w:rPr>
      </w:pPr>
      <w:r w:rsidRPr="00C63BD6">
        <w:rPr>
          <w:rFonts w:ascii="Arial" w:hAnsi="Arial" w:cs="Arial"/>
          <w:sz w:val="22"/>
          <w:szCs w:val="22"/>
          <w:lang w:eastAsia="en-GB"/>
        </w:rPr>
        <w:t xml:space="preserve">Kift, S., 2009. </w:t>
      </w:r>
      <w:r w:rsidRPr="00C63BD6">
        <w:rPr>
          <w:rFonts w:ascii="Arial" w:hAnsi="Arial" w:cs="Arial"/>
          <w:i/>
          <w:iCs/>
          <w:sz w:val="22"/>
          <w:szCs w:val="22"/>
          <w:lang w:eastAsia="en-GB"/>
        </w:rPr>
        <w:t xml:space="preserve">Articulating a Transition Pedagogy. </w:t>
      </w:r>
      <w:r w:rsidRPr="00C63BD6">
        <w:rPr>
          <w:rFonts w:ascii="Arial" w:hAnsi="Arial" w:cs="Arial"/>
          <w:sz w:val="22"/>
          <w:szCs w:val="22"/>
          <w:lang w:eastAsia="en-GB"/>
        </w:rPr>
        <w:t xml:space="preserve">Queensland: Australian Learning and Teaching Council. </w:t>
      </w:r>
    </w:p>
    <w:p w14:paraId="1EB72E64" w14:textId="77777777" w:rsidR="00C63BD6" w:rsidRPr="00C63BD6" w:rsidRDefault="00C63BD6" w:rsidP="00C63BD6">
      <w:pPr>
        <w:spacing w:before="100" w:beforeAutospacing="1" w:after="100" w:afterAutospacing="1"/>
        <w:rPr>
          <w:rFonts w:ascii="Arial" w:hAnsi="Arial" w:cs="Arial"/>
          <w:sz w:val="22"/>
          <w:szCs w:val="22"/>
          <w:lang w:eastAsia="en-GB"/>
        </w:rPr>
      </w:pPr>
      <w:r w:rsidRPr="00C63BD6">
        <w:rPr>
          <w:rFonts w:ascii="Arial" w:hAnsi="Arial" w:cs="Arial"/>
          <w:sz w:val="22"/>
          <w:szCs w:val="22"/>
          <w:lang w:eastAsia="en-GB"/>
        </w:rPr>
        <w:t xml:space="preserve">Kift, S. M., Nelson, K., Clark, J.A., 2010. Transition Pedagogy: A third generation approach to FYE: a case study of policy and practice for the higher education sector. </w:t>
      </w:r>
      <w:r w:rsidRPr="00C63BD6">
        <w:rPr>
          <w:rFonts w:ascii="Arial" w:hAnsi="Arial" w:cs="Arial"/>
          <w:i/>
          <w:iCs/>
          <w:sz w:val="22"/>
          <w:szCs w:val="22"/>
          <w:lang w:eastAsia="en-GB"/>
        </w:rPr>
        <w:t xml:space="preserve">The International Journal of the First Year in Higher Education, </w:t>
      </w:r>
      <w:r w:rsidRPr="00C63BD6">
        <w:rPr>
          <w:rFonts w:ascii="Arial" w:hAnsi="Arial" w:cs="Arial"/>
          <w:b/>
          <w:bCs/>
          <w:sz w:val="22"/>
          <w:szCs w:val="22"/>
          <w:lang w:eastAsia="en-GB"/>
        </w:rPr>
        <w:t>1</w:t>
      </w:r>
      <w:r w:rsidRPr="00C63BD6">
        <w:rPr>
          <w:rFonts w:ascii="Arial" w:hAnsi="Arial" w:cs="Arial"/>
          <w:sz w:val="22"/>
          <w:szCs w:val="22"/>
          <w:lang w:eastAsia="en-GB"/>
        </w:rPr>
        <w:t>(1) pp 1-20</w:t>
      </w:r>
    </w:p>
    <w:p w14:paraId="747B6D99" w14:textId="77777777" w:rsidR="00C63BD6" w:rsidRPr="00C63BD6" w:rsidRDefault="00C63BD6" w:rsidP="00C63BD6">
      <w:pPr>
        <w:rPr>
          <w:rFonts w:ascii="Arial" w:hAnsi="Arial" w:cs="Arial"/>
          <w:sz w:val="22"/>
          <w:szCs w:val="22"/>
        </w:rPr>
      </w:pPr>
      <w:r w:rsidRPr="00C63BD6">
        <w:rPr>
          <w:rFonts w:ascii="Arial" w:hAnsi="Arial" w:cs="Arial"/>
          <w:sz w:val="22"/>
          <w:szCs w:val="22"/>
        </w:rPr>
        <w:t xml:space="preserve">Kraut, R. (2009). </w:t>
      </w:r>
      <w:r w:rsidRPr="00C63BD6">
        <w:rPr>
          <w:rFonts w:ascii="Arial" w:hAnsi="Arial" w:cs="Arial"/>
          <w:i/>
          <w:sz w:val="22"/>
          <w:szCs w:val="22"/>
        </w:rPr>
        <w:t>What is Good and Why: the ethics of well-being</w:t>
      </w:r>
      <w:r w:rsidRPr="00C63BD6">
        <w:rPr>
          <w:rFonts w:ascii="Arial" w:hAnsi="Arial" w:cs="Arial"/>
          <w:sz w:val="22"/>
          <w:szCs w:val="22"/>
        </w:rPr>
        <w:t>. London: Harvard University Press.</w:t>
      </w:r>
    </w:p>
    <w:p w14:paraId="3E286B10" w14:textId="77777777" w:rsidR="00C63BD6" w:rsidRPr="00C63BD6" w:rsidRDefault="00C63BD6" w:rsidP="00C63BD6">
      <w:pPr>
        <w:rPr>
          <w:rFonts w:ascii="Arial" w:hAnsi="Arial" w:cs="Arial"/>
          <w:sz w:val="22"/>
          <w:szCs w:val="22"/>
        </w:rPr>
      </w:pPr>
    </w:p>
    <w:p w14:paraId="2FA00E9E" w14:textId="77777777" w:rsidR="00C63BD6" w:rsidRPr="00C63BD6" w:rsidRDefault="00C63BD6" w:rsidP="00C63BD6">
      <w:pPr>
        <w:spacing w:after="160" w:line="259" w:lineRule="auto"/>
        <w:rPr>
          <w:rFonts w:ascii="Arial" w:eastAsia="Calibri" w:hAnsi="Arial" w:cs="Arial"/>
          <w:noProof/>
          <w:sz w:val="22"/>
          <w:szCs w:val="22"/>
        </w:rPr>
      </w:pPr>
      <w:r w:rsidRPr="00C63BD6">
        <w:rPr>
          <w:rFonts w:ascii="Arial" w:eastAsia="Calibri" w:hAnsi="Arial" w:cs="Arial"/>
          <w:noProof/>
          <w:sz w:val="22"/>
          <w:szCs w:val="22"/>
        </w:rPr>
        <w:t xml:space="preserve">LeDoux, J., 1998. </w:t>
      </w:r>
      <w:r w:rsidRPr="00C63BD6">
        <w:rPr>
          <w:rFonts w:ascii="Arial" w:eastAsia="Calibri" w:hAnsi="Arial" w:cs="Arial"/>
          <w:i/>
          <w:iCs/>
          <w:noProof/>
          <w:sz w:val="22"/>
          <w:szCs w:val="22"/>
        </w:rPr>
        <w:t xml:space="preserve">The Emotional Brain. </w:t>
      </w:r>
      <w:r w:rsidRPr="00C63BD6">
        <w:rPr>
          <w:rFonts w:ascii="Arial" w:eastAsia="Calibri" w:hAnsi="Arial" w:cs="Arial"/>
          <w:noProof/>
          <w:sz w:val="22"/>
          <w:szCs w:val="22"/>
        </w:rPr>
        <w:t>London: Phoenix.</w:t>
      </w:r>
    </w:p>
    <w:p w14:paraId="2A5D9A04" w14:textId="77777777" w:rsidR="00C63BD6" w:rsidRPr="00C63BD6" w:rsidRDefault="00C63BD6" w:rsidP="00C63BD6">
      <w:pPr>
        <w:rPr>
          <w:rFonts w:ascii="Arial" w:eastAsia="Calibri" w:hAnsi="Arial" w:cs="Arial"/>
          <w:sz w:val="22"/>
          <w:szCs w:val="22"/>
        </w:rPr>
      </w:pPr>
      <w:r w:rsidRPr="00C63BD6">
        <w:rPr>
          <w:rFonts w:ascii="Arial" w:eastAsia="Calibri" w:hAnsi="Arial" w:cs="Arial"/>
          <w:sz w:val="22"/>
          <w:szCs w:val="22"/>
        </w:rPr>
        <w:t xml:space="preserve">Levecque, K.; Anseel, F.; De Beuckelaer, A.; Van Der Heyden, J.; Gisle, L. (2017). Work organization and mental health problems in PhD students. </w:t>
      </w:r>
      <w:r w:rsidRPr="00C63BD6">
        <w:rPr>
          <w:rFonts w:ascii="Arial" w:eastAsia="Calibri" w:hAnsi="Arial" w:cs="Arial"/>
          <w:i/>
          <w:sz w:val="22"/>
          <w:szCs w:val="22"/>
        </w:rPr>
        <w:t xml:space="preserve">Research Policy. </w:t>
      </w:r>
      <w:r w:rsidRPr="00C63BD6">
        <w:rPr>
          <w:rFonts w:ascii="Arial" w:eastAsia="Calibri" w:hAnsi="Arial" w:cs="Arial"/>
          <w:b/>
          <w:sz w:val="22"/>
          <w:szCs w:val="22"/>
        </w:rPr>
        <w:t>46</w:t>
      </w:r>
      <w:r w:rsidRPr="00C63BD6">
        <w:rPr>
          <w:rFonts w:ascii="Arial" w:eastAsia="Calibri" w:hAnsi="Arial" w:cs="Arial"/>
          <w:sz w:val="22"/>
          <w:szCs w:val="22"/>
        </w:rPr>
        <w:t>. pp 868-879</w:t>
      </w:r>
    </w:p>
    <w:p w14:paraId="63EA6464" w14:textId="77777777" w:rsidR="00C63BD6" w:rsidRPr="00C63BD6" w:rsidRDefault="00C63BD6" w:rsidP="00C63BD6">
      <w:pPr>
        <w:rPr>
          <w:rFonts w:ascii="Arial" w:eastAsia="Calibri" w:hAnsi="Arial" w:cs="Arial"/>
          <w:sz w:val="22"/>
          <w:szCs w:val="22"/>
        </w:rPr>
      </w:pPr>
    </w:p>
    <w:p w14:paraId="321A4179" w14:textId="77777777" w:rsidR="00C63BD6" w:rsidRPr="00C63BD6" w:rsidRDefault="00C63BD6" w:rsidP="00C63BD6">
      <w:pPr>
        <w:rPr>
          <w:rFonts w:ascii="Arial" w:hAnsi="Arial" w:cs="Arial"/>
          <w:sz w:val="22"/>
          <w:szCs w:val="22"/>
          <w:lang w:eastAsia="en-GB"/>
        </w:rPr>
      </w:pPr>
      <w:r w:rsidRPr="00C63BD6">
        <w:rPr>
          <w:rFonts w:ascii="Arial" w:hAnsi="Arial" w:cs="Arial"/>
          <w:sz w:val="22"/>
          <w:szCs w:val="22"/>
          <w:shd w:val="clear" w:color="auto" w:fill="FFFFFF"/>
          <w:lang w:eastAsia="en-GB"/>
        </w:rPr>
        <w:t xml:space="preserve">Lightfoot, L., 2018. Universities outsource mental health services despite soaring demand. </w:t>
      </w:r>
      <w:r w:rsidRPr="00C63BD6">
        <w:rPr>
          <w:rFonts w:ascii="Arial" w:hAnsi="Arial" w:cs="Arial"/>
          <w:i/>
          <w:iCs/>
          <w:sz w:val="22"/>
          <w:szCs w:val="22"/>
          <w:lang w:eastAsia="en-GB"/>
        </w:rPr>
        <w:t>The Guardian</w:t>
      </w:r>
      <w:r w:rsidRPr="00C63BD6">
        <w:rPr>
          <w:rFonts w:ascii="Arial" w:hAnsi="Arial" w:cs="Arial"/>
          <w:sz w:val="22"/>
          <w:szCs w:val="22"/>
          <w:shd w:val="clear" w:color="auto" w:fill="FFFFFF"/>
          <w:lang w:eastAsia="en-GB"/>
        </w:rPr>
        <w:t xml:space="preserve">. Available at: </w:t>
      </w:r>
      <w:hyperlink r:id="rId20" w:history="1">
        <w:r w:rsidRPr="00C63BD6">
          <w:rPr>
            <w:rFonts w:ascii="Arial" w:hAnsi="Arial" w:cs="Arial"/>
            <w:color w:val="0000FF"/>
            <w:sz w:val="22"/>
            <w:szCs w:val="22"/>
            <w:u w:val="single"/>
            <w:shd w:val="clear" w:color="auto" w:fill="FFFFFF"/>
            <w:lang w:eastAsia="en-GB"/>
          </w:rPr>
          <w:t>https://www.theguardian.com/education/2018/jul/17/universities-outsource-mental-health-services-despite-soaring-demand</w:t>
        </w:r>
      </w:hyperlink>
      <w:r w:rsidRPr="00C63BD6">
        <w:rPr>
          <w:rFonts w:ascii="Arial" w:hAnsi="Arial" w:cs="Arial"/>
          <w:color w:val="333333"/>
          <w:sz w:val="22"/>
          <w:szCs w:val="22"/>
          <w:shd w:val="clear" w:color="auto" w:fill="FFFFFF"/>
          <w:lang w:eastAsia="en-GB"/>
        </w:rPr>
        <w:t xml:space="preserve"> [Accessed May 10, 2019]. </w:t>
      </w:r>
    </w:p>
    <w:p w14:paraId="0E7F3FA6" w14:textId="16D0FBE5" w:rsidR="009F4202" w:rsidRDefault="009F4202" w:rsidP="00C63BD6">
      <w:pPr>
        <w:rPr>
          <w:rFonts w:ascii="Arial" w:hAnsi="Arial" w:cs="Arial"/>
          <w:noProof/>
          <w:sz w:val="22"/>
          <w:szCs w:val="22"/>
          <w:shd w:val="clear" w:color="auto" w:fill="FFFFFF"/>
        </w:rPr>
      </w:pPr>
    </w:p>
    <w:p w14:paraId="08C81581" w14:textId="5110D9C5" w:rsidR="00C63BD6" w:rsidRPr="00C63BD6" w:rsidRDefault="00C63BD6" w:rsidP="00C63BD6">
      <w:pPr>
        <w:rPr>
          <w:rFonts w:ascii="Arial" w:eastAsia="Calibri" w:hAnsi="Arial" w:cs="Arial"/>
          <w:i/>
          <w:sz w:val="22"/>
          <w:szCs w:val="22"/>
        </w:rPr>
      </w:pPr>
      <w:r w:rsidRPr="00C63BD6">
        <w:rPr>
          <w:rFonts w:ascii="Arial" w:eastAsia="Calibri" w:hAnsi="Arial" w:cs="Arial"/>
          <w:sz w:val="22"/>
          <w:szCs w:val="22"/>
        </w:rPr>
        <w:t xml:space="preserve">McAllister, M.; Wynaden, D.; Happell, B.; Flynn, T.; Walters, V.; Duggan, R.; Byrne, L.; Heslop, L. &amp; Gaskin, C. (2014). Staff experiences of providing support to students who are managing mental health challenges: A qualitative study from two Australian universities. </w:t>
      </w:r>
      <w:r w:rsidRPr="00C63BD6">
        <w:rPr>
          <w:rFonts w:ascii="Arial" w:eastAsia="Calibri" w:hAnsi="Arial" w:cs="Arial"/>
          <w:i/>
          <w:sz w:val="22"/>
          <w:szCs w:val="22"/>
        </w:rPr>
        <w:t xml:space="preserve">Advances in Mental Health, </w:t>
      </w:r>
      <w:r w:rsidRPr="00C63BD6">
        <w:rPr>
          <w:rFonts w:ascii="Arial" w:eastAsia="Calibri" w:hAnsi="Arial" w:cs="Arial"/>
          <w:sz w:val="22"/>
          <w:szCs w:val="22"/>
        </w:rPr>
        <w:t>12(3) pp 192-201</w:t>
      </w:r>
    </w:p>
    <w:p w14:paraId="0530868F" w14:textId="0920BDCF" w:rsidR="00C63BD6" w:rsidRPr="00C63BD6" w:rsidRDefault="00C63BD6" w:rsidP="00C63BD6">
      <w:pPr>
        <w:rPr>
          <w:rFonts w:ascii="Arial" w:hAnsi="Arial" w:cs="Arial"/>
          <w:sz w:val="22"/>
          <w:szCs w:val="22"/>
        </w:rPr>
      </w:pPr>
    </w:p>
    <w:p w14:paraId="31A6DAF7" w14:textId="77777777" w:rsidR="00C63BD6" w:rsidRPr="00C63BD6" w:rsidRDefault="00C63BD6" w:rsidP="00C63BD6">
      <w:pPr>
        <w:rPr>
          <w:rFonts w:ascii="Arial" w:hAnsi="Arial" w:cs="Arial"/>
          <w:sz w:val="22"/>
          <w:szCs w:val="22"/>
        </w:rPr>
      </w:pPr>
      <w:r w:rsidRPr="00C63BD6">
        <w:rPr>
          <w:rFonts w:ascii="Arial" w:hAnsi="Arial" w:cs="Arial"/>
          <w:sz w:val="22"/>
          <w:szCs w:val="22"/>
        </w:rPr>
        <w:t>Neves, J., &amp; Hillman, N. (2017). Student Academic Experience Survey. In HEA-HEPI (Ed.).</w:t>
      </w:r>
    </w:p>
    <w:p w14:paraId="692B065A" w14:textId="77777777" w:rsidR="00C63BD6" w:rsidRPr="00C63BD6" w:rsidRDefault="00C63BD6" w:rsidP="00C63BD6">
      <w:pPr>
        <w:rPr>
          <w:rFonts w:ascii="Arial" w:hAnsi="Arial" w:cs="Arial"/>
          <w:sz w:val="22"/>
          <w:szCs w:val="22"/>
        </w:rPr>
      </w:pPr>
    </w:p>
    <w:p w14:paraId="329F959E" w14:textId="77777777" w:rsidR="00640785" w:rsidRPr="00640785" w:rsidRDefault="00640785" w:rsidP="00640785">
      <w:pPr>
        <w:spacing w:after="200" w:line="276" w:lineRule="auto"/>
        <w:jc w:val="both"/>
        <w:rPr>
          <w:rFonts w:ascii="Arial" w:eastAsia="Arial" w:hAnsi="Arial" w:cs="Arial"/>
          <w:sz w:val="22"/>
          <w:szCs w:val="22"/>
        </w:rPr>
      </w:pPr>
      <w:r>
        <w:rPr>
          <w:rFonts w:ascii="Arial" w:eastAsia="Arial" w:hAnsi="Arial" w:cs="Arial"/>
          <w:sz w:val="22"/>
          <w:szCs w:val="22"/>
        </w:rPr>
        <w:t>Orbach, G., Lindsay, S. and Grey</w:t>
      </w:r>
      <w:r w:rsidRPr="00640785">
        <w:rPr>
          <w:rFonts w:ascii="Arial" w:eastAsia="Arial" w:hAnsi="Arial" w:cs="Arial"/>
          <w:sz w:val="22"/>
          <w:szCs w:val="22"/>
        </w:rPr>
        <w:t xml:space="preserve">, S., 2007. A randomised placebo-controlled trial of a self-help Internet-based intervention for test anxiety. </w:t>
      </w:r>
      <w:r w:rsidRPr="00640785">
        <w:rPr>
          <w:rFonts w:ascii="Arial" w:eastAsia="Arial" w:hAnsi="Arial" w:cs="Arial"/>
          <w:i/>
          <w:iCs/>
          <w:sz w:val="22"/>
          <w:szCs w:val="22"/>
        </w:rPr>
        <w:t xml:space="preserve">Behavior Research and Therapy, </w:t>
      </w:r>
      <w:r w:rsidRPr="00640785">
        <w:rPr>
          <w:rFonts w:ascii="Arial" w:eastAsia="Arial" w:hAnsi="Arial" w:cs="Arial"/>
          <w:sz w:val="22"/>
          <w:szCs w:val="22"/>
        </w:rPr>
        <w:t xml:space="preserve">45, 483-496. </w:t>
      </w:r>
    </w:p>
    <w:p w14:paraId="2F3BAFF5" w14:textId="77777777" w:rsidR="00C63BD6" w:rsidRPr="00C63BD6" w:rsidRDefault="00C63BD6" w:rsidP="00C63BD6">
      <w:pPr>
        <w:spacing w:after="200" w:line="276" w:lineRule="auto"/>
        <w:jc w:val="both"/>
        <w:rPr>
          <w:rFonts w:ascii="Arial" w:eastAsia="Arial" w:hAnsi="Arial" w:cs="Arial"/>
          <w:sz w:val="22"/>
          <w:szCs w:val="22"/>
        </w:rPr>
      </w:pPr>
      <w:r w:rsidRPr="00C63BD6">
        <w:rPr>
          <w:rFonts w:ascii="Arial" w:eastAsia="Arial" w:hAnsi="Arial" w:cs="Arial"/>
          <w:sz w:val="22"/>
          <w:szCs w:val="22"/>
        </w:rPr>
        <w:t xml:space="preserve">Pawson, C., Gardner, M., Doherty, S., Martin, L., Soares, R. &amp; Edmonds, C.J. (2012) </w:t>
      </w:r>
      <w:r w:rsidRPr="00C63BD6">
        <w:rPr>
          <w:rFonts w:ascii="Arial" w:eastAsia="Arial" w:hAnsi="Arial" w:cs="Arial"/>
          <w:i/>
          <w:sz w:val="22"/>
          <w:szCs w:val="22"/>
        </w:rPr>
        <w:t>Water consumption in exams and its effects on students' performance</w:t>
      </w:r>
      <w:r w:rsidRPr="00C63BD6">
        <w:rPr>
          <w:rFonts w:ascii="Arial" w:eastAsia="Arial" w:hAnsi="Arial" w:cs="Arial"/>
          <w:sz w:val="22"/>
          <w:szCs w:val="22"/>
        </w:rPr>
        <w:t>. Paper presented at Annual British Psychological Society Conference, London, 18-20 April</w:t>
      </w:r>
    </w:p>
    <w:p w14:paraId="1FDA1084" w14:textId="1423AEF4" w:rsidR="00C63BD6" w:rsidRDefault="00C63BD6" w:rsidP="00C63BD6">
      <w:pPr>
        <w:rPr>
          <w:rFonts w:ascii="Arial" w:hAnsi="Arial" w:cs="Arial"/>
          <w:sz w:val="22"/>
          <w:szCs w:val="22"/>
          <w:shd w:val="clear" w:color="auto" w:fill="FFFFFF"/>
          <w:lang w:eastAsia="en-GB"/>
        </w:rPr>
      </w:pPr>
      <w:r w:rsidRPr="00C63BD6">
        <w:rPr>
          <w:rFonts w:ascii="Arial" w:hAnsi="Arial" w:cs="Arial"/>
          <w:sz w:val="22"/>
          <w:szCs w:val="22"/>
          <w:shd w:val="clear" w:color="auto" w:fill="FFFFFF"/>
          <w:lang w:eastAsia="en-GB"/>
        </w:rPr>
        <w:t xml:space="preserve">Pennock, S.F., 2015. Positive Psychology 1504: Harvard's Groundbreaking Course. </w:t>
      </w:r>
      <w:r w:rsidRPr="00C63BD6">
        <w:rPr>
          <w:rFonts w:ascii="Arial" w:hAnsi="Arial" w:cs="Arial"/>
          <w:i/>
          <w:iCs/>
          <w:sz w:val="22"/>
          <w:szCs w:val="22"/>
          <w:lang w:eastAsia="en-GB"/>
        </w:rPr>
        <w:t>Positive Psychology 1504: Harvard's Groundbreaking Course</w:t>
      </w:r>
      <w:r w:rsidRPr="00C63BD6">
        <w:rPr>
          <w:rFonts w:ascii="Arial" w:hAnsi="Arial" w:cs="Arial"/>
          <w:sz w:val="22"/>
          <w:szCs w:val="22"/>
          <w:shd w:val="clear" w:color="auto" w:fill="FFFFFF"/>
          <w:lang w:eastAsia="en-GB"/>
        </w:rPr>
        <w:t xml:space="preserve">. Available at: https://positivepsychologyprogram.com/harvard-positive-psychology-course-1504/ [Accessed May 10, 2019]. </w:t>
      </w:r>
    </w:p>
    <w:p w14:paraId="37FB740C" w14:textId="611D1CB6" w:rsidR="008311B2" w:rsidRDefault="008311B2" w:rsidP="00C63BD6">
      <w:pPr>
        <w:rPr>
          <w:rFonts w:ascii="Arial" w:hAnsi="Arial" w:cs="Arial"/>
          <w:sz w:val="22"/>
          <w:szCs w:val="22"/>
          <w:shd w:val="clear" w:color="auto" w:fill="FFFFFF"/>
          <w:lang w:eastAsia="en-GB"/>
        </w:rPr>
      </w:pPr>
    </w:p>
    <w:p w14:paraId="34E34AFC" w14:textId="7E872C5F" w:rsidR="008311B2" w:rsidRPr="00C63BD6" w:rsidRDefault="008311B2" w:rsidP="00C63BD6">
      <w:pPr>
        <w:rPr>
          <w:rFonts w:ascii="Arial" w:hAnsi="Arial" w:cs="Arial"/>
          <w:sz w:val="22"/>
          <w:szCs w:val="22"/>
          <w:lang w:eastAsia="en-GB"/>
        </w:rPr>
      </w:pPr>
      <w:r w:rsidRPr="008311B2">
        <w:rPr>
          <w:rFonts w:ascii="Arial" w:hAnsi="Arial" w:cs="Arial"/>
          <w:sz w:val="22"/>
          <w:szCs w:val="22"/>
          <w:lang w:eastAsia="en-GB"/>
        </w:rPr>
        <w:t xml:space="preserve">Postareff, L., Mattsson, M., Lindblom-Ylänne, S., &amp; Hailikari, T. (2016). The complex relationship between emotions, approaches to learning, study success and study progress during the transition to university. </w:t>
      </w:r>
      <w:r w:rsidRPr="008311B2">
        <w:rPr>
          <w:rFonts w:ascii="Arial" w:hAnsi="Arial" w:cs="Arial"/>
          <w:i/>
          <w:iCs/>
          <w:sz w:val="22"/>
          <w:szCs w:val="22"/>
          <w:lang w:eastAsia="en-GB"/>
        </w:rPr>
        <w:t>Higher Education,</w:t>
      </w:r>
      <w:r w:rsidRPr="008311B2">
        <w:rPr>
          <w:rFonts w:ascii="Arial" w:hAnsi="Arial" w:cs="Arial"/>
          <w:sz w:val="22"/>
          <w:szCs w:val="22"/>
          <w:lang w:eastAsia="en-GB"/>
        </w:rPr>
        <w:t xml:space="preserve"> </w:t>
      </w:r>
      <w:r w:rsidRPr="008311B2">
        <w:rPr>
          <w:rFonts w:ascii="Arial" w:hAnsi="Arial" w:cs="Arial"/>
          <w:i/>
          <w:iCs/>
          <w:sz w:val="22"/>
          <w:szCs w:val="22"/>
          <w:lang w:eastAsia="en-GB"/>
        </w:rPr>
        <w:t>73</w:t>
      </w:r>
      <w:r w:rsidRPr="008311B2">
        <w:rPr>
          <w:rFonts w:ascii="Arial" w:hAnsi="Arial" w:cs="Arial"/>
          <w:sz w:val="22"/>
          <w:szCs w:val="22"/>
          <w:lang w:eastAsia="en-GB"/>
        </w:rPr>
        <w:t>(3), 441-457. doi:10.1007/s10734-016-0096-   </w:t>
      </w:r>
    </w:p>
    <w:p w14:paraId="0BB84883" w14:textId="77777777" w:rsidR="00C63BD6" w:rsidRDefault="00C63BD6" w:rsidP="00C63BD6">
      <w:pPr>
        <w:spacing w:line="276" w:lineRule="auto"/>
        <w:jc w:val="both"/>
        <w:rPr>
          <w:rFonts w:ascii="Arial" w:hAnsi="Arial" w:cs="Arial"/>
          <w:sz w:val="22"/>
          <w:szCs w:val="22"/>
        </w:rPr>
      </w:pPr>
    </w:p>
    <w:p w14:paraId="37C271AD" w14:textId="77777777" w:rsidR="00C63BD6" w:rsidRPr="00C63BD6" w:rsidRDefault="00C63BD6" w:rsidP="00C63BD6">
      <w:pPr>
        <w:spacing w:after="200" w:line="276" w:lineRule="auto"/>
        <w:jc w:val="both"/>
        <w:rPr>
          <w:rFonts w:ascii="Arial" w:eastAsia="Arial" w:hAnsi="Arial" w:cs="Arial"/>
          <w:sz w:val="22"/>
          <w:szCs w:val="22"/>
        </w:rPr>
      </w:pPr>
      <w:r w:rsidRPr="00C63BD6">
        <w:rPr>
          <w:rFonts w:ascii="Arial" w:hAnsi="Arial" w:cs="Arial"/>
          <w:sz w:val="22"/>
          <w:szCs w:val="22"/>
        </w:rPr>
        <w:t xml:space="preserve">Quinn, N. Wilson, A. Macintyre, G. and Tinklin, T. (2009) ‘People Look at You Differently’: Students' Experience of Mental Health Support within Higher Education. </w:t>
      </w:r>
      <w:r w:rsidRPr="00C63BD6">
        <w:rPr>
          <w:rFonts w:ascii="Arial" w:hAnsi="Arial" w:cs="Arial"/>
          <w:i/>
          <w:sz w:val="22"/>
          <w:szCs w:val="22"/>
        </w:rPr>
        <w:t>British Journal of Guidance and Counselling</w:t>
      </w:r>
      <w:r w:rsidRPr="00C63BD6">
        <w:rPr>
          <w:rFonts w:ascii="Arial" w:hAnsi="Arial" w:cs="Arial"/>
          <w:sz w:val="22"/>
          <w:szCs w:val="22"/>
        </w:rPr>
        <w:t>. 37 (4), 405–18.</w:t>
      </w:r>
    </w:p>
    <w:p w14:paraId="398FDA82" w14:textId="77777777" w:rsidR="00C63BD6" w:rsidRPr="00C63BD6" w:rsidRDefault="00C63BD6" w:rsidP="00C63BD6">
      <w:pPr>
        <w:spacing w:after="200" w:line="276" w:lineRule="auto"/>
        <w:jc w:val="both"/>
        <w:rPr>
          <w:rFonts w:ascii="Arial" w:eastAsia="Arial" w:hAnsi="Arial" w:cs="Arial"/>
          <w:sz w:val="22"/>
          <w:szCs w:val="22"/>
        </w:rPr>
      </w:pPr>
      <w:r w:rsidRPr="00C63BD6">
        <w:rPr>
          <w:rFonts w:ascii="Arial" w:eastAsia="Arial" w:hAnsi="Arial" w:cs="Arial"/>
          <w:color w:val="212121"/>
          <w:sz w:val="22"/>
          <w:szCs w:val="22"/>
        </w:rPr>
        <w:t xml:space="preserve">Rasberry, C. N., Lee, S. M., Robin, L., Laris, B. A., Russell, L. A., Coyle, K. K., &amp; Nihiser, A. J. (2011). The association between school-based physical activity, including physical education, and academic performance: A systematic review of the literature. </w:t>
      </w:r>
      <w:r w:rsidRPr="00C63BD6">
        <w:rPr>
          <w:rFonts w:ascii="Arial" w:eastAsia="Arial" w:hAnsi="Arial" w:cs="Arial"/>
          <w:i/>
          <w:color w:val="212121"/>
          <w:sz w:val="22"/>
          <w:szCs w:val="22"/>
        </w:rPr>
        <w:t>Preventive Medicine</w:t>
      </w:r>
      <w:r w:rsidRPr="00C63BD6">
        <w:rPr>
          <w:rFonts w:ascii="Arial" w:eastAsia="Arial" w:hAnsi="Arial" w:cs="Arial"/>
          <w:color w:val="212121"/>
          <w:sz w:val="22"/>
          <w:szCs w:val="22"/>
        </w:rPr>
        <w:t xml:space="preserve">, </w:t>
      </w:r>
      <w:r w:rsidRPr="00C63BD6">
        <w:rPr>
          <w:rFonts w:ascii="Arial" w:eastAsia="Arial" w:hAnsi="Arial" w:cs="Arial"/>
          <w:i/>
          <w:color w:val="212121"/>
          <w:sz w:val="22"/>
          <w:szCs w:val="22"/>
        </w:rPr>
        <w:t>52</w:t>
      </w:r>
      <w:r w:rsidRPr="00C63BD6">
        <w:rPr>
          <w:rFonts w:ascii="Arial" w:eastAsia="Arial" w:hAnsi="Arial" w:cs="Arial"/>
          <w:color w:val="212121"/>
          <w:sz w:val="22"/>
          <w:szCs w:val="22"/>
        </w:rPr>
        <w:t>, S10–S20. doi:10.1016/j.ypmed.2011.01.027</w:t>
      </w:r>
    </w:p>
    <w:p w14:paraId="5EBE6CD7" w14:textId="77777777" w:rsidR="00C63BD6" w:rsidRPr="00C63BD6" w:rsidRDefault="00C63BD6" w:rsidP="00C63BD6">
      <w:pPr>
        <w:spacing w:after="160" w:line="259" w:lineRule="auto"/>
        <w:rPr>
          <w:rFonts w:ascii="Arial" w:eastAsia="Calibri" w:hAnsi="Arial" w:cs="Arial"/>
          <w:sz w:val="22"/>
          <w:szCs w:val="22"/>
        </w:rPr>
      </w:pPr>
      <w:r w:rsidRPr="00C63BD6">
        <w:rPr>
          <w:rFonts w:ascii="Arial" w:eastAsia="Calibri" w:hAnsi="Arial" w:cs="Arial"/>
          <w:sz w:val="22"/>
          <w:szCs w:val="22"/>
        </w:rPr>
        <w:t xml:space="preserve">Rothenberg, A. (2006). Creativity—the healthy muse. </w:t>
      </w:r>
      <w:r w:rsidRPr="00C63BD6">
        <w:rPr>
          <w:rFonts w:ascii="Arial" w:eastAsia="Calibri" w:hAnsi="Arial" w:cs="Arial"/>
          <w:i/>
          <w:sz w:val="22"/>
          <w:szCs w:val="22"/>
        </w:rPr>
        <w:t xml:space="preserve">The Lancet, 368 Special Issue, </w:t>
      </w:r>
      <w:r w:rsidRPr="00C63BD6">
        <w:rPr>
          <w:rFonts w:ascii="Arial" w:eastAsia="Calibri" w:hAnsi="Arial" w:cs="Arial"/>
          <w:sz w:val="22"/>
          <w:szCs w:val="22"/>
        </w:rPr>
        <w:t>S8-S9 DOI:https://doi.org/10.1016/S0140-6736(06)69905-4</w:t>
      </w:r>
    </w:p>
    <w:p w14:paraId="4A62561D" w14:textId="2B442DDF" w:rsidR="00C63BD6" w:rsidRDefault="00C63BD6" w:rsidP="00C63BD6">
      <w:pPr>
        <w:spacing w:after="160" w:line="259" w:lineRule="auto"/>
        <w:rPr>
          <w:rFonts w:ascii="Arial" w:eastAsia="Calibri" w:hAnsi="Arial" w:cs="Arial"/>
          <w:noProof/>
          <w:sz w:val="22"/>
          <w:szCs w:val="22"/>
        </w:rPr>
      </w:pPr>
      <w:r w:rsidRPr="00C63BD6">
        <w:rPr>
          <w:rFonts w:ascii="Arial" w:eastAsia="Calibri" w:hAnsi="Arial" w:cs="Arial"/>
          <w:noProof/>
          <w:sz w:val="22"/>
          <w:szCs w:val="22"/>
        </w:rPr>
        <w:t xml:space="preserve">Scullin, M. K., 2019. The Eight Hour Sleep Challenge During Final Exams Week. </w:t>
      </w:r>
      <w:r w:rsidRPr="00C63BD6">
        <w:rPr>
          <w:rFonts w:ascii="Arial" w:eastAsia="Calibri" w:hAnsi="Arial" w:cs="Arial"/>
          <w:i/>
          <w:iCs/>
          <w:noProof/>
          <w:sz w:val="22"/>
          <w:szCs w:val="22"/>
        </w:rPr>
        <w:t xml:space="preserve">Teaching of Psychology,, </w:t>
      </w:r>
      <w:r w:rsidRPr="00C63BD6">
        <w:rPr>
          <w:rFonts w:ascii="Arial" w:eastAsia="Calibri" w:hAnsi="Arial" w:cs="Arial"/>
          <w:noProof/>
          <w:sz w:val="22"/>
          <w:szCs w:val="22"/>
        </w:rPr>
        <w:t>46(1), p. 55–63.</w:t>
      </w:r>
    </w:p>
    <w:p w14:paraId="71A08E3A" w14:textId="6F9790ED" w:rsidR="00512F97" w:rsidRPr="00C63BD6" w:rsidRDefault="00512F97" w:rsidP="00C63BD6">
      <w:pPr>
        <w:spacing w:after="160" w:line="259" w:lineRule="auto"/>
        <w:rPr>
          <w:rFonts w:ascii="Arial" w:eastAsia="Calibri" w:hAnsi="Arial" w:cs="Arial"/>
          <w:noProof/>
          <w:sz w:val="22"/>
          <w:szCs w:val="22"/>
        </w:rPr>
      </w:pPr>
      <w:r w:rsidRPr="00512F97">
        <w:rPr>
          <w:rFonts w:ascii="Arial" w:eastAsia="Calibri" w:hAnsi="Arial" w:cs="Arial"/>
          <w:noProof/>
          <w:sz w:val="22"/>
          <w:szCs w:val="22"/>
        </w:rPr>
        <w:t>Sheldon, K. M., &amp; Krieger, L. S. (2007). Understanding the negative effects of legal education on law students: A longitudinal test of self-determination theory.</w:t>
      </w:r>
      <w:r w:rsidRPr="00512F97">
        <w:rPr>
          <w:rFonts w:ascii="Arial" w:eastAsia="Calibri" w:hAnsi="Arial" w:cs="Arial"/>
          <w:i/>
          <w:iCs/>
          <w:noProof/>
          <w:sz w:val="22"/>
          <w:szCs w:val="22"/>
        </w:rPr>
        <w:t>Personality and Social Psychology Bulletin</w:t>
      </w:r>
      <w:r w:rsidRPr="00512F97">
        <w:rPr>
          <w:rFonts w:ascii="Arial" w:eastAsia="Calibri" w:hAnsi="Arial" w:cs="Arial"/>
          <w:noProof/>
          <w:sz w:val="22"/>
          <w:szCs w:val="22"/>
        </w:rPr>
        <w:t>, </w:t>
      </w:r>
      <w:r w:rsidRPr="00512F97">
        <w:rPr>
          <w:rFonts w:ascii="Arial" w:eastAsia="Calibri" w:hAnsi="Arial" w:cs="Arial"/>
          <w:i/>
          <w:iCs/>
          <w:noProof/>
          <w:sz w:val="22"/>
          <w:szCs w:val="22"/>
        </w:rPr>
        <w:t>33</w:t>
      </w:r>
      <w:r w:rsidRPr="00512F97">
        <w:rPr>
          <w:rFonts w:ascii="Arial" w:eastAsia="Calibri" w:hAnsi="Arial" w:cs="Arial"/>
          <w:noProof/>
          <w:sz w:val="22"/>
          <w:szCs w:val="22"/>
        </w:rPr>
        <w:t>(6), 883-897.</w:t>
      </w:r>
    </w:p>
    <w:p w14:paraId="398E607D" w14:textId="77777777" w:rsidR="00C63BD6" w:rsidRPr="00C63BD6" w:rsidRDefault="00C63BD6" w:rsidP="00C63BD6">
      <w:pPr>
        <w:textAlignment w:val="baseline"/>
        <w:rPr>
          <w:rFonts w:ascii="Arial" w:hAnsi="Arial" w:cs="Arial"/>
          <w:color w:val="000000"/>
          <w:sz w:val="22"/>
          <w:szCs w:val="22"/>
          <w:lang w:eastAsia="en-GB"/>
        </w:rPr>
      </w:pPr>
      <w:r w:rsidRPr="00C63BD6">
        <w:rPr>
          <w:rFonts w:ascii="Arial" w:hAnsi="Arial" w:cs="Arial"/>
          <w:color w:val="222222"/>
          <w:sz w:val="22"/>
          <w:szCs w:val="22"/>
          <w:shd w:val="clear" w:color="auto" w:fill="FFFFFF"/>
          <w:lang w:eastAsia="en-GB"/>
        </w:rPr>
        <w:t xml:space="preserve">Slavin, S. J., Schindler, D. L., &amp; Chibnall, J. T. (2014). Medical student mental health 3.0: improving student wellness through curricular changes. </w:t>
      </w:r>
      <w:r w:rsidRPr="00C63BD6">
        <w:rPr>
          <w:rFonts w:ascii="Arial" w:hAnsi="Arial" w:cs="Arial"/>
          <w:i/>
          <w:iCs/>
          <w:color w:val="222222"/>
          <w:sz w:val="22"/>
          <w:szCs w:val="22"/>
          <w:shd w:val="clear" w:color="auto" w:fill="FFFFFF"/>
          <w:lang w:eastAsia="en-GB"/>
        </w:rPr>
        <w:t>Academic Medicine, 89</w:t>
      </w:r>
      <w:r w:rsidRPr="00C63BD6">
        <w:rPr>
          <w:rFonts w:ascii="Arial" w:hAnsi="Arial" w:cs="Arial"/>
          <w:color w:val="222222"/>
          <w:sz w:val="22"/>
          <w:szCs w:val="22"/>
          <w:shd w:val="clear" w:color="auto" w:fill="FFFFFF"/>
          <w:lang w:eastAsia="en-GB"/>
        </w:rPr>
        <w:t>(4), 573. </w:t>
      </w:r>
      <w:r w:rsidRPr="00C63BD6">
        <w:rPr>
          <w:rFonts w:ascii="Arial" w:hAnsi="Arial" w:cs="Arial"/>
          <w:color w:val="000000"/>
          <w:sz w:val="22"/>
          <w:szCs w:val="22"/>
          <w:lang w:eastAsia="en-GB"/>
        </w:rPr>
        <w:t> </w:t>
      </w:r>
    </w:p>
    <w:p w14:paraId="26187FF7" w14:textId="21A0415F" w:rsidR="00C63BD6" w:rsidRPr="00C63BD6" w:rsidRDefault="009F4202" w:rsidP="00C63BD6">
      <w:pPr>
        <w:spacing w:before="100" w:beforeAutospacing="1" w:after="100" w:afterAutospacing="1"/>
        <w:rPr>
          <w:rFonts w:ascii="Arial" w:hAnsi="Arial" w:cs="Arial"/>
          <w:sz w:val="22"/>
          <w:szCs w:val="22"/>
          <w:lang w:eastAsia="en-GB"/>
        </w:rPr>
      </w:pPr>
      <w:r w:rsidRPr="00C63BD6">
        <w:rPr>
          <w:rFonts w:ascii="Arial" w:hAnsi="Arial" w:cs="Arial"/>
          <w:sz w:val="22"/>
          <w:szCs w:val="22"/>
          <w:lang w:eastAsia="en-GB"/>
        </w:rPr>
        <w:t>S</w:t>
      </w:r>
      <w:r>
        <w:rPr>
          <w:rFonts w:ascii="Arial" w:hAnsi="Arial" w:cs="Arial"/>
          <w:sz w:val="22"/>
          <w:szCs w:val="22"/>
          <w:lang w:eastAsia="en-GB"/>
        </w:rPr>
        <w:t>tallman</w:t>
      </w:r>
      <w:r w:rsidR="00C63BD6" w:rsidRPr="00C63BD6">
        <w:rPr>
          <w:rFonts w:ascii="Arial" w:hAnsi="Arial" w:cs="Arial"/>
          <w:sz w:val="22"/>
          <w:szCs w:val="22"/>
          <w:lang w:eastAsia="en-GB"/>
        </w:rPr>
        <w:t xml:space="preserve">, H.M., </w:t>
      </w:r>
      <w:r w:rsidR="00097902">
        <w:rPr>
          <w:rFonts w:ascii="Arial" w:hAnsi="Arial" w:cs="Arial"/>
          <w:sz w:val="22"/>
          <w:szCs w:val="22"/>
          <w:lang w:eastAsia="en-GB"/>
        </w:rPr>
        <w:t>(</w:t>
      </w:r>
      <w:r w:rsidR="00C63BD6" w:rsidRPr="00C63BD6">
        <w:rPr>
          <w:rFonts w:ascii="Arial" w:hAnsi="Arial" w:cs="Arial"/>
          <w:sz w:val="22"/>
          <w:szCs w:val="22"/>
          <w:lang w:eastAsia="en-GB"/>
        </w:rPr>
        <w:t>2010</w:t>
      </w:r>
      <w:r w:rsidR="00097902">
        <w:rPr>
          <w:rFonts w:ascii="Arial" w:hAnsi="Arial" w:cs="Arial"/>
          <w:sz w:val="22"/>
          <w:szCs w:val="22"/>
          <w:lang w:eastAsia="en-GB"/>
        </w:rPr>
        <w:t>)</w:t>
      </w:r>
      <w:r w:rsidR="00C63BD6" w:rsidRPr="00C63BD6">
        <w:rPr>
          <w:rFonts w:ascii="Arial" w:hAnsi="Arial" w:cs="Arial"/>
          <w:sz w:val="22"/>
          <w:szCs w:val="22"/>
          <w:lang w:eastAsia="en-GB"/>
        </w:rPr>
        <w:t xml:space="preserve">. Psychological distress in university students: A comparison with general population data. </w:t>
      </w:r>
      <w:r w:rsidR="00C63BD6" w:rsidRPr="00C63BD6">
        <w:rPr>
          <w:rFonts w:ascii="Arial" w:hAnsi="Arial" w:cs="Arial"/>
          <w:i/>
          <w:iCs/>
          <w:sz w:val="22"/>
          <w:szCs w:val="22"/>
          <w:lang w:eastAsia="en-GB"/>
        </w:rPr>
        <w:t xml:space="preserve">Australian Psychologist, </w:t>
      </w:r>
      <w:r w:rsidR="00C63BD6" w:rsidRPr="00C63BD6">
        <w:rPr>
          <w:rFonts w:ascii="Arial" w:hAnsi="Arial" w:cs="Arial"/>
          <w:b/>
          <w:bCs/>
          <w:sz w:val="22"/>
          <w:szCs w:val="22"/>
          <w:lang w:eastAsia="en-GB"/>
        </w:rPr>
        <w:t>45</w:t>
      </w:r>
      <w:r w:rsidR="00C63BD6" w:rsidRPr="00C63BD6">
        <w:rPr>
          <w:rFonts w:ascii="Arial" w:hAnsi="Arial" w:cs="Arial"/>
          <w:sz w:val="22"/>
          <w:szCs w:val="22"/>
          <w:lang w:eastAsia="en-GB"/>
        </w:rPr>
        <w:t xml:space="preserve">(4), pp. 249-257. </w:t>
      </w:r>
    </w:p>
    <w:p w14:paraId="14F1F76E" w14:textId="77777777" w:rsidR="00C63BD6" w:rsidRDefault="00C63BD6" w:rsidP="00C63BD6">
      <w:pPr>
        <w:textAlignment w:val="baseline"/>
        <w:rPr>
          <w:rFonts w:ascii="Arial" w:hAnsi="Arial" w:cs="Arial"/>
          <w:color w:val="000000"/>
          <w:sz w:val="22"/>
          <w:szCs w:val="22"/>
          <w:lang w:eastAsia="en-GB"/>
        </w:rPr>
      </w:pPr>
      <w:r w:rsidRPr="00C63BD6">
        <w:rPr>
          <w:rFonts w:ascii="Arial" w:hAnsi="Arial" w:cs="Arial"/>
          <w:color w:val="222222"/>
          <w:sz w:val="22"/>
          <w:szCs w:val="22"/>
          <w:shd w:val="clear" w:color="auto" w:fill="FFFFFF"/>
          <w:lang w:eastAsia="en-GB"/>
        </w:rPr>
        <w:t xml:space="preserve">Stephens, T. M. (2013). </w:t>
      </w:r>
      <w:r w:rsidRPr="00C63BD6">
        <w:rPr>
          <w:rFonts w:ascii="Arial" w:hAnsi="Arial" w:cs="Arial"/>
          <w:i/>
          <w:iCs/>
          <w:color w:val="222222"/>
          <w:sz w:val="22"/>
          <w:szCs w:val="22"/>
          <w:shd w:val="clear" w:color="auto" w:fill="FFFFFF"/>
          <w:lang w:eastAsia="en-GB"/>
        </w:rPr>
        <w:t>Nursing student resilience: a concept clarification.</w:t>
      </w:r>
      <w:r w:rsidRPr="00C63BD6">
        <w:rPr>
          <w:rFonts w:ascii="Arial" w:hAnsi="Arial" w:cs="Arial"/>
          <w:color w:val="222222"/>
          <w:sz w:val="22"/>
          <w:szCs w:val="22"/>
          <w:shd w:val="clear" w:color="auto" w:fill="FFFFFF"/>
          <w:lang w:eastAsia="en-GB"/>
        </w:rPr>
        <w:t xml:space="preserve"> Paper presented at the Nursing forum.</w:t>
      </w:r>
      <w:r w:rsidRPr="00C63BD6">
        <w:rPr>
          <w:rFonts w:ascii="Arial" w:hAnsi="Arial" w:cs="Arial"/>
          <w:color w:val="000000"/>
          <w:sz w:val="22"/>
          <w:szCs w:val="22"/>
          <w:lang w:eastAsia="en-GB"/>
        </w:rPr>
        <w:t> </w:t>
      </w:r>
    </w:p>
    <w:p w14:paraId="21AE027E" w14:textId="77777777" w:rsidR="00C63BD6" w:rsidRPr="00C63BD6" w:rsidRDefault="00C63BD6" w:rsidP="00C63BD6">
      <w:pPr>
        <w:textAlignment w:val="baseline"/>
        <w:rPr>
          <w:rFonts w:ascii="Arial" w:hAnsi="Arial" w:cs="Arial"/>
          <w:color w:val="000000"/>
          <w:sz w:val="22"/>
          <w:szCs w:val="22"/>
          <w:lang w:eastAsia="en-GB"/>
        </w:rPr>
      </w:pPr>
    </w:p>
    <w:p w14:paraId="2BA252D9" w14:textId="77777777" w:rsidR="00C63BD6" w:rsidRDefault="00C63BD6" w:rsidP="00C63BD6">
      <w:pPr>
        <w:textAlignment w:val="baseline"/>
        <w:rPr>
          <w:rFonts w:ascii="Arial" w:hAnsi="Arial" w:cs="Arial"/>
          <w:color w:val="222222"/>
          <w:sz w:val="22"/>
          <w:szCs w:val="22"/>
          <w:shd w:val="clear" w:color="auto" w:fill="FFFFFF"/>
          <w:lang w:eastAsia="en-GB"/>
        </w:rPr>
      </w:pPr>
      <w:r w:rsidRPr="00C63BD6">
        <w:rPr>
          <w:rFonts w:ascii="Arial" w:hAnsi="Arial" w:cs="Arial"/>
          <w:color w:val="222222"/>
          <w:sz w:val="22"/>
          <w:szCs w:val="22"/>
          <w:shd w:val="clear" w:color="auto" w:fill="FFFFFF"/>
          <w:lang w:eastAsia="en-GB"/>
        </w:rPr>
        <w:t xml:space="preserve">Thomas, L. J., &amp; Asselin, M. (2018). Promoting resilience among nursing students in clinical education. </w:t>
      </w:r>
      <w:r w:rsidRPr="00C63BD6">
        <w:rPr>
          <w:rFonts w:ascii="Arial" w:hAnsi="Arial" w:cs="Arial"/>
          <w:i/>
          <w:iCs/>
          <w:color w:val="222222"/>
          <w:sz w:val="22"/>
          <w:szCs w:val="22"/>
          <w:shd w:val="clear" w:color="auto" w:fill="FFFFFF"/>
          <w:lang w:eastAsia="en-GB"/>
        </w:rPr>
        <w:t>Nurse education in practice, 28</w:t>
      </w:r>
      <w:r w:rsidRPr="00C63BD6">
        <w:rPr>
          <w:rFonts w:ascii="Arial" w:hAnsi="Arial" w:cs="Arial"/>
          <w:color w:val="222222"/>
          <w:sz w:val="22"/>
          <w:szCs w:val="22"/>
          <w:shd w:val="clear" w:color="auto" w:fill="FFFFFF"/>
          <w:lang w:eastAsia="en-GB"/>
        </w:rPr>
        <w:t>, 231-234. </w:t>
      </w:r>
    </w:p>
    <w:p w14:paraId="0D5115B8" w14:textId="77777777" w:rsidR="00C63BD6" w:rsidRPr="00C63BD6" w:rsidRDefault="00C63BD6" w:rsidP="00C63BD6">
      <w:pPr>
        <w:textAlignment w:val="baseline"/>
        <w:rPr>
          <w:rFonts w:ascii="Arial" w:hAnsi="Arial" w:cs="Arial"/>
          <w:color w:val="000000"/>
          <w:sz w:val="22"/>
          <w:szCs w:val="22"/>
          <w:lang w:eastAsia="en-GB"/>
        </w:rPr>
      </w:pPr>
      <w:r w:rsidRPr="00C63BD6">
        <w:rPr>
          <w:rFonts w:ascii="Arial" w:hAnsi="Arial" w:cs="Arial"/>
          <w:color w:val="000000"/>
          <w:sz w:val="22"/>
          <w:szCs w:val="22"/>
          <w:lang w:eastAsia="en-GB"/>
        </w:rPr>
        <w:t> </w:t>
      </w:r>
    </w:p>
    <w:p w14:paraId="7ABAE0DF" w14:textId="77777777" w:rsidR="00C63BD6" w:rsidRPr="00C63BD6" w:rsidRDefault="00C63BD6" w:rsidP="00C63BD6">
      <w:pPr>
        <w:textAlignment w:val="baseline"/>
        <w:rPr>
          <w:rFonts w:ascii="Arial" w:hAnsi="Arial" w:cs="Arial"/>
          <w:color w:val="000000"/>
          <w:sz w:val="22"/>
          <w:szCs w:val="22"/>
          <w:lang w:eastAsia="en-GB"/>
        </w:rPr>
      </w:pPr>
      <w:r w:rsidRPr="00C63BD6">
        <w:rPr>
          <w:rFonts w:ascii="Arial" w:hAnsi="Arial" w:cs="Arial"/>
          <w:color w:val="222222"/>
          <w:sz w:val="22"/>
          <w:szCs w:val="22"/>
          <w:shd w:val="clear" w:color="auto" w:fill="FFFFFF"/>
          <w:lang w:eastAsia="en-GB"/>
        </w:rPr>
        <w:t xml:space="preserve">Thomas, L. J., &amp; Revell, S. H. (2016). Resilience in nursing students: An integrative review. </w:t>
      </w:r>
      <w:r w:rsidRPr="00C63BD6">
        <w:rPr>
          <w:rFonts w:ascii="Arial" w:hAnsi="Arial" w:cs="Arial"/>
          <w:i/>
          <w:iCs/>
          <w:color w:val="222222"/>
          <w:sz w:val="22"/>
          <w:szCs w:val="22"/>
          <w:shd w:val="clear" w:color="auto" w:fill="FFFFFF"/>
          <w:lang w:eastAsia="en-GB"/>
        </w:rPr>
        <w:t>Nurse Education Today, 36</w:t>
      </w:r>
      <w:r w:rsidRPr="00C63BD6">
        <w:rPr>
          <w:rFonts w:ascii="Arial" w:hAnsi="Arial" w:cs="Arial"/>
          <w:color w:val="222222"/>
          <w:sz w:val="22"/>
          <w:szCs w:val="22"/>
          <w:shd w:val="clear" w:color="auto" w:fill="FFFFFF"/>
          <w:lang w:eastAsia="en-GB"/>
        </w:rPr>
        <w:t>, 457-462. </w:t>
      </w:r>
      <w:r w:rsidRPr="00C63BD6">
        <w:rPr>
          <w:rFonts w:ascii="Arial" w:hAnsi="Arial" w:cs="Arial"/>
          <w:color w:val="000000"/>
          <w:sz w:val="22"/>
          <w:szCs w:val="22"/>
          <w:lang w:eastAsia="en-GB"/>
        </w:rPr>
        <w:t> </w:t>
      </w:r>
    </w:p>
    <w:p w14:paraId="6E51D195" w14:textId="77777777" w:rsidR="00C63BD6" w:rsidRPr="00C63BD6" w:rsidRDefault="00C63BD6" w:rsidP="00C63BD6">
      <w:pPr>
        <w:textAlignment w:val="baseline"/>
        <w:rPr>
          <w:rFonts w:ascii="Arial" w:hAnsi="Arial" w:cs="Arial"/>
          <w:color w:val="000000"/>
          <w:sz w:val="22"/>
          <w:szCs w:val="22"/>
          <w:lang w:eastAsia="en-GB"/>
        </w:rPr>
      </w:pPr>
    </w:p>
    <w:p w14:paraId="53E223A9" w14:textId="77777777" w:rsidR="00C63BD6" w:rsidRPr="00C63BD6" w:rsidRDefault="00C63BD6" w:rsidP="00C63BD6">
      <w:pPr>
        <w:textAlignment w:val="baseline"/>
        <w:rPr>
          <w:rFonts w:ascii="Arial" w:hAnsi="Arial" w:cs="Arial"/>
          <w:color w:val="000000"/>
          <w:sz w:val="22"/>
          <w:szCs w:val="22"/>
          <w:lang w:eastAsia="en-GB"/>
        </w:rPr>
      </w:pPr>
      <w:r w:rsidRPr="00C63BD6">
        <w:rPr>
          <w:rFonts w:ascii="Arial" w:hAnsi="Arial" w:cs="Arial"/>
          <w:sz w:val="22"/>
          <w:szCs w:val="22"/>
          <w:lang w:eastAsia="en-GB"/>
        </w:rPr>
        <w:t xml:space="preserve">Tinklin, T., Riddell, S. and Wilson, A. (2005) Support for Students with Mental Health Difficulties in Higher Education: the Students' Perspective. </w:t>
      </w:r>
      <w:r w:rsidRPr="00C63BD6">
        <w:rPr>
          <w:rFonts w:ascii="Arial" w:hAnsi="Arial" w:cs="Arial"/>
          <w:i/>
          <w:sz w:val="22"/>
          <w:szCs w:val="22"/>
          <w:lang w:eastAsia="en-GB"/>
        </w:rPr>
        <w:t>British Journal of Guidance and Counselling</w:t>
      </w:r>
      <w:r w:rsidRPr="00C63BD6">
        <w:rPr>
          <w:rFonts w:ascii="Arial" w:hAnsi="Arial" w:cs="Arial"/>
          <w:sz w:val="22"/>
          <w:szCs w:val="22"/>
          <w:lang w:eastAsia="en-GB"/>
        </w:rPr>
        <w:t>. 33 (4), 495–512.</w:t>
      </w:r>
    </w:p>
    <w:p w14:paraId="257EDED7" w14:textId="77777777" w:rsidR="00C63BD6" w:rsidRPr="00C63BD6" w:rsidRDefault="00C63BD6" w:rsidP="00C63BD6">
      <w:pPr>
        <w:spacing w:before="100" w:beforeAutospacing="1" w:after="100" w:afterAutospacing="1"/>
        <w:rPr>
          <w:rFonts w:ascii="Arial" w:hAnsi="Arial" w:cs="Arial"/>
          <w:sz w:val="22"/>
          <w:szCs w:val="22"/>
          <w:lang w:eastAsia="en-GB"/>
        </w:rPr>
      </w:pPr>
      <w:r w:rsidRPr="00C63BD6">
        <w:rPr>
          <w:rFonts w:ascii="Arial" w:hAnsi="Arial" w:cs="Arial"/>
          <w:sz w:val="22"/>
          <w:szCs w:val="22"/>
          <w:lang w:eastAsia="en-GB"/>
        </w:rPr>
        <w:t xml:space="preserve">Tinto, V., 1975. Dropout from Higher Education: A Theoretical Synthesis of Recent Research. </w:t>
      </w:r>
      <w:r w:rsidRPr="00C63BD6">
        <w:rPr>
          <w:rFonts w:ascii="Arial" w:hAnsi="Arial" w:cs="Arial"/>
          <w:i/>
          <w:sz w:val="22"/>
          <w:szCs w:val="22"/>
          <w:lang w:eastAsia="en-GB"/>
        </w:rPr>
        <w:t xml:space="preserve">Review of Educational Research, </w:t>
      </w:r>
      <w:r w:rsidRPr="00C63BD6">
        <w:rPr>
          <w:rFonts w:ascii="Arial" w:hAnsi="Arial" w:cs="Arial"/>
          <w:b/>
          <w:sz w:val="22"/>
          <w:szCs w:val="22"/>
          <w:lang w:eastAsia="en-GB"/>
        </w:rPr>
        <w:t>45</w:t>
      </w:r>
      <w:r w:rsidRPr="00C63BD6">
        <w:rPr>
          <w:rFonts w:ascii="Arial" w:hAnsi="Arial" w:cs="Arial"/>
          <w:sz w:val="22"/>
          <w:szCs w:val="22"/>
          <w:lang w:eastAsia="en-GB"/>
        </w:rPr>
        <w:t>(1), pp. 89-125</w:t>
      </w:r>
    </w:p>
    <w:p w14:paraId="0F37ACC9" w14:textId="77777777" w:rsidR="00C63BD6" w:rsidRPr="00C63BD6" w:rsidRDefault="00C63BD6" w:rsidP="00C63BD6">
      <w:pPr>
        <w:rPr>
          <w:rFonts w:ascii="Arial" w:hAnsi="Arial" w:cs="Arial"/>
          <w:sz w:val="22"/>
          <w:szCs w:val="22"/>
          <w:lang w:eastAsia="en-GB"/>
        </w:rPr>
      </w:pPr>
      <w:r w:rsidRPr="00C63BD6">
        <w:rPr>
          <w:rFonts w:ascii="Arial" w:hAnsi="Arial" w:cs="Arial"/>
          <w:sz w:val="22"/>
          <w:szCs w:val="22"/>
          <w:shd w:val="clear" w:color="auto" w:fill="FFFFFF"/>
          <w:lang w:eastAsia="en-GB"/>
        </w:rPr>
        <w:t xml:space="preserve">Universities Australia, (2018). Universities &amp; specialists work together on student. </w:t>
      </w:r>
      <w:r w:rsidRPr="00C63BD6">
        <w:rPr>
          <w:rFonts w:ascii="Arial" w:hAnsi="Arial" w:cs="Arial"/>
          <w:i/>
          <w:iCs/>
          <w:sz w:val="22"/>
          <w:szCs w:val="22"/>
          <w:lang w:eastAsia="en-GB"/>
        </w:rPr>
        <w:t>Universities Australia: Discover Learn Lead.</w:t>
      </w:r>
      <w:r w:rsidRPr="00C63BD6">
        <w:rPr>
          <w:rFonts w:ascii="Arial" w:hAnsi="Arial" w:cs="Arial"/>
          <w:sz w:val="22"/>
          <w:szCs w:val="22"/>
          <w:shd w:val="clear" w:color="auto" w:fill="FFFFFF"/>
          <w:lang w:eastAsia="en-GB"/>
        </w:rPr>
        <w:t xml:space="preserve"> Available at: https://www.universitiesaustralia.edu.au/Media-and-Events/media-releases/Universities---specialists-work-together-on-student-mental-health#.XNVdZ_ZFzcs [Accessed May 10, 2019]. </w:t>
      </w:r>
    </w:p>
    <w:p w14:paraId="65EC43DA" w14:textId="77777777" w:rsidR="00C63BD6" w:rsidRPr="00C63BD6" w:rsidRDefault="00C63BD6" w:rsidP="00C63BD6">
      <w:pPr>
        <w:ind w:left="720" w:hanging="720"/>
        <w:textAlignment w:val="baseline"/>
        <w:rPr>
          <w:rFonts w:ascii="Arial" w:hAnsi="Arial" w:cs="Arial"/>
          <w:color w:val="000000"/>
          <w:sz w:val="22"/>
          <w:szCs w:val="22"/>
          <w:lang w:eastAsia="en-GB"/>
        </w:rPr>
      </w:pPr>
    </w:p>
    <w:p w14:paraId="33F4022D" w14:textId="77777777" w:rsidR="00C63BD6" w:rsidRPr="00C63BD6" w:rsidRDefault="00C63BD6" w:rsidP="00C63BD6">
      <w:pPr>
        <w:textAlignment w:val="baseline"/>
        <w:rPr>
          <w:rFonts w:ascii="Arial" w:hAnsi="Arial" w:cs="Arial"/>
          <w:color w:val="000000"/>
          <w:sz w:val="22"/>
          <w:szCs w:val="22"/>
          <w:lang w:eastAsia="en-GB"/>
        </w:rPr>
      </w:pPr>
      <w:r w:rsidRPr="00C63BD6">
        <w:rPr>
          <w:rFonts w:ascii="Arial" w:hAnsi="Arial" w:cs="Arial"/>
          <w:color w:val="000000"/>
          <w:sz w:val="22"/>
          <w:szCs w:val="22"/>
          <w:lang w:eastAsia="en-GB"/>
        </w:rPr>
        <w:t xml:space="preserve">Universities UK, (2017). Mental health in higher education. </w:t>
      </w:r>
      <w:r w:rsidRPr="00C63BD6">
        <w:rPr>
          <w:rFonts w:ascii="Arial" w:hAnsi="Arial" w:cs="Arial"/>
          <w:i/>
          <w:color w:val="000000"/>
          <w:sz w:val="22"/>
          <w:szCs w:val="22"/>
          <w:lang w:eastAsia="en-GB"/>
        </w:rPr>
        <w:t>Universities UK</w:t>
      </w:r>
      <w:r w:rsidRPr="00C63BD6">
        <w:rPr>
          <w:rFonts w:ascii="Arial" w:hAnsi="Arial" w:cs="Arial"/>
          <w:color w:val="000000"/>
          <w:sz w:val="22"/>
          <w:szCs w:val="22"/>
          <w:lang w:eastAsia="en-GB"/>
        </w:rPr>
        <w:t xml:space="preserve">. Available at: </w:t>
      </w:r>
      <w:hyperlink r:id="rId21" w:history="1">
        <w:r w:rsidRPr="00C63BD6">
          <w:rPr>
            <w:rFonts w:ascii="Arial" w:hAnsi="Arial" w:cs="Arial"/>
            <w:color w:val="0000FF"/>
            <w:sz w:val="22"/>
            <w:szCs w:val="22"/>
            <w:u w:val="single"/>
            <w:lang w:eastAsia="en-GB"/>
          </w:rPr>
          <w:t>https://www.universitiesuk.ac.uk/stepchange</w:t>
        </w:r>
      </w:hyperlink>
      <w:r w:rsidRPr="00C63BD6">
        <w:rPr>
          <w:rFonts w:ascii="Arial" w:hAnsi="Arial" w:cs="Arial"/>
          <w:color w:val="000000"/>
          <w:sz w:val="22"/>
          <w:szCs w:val="22"/>
          <w:lang w:eastAsia="en-GB"/>
        </w:rPr>
        <w:t xml:space="preserve"> [Accessed May 10, 2019].</w:t>
      </w:r>
    </w:p>
    <w:p w14:paraId="3304351E" w14:textId="77777777" w:rsidR="00C63BD6" w:rsidRPr="00C63BD6" w:rsidRDefault="00C63BD6" w:rsidP="00C63BD6">
      <w:pPr>
        <w:textAlignment w:val="baseline"/>
        <w:rPr>
          <w:rFonts w:ascii="Arial" w:hAnsi="Arial" w:cs="Arial"/>
          <w:color w:val="000000"/>
          <w:sz w:val="22"/>
          <w:szCs w:val="22"/>
          <w:lang w:eastAsia="en-GB"/>
        </w:rPr>
      </w:pPr>
    </w:p>
    <w:p w14:paraId="43767F4A" w14:textId="77777777" w:rsidR="00C63BD6" w:rsidRPr="00C63BD6" w:rsidRDefault="00C63BD6" w:rsidP="00C63BD6">
      <w:pPr>
        <w:rPr>
          <w:rFonts w:ascii="Arial" w:hAnsi="Arial" w:cs="Arial"/>
          <w:sz w:val="22"/>
          <w:szCs w:val="22"/>
          <w:lang w:eastAsia="en-GB"/>
        </w:rPr>
      </w:pPr>
      <w:r w:rsidRPr="00C63BD6">
        <w:rPr>
          <w:rFonts w:ascii="Arial" w:hAnsi="Arial" w:cs="Arial"/>
          <w:sz w:val="22"/>
          <w:szCs w:val="22"/>
          <w:shd w:val="clear" w:color="auto" w:fill="FFFFFF"/>
          <w:lang w:eastAsia="en-GB"/>
        </w:rPr>
        <w:t xml:space="preserve">What Works Wellbeing, 2018. University of Derby: A warmer welcome for better wellbeing. </w:t>
      </w:r>
      <w:r w:rsidRPr="00C63BD6">
        <w:rPr>
          <w:rFonts w:ascii="Arial" w:hAnsi="Arial" w:cs="Arial"/>
          <w:i/>
          <w:iCs/>
          <w:sz w:val="22"/>
          <w:szCs w:val="22"/>
          <w:lang w:eastAsia="en-GB"/>
        </w:rPr>
        <w:t>What Works Centre for Wellbeing</w:t>
      </w:r>
      <w:r w:rsidRPr="00C63BD6">
        <w:rPr>
          <w:rFonts w:ascii="Arial" w:hAnsi="Arial" w:cs="Arial"/>
          <w:sz w:val="22"/>
          <w:szCs w:val="22"/>
          <w:shd w:val="clear" w:color="auto" w:fill="FFFFFF"/>
          <w:lang w:eastAsia="en-GB"/>
        </w:rPr>
        <w:t>. Available at: https://whatworkswellbeing.org/case-study/49677/ [Accessed May 10, 2019</w:t>
      </w:r>
      <w:r w:rsidRPr="00C63BD6">
        <w:rPr>
          <w:rFonts w:ascii="Arial" w:hAnsi="Arial" w:cs="Arial"/>
          <w:color w:val="333333"/>
          <w:sz w:val="22"/>
          <w:szCs w:val="22"/>
          <w:shd w:val="clear" w:color="auto" w:fill="FFFFFF"/>
          <w:lang w:eastAsia="en-GB"/>
        </w:rPr>
        <w:t xml:space="preserve">]. </w:t>
      </w:r>
    </w:p>
    <w:p w14:paraId="56264CB7" w14:textId="2D38F4BD" w:rsidR="00C63BD6" w:rsidRPr="00C63BD6" w:rsidRDefault="00C63BD6" w:rsidP="00C63BD6">
      <w:pPr>
        <w:ind w:right="-360"/>
        <w:rPr>
          <w:rFonts w:ascii="Arial" w:hAnsi="Arial" w:cs="Arial"/>
          <w:sz w:val="22"/>
          <w:szCs w:val="22"/>
        </w:rPr>
      </w:pPr>
    </w:p>
    <w:p w14:paraId="1659E3BF" w14:textId="77777777" w:rsidR="00C63BD6" w:rsidRPr="00C63BD6" w:rsidRDefault="00C63BD6" w:rsidP="00C63BD6">
      <w:pPr>
        <w:ind w:right="-360"/>
        <w:rPr>
          <w:rFonts w:ascii="Arial" w:hAnsi="Arial" w:cs="Arial"/>
          <w:sz w:val="22"/>
          <w:szCs w:val="22"/>
          <w:u w:val="single"/>
        </w:rPr>
      </w:pPr>
      <w:r w:rsidRPr="00C63BD6">
        <w:rPr>
          <w:rFonts w:ascii="Arial" w:hAnsi="Arial" w:cs="Arial"/>
          <w:sz w:val="22"/>
          <w:szCs w:val="22"/>
        </w:rPr>
        <w:t xml:space="preserve">Walker, J. (1979). Student Counselling Services. In </w:t>
      </w:r>
      <w:r w:rsidRPr="00C63BD6">
        <w:rPr>
          <w:rFonts w:ascii="Arial" w:hAnsi="Arial" w:cs="Arial"/>
          <w:i/>
          <w:sz w:val="22"/>
          <w:szCs w:val="22"/>
        </w:rPr>
        <w:t xml:space="preserve">Student Health Practice, ed Wilkinson. A. </w:t>
      </w:r>
      <w:r w:rsidRPr="00C63BD6">
        <w:rPr>
          <w:rFonts w:ascii="Arial" w:hAnsi="Arial" w:cs="Arial"/>
          <w:sz w:val="22"/>
          <w:szCs w:val="22"/>
        </w:rPr>
        <w:t>Tunbridge Wells: Pitman Medical Publishing Company Ltd.</w:t>
      </w:r>
    </w:p>
    <w:p w14:paraId="1182D302" w14:textId="77777777" w:rsidR="00C63BD6" w:rsidRPr="00C63BD6" w:rsidRDefault="00C63BD6" w:rsidP="00C63BD6">
      <w:pPr>
        <w:rPr>
          <w:rFonts w:ascii="Arial" w:hAnsi="Arial" w:cs="Arial"/>
          <w:sz w:val="22"/>
          <w:szCs w:val="22"/>
        </w:rPr>
      </w:pPr>
    </w:p>
    <w:p w14:paraId="62E5A52D" w14:textId="77777777" w:rsidR="00762DA5" w:rsidRPr="003D54A8" w:rsidRDefault="00762DA5" w:rsidP="00762DA5">
      <w:pPr>
        <w:ind w:right="-360"/>
        <w:rPr>
          <w:rFonts w:ascii="Calibri" w:hAnsi="Calibri" w:cs="Calibri"/>
          <w:sz w:val="22"/>
          <w:szCs w:val="22"/>
          <w:u w:val="single"/>
        </w:rPr>
      </w:pPr>
    </w:p>
    <w:p w14:paraId="1EFEAB0E" w14:textId="77777777" w:rsidR="00762DA5" w:rsidRPr="00512BF5" w:rsidRDefault="00762DA5" w:rsidP="003B12AD">
      <w:pPr>
        <w:ind w:right="-360"/>
        <w:rPr>
          <w:rFonts w:ascii="Calibri" w:hAnsi="Calibri" w:cs="Calibri"/>
          <w:sz w:val="22"/>
          <w:szCs w:val="22"/>
        </w:rPr>
      </w:pPr>
    </w:p>
    <w:p w14:paraId="2AF50DA8" w14:textId="77777777" w:rsidR="001A1227" w:rsidRPr="00512BF5" w:rsidRDefault="003B12AD" w:rsidP="00512BF5">
      <w:pPr>
        <w:pStyle w:val="Heading2"/>
        <w:pBdr>
          <w:top w:val="single" w:sz="4" w:space="1" w:color="auto"/>
          <w:left w:val="single" w:sz="4" w:space="4" w:color="auto"/>
          <w:bottom w:val="single" w:sz="4" w:space="1" w:color="auto"/>
          <w:right w:val="single" w:sz="4" w:space="4" w:color="auto"/>
        </w:pBdr>
        <w:shd w:val="clear" w:color="auto" w:fill="92CDDC"/>
        <w:spacing w:before="0" w:after="0"/>
        <w:rPr>
          <w:rFonts w:ascii="Cambria" w:hAnsi="Cambria" w:cs="Calibri"/>
          <w:b/>
        </w:rPr>
      </w:pPr>
      <w:r>
        <w:rPr>
          <w:rFonts w:ascii="Cambria" w:hAnsi="Cambria" w:cs="Calibri"/>
          <w:b/>
        </w:rPr>
        <w:t xml:space="preserve">Index </w:t>
      </w:r>
      <w:r w:rsidRPr="00512BF5">
        <w:rPr>
          <w:rFonts w:ascii="Calibri" w:hAnsi="Calibri" w:cs="Calibri"/>
          <w:sz w:val="20"/>
          <w:szCs w:val="20"/>
        </w:rPr>
        <w:t>(</w:t>
      </w:r>
      <w:r w:rsidR="003D7713">
        <w:rPr>
          <w:rFonts w:ascii="Calibri" w:hAnsi="Calibri" w:cs="Calibri"/>
          <w:sz w:val="20"/>
          <w:szCs w:val="20"/>
        </w:rPr>
        <w:t>highlight index terms in green in your manuscript</w:t>
      </w:r>
      <w:r w:rsidRPr="00512BF5">
        <w:rPr>
          <w:rFonts w:ascii="Calibri" w:hAnsi="Calibri" w:cs="Calibri"/>
          <w:sz w:val="20"/>
          <w:szCs w:val="20"/>
        </w:rPr>
        <w:t>)</w:t>
      </w:r>
    </w:p>
    <w:p w14:paraId="1619AA25" w14:textId="77777777" w:rsidR="00512BF5" w:rsidRDefault="00512BF5" w:rsidP="00512BF5">
      <w:pPr>
        <w:ind w:right="-360"/>
        <w:rPr>
          <w:rFonts w:ascii="Calibri" w:hAnsi="Calibri" w:cs="Calibri"/>
          <w:sz w:val="8"/>
          <w:szCs w:val="8"/>
        </w:rPr>
      </w:pPr>
    </w:p>
    <w:p w14:paraId="71A1052F" w14:textId="77777777" w:rsidR="005E00B3" w:rsidRPr="003D23E5" w:rsidRDefault="003D23E5" w:rsidP="00512BF5">
      <w:pPr>
        <w:ind w:right="-360"/>
        <w:rPr>
          <w:rFonts w:ascii="Arial" w:hAnsi="Arial" w:cs="Arial"/>
        </w:rPr>
      </w:pPr>
      <w:r>
        <w:rPr>
          <w:rFonts w:ascii="Arial" w:hAnsi="Arial" w:cs="Arial"/>
        </w:rPr>
        <w:t>The mental health of students</w:t>
      </w:r>
    </w:p>
    <w:p w14:paraId="4950E1AC" w14:textId="77777777" w:rsidR="003D23E5" w:rsidRDefault="003D23E5" w:rsidP="00512BF5">
      <w:pPr>
        <w:ind w:right="-360"/>
        <w:rPr>
          <w:rFonts w:ascii="Calibri" w:hAnsi="Calibri" w:cs="Calibri"/>
          <w:sz w:val="8"/>
          <w:szCs w:val="8"/>
        </w:rPr>
      </w:pPr>
    </w:p>
    <w:p w14:paraId="3EEE583B" w14:textId="77777777" w:rsidR="003D23E5" w:rsidRDefault="003D23E5" w:rsidP="00512BF5">
      <w:pPr>
        <w:ind w:right="-360"/>
        <w:rPr>
          <w:rFonts w:ascii="Calibri" w:hAnsi="Calibri" w:cs="Calibri"/>
          <w:sz w:val="8"/>
          <w:szCs w:val="8"/>
        </w:rPr>
      </w:pPr>
    </w:p>
    <w:p w14:paraId="58BB939E" w14:textId="77777777" w:rsidR="005E00B3" w:rsidRPr="00512BF5" w:rsidRDefault="005E00B3" w:rsidP="005E00B3">
      <w:pPr>
        <w:ind w:right="-360"/>
        <w:rPr>
          <w:rFonts w:ascii="Calibri" w:hAnsi="Calibri" w:cs="Calibri"/>
          <w:sz w:val="22"/>
          <w:szCs w:val="22"/>
        </w:rPr>
      </w:pPr>
    </w:p>
    <w:p w14:paraId="2F1AF97A" w14:textId="77777777" w:rsidR="005E00B3" w:rsidRPr="00512BF5" w:rsidRDefault="005E00B3" w:rsidP="005E00B3">
      <w:pPr>
        <w:pStyle w:val="Heading2"/>
        <w:pBdr>
          <w:top w:val="single" w:sz="4" w:space="1" w:color="auto"/>
          <w:left w:val="single" w:sz="4" w:space="4" w:color="auto"/>
          <w:bottom w:val="single" w:sz="4" w:space="1" w:color="auto"/>
          <w:right w:val="single" w:sz="4" w:space="4" w:color="auto"/>
        </w:pBdr>
        <w:shd w:val="clear" w:color="auto" w:fill="92CDDC"/>
        <w:spacing w:before="0" w:after="0"/>
        <w:rPr>
          <w:rFonts w:ascii="Cambria" w:hAnsi="Cambria" w:cs="Calibri"/>
          <w:b/>
        </w:rPr>
      </w:pPr>
      <w:r>
        <w:rPr>
          <w:rFonts w:ascii="Cambria" w:hAnsi="Cambria" w:cs="Calibri"/>
          <w:b/>
        </w:rPr>
        <w:t xml:space="preserve">Captions </w:t>
      </w:r>
      <w:r w:rsidRPr="00512BF5">
        <w:rPr>
          <w:rFonts w:ascii="Calibri" w:hAnsi="Calibri" w:cs="Calibri"/>
          <w:sz w:val="20"/>
          <w:szCs w:val="20"/>
        </w:rPr>
        <w:t>(</w:t>
      </w:r>
      <w:r>
        <w:rPr>
          <w:rFonts w:ascii="Calibri" w:hAnsi="Calibri" w:cs="Calibri"/>
          <w:sz w:val="20"/>
          <w:szCs w:val="20"/>
        </w:rPr>
        <w:t>insert figure/table legends; number them consecutively, e.g., Fig. 1, Fig. 2, Table 1, Table 2</w:t>
      </w:r>
      <w:r w:rsidRPr="00512BF5">
        <w:rPr>
          <w:rFonts w:ascii="Calibri" w:hAnsi="Calibri" w:cs="Calibri"/>
          <w:sz w:val="20"/>
          <w:szCs w:val="20"/>
        </w:rPr>
        <w:t>)</w:t>
      </w:r>
    </w:p>
    <w:p w14:paraId="38E1986F" w14:textId="77777777" w:rsidR="005E00B3" w:rsidRDefault="003D23E5" w:rsidP="005E00B3">
      <w:pPr>
        <w:ind w:right="-360"/>
        <w:rPr>
          <w:rFonts w:ascii="Arial" w:hAnsi="Arial" w:cs="Arial"/>
        </w:rPr>
      </w:pPr>
      <w:r>
        <w:rPr>
          <w:rFonts w:ascii="Arial" w:hAnsi="Arial" w:cs="Arial"/>
        </w:rPr>
        <w:t xml:space="preserve"> Fig 1: the transactional relationship between student leaning and wellbeing</w:t>
      </w:r>
    </w:p>
    <w:p w14:paraId="41A1AF5E" w14:textId="77777777" w:rsidR="003D23E5" w:rsidRDefault="003D23E5" w:rsidP="005E00B3">
      <w:pPr>
        <w:ind w:right="-360"/>
        <w:rPr>
          <w:rFonts w:ascii="Arial" w:hAnsi="Arial" w:cs="Arial"/>
        </w:rPr>
      </w:pPr>
    </w:p>
    <w:p w14:paraId="72D18934" w14:textId="77777777" w:rsidR="003D23E5" w:rsidRDefault="003D23E5" w:rsidP="005E00B3">
      <w:pPr>
        <w:ind w:right="-360"/>
        <w:rPr>
          <w:rFonts w:ascii="Arial" w:hAnsi="Arial" w:cs="Arial"/>
        </w:rPr>
      </w:pPr>
      <w:r>
        <w:rPr>
          <w:rFonts w:ascii="Arial" w:hAnsi="Arial" w:cs="Arial"/>
        </w:rPr>
        <w:t>Fig 2: view of student wellbeing responses with curriculum at the core</w:t>
      </w:r>
    </w:p>
    <w:p w14:paraId="6B898AD8" w14:textId="77777777" w:rsidR="003D23E5" w:rsidRDefault="003D23E5" w:rsidP="005E00B3">
      <w:pPr>
        <w:ind w:right="-360"/>
        <w:rPr>
          <w:rFonts w:ascii="Arial" w:hAnsi="Arial" w:cs="Arial"/>
        </w:rPr>
      </w:pPr>
    </w:p>
    <w:p w14:paraId="16A08385" w14:textId="77777777" w:rsidR="003D23E5" w:rsidRDefault="003D23E5" w:rsidP="005E00B3">
      <w:pPr>
        <w:ind w:right="-360"/>
        <w:rPr>
          <w:rFonts w:ascii="Arial" w:hAnsi="Arial" w:cs="Arial"/>
        </w:rPr>
      </w:pPr>
      <w:r>
        <w:rPr>
          <w:rFonts w:ascii="Arial" w:hAnsi="Arial" w:cs="Arial"/>
        </w:rPr>
        <w:t>Fig 3: holistic model of student wellbeing</w:t>
      </w:r>
    </w:p>
    <w:p w14:paraId="26E25352" w14:textId="77777777" w:rsidR="003D23E5" w:rsidRDefault="003D23E5" w:rsidP="005E00B3">
      <w:pPr>
        <w:ind w:right="-360"/>
        <w:rPr>
          <w:rFonts w:ascii="Arial" w:hAnsi="Arial" w:cs="Arial"/>
        </w:rPr>
      </w:pPr>
    </w:p>
    <w:p w14:paraId="53A327A3" w14:textId="77777777" w:rsidR="003D23E5" w:rsidRDefault="003D23E5" w:rsidP="005E00B3">
      <w:pPr>
        <w:ind w:right="-360"/>
        <w:rPr>
          <w:rFonts w:ascii="Arial" w:hAnsi="Arial" w:cs="Arial"/>
        </w:rPr>
      </w:pPr>
      <w:r>
        <w:rPr>
          <w:rFonts w:ascii="Arial" w:hAnsi="Arial" w:cs="Arial"/>
        </w:rPr>
        <w:t>Fig 4: interaction of genes, environment and learning</w:t>
      </w:r>
    </w:p>
    <w:p w14:paraId="3534708E" w14:textId="77777777" w:rsidR="003D23E5" w:rsidRDefault="003D23E5" w:rsidP="005E00B3">
      <w:pPr>
        <w:ind w:right="-360"/>
        <w:rPr>
          <w:rFonts w:ascii="Arial" w:hAnsi="Arial" w:cs="Arial"/>
        </w:rPr>
      </w:pPr>
    </w:p>
    <w:p w14:paraId="37CED758" w14:textId="77777777" w:rsidR="003D23E5" w:rsidRDefault="003D23E5" w:rsidP="005E00B3">
      <w:pPr>
        <w:ind w:right="-360"/>
        <w:rPr>
          <w:rFonts w:ascii="Arial" w:hAnsi="Arial" w:cs="Arial"/>
        </w:rPr>
      </w:pPr>
      <w:r>
        <w:rPr>
          <w:rFonts w:ascii="Arial" w:hAnsi="Arial" w:cs="Arial"/>
        </w:rPr>
        <w:t>Fig 5: research, practice and teaching model of Student Services</w:t>
      </w:r>
    </w:p>
    <w:p w14:paraId="15282A0E" w14:textId="77777777" w:rsidR="003D23E5" w:rsidRDefault="003D23E5" w:rsidP="005E00B3">
      <w:pPr>
        <w:ind w:right="-360"/>
        <w:rPr>
          <w:rFonts w:ascii="Arial" w:hAnsi="Arial" w:cs="Arial"/>
        </w:rPr>
      </w:pPr>
    </w:p>
    <w:p w14:paraId="40E221D2" w14:textId="77777777" w:rsidR="003D23E5" w:rsidRDefault="003D23E5" w:rsidP="005E00B3">
      <w:pPr>
        <w:ind w:right="-360"/>
        <w:rPr>
          <w:rFonts w:ascii="Arial" w:hAnsi="Arial" w:cs="Arial"/>
        </w:rPr>
      </w:pPr>
      <w:r>
        <w:rPr>
          <w:rFonts w:ascii="Arial" w:hAnsi="Arial" w:cs="Arial"/>
        </w:rPr>
        <w:t>Fig 6: Collaborative model of working between academics and student services – overlapping but clear boundaries remain</w:t>
      </w:r>
    </w:p>
    <w:p w14:paraId="3E383ABF" w14:textId="77777777" w:rsidR="003D23E5" w:rsidRDefault="003D23E5" w:rsidP="005E00B3">
      <w:pPr>
        <w:ind w:right="-360"/>
        <w:rPr>
          <w:rFonts w:ascii="Arial" w:hAnsi="Arial" w:cs="Arial"/>
        </w:rPr>
      </w:pPr>
    </w:p>
    <w:p w14:paraId="0E3299D7" w14:textId="77777777" w:rsidR="003D23E5" w:rsidRPr="003D23E5" w:rsidRDefault="003D23E5" w:rsidP="005E00B3">
      <w:pPr>
        <w:ind w:right="-360"/>
        <w:rPr>
          <w:rFonts w:ascii="Arial" w:hAnsi="Arial" w:cs="Arial"/>
        </w:rPr>
      </w:pPr>
      <w:r>
        <w:rPr>
          <w:rFonts w:ascii="Arial" w:hAnsi="Arial" w:cs="Arial"/>
        </w:rPr>
        <w:t>Table 1: deep vs surface learning</w:t>
      </w:r>
    </w:p>
    <w:sectPr w:rsidR="003D23E5" w:rsidRPr="003D23E5" w:rsidSect="003005C8">
      <w:headerReference w:type="even" r:id="rId22"/>
      <w:headerReference w:type="default" r:id="rId23"/>
      <w:footerReference w:type="even" r:id="rId24"/>
      <w:footerReference w:type="default" r:id="rId25"/>
      <w:headerReference w:type="first" r:id="rId26"/>
      <w:footerReference w:type="first" r:id="rId27"/>
      <w:pgSz w:w="11907" w:h="16840" w:code="9"/>
      <w:pgMar w:top="1418" w:right="1701" w:bottom="1134" w:left="1418"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A50353" w14:textId="77777777" w:rsidR="000E6B8F" w:rsidRDefault="000E6B8F" w:rsidP="0070053C">
      <w:r>
        <w:separator/>
      </w:r>
    </w:p>
  </w:endnote>
  <w:endnote w:type="continuationSeparator" w:id="0">
    <w:p w14:paraId="3A9CAF53" w14:textId="77777777" w:rsidR="000E6B8F" w:rsidRDefault="000E6B8F" w:rsidP="00700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amp;quo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C70FC" w14:textId="77777777" w:rsidR="00144962" w:rsidRDefault="001449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1438678"/>
      <w:docPartObj>
        <w:docPartGallery w:val="Page Numbers (Bottom of Page)"/>
        <w:docPartUnique/>
      </w:docPartObj>
    </w:sdtPr>
    <w:sdtEndPr>
      <w:rPr>
        <w:noProof/>
      </w:rPr>
    </w:sdtEndPr>
    <w:sdtContent>
      <w:p w14:paraId="27E4FCE3" w14:textId="6DDC9A72" w:rsidR="008C3EE4" w:rsidRDefault="008C3EE4">
        <w:pPr>
          <w:pStyle w:val="Footer"/>
          <w:jc w:val="right"/>
        </w:pPr>
        <w:r>
          <w:fldChar w:fldCharType="begin"/>
        </w:r>
        <w:r>
          <w:instrText xml:space="preserve"> PAGE   \* MERGEFORMAT </w:instrText>
        </w:r>
        <w:r>
          <w:fldChar w:fldCharType="separate"/>
        </w:r>
        <w:r w:rsidR="000E6B8F">
          <w:rPr>
            <w:noProof/>
          </w:rPr>
          <w:t>1</w:t>
        </w:r>
        <w:r>
          <w:rPr>
            <w:noProof/>
          </w:rPr>
          <w:fldChar w:fldCharType="end"/>
        </w:r>
      </w:p>
    </w:sdtContent>
  </w:sdt>
  <w:p w14:paraId="16C6503B" w14:textId="479E5BA6" w:rsidR="008C3EE4" w:rsidRDefault="00144962">
    <w:pPr>
      <w:pStyle w:val="Footer"/>
    </w:pPr>
    <w:r>
      <w:rPr>
        <w:noProof/>
        <w:lang w:eastAsia="en-GB"/>
      </w:rPr>
      <mc:AlternateContent>
        <mc:Choice Requires="wps">
          <w:drawing>
            <wp:anchor distT="0" distB="0" distL="114300" distR="114300" simplePos="0" relativeHeight="251659264" behindDoc="0" locked="0" layoutInCell="0" allowOverlap="1" wp14:anchorId="212EB930" wp14:editId="7684792B">
              <wp:simplePos x="0" y="0"/>
              <wp:positionH relativeFrom="page">
                <wp:posOffset>0</wp:posOffset>
              </wp:positionH>
              <wp:positionV relativeFrom="page">
                <wp:posOffset>10236200</wp:posOffset>
              </wp:positionV>
              <wp:extent cx="7560945" cy="266700"/>
              <wp:effectExtent l="0" t="0" r="0" b="0"/>
              <wp:wrapNone/>
              <wp:docPr id="1" name="MSIPCM33c64af49d32faf5131961b9" descr="{&quot;HashCode&quot;:26981837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ABAB2F" w14:textId="6444248B" w:rsidR="00144962" w:rsidRPr="00144962" w:rsidRDefault="00144962" w:rsidP="00144962">
                          <w:pPr>
                            <w:rPr>
                              <w:rFonts w:ascii="Calibri" w:hAnsi="Calibri" w:cs="Calibri"/>
                              <w:color w:val="000000"/>
                            </w:rPr>
                          </w:pPr>
                          <w:r w:rsidRPr="00144962">
                            <w:rPr>
                              <w:rFonts w:ascii="Calibri" w:hAnsi="Calibri" w:cs="Calibri"/>
                              <w:color w:val="000000"/>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2EB930" id="_x0000_t202" coordsize="21600,21600" o:spt="202" path="m,l,21600r21600,l21600,xe">
              <v:stroke joinstyle="miter"/>
              <v:path gradientshapeok="t" o:connecttype="rect"/>
            </v:shapetype>
            <v:shape id="MSIPCM33c64af49d32faf5131961b9" o:spid="_x0000_s1026" type="#_x0000_t202" alt="{&quot;HashCode&quot;:269818377,&quot;Height&quot;:842.0,&quot;Width&quot;:595.0,&quot;Placement&quot;:&quot;Footer&quot;,&quot;Index&quot;:&quot;Primary&quot;,&quot;Section&quot;:1,&quot;Top&quot;:0.0,&quot;Left&quot;:0.0}" style="position:absolute;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" o:allowincell="f" filled="f" stroked="f" strokeweight=".5pt">
              <v:fill o:detectmouseclick="t"/>
              <v:textbox inset="20pt,0,,0">
                <w:txbxContent>
                  <w:p w14:paraId="4BABAB2F" w14:textId="6444248B" w:rsidR="00144962" w:rsidRPr="00144962" w:rsidRDefault="00144962" w:rsidP="00144962">
                    <w:pPr>
                      <w:rPr>
                        <w:rFonts w:ascii="Calibri" w:hAnsi="Calibri" w:cs="Calibri"/>
                        <w:color w:val="000000"/>
                      </w:rPr>
                    </w:pPr>
                    <w:r w:rsidRPr="00144962">
                      <w:rPr>
                        <w:rFonts w:ascii="Calibri" w:hAnsi="Calibri" w:cs="Calibri"/>
                        <w:color w:val="000000"/>
                      </w:rPr>
                      <w:t>Sensitivity: Internal</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4EDDF" w14:textId="77777777" w:rsidR="00144962" w:rsidRDefault="001449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FD44D" w14:textId="77777777" w:rsidR="000E6B8F" w:rsidRDefault="000E6B8F" w:rsidP="0070053C">
      <w:r>
        <w:separator/>
      </w:r>
    </w:p>
  </w:footnote>
  <w:footnote w:type="continuationSeparator" w:id="0">
    <w:p w14:paraId="55AE3973" w14:textId="77777777" w:rsidR="000E6B8F" w:rsidRDefault="000E6B8F" w:rsidP="007005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8D687" w14:textId="77777777" w:rsidR="00144962" w:rsidRDefault="001449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0149E" w14:textId="77777777" w:rsidR="00F21F6A" w:rsidRPr="00762DA5" w:rsidRDefault="00F21F6A" w:rsidP="0070053C">
    <w:pPr>
      <w:pStyle w:val="Header"/>
      <w:pBdr>
        <w:bottom w:val="single" w:sz="6" w:space="1" w:color="auto"/>
      </w:pBdr>
      <w:rPr>
        <w:rFonts w:ascii="Cambria" w:hAnsi="Cambria" w:cs="Segoe UI"/>
        <w:b/>
        <w:sz w:val="30"/>
        <w:szCs w:val="30"/>
      </w:rPr>
    </w:pPr>
    <w:r w:rsidRPr="00762DA5">
      <w:rPr>
        <w:rFonts w:ascii="Cambria" w:hAnsi="Cambria" w:cs="Segoe UI"/>
        <w:b/>
        <w:sz w:val="30"/>
        <w:szCs w:val="30"/>
      </w:rPr>
      <w:t>Sample Chapter Template</w:t>
    </w:r>
  </w:p>
  <w:p w14:paraId="54C3DA99" w14:textId="77777777" w:rsidR="00F21F6A" w:rsidRPr="0070053C" w:rsidRDefault="00F21F6A" w:rsidP="0070053C">
    <w:pPr>
      <w:pStyle w:val="Header"/>
      <w:pBdr>
        <w:bottom w:val="single" w:sz="6" w:space="1" w:color="auto"/>
      </w:pBdr>
      <w:rPr>
        <w:rFonts w:ascii="Cambria" w:hAnsi="Cambria" w:cs="Segoe UI"/>
        <w:b/>
        <w:sz w:val="4"/>
        <w:szCs w:val="4"/>
      </w:rPr>
    </w:pPr>
  </w:p>
  <w:p w14:paraId="78A5FA51" w14:textId="77777777" w:rsidR="00F21F6A" w:rsidRDefault="00F21F6A" w:rsidP="0070053C">
    <w:pPr>
      <w:pStyle w:val="Header"/>
      <w:rPr>
        <w:rFonts w:ascii="Cambria" w:hAnsi="Cambria" w:cs="Segoe UI"/>
        <w:b/>
        <w:sz w:val="20"/>
        <w:szCs w:val="20"/>
      </w:rPr>
    </w:pPr>
  </w:p>
  <w:p w14:paraId="1280F45B" w14:textId="77777777" w:rsidR="00F21F6A" w:rsidRPr="0070053C" w:rsidRDefault="00F21F6A" w:rsidP="0070053C">
    <w:pPr>
      <w:pStyle w:val="Header"/>
      <w:rPr>
        <w:rFonts w:ascii="Cambria" w:hAnsi="Cambria" w:cs="Segoe UI"/>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F37CD" w14:textId="77777777" w:rsidR="00144962" w:rsidRDefault="001449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07C2C36"/>
    <w:lvl w:ilvl="0">
      <w:numFmt w:val="bullet"/>
      <w:lvlText w:val="*"/>
      <w:lvlJc w:val="left"/>
    </w:lvl>
  </w:abstractNum>
  <w:abstractNum w:abstractNumId="1" w15:restartNumberingAfterBreak="0">
    <w:nsid w:val="11B618C3"/>
    <w:multiLevelType w:val="hybridMultilevel"/>
    <w:tmpl w:val="5ED6D690"/>
    <w:lvl w:ilvl="0" w:tplc="36C0D5BA">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740740"/>
    <w:multiLevelType w:val="hybridMultilevel"/>
    <w:tmpl w:val="3CA602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DF6EF7"/>
    <w:multiLevelType w:val="hybridMultilevel"/>
    <w:tmpl w:val="B0FC39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C76303"/>
    <w:multiLevelType w:val="hybridMultilevel"/>
    <w:tmpl w:val="468858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323C1B"/>
    <w:multiLevelType w:val="hybridMultilevel"/>
    <w:tmpl w:val="B0FC39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2557B7"/>
    <w:multiLevelType w:val="multilevel"/>
    <w:tmpl w:val="79E6F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FD12508"/>
    <w:multiLevelType w:val="hybridMultilevel"/>
    <w:tmpl w:val="7FD6CF7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61B52C51"/>
    <w:multiLevelType w:val="hybridMultilevel"/>
    <w:tmpl w:val="3CA602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6A1925"/>
    <w:multiLevelType w:val="hybridMultilevel"/>
    <w:tmpl w:val="8702D818"/>
    <w:lvl w:ilvl="0" w:tplc="36C0D5BA">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7036C6"/>
    <w:multiLevelType w:val="hybridMultilevel"/>
    <w:tmpl w:val="FF2AA9A0"/>
    <w:lvl w:ilvl="0" w:tplc="36C0D5BA">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69655B"/>
    <w:multiLevelType w:val="hybridMultilevel"/>
    <w:tmpl w:val="63E84B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10"/>
  </w:num>
  <w:num w:numId="4">
    <w:abstractNumId w:val="7"/>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4"/>
  </w:num>
  <w:num w:numId="7">
    <w:abstractNumId w:val="8"/>
  </w:num>
  <w:num w:numId="8">
    <w:abstractNumId w:val="2"/>
  </w:num>
  <w:num w:numId="9">
    <w:abstractNumId w:val="6"/>
  </w:num>
  <w:num w:numId="10">
    <w:abstractNumId w:val="11"/>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5C8"/>
    <w:rsid w:val="0000310D"/>
    <w:rsid w:val="00007E0B"/>
    <w:rsid w:val="0004218B"/>
    <w:rsid w:val="00050553"/>
    <w:rsid w:val="00053B2B"/>
    <w:rsid w:val="00055F87"/>
    <w:rsid w:val="000605B3"/>
    <w:rsid w:val="000735D1"/>
    <w:rsid w:val="000735F7"/>
    <w:rsid w:val="00080AAE"/>
    <w:rsid w:val="00081661"/>
    <w:rsid w:val="00091BB4"/>
    <w:rsid w:val="00096455"/>
    <w:rsid w:val="00097902"/>
    <w:rsid w:val="000A65A9"/>
    <w:rsid w:val="000C5E01"/>
    <w:rsid w:val="000E6B8F"/>
    <w:rsid w:val="00114439"/>
    <w:rsid w:val="00116739"/>
    <w:rsid w:val="001173CE"/>
    <w:rsid w:val="00122D63"/>
    <w:rsid w:val="00133130"/>
    <w:rsid w:val="001446AD"/>
    <w:rsid w:val="00144962"/>
    <w:rsid w:val="001458B7"/>
    <w:rsid w:val="0015643E"/>
    <w:rsid w:val="001625DC"/>
    <w:rsid w:val="00173D77"/>
    <w:rsid w:val="001773E1"/>
    <w:rsid w:val="0018765A"/>
    <w:rsid w:val="0019061F"/>
    <w:rsid w:val="001A1227"/>
    <w:rsid w:val="001A1F43"/>
    <w:rsid w:val="001C6DAF"/>
    <w:rsid w:val="001E2972"/>
    <w:rsid w:val="001E2AE7"/>
    <w:rsid w:val="001F1771"/>
    <w:rsid w:val="001F5516"/>
    <w:rsid w:val="00210349"/>
    <w:rsid w:val="00210AD2"/>
    <w:rsid w:val="0021212C"/>
    <w:rsid w:val="0022226B"/>
    <w:rsid w:val="00222F40"/>
    <w:rsid w:val="00224A36"/>
    <w:rsid w:val="00231DAC"/>
    <w:rsid w:val="0023724C"/>
    <w:rsid w:val="00244BF3"/>
    <w:rsid w:val="00246FAF"/>
    <w:rsid w:val="00247890"/>
    <w:rsid w:val="00250E21"/>
    <w:rsid w:val="00260025"/>
    <w:rsid w:val="0026157B"/>
    <w:rsid w:val="00270568"/>
    <w:rsid w:val="0027147F"/>
    <w:rsid w:val="00274C30"/>
    <w:rsid w:val="002817EA"/>
    <w:rsid w:val="002A085E"/>
    <w:rsid w:val="002A120E"/>
    <w:rsid w:val="002B0425"/>
    <w:rsid w:val="002B4801"/>
    <w:rsid w:val="002C00F6"/>
    <w:rsid w:val="002C4E13"/>
    <w:rsid w:val="002D7CB6"/>
    <w:rsid w:val="002D7D89"/>
    <w:rsid w:val="002E216F"/>
    <w:rsid w:val="002F0E8C"/>
    <w:rsid w:val="002F1411"/>
    <w:rsid w:val="002F2311"/>
    <w:rsid w:val="002F42D5"/>
    <w:rsid w:val="002F6EEC"/>
    <w:rsid w:val="003005C8"/>
    <w:rsid w:val="00322EF9"/>
    <w:rsid w:val="003243A7"/>
    <w:rsid w:val="00324DE7"/>
    <w:rsid w:val="00331135"/>
    <w:rsid w:val="0033376D"/>
    <w:rsid w:val="00340642"/>
    <w:rsid w:val="003535C3"/>
    <w:rsid w:val="00356CA8"/>
    <w:rsid w:val="00371EF6"/>
    <w:rsid w:val="003761E5"/>
    <w:rsid w:val="00383869"/>
    <w:rsid w:val="0038531D"/>
    <w:rsid w:val="003A01A3"/>
    <w:rsid w:val="003A1F8E"/>
    <w:rsid w:val="003B12AD"/>
    <w:rsid w:val="003B1512"/>
    <w:rsid w:val="003B1B81"/>
    <w:rsid w:val="003B5303"/>
    <w:rsid w:val="003B60E7"/>
    <w:rsid w:val="003B63F7"/>
    <w:rsid w:val="003B67BA"/>
    <w:rsid w:val="003B6EC2"/>
    <w:rsid w:val="003B7E95"/>
    <w:rsid w:val="003C689C"/>
    <w:rsid w:val="003C6F57"/>
    <w:rsid w:val="003C747E"/>
    <w:rsid w:val="003D23E5"/>
    <w:rsid w:val="003D54A8"/>
    <w:rsid w:val="003D7713"/>
    <w:rsid w:val="003E4E01"/>
    <w:rsid w:val="003E6897"/>
    <w:rsid w:val="003F0784"/>
    <w:rsid w:val="003F4354"/>
    <w:rsid w:val="003F5B07"/>
    <w:rsid w:val="00403051"/>
    <w:rsid w:val="0041007E"/>
    <w:rsid w:val="00415D52"/>
    <w:rsid w:val="004160AA"/>
    <w:rsid w:val="004211A8"/>
    <w:rsid w:val="00450903"/>
    <w:rsid w:val="004836B7"/>
    <w:rsid w:val="00485DCD"/>
    <w:rsid w:val="004A4C52"/>
    <w:rsid w:val="004B195F"/>
    <w:rsid w:val="004C3573"/>
    <w:rsid w:val="004C3B4D"/>
    <w:rsid w:val="004D2288"/>
    <w:rsid w:val="004D7566"/>
    <w:rsid w:val="004F4CDB"/>
    <w:rsid w:val="004F5850"/>
    <w:rsid w:val="00500A64"/>
    <w:rsid w:val="00512BF5"/>
    <w:rsid w:val="00512F97"/>
    <w:rsid w:val="00551C68"/>
    <w:rsid w:val="00561425"/>
    <w:rsid w:val="00570E3B"/>
    <w:rsid w:val="005760B6"/>
    <w:rsid w:val="005E00B3"/>
    <w:rsid w:val="005F7FCB"/>
    <w:rsid w:val="006054B1"/>
    <w:rsid w:val="00607A01"/>
    <w:rsid w:val="00622744"/>
    <w:rsid w:val="00624391"/>
    <w:rsid w:val="00634A95"/>
    <w:rsid w:val="00640785"/>
    <w:rsid w:val="006515AA"/>
    <w:rsid w:val="00676235"/>
    <w:rsid w:val="006917CA"/>
    <w:rsid w:val="006A6498"/>
    <w:rsid w:val="006B0D12"/>
    <w:rsid w:val="006B254B"/>
    <w:rsid w:val="006B30D4"/>
    <w:rsid w:val="006B4CE3"/>
    <w:rsid w:val="006C4414"/>
    <w:rsid w:val="006E29CD"/>
    <w:rsid w:val="006E5FE9"/>
    <w:rsid w:val="006E6D29"/>
    <w:rsid w:val="006F0B7A"/>
    <w:rsid w:val="006F1B6E"/>
    <w:rsid w:val="007000F4"/>
    <w:rsid w:val="0070053C"/>
    <w:rsid w:val="00702049"/>
    <w:rsid w:val="007116B7"/>
    <w:rsid w:val="00737F80"/>
    <w:rsid w:val="0074736E"/>
    <w:rsid w:val="0075178C"/>
    <w:rsid w:val="00762DA5"/>
    <w:rsid w:val="007632A1"/>
    <w:rsid w:val="007648F2"/>
    <w:rsid w:val="00767D95"/>
    <w:rsid w:val="00771BCB"/>
    <w:rsid w:val="007733D8"/>
    <w:rsid w:val="00776A27"/>
    <w:rsid w:val="00782050"/>
    <w:rsid w:val="007852F0"/>
    <w:rsid w:val="00793AA5"/>
    <w:rsid w:val="00797D7E"/>
    <w:rsid w:val="007A3BA4"/>
    <w:rsid w:val="007B02B5"/>
    <w:rsid w:val="007B5D6A"/>
    <w:rsid w:val="007C3E4E"/>
    <w:rsid w:val="007D73D0"/>
    <w:rsid w:val="007E06F9"/>
    <w:rsid w:val="00807C74"/>
    <w:rsid w:val="00813EA5"/>
    <w:rsid w:val="0081407C"/>
    <w:rsid w:val="008311B2"/>
    <w:rsid w:val="00833918"/>
    <w:rsid w:val="008463F3"/>
    <w:rsid w:val="008501EE"/>
    <w:rsid w:val="008655B3"/>
    <w:rsid w:val="00870E36"/>
    <w:rsid w:val="00871257"/>
    <w:rsid w:val="008951BA"/>
    <w:rsid w:val="008A22AD"/>
    <w:rsid w:val="008B0880"/>
    <w:rsid w:val="008C3EE4"/>
    <w:rsid w:val="008F383F"/>
    <w:rsid w:val="0091036D"/>
    <w:rsid w:val="0091163C"/>
    <w:rsid w:val="00925DDD"/>
    <w:rsid w:val="00940AE4"/>
    <w:rsid w:val="00960350"/>
    <w:rsid w:val="00961529"/>
    <w:rsid w:val="00963F25"/>
    <w:rsid w:val="00970AE0"/>
    <w:rsid w:val="00987926"/>
    <w:rsid w:val="009A2C41"/>
    <w:rsid w:val="009B6653"/>
    <w:rsid w:val="009C04E8"/>
    <w:rsid w:val="009C7590"/>
    <w:rsid w:val="009D6967"/>
    <w:rsid w:val="009E0523"/>
    <w:rsid w:val="009E5016"/>
    <w:rsid w:val="009F4202"/>
    <w:rsid w:val="00A1655D"/>
    <w:rsid w:val="00A26BE2"/>
    <w:rsid w:val="00A35A81"/>
    <w:rsid w:val="00A37499"/>
    <w:rsid w:val="00A41402"/>
    <w:rsid w:val="00A430B4"/>
    <w:rsid w:val="00A55DB8"/>
    <w:rsid w:val="00A67B99"/>
    <w:rsid w:val="00A856C8"/>
    <w:rsid w:val="00A85DFD"/>
    <w:rsid w:val="00A87CA8"/>
    <w:rsid w:val="00A97B76"/>
    <w:rsid w:val="00AB429B"/>
    <w:rsid w:val="00AB51DC"/>
    <w:rsid w:val="00AC7D5A"/>
    <w:rsid w:val="00B11CC4"/>
    <w:rsid w:val="00B23F80"/>
    <w:rsid w:val="00B30015"/>
    <w:rsid w:val="00B367CF"/>
    <w:rsid w:val="00B419BC"/>
    <w:rsid w:val="00B4333B"/>
    <w:rsid w:val="00B70C59"/>
    <w:rsid w:val="00B71A5C"/>
    <w:rsid w:val="00B75178"/>
    <w:rsid w:val="00B81E8D"/>
    <w:rsid w:val="00B93214"/>
    <w:rsid w:val="00B95C85"/>
    <w:rsid w:val="00BA37AC"/>
    <w:rsid w:val="00BA6D81"/>
    <w:rsid w:val="00BB39C7"/>
    <w:rsid w:val="00BC4D23"/>
    <w:rsid w:val="00BC7A29"/>
    <w:rsid w:val="00BD16AF"/>
    <w:rsid w:val="00BD255E"/>
    <w:rsid w:val="00BD4AFD"/>
    <w:rsid w:val="00BE0D01"/>
    <w:rsid w:val="00BF3823"/>
    <w:rsid w:val="00BF5005"/>
    <w:rsid w:val="00BF5492"/>
    <w:rsid w:val="00BF5F65"/>
    <w:rsid w:val="00C124EC"/>
    <w:rsid w:val="00C1457D"/>
    <w:rsid w:val="00C301E9"/>
    <w:rsid w:val="00C33AA2"/>
    <w:rsid w:val="00C41426"/>
    <w:rsid w:val="00C46CFB"/>
    <w:rsid w:val="00C63BD6"/>
    <w:rsid w:val="00C71A6C"/>
    <w:rsid w:val="00C84592"/>
    <w:rsid w:val="00C85EEF"/>
    <w:rsid w:val="00C93124"/>
    <w:rsid w:val="00C95739"/>
    <w:rsid w:val="00CB291A"/>
    <w:rsid w:val="00CB3813"/>
    <w:rsid w:val="00CD0726"/>
    <w:rsid w:val="00CD2A98"/>
    <w:rsid w:val="00CD4B10"/>
    <w:rsid w:val="00CF2BEF"/>
    <w:rsid w:val="00D04011"/>
    <w:rsid w:val="00D1279E"/>
    <w:rsid w:val="00D17D75"/>
    <w:rsid w:val="00D251B6"/>
    <w:rsid w:val="00D347F4"/>
    <w:rsid w:val="00D420E3"/>
    <w:rsid w:val="00D561A7"/>
    <w:rsid w:val="00D74349"/>
    <w:rsid w:val="00D76BA3"/>
    <w:rsid w:val="00D93ACB"/>
    <w:rsid w:val="00D962CA"/>
    <w:rsid w:val="00DD607B"/>
    <w:rsid w:val="00DE52F9"/>
    <w:rsid w:val="00DE6A7C"/>
    <w:rsid w:val="00E024E6"/>
    <w:rsid w:val="00E02B1E"/>
    <w:rsid w:val="00E324BF"/>
    <w:rsid w:val="00E345EE"/>
    <w:rsid w:val="00E44E5B"/>
    <w:rsid w:val="00E55F80"/>
    <w:rsid w:val="00E607C4"/>
    <w:rsid w:val="00E653E3"/>
    <w:rsid w:val="00E6600D"/>
    <w:rsid w:val="00E74685"/>
    <w:rsid w:val="00E8132E"/>
    <w:rsid w:val="00E85E5F"/>
    <w:rsid w:val="00EB1D2C"/>
    <w:rsid w:val="00EC413B"/>
    <w:rsid w:val="00EC4E1D"/>
    <w:rsid w:val="00EE0040"/>
    <w:rsid w:val="00EE62BC"/>
    <w:rsid w:val="00EF7631"/>
    <w:rsid w:val="00F01024"/>
    <w:rsid w:val="00F06358"/>
    <w:rsid w:val="00F1393C"/>
    <w:rsid w:val="00F13CE2"/>
    <w:rsid w:val="00F21F6A"/>
    <w:rsid w:val="00F2529F"/>
    <w:rsid w:val="00F46709"/>
    <w:rsid w:val="00F55184"/>
    <w:rsid w:val="00F575B2"/>
    <w:rsid w:val="00F735BC"/>
    <w:rsid w:val="00F92E12"/>
    <w:rsid w:val="00F94C4B"/>
    <w:rsid w:val="00F95B77"/>
    <w:rsid w:val="00FA41C3"/>
    <w:rsid w:val="00FA5607"/>
    <w:rsid w:val="00FB44B2"/>
    <w:rsid w:val="00FC7747"/>
    <w:rsid w:val="00FE1774"/>
    <w:rsid w:val="00FE397B"/>
    <w:rsid w:val="00FE4F04"/>
    <w:rsid w:val="00FE5CB8"/>
    <w:rsid w:val="00FF3E02"/>
    <w:rsid w:val="00FF62A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5B0DD5"/>
  <w15:chartTrackingRefBased/>
  <w15:docId w15:val="{6AE34F12-D5F9-4C3C-BAD0-08EE6C392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5C8"/>
    <w:rPr>
      <w:sz w:val="24"/>
      <w:szCs w:val="24"/>
      <w:lang w:eastAsia="en-US"/>
    </w:rPr>
  </w:style>
  <w:style w:type="paragraph" w:styleId="Heading1">
    <w:name w:val="heading 1"/>
    <w:basedOn w:val="Normal"/>
    <w:next w:val="Normal"/>
    <w:qFormat/>
    <w:rsid w:val="003005C8"/>
    <w:pPr>
      <w:keepNext/>
      <w:spacing w:after="360"/>
      <w:outlineLvl w:val="0"/>
    </w:pPr>
    <w:rPr>
      <w:rFonts w:ascii="Helvetica" w:hAnsi="Helvetica" w:cs="Arial"/>
      <w:bCs/>
      <w:kern w:val="32"/>
      <w:sz w:val="36"/>
      <w:szCs w:val="32"/>
    </w:rPr>
  </w:style>
  <w:style w:type="paragraph" w:styleId="Heading2">
    <w:name w:val="heading 2"/>
    <w:basedOn w:val="Normal"/>
    <w:next w:val="Normal"/>
    <w:link w:val="Heading2Char"/>
    <w:qFormat/>
    <w:rsid w:val="003005C8"/>
    <w:pPr>
      <w:keepNext/>
      <w:spacing w:before="300" w:after="140"/>
      <w:outlineLvl w:val="1"/>
    </w:pPr>
    <w:rPr>
      <w:rFonts w:ascii="Helvetica" w:hAnsi="Helvetica" w:cs="Arial"/>
      <w:bCs/>
      <w:iCs/>
      <w:sz w:val="30"/>
      <w:szCs w:val="28"/>
    </w:rPr>
  </w:style>
  <w:style w:type="paragraph" w:styleId="Heading3">
    <w:name w:val="heading 3"/>
    <w:basedOn w:val="Normal"/>
    <w:next w:val="Normal"/>
    <w:qFormat/>
    <w:rsid w:val="003005C8"/>
    <w:pPr>
      <w:keepNext/>
      <w:spacing w:before="240" w:after="120"/>
      <w:outlineLvl w:val="2"/>
    </w:pPr>
    <w:rPr>
      <w:rFonts w:ascii="Helvetica" w:hAnsi="Helvetica"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0053C"/>
    <w:pPr>
      <w:tabs>
        <w:tab w:val="center" w:pos="4680"/>
        <w:tab w:val="right" w:pos="9360"/>
      </w:tabs>
    </w:pPr>
  </w:style>
  <w:style w:type="character" w:customStyle="1" w:styleId="HeaderChar">
    <w:name w:val="Header Char"/>
    <w:link w:val="Header"/>
    <w:uiPriority w:val="99"/>
    <w:rsid w:val="0070053C"/>
    <w:rPr>
      <w:sz w:val="24"/>
      <w:szCs w:val="24"/>
    </w:rPr>
  </w:style>
  <w:style w:type="paragraph" w:styleId="Footer">
    <w:name w:val="footer"/>
    <w:basedOn w:val="Normal"/>
    <w:link w:val="FooterChar"/>
    <w:uiPriority w:val="99"/>
    <w:rsid w:val="0070053C"/>
    <w:pPr>
      <w:tabs>
        <w:tab w:val="center" w:pos="4680"/>
        <w:tab w:val="right" w:pos="9360"/>
      </w:tabs>
    </w:pPr>
  </w:style>
  <w:style w:type="character" w:customStyle="1" w:styleId="FooterChar">
    <w:name w:val="Footer Char"/>
    <w:link w:val="Footer"/>
    <w:uiPriority w:val="99"/>
    <w:rsid w:val="0070053C"/>
    <w:rPr>
      <w:sz w:val="24"/>
      <w:szCs w:val="24"/>
    </w:rPr>
  </w:style>
  <w:style w:type="paragraph" w:styleId="BalloonText">
    <w:name w:val="Balloon Text"/>
    <w:basedOn w:val="Normal"/>
    <w:link w:val="BalloonTextChar"/>
    <w:rsid w:val="0070053C"/>
    <w:rPr>
      <w:rFonts w:ascii="Tahoma" w:hAnsi="Tahoma" w:cs="Tahoma"/>
      <w:sz w:val="16"/>
      <w:szCs w:val="16"/>
    </w:rPr>
  </w:style>
  <w:style w:type="character" w:customStyle="1" w:styleId="BalloonTextChar">
    <w:name w:val="Balloon Text Char"/>
    <w:link w:val="BalloonText"/>
    <w:rsid w:val="0070053C"/>
    <w:rPr>
      <w:rFonts w:ascii="Tahoma" w:hAnsi="Tahoma" w:cs="Tahoma"/>
      <w:sz w:val="16"/>
      <w:szCs w:val="16"/>
    </w:rPr>
  </w:style>
  <w:style w:type="character" w:styleId="Hyperlink">
    <w:name w:val="Hyperlink"/>
    <w:uiPriority w:val="99"/>
    <w:rsid w:val="00096455"/>
    <w:rPr>
      <w:color w:val="0000FF"/>
      <w:u w:val="single"/>
    </w:rPr>
  </w:style>
  <w:style w:type="character" w:customStyle="1" w:styleId="UnresolvedMention1">
    <w:name w:val="Unresolved Mention1"/>
    <w:uiPriority w:val="99"/>
    <w:semiHidden/>
    <w:unhideWhenUsed/>
    <w:rsid w:val="00322EF9"/>
    <w:rPr>
      <w:color w:val="605E5C"/>
      <w:shd w:val="clear" w:color="auto" w:fill="E1DFDD"/>
    </w:rPr>
  </w:style>
  <w:style w:type="paragraph" w:styleId="Bibliography">
    <w:name w:val="Bibliography"/>
    <w:basedOn w:val="Normal"/>
    <w:next w:val="Normal"/>
    <w:uiPriority w:val="37"/>
    <w:unhideWhenUsed/>
    <w:rsid w:val="00B81E8D"/>
    <w:pPr>
      <w:spacing w:after="160" w:line="259" w:lineRule="auto"/>
    </w:pPr>
    <w:rPr>
      <w:rFonts w:ascii="Calibri" w:eastAsia="Calibri" w:hAnsi="Calibri"/>
      <w:sz w:val="22"/>
      <w:szCs w:val="22"/>
    </w:rPr>
  </w:style>
  <w:style w:type="paragraph" w:styleId="ListParagraph">
    <w:name w:val="List Paragraph"/>
    <w:basedOn w:val="Normal"/>
    <w:uiPriority w:val="34"/>
    <w:qFormat/>
    <w:rsid w:val="00E55F80"/>
    <w:pPr>
      <w:spacing w:after="160" w:line="259" w:lineRule="auto"/>
      <w:ind w:left="720"/>
      <w:contextualSpacing/>
    </w:pPr>
    <w:rPr>
      <w:rFonts w:ascii="Calibri" w:eastAsia="Calibri" w:hAnsi="Calibri"/>
      <w:sz w:val="22"/>
      <w:szCs w:val="22"/>
    </w:rPr>
  </w:style>
  <w:style w:type="paragraph" w:customStyle="1" w:styleId="paragraph">
    <w:name w:val="paragraph"/>
    <w:basedOn w:val="Normal"/>
    <w:rsid w:val="00B95C85"/>
    <w:pPr>
      <w:spacing w:before="100" w:beforeAutospacing="1" w:after="100" w:afterAutospacing="1"/>
    </w:pPr>
    <w:rPr>
      <w:lang w:eastAsia="en-GB"/>
    </w:rPr>
  </w:style>
  <w:style w:type="character" w:customStyle="1" w:styleId="normaltextrun">
    <w:name w:val="normaltextrun"/>
    <w:rsid w:val="00B95C85"/>
  </w:style>
  <w:style w:type="character" w:customStyle="1" w:styleId="eop">
    <w:name w:val="eop"/>
    <w:rsid w:val="00B95C85"/>
  </w:style>
  <w:style w:type="character" w:customStyle="1" w:styleId="Heading2Char">
    <w:name w:val="Heading 2 Char"/>
    <w:basedOn w:val="DefaultParagraphFont"/>
    <w:link w:val="Heading2"/>
    <w:rsid w:val="00BD16AF"/>
    <w:rPr>
      <w:rFonts w:ascii="Helvetica" w:hAnsi="Helvetica" w:cs="Arial"/>
      <w:bCs/>
      <w:iCs/>
      <w:sz w:val="30"/>
      <w:szCs w:val="28"/>
      <w:lang w:val="en-US" w:eastAsia="en-US"/>
    </w:rPr>
  </w:style>
  <w:style w:type="paragraph" w:styleId="Revision">
    <w:name w:val="Revision"/>
    <w:hidden/>
    <w:uiPriority w:val="99"/>
    <w:semiHidden/>
    <w:rsid w:val="002B4801"/>
    <w:rPr>
      <w:sz w:val="24"/>
      <w:szCs w:val="24"/>
      <w:lang w:eastAsia="en-US"/>
    </w:rPr>
  </w:style>
  <w:style w:type="character" w:styleId="CommentReference">
    <w:name w:val="annotation reference"/>
    <w:basedOn w:val="DefaultParagraphFont"/>
    <w:rsid w:val="002B4801"/>
    <w:rPr>
      <w:sz w:val="16"/>
      <w:szCs w:val="16"/>
    </w:rPr>
  </w:style>
  <w:style w:type="paragraph" w:styleId="CommentText">
    <w:name w:val="annotation text"/>
    <w:basedOn w:val="Normal"/>
    <w:link w:val="CommentTextChar"/>
    <w:rsid w:val="002B4801"/>
    <w:rPr>
      <w:sz w:val="20"/>
      <w:szCs w:val="20"/>
    </w:rPr>
  </w:style>
  <w:style w:type="character" w:customStyle="1" w:styleId="CommentTextChar">
    <w:name w:val="Comment Text Char"/>
    <w:basedOn w:val="DefaultParagraphFont"/>
    <w:link w:val="CommentText"/>
    <w:rsid w:val="002B4801"/>
    <w:rPr>
      <w:lang w:eastAsia="en-US"/>
    </w:rPr>
  </w:style>
  <w:style w:type="paragraph" w:styleId="CommentSubject">
    <w:name w:val="annotation subject"/>
    <w:basedOn w:val="CommentText"/>
    <w:next w:val="CommentText"/>
    <w:link w:val="CommentSubjectChar"/>
    <w:rsid w:val="002B4801"/>
    <w:rPr>
      <w:b/>
      <w:bCs/>
    </w:rPr>
  </w:style>
  <w:style w:type="character" w:customStyle="1" w:styleId="CommentSubjectChar">
    <w:name w:val="Comment Subject Char"/>
    <w:basedOn w:val="CommentTextChar"/>
    <w:link w:val="CommentSubject"/>
    <w:rsid w:val="002B4801"/>
    <w:rPr>
      <w:b/>
      <w:bCs/>
      <w:lang w:eastAsia="en-US"/>
    </w:rPr>
  </w:style>
  <w:style w:type="character" w:styleId="Emphasis">
    <w:name w:val="Emphasis"/>
    <w:basedOn w:val="DefaultParagraphFont"/>
    <w:uiPriority w:val="20"/>
    <w:qFormat/>
    <w:rsid w:val="00512F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5140">
      <w:bodyDiv w:val="1"/>
      <w:marLeft w:val="0"/>
      <w:marRight w:val="0"/>
      <w:marTop w:val="0"/>
      <w:marBottom w:val="0"/>
      <w:divBdr>
        <w:top w:val="none" w:sz="0" w:space="0" w:color="auto"/>
        <w:left w:val="none" w:sz="0" w:space="0" w:color="auto"/>
        <w:bottom w:val="none" w:sz="0" w:space="0" w:color="auto"/>
        <w:right w:val="none" w:sz="0" w:space="0" w:color="auto"/>
      </w:divBdr>
    </w:div>
    <w:div w:id="754975246">
      <w:bodyDiv w:val="1"/>
      <w:marLeft w:val="0"/>
      <w:marRight w:val="0"/>
      <w:marTop w:val="0"/>
      <w:marBottom w:val="0"/>
      <w:divBdr>
        <w:top w:val="none" w:sz="0" w:space="0" w:color="auto"/>
        <w:left w:val="none" w:sz="0" w:space="0" w:color="auto"/>
        <w:bottom w:val="none" w:sz="0" w:space="0" w:color="auto"/>
        <w:right w:val="none" w:sz="0" w:space="0" w:color="auto"/>
      </w:divBdr>
    </w:div>
    <w:div w:id="1138180202">
      <w:bodyDiv w:val="1"/>
      <w:marLeft w:val="0"/>
      <w:marRight w:val="0"/>
      <w:marTop w:val="0"/>
      <w:marBottom w:val="0"/>
      <w:divBdr>
        <w:top w:val="none" w:sz="0" w:space="0" w:color="auto"/>
        <w:left w:val="none" w:sz="0" w:space="0" w:color="auto"/>
        <w:bottom w:val="none" w:sz="0" w:space="0" w:color="auto"/>
        <w:right w:val="none" w:sz="0" w:space="0" w:color="auto"/>
      </w:divBdr>
    </w:div>
    <w:div w:id="1839807748">
      <w:bodyDiv w:val="1"/>
      <w:marLeft w:val="0"/>
      <w:marRight w:val="0"/>
      <w:marTop w:val="0"/>
      <w:marBottom w:val="0"/>
      <w:divBdr>
        <w:top w:val="none" w:sz="0" w:space="0" w:color="auto"/>
        <w:left w:val="none" w:sz="0" w:space="0" w:color="auto"/>
        <w:bottom w:val="none" w:sz="0" w:space="0" w:color="auto"/>
        <w:right w:val="none" w:sz="0" w:space="0" w:color="auto"/>
      </w:divBdr>
    </w:div>
    <w:div w:id="208201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teor.springer.com/" TargetMode="External"/><Relationship Id="rId13" Type="http://schemas.openxmlformats.org/officeDocument/2006/relationships/hyperlink" Target="https://www.heacademy.ac.uk/resource/inclusive-practice-within-psychology-higher-education" TargetMode="External"/><Relationship Id="rId18" Type="http://schemas.openxmlformats.org/officeDocument/2006/relationships/hyperlink" Target="http://www.studentminds.org.uk/uploads/3/7/8/4/3784584/180129_student_mental_health__the_role_and_experience_of_academics__student_minds_pdf.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universitiesuk.ac.uk/stepchange" TargetMode="External"/><Relationship Id="rId7" Type="http://schemas.openxmlformats.org/officeDocument/2006/relationships/endnotes" Target="endnotes.xml"/><Relationship Id="rId12" Type="http://schemas.openxmlformats.org/officeDocument/2006/relationships/hyperlink" Target="https://en.wikipedia.org/wiki/Academic_Press" TargetMode="External"/><Relationship Id="rId17" Type="http://schemas.openxmlformats.org/officeDocument/2006/relationships/hyperlink" Target="https://www.hepi.ac.uk/wp-content/uploads/2019/05/Policy-Note-13-Paper-May-2019-Measuring-well-being-in-higher-education-8-Pages-5.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doi.org/10.1080/0141192032000057401" TargetMode="External"/><Relationship Id="rId20" Type="http://schemas.openxmlformats.org/officeDocument/2006/relationships/hyperlink" Target="https://www.theguardian.com/education/2018/jul/17/universities-outsource-mental-health-services-despite-soaring-deman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Academic_Pres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onkhe.com/blogs/academics-and-administrators-no-more-us-and-the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theguardian.com/higher-education-network/2016/aug/18/struggling-students-are-not-lacking-resilience-they-need-more-support" TargetMode="External"/><Relationship Id="rId19" Type="http://schemas.openxmlformats.org/officeDocument/2006/relationships/hyperlink" Target="https://doi.org/10.1111/jan.13989" TargetMode="External"/><Relationship Id="rId4" Type="http://schemas.openxmlformats.org/officeDocument/2006/relationships/settings" Target="settings.xml"/><Relationship Id="rId9" Type="http://schemas.openxmlformats.org/officeDocument/2006/relationships/hyperlink" Target="https://www.bacp.co.uk/media/4159/bacp-student-mental-health-briefing.pdf" TargetMode="External"/><Relationship Id="rId14" Type="http://schemas.openxmlformats.org/officeDocument/2006/relationships/hyperlink" Target="http://dx.doi.org.ezproxy.derby.ac.uk/10.1111/papt.12120"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Cac00</b:Tag>
    <b:SourceType>JournalArticle</b:SourceType>
    <b:Guid>{74EE883B-61F5-4E4A-8C50-E8ECA00094F2}</b:Guid>
    <b:Title>Lonely traits and concomitant physiological processes: the MacArthur social neuroscience studies.</b:Title>
    <b:Year>2000</b:Year>
    <b:Author>
      <b:Author>
        <b:NameList>
          <b:Person>
            <b:Last>Cacioppo JT1</b:Last>
            <b:First>Ernst</b:First>
            <b:Middle>JM, Burleson MH, McClintock MK, Malarkey WB, Hawkley LC, Kowalewski RB, Paulsen A, Hobson JA, Hugdahl K, Spiegel D, Berntson GG.</b:Middle>
          </b:Person>
        </b:NameList>
      </b:Author>
    </b:Author>
    <b:Volume>35</b:Volume>
    <b:JournalName>Internation Journal of Psychophysiology</b:JournalName>
    <b:Pages>143-154</b:Pages>
    <b:RefOrder>12</b:RefOrder>
  </b:Source>
  <b:Source>
    <b:Tag>Bau021</b:Tag>
    <b:SourceType>JournalArticle</b:SourceType>
    <b:Guid>{741E55BD-8FC0-4293-8B2E-647F698F73C8}</b:Guid>
    <b:Author>
      <b:Author>
        <b:NameList>
          <b:Person>
            <b:Last>Baumeister RF1</b:Last>
            <b:First>Twenge</b:First>
            <b:Middle>JM, Nuss CK.</b:Middle>
          </b:Person>
        </b:NameList>
      </b:Author>
    </b:Author>
    <b:Title>Effects of social exclusion on cognitive processes: anticipated aloneness reduces intelligent thought.</b:Title>
    <b:Year>2002</b:Year>
    <b:Volume>83</b:Volume>
    <b:Issue>4</b:Issue>
    <b:JournalName>Journal of Personality and Social Psychology</b:JournalName>
    <b:Pages>817-827</b:Pages>
    <b:RefOrder>13</b:RefOrder>
  </b:Source>
  <b:Source>
    <b:Tag>Jar14</b:Tag>
    <b:SourceType>JournalArticle</b:SourceType>
    <b:Guid>{57B186E6-B0D7-4707-ACE6-F35E643D4091}</b:Guid>
    <b:Title>Cognitive problems among breast cancer survivors: loneliness enhances risk</b:Title>
    <b:Year>2014</b:Year>
    <b:Author>
      <b:Author>
        <b:NameList>
          <b:Person>
            <b:Last>Jaremka LM1</b:Last>
            <b:First>Peng</b:First>
            <b:Middle>J, Bornstein R, Alfano CM, Andridge RR, Povoski SP, Lipari AM, Agnese DM, Farrar WB, Yee LD, Carson WE 3rd, Kiecolt-Glaser JK.</b:Middle>
          </b:Person>
        </b:NameList>
      </b:Author>
    </b:Author>
    <b:Volume>23</b:Volume>
    <b:Issue>12</b:Issue>
    <b:JournalName>Psycho-oncology</b:JournalName>
    <b:DOI>10.1002/pon.3544.</b:DOI>
    <b:RefOrder>14</b:RefOrder>
  </b:Source>
  <b:Source>
    <b:Tag>Bau02</b:Tag>
    <b:SourceType>JournalArticle</b:SourceType>
    <b:Guid>{34EFD1F2-7EE7-43BD-9074-645838D54631}</b:Guid>
    <b:Author>
      <b:Author>
        <b:NameList>
          <b:Person>
            <b:Last>Baumeister</b:Last>
            <b:First>R</b:First>
          </b:Person>
          <b:Person>
            <b:Last>Twenge</b:Last>
          </b:Person>
          <b:Person>
            <b:Last>&amp; Nuss</b:Last>
            <b:First>C.</b:First>
            <b:Middle>K.</b:Middle>
          </b:Person>
        </b:NameList>
      </b:Author>
    </b:Author>
    <b:Title>Effects of social exclusion on cognitive processes: Anticipated aloneness reduces intelligent thought..</b:Title>
    <b:Year>2002</b:Year>
    <b:JournalName>Journal of personality and social psychology</b:JournalName>
    <b:Volume>83</b:Volume>
    <b:Issue>4</b:Issue>
    <b:Pages>817-827</b:Pages>
    <b:DOI>10.1037//0022-3514.83.4.817. </b:DOI>
    <b:RefOrder>15</b:RefOrder>
  </b:Source>
  <b:Source>
    <b:Tag>Cac08</b:Tag>
    <b:SourceType>Book</b:SourceType>
    <b:Guid>{CAF3BBD3-2973-4D2C-BC19-2859D3E41F4D}</b:Guid>
    <b:Author>
      <b:Author>
        <b:NameList>
          <b:Person>
            <b:Last>Cacioppo</b:Last>
            <b:First>John</b:First>
            <b:Middle>T. &amp; Patrick, William</b:Middle>
          </b:Person>
        </b:NameList>
      </b:Author>
    </b:Author>
    <b:Title>Loneliness</b:Title>
    <b:City>New York</b:City>
    <b:Year>2008</b:Year>
    <b:Publisher>Norton</b:Publisher>
    <b:RefOrder>16</b:RefOrder>
  </b:Source>
</b:Sources>
</file>

<file path=customXml/itemProps1.xml><?xml version="1.0" encoding="utf-8"?>
<ds:datastoreItem xmlns:ds="http://schemas.openxmlformats.org/officeDocument/2006/customXml" ds:itemID="{FF365D48-B802-4349-BA5E-9BB9BB54C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9296</Words>
  <Characters>52991</Characters>
  <Application>Microsoft Office Word</Application>
  <DocSecurity>0</DocSecurity>
  <Lines>441</Lines>
  <Paragraphs>124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Title:</vt:lpstr>
      <vt:lpstr>Title:</vt:lpstr>
    </vt:vector>
  </TitlesOfParts>
  <Company>Springer-SBM</Company>
  <LinksUpToDate>false</LinksUpToDate>
  <CharactersWithSpaces>62163</CharactersWithSpaces>
  <SharedDoc>false</SharedDoc>
  <HLinks>
    <vt:vector size="84" baseType="variant">
      <vt:variant>
        <vt:i4>7143483</vt:i4>
      </vt:variant>
      <vt:variant>
        <vt:i4>39</vt:i4>
      </vt:variant>
      <vt:variant>
        <vt:i4>0</vt:i4>
      </vt:variant>
      <vt:variant>
        <vt:i4>5</vt:i4>
      </vt:variant>
      <vt:variant>
        <vt:lpwstr>https://www.universitiesuk.ac.uk/stepchange</vt:lpwstr>
      </vt:variant>
      <vt:variant>
        <vt:lpwstr/>
      </vt:variant>
      <vt:variant>
        <vt:i4>6815789</vt:i4>
      </vt:variant>
      <vt:variant>
        <vt:i4>36</vt:i4>
      </vt:variant>
      <vt:variant>
        <vt:i4>0</vt:i4>
      </vt:variant>
      <vt:variant>
        <vt:i4>5</vt:i4>
      </vt:variant>
      <vt:variant>
        <vt:lpwstr>https://www.theguardian.com/education/2018/jul/17/universities-outsource-mental-health-services-despite-soaring-demand</vt:lpwstr>
      </vt:variant>
      <vt:variant>
        <vt:lpwstr/>
      </vt:variant>
      <vt:variant>
        <vt:i4>5636182</vt:i4>
      </vt:variant>
      <vt:variant>
        <vt:i4>33</vt:i4>
      </vt:variant>
      <vt:variant>
        <vt:i4>0</vt:i4>
      </vt:variant>
      <vt:variant>
        <vt:i4>5</vt:i4>
      </vt:variant>
      <vt:variant>
        <vt:lpwstr>https://doi.org/10.1111/jan.13989</vt:lpwstr>
      </vt:variant>
      <vt:variant>
        <vt:lpwstr/>
      </vt:variant>
      <vt:variant>
        <vt:i4>2883701</vt:i4>
      </vt:variant>
      <vt:variant>
        <vt:i4>30</vt:i4>
      </vt:variant>
      <vt:variant>
        <vt:i4>0</vt:i4>
      </vt:variant>
      <vt:variant>
        <vt:i4>5</vt:i4>
      </vt:variant>
      <vt:variant>
        <vt:lpwstr>http://www.studentminds.org.uk/uploads/3/7/8/4/3784584/180129_student_mental_health__the_role_and_experience_of_academics__student_minds_pdf.pdf</vt:lpwstr>
      </vt:variant>
      <vt:variant>
        <vt:lpwstr/>
      </vt:variant>
      <vt:variant>
        <vt:i4>7143464</vt:i4>
      </vt:variant>
      <vt:variant>
        <vt:i4>27</vt:i4>
      </vt:variant>
      <vt:variant>
        <vt:i4>0</vt:i4>
      </vt:variant>
      <vt:variant>
        <vt:i4>5</vt:i4>
      </vt:variant>
      <vt:variant>
        <vt:lpwstr>https://www.hepi.ac.uk/wp-content/uploads/2019/05/Policy-Note-13-Paper-May-2019-Measuring-well-being-in-higher-education-8-Pages-5.pdf</vt:lpwstr>
      </vt:variant>
      <vt:variant>
        <vt:lpwstr/>
      </vt:variant>
      <vt:variant>
        <vt:i4>2555942</vt:i4>
      </vt:variant>
      <vt:variant>
        <vt:i4>24</vt:i4>
      </vt:variant>
      <vt:variant>
        <vt:i4>0</vt:i4>
      </vt:variant>
      <vt:variant>
        <vt:i4>5</vt:i4>
      </vt:variant>
      <vt:variant>
        <vt:lpwstr>https://wonkhe.com/blogs/academics-and-administrators-no-more-us-and-them/</vt:lpwstr>
      </vt:variant>
      <vt:variant>
        <vt:lpwstr/>
      </vt:variant>
      <vt:variant>
        <vt:i4>524301</vt:i4>
      </vt:variant>
      <vt:variant>
        <vt:i4>21</vt:i4>
      </vt:variant>
      <vt:variant>
        <vt:i4>0</vt:i4>
      </vt:variant>
      <vt:variant>
        <vt:i4>5</vt:i4>
      </vt:variant>
      <vt:variant>
        <vt:lpwstr>http://dx.doi.org.ezproxy.derby.ac.uk/10.1111/papt.12120</vt:lpwstr>
      </vt:variant>
      <vt:variant>
        <vt:lpwstr/>
      </vt:variant>
      <vt:variant>
        <vt:i4>3670122</vt:i4>
      </vt:variant>
      <vt:variant>
        <vt:i4>18</vt:i4>
      </vt:variant>
      <vt:variant>
        <vt:i4>0</vt:i4>
      </vt:variant>
      <vt:variant>
        <vt:i4>5</vt:i4>
      </vt:variant>
      <vt:variant>
        <vt:lpwstr>https://www.heacademy.ac.uk/resource/inclusive-practice-within-psychology-higher-education</vt:lpwstr>
      </vt:variant>
      <vt:variant>
        <vt:lpwstr/>
      </vt:variant>
      <vt:variant>
        <vt:i4>6946854</vt:i4>
      </vt:variant>
      <vt:variant>
        <vt:i4>15</vt:i4>
      </vt:variant>
      <vt:variant>
        <vt:i4>0</vt:i4>
      </vt:variant>
      <vt:variant>
        <vt:i4>5</vt:i4>
      </vt:variant>
      <vt:variant>
        <vt:lpwstr>https://www.hepi.ac.uk/2019/04/09/why-universities-are-spending-millions-on-marketing/</vt:lpwstr>
      </vt:variant>
      <vt:variant>
        <vt:lpwstr/>
      </vt:variant>
      <vt:variant>
        <vt:i4>4325414</vt:i4>
      </vt:variant>
      <vt:variant>
        <vt:i4>12</vt:i4>
      </vt:variant>
      <vt:variant>
        <vt:i4>0</vt:i4>
      </vt:variant>
      <vt:variant>
        <vt:i4>5</vt:i4>
      </vt:variant>
      <vt:variant>
        <vt:lpwstr>https://en.wikipedia.org/wiki/Academic_Press</vt:lpwstr>
      </vt:variant>
      <vt:variant>
        <vt:lpwstr/>
      </vt:variant>
      <vt:variant>
        <vt:i4>4325414</vt:i4>
      </vt:variant>
      <vt:variant>
        <vt:i4>9</vt:i4>
      </vt:variant>
      <vt:variant>
        <vt:i4>0</vt:i4>
      </vt:variant>
      <vt:variant>
        <vt:i4>5</vt:i4>
      </vt:variant>
      <vt:variant>
        <vt:lpwstr>https://en.wikipedia.org/wiki/Academic_Press</vt:lpwstr>
      </vt:variant>
      <vt:variant>
        <vt:lpwstr/>
      </vt:variant>
      <vt:variant>
        <vt:i4>2097256</vt:i4>
      </vt:variant>
      <vt:variant>
        <vt:i4>6</vt:i4>
      </vt:variant>
      <vt:variant>
        <vt:i4>0</vt:i4>
      </vt:variant>
      <vt:variant>
        <vt:i4>5</vt:i4>
      </vt:variant>
      <vt:variant>
        <vt:lpwstr>https://www.theguardian.com/higher-education-network/2016/aug/18/struggling-students-are-not-lacking-resilience-they-need-more-support</vt:lpwstr>
      </vt:variant>
      <vt:variant>
        <vt:lpwstr/>
      </vt:variant>
      <vt:variant>
        <vt:i4>5767242</vt:i4>
      </vt:variant>
      <vt:variant>
        <vt:i4>3</vt:i4>
      </vt:variant>
      <vt:variant>
        <vt:i4>0</vt:i4>
      </vt:variant>
      <vt:variant>
        <vt:i4>5</vt:i4>
      </vt:variant>
      <vt:variant>
        <vt:lpwstr>https://www.bacp.co.uk/media/4159/bacp-student-mental-health-briefing.pdf</vt:lpwstr>
      </vt:variant>
      <vt:variant>
        <vt:lpwstr/>
      </vt:variant>
      <vt:variant>
        <vt:i4>7405616</vt:i4>
      </vt:variant>
      <vt:variant>
        <vt:i4>0</vt:i4>
      </vt:variant>
      <vt:variant>
        <vt:i4>0</vt:i4>
      </vt:variant>
      <vt:variant>
        <vt:i4>5</vt:i4>
      </vt:variant>
      <vt:variant>
        <vt:lpwstr>http://meteor.springer.com/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Springer-SBM</dc:creator>
  <cp:keywords/>
  <cp:lastModifiedBy>Gareth Hughes</cp:lastModifiedBy>
  <cp:revision>3</cp:revision>
  <dcterms:created xsi:type="dcterms:W3CDTF">2021-02-01T10:17:00Z</dcterms:created>
  <dcterms:modified xsi:type="dcterms:W3CDTF">2021-02-01T10:17:00Z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SADM133@derby.ac.uk</vt:lpwstr>
  </property>
  <property fmtid="{D5CDD505-2E9C-101B-9397-08002B2CF9AE}" pid="5" name="MSIP_Label_b47d098f-2640-4837-b575-e0be04df0525_SetDate">
    <vt:lpwstr>2019-10-28T13:47:20.5490664Z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SADM133@derby.ac.uk</vt:lpwstr>
  </property>
  <property fmtid="{D5CDD505-2E9C-101B-9397-08002B2CF9AE}" pid="12" name="MSIP_Label_501a0944-9d81-4c75-b857-2ec7863455b7_SetDate">
    <vt:lpwstr>2019-10-28T13:47:20.5490664Z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