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8B7C0" w14:textId="77777777" w:rsidR="00537B7D" w:rsidRDefault="00E93BEA">
      <w:pPr>
        <w:spacing w:before="120"/>
        <w:ind w:left="1681" w:right="1681"/>
        <w:jc w:val="center"/>
        <w:rPr>
          <w:rFonts w:ascii="Arial"/>
          <w:b/>
          <w:sz w:val="32"/>
        </w:rPr>
      </w:pPr>
      <w:r>
        <w:rPr>
          <w:rFonts w:ascii="Arial"/>
          <w:b/>
          <w:color w:val="333566"/>
          <w:sz w:val="32"/>
        </w:rPr>
        <w:t>Nursing Standard</w:t>
      </w:r>
    </w:p>
    <w:p w14:paraId="2A8DFA85" w14:textId="77777777" w:rsidR="00537B7D" w:rsidRDefault="00E93BEA">
      <w:pPr>
        <w:spacing w:before="49" w:line="300" w:lineRule="exact"/>
        <w:ind w:left="1680" w:right="1681"/>
        <w:jc w:val="center"/>
        <w:rPr>
          <w:rFonts w:ascii="Arial"/>
          <w:b/>
          <w:sz w:val="28"/>
        </w:rPr>
      </w:pPr>
      <w:r>
        <w:rPr>
          <w:rFonts w:ascii="Arial"/>
          <w:b/>
          <w:color w:val="333566"/>
          <w:sz w:val="28"/>
        </w:rPr>
        <w:t>Developing Culturally Competent Mental Health Skills</w:t>
      </w:r>
    </w:p>
    <w:p w14:paraId="23D09BE1" w14:textId="77777777" w:rsidR="00537B7D" w:rsidRDefault="00E93BEA">
      <w:pPr>
        <w:spacing w:line="254" w:lineRule="exact"/>
        <w:ind w:left="1681" w:right="1681"/>
        <w:jc w:val="center"/>
        <w:rPr>
          <w:rFonts w:ascii="Arial"/>
          <w:sz w:val="24"/>
        </w:rPr>
      </w:pPr>
      <w:r>
        <w:rPr>
          <w:rFonts w:ascii="Arial"/>
          <w:color w:val="333566"/>
          <w:sz w:val="24"/>
        </w:rPr>
        <w:t>--Manuscript Draft--</w:t>
      </w:r>
    </w:p>
    <w:p w14:paraId="14F8DF3B" w14:textId="77777777" w:rsidR="00537B7D" w:rsidRDefault="00537B7D">
      <w:pPr>
        <w:pStyle w:val="BodyText"/>
        <w:rPr>
          <w:rFonts w:ascii="Arial"/>
          <w:sz w:val="16"/>
        </w:rPr>
      </w:pPr>
    </w:p>
    <w:tbl>
      <w:tblPr>
        <w:tblW w:w="0" w:type="auto"/>
        <w:tblInd w:w="126" w:type="dxa"/>
        <w:tblBorders>
          <w:top w:val="single" w:sz="4" w:space="0" w:color="C7C7C7"/>
          <w:left w:val="single" w:sz="4" w:space="0" w:color="C7C7C7"/>
          <w:bottom w:val="single" w:sz="4" w:space="0" w:color="C7C7C7"/>
          <w:right w:val="single" w:sz="4" w:space="0" w:color="C7C7C7"/>
          <w:insideH w:val="single" w:sz="4" w:space="0" w:color="C7C7C7"/>
          <w:insideV w:val="single" w:sz="4" w:space="0" w:color="C7C7C7"/>
        </w:tblBorders>
        <w:tblLayout w:type="fixed"/>
        <w:tblCellMar>
          <w:left w:w="0" w:type="dxa"/>
          <w:right w:w="0" w:type="dxa"/>
        </w:tblCellMar>
        <w:tblLook w:val="01E0" w:firstRow="1" w:lastRow="1" w:firstColumn="1" w:lastColumn="1" w:noHBand="0" w:noVBand="0"/>
      </w:tblPr>
      <w:tblGrid>
        <w:gridCol w:w="3457"/>
        <w:gridCol w:w="7019"/>
      </w:tblGrid>
      <w:tr w:rsidR="00537B7D" w14:paraId="7D1B9AD6" w14:textId="77777777">
        <w:trPr>
          <w:trHeight w:val="350"/>
        </w:trPr>
        <w:tc>
          <w:tcPr>
            <w:tcW w:w="3457" w:type="dxa"/>
            <w:shd w:val="clear" w:color="auto" w:fill="F0F0F0"/>
          </w:tcPr>
          <w:p w14:paraId="2A98A1C4" w14:textId="77777777" w:rsidR="00537B7D" w:rsidRDefault="00E93BEA">
            <w:pPr>
              <w:pStyle w:val="TableParagraph"/>
              <w:spacing w:before="86"/>
              <w:ind w:left="40"/>
              <w:rPr>
                <w:rFonts w:ascii="Arial"/>
                <w:b/>
                <w:sz w:val="18"/>
              </w:rPr>
            </w:pPr>
            <w:r>
              <w:rPr>
                <w:rFonts w:ascii="Arial"/>
                <w:b/>
                <w:color w:val="333566"/>
                <w:sz w:val="18"/>
              </w:rPr>
              <w:t>Manuscript Number:</w:t>
            </w:r>
          </w:p>
        </w:tc>
        <w:tc>
          <w:tcPr>
            <w:tcW w:w="7019" w:type="dxa"/>
            <w:shd w:val="clear" w:color="auto" w:fill="F0F0F0"/>
          </w:tcPr>
          <w:p w14:paraId="3C82B30C" w14:textId="77777777" w:rsidR="00537B7D" w:rsidRDefault="00E93BEA">
            <w:pPr>
              <w:pStyle w:val="TableParagraph"/>
              <w:spacing w:before="86"/>
              <w:ind w:left="40"/>
              <w:rPr>
                <w:rFonts w:ascii="Arial"/>
                <w:sz w:val="18"/>
              </w:rPr>
            </w:pPr>
            <w:r>
              <w:rPr>
                <w:rFonts w:ascii="Arial"/>
                <w:color w:val="333566"/>
                <w:sz w:val="18"/>
              </w:rPr>
              <w:t>NS12067</w:t>
            </w:r>
          </w:p>
        </w:tc>
      </w:tr>
      <w:tr w:rsidR="00537B7D" w14:paraId="640A93CA" w14:textId="77777777">
        <w:trPr>
          <w:trHeight w:val="350"/>
        </w:trPr>
        <w:tc>
          <w:tcPr>
            <w:tcW w:w="3457" w:type="dxa"/>
          </w:tcPr>
          <w:p w14:paraId="27100EE3" w14:textId="77777777" w:rsidR="00537B7D" w:rsidRDefault="00E93BEA">
            <w:pPr>
              <w:pStyle w:val="TableParagraph"/>
              <w:spacing w:before="86"/>
              <w:ind w:left="40"/>
              <w:rPr>
                <w:rFonts w:ascii="Arial"/>
                <w:b/>
                <w:sz w:val="18"/>
              </w:rPr>
            </w:pPr>
            <w:r>
              <w:rPr>
                <w:rFonts w:ascii="Arial"/>
                <w:b/>
                <w:color w:val="333566"/>
                <w:sz w:val="18"/>
              </w:rPr>
              <w:t>Article Type:</w:t>
            </w:r>
          </w:p>
        </w:tc>
        <w:tc>
          <w:tcPr>
            <w:tcW w:w="7019" w:type="dxa"/>
          </w:tcPr>
          <w:p w14:paraId="2E17D9C8" w14:textId="77777777" w:rsidR="00537B7D" w:rsidRDefault="00E93BEA">
            <w:pPr>
              <w:pStyle w:val="TableParagraph"/>
              <w:spacing w:before="86"/>
              <w:ind w:left="40"/>
              <w:rPr>
                <w:rFonts w:ascii="Arial"/>
                <w:sz w:val="18"/>
              </w:rPr>
            </w:pPr>
            <w:r>
              <w:rPr>
                <w:rFonts w:ascii="Arial"/>
                <w:color w:val="333566"/>
                <w:sz w:val="18"/>
              </w:rPr>
              <w:t>A&amp;S general article</w:t>
            </w:r>
          </w:p>
        </w:tc>
      </w:tr>
      <w:tr w:rsidR="00537B7D" w14:paraId="3B8453C1" w14:textId="77777777">
        <w:trPr>
          <w:trHeight w:val="350"/>
        </w:trPr>
        <w:tc>
          <w:tcPr>
            <w:tcW w:w="3457" w:type="dxa"/>
            <w:shd w:val="clear" w:color="auto" w:fill="F0F0F0"/>
          </w:tcPr>
          <w:p w14:paraId="04D486D3" w14:textId="77777777" w:rsidR="00537B7D" w:rsidRDefault="00E93BEA">
            <w:pPr>
              <w:pStyle w:val="TableParagraph"/>
              <w:spacing w:before="86"/>
              <w:ind w:left="40"/>
              <w:rPr>
                <w:rFonts w:ascii="Arial"/>
                <w:b/>
                <w:sz w:val="18"/>
              </w:rPr>
            </w:pPr>
            <w:r>
              <w:rPr>
                <w:rFonts w:ascii="Arial"/>
                <w:b/>
                <w:color w:val="333566"/>
                <w:sz w:val="18"/>
              </w:rPr>
              <w:t>Full Title:</w:t>
            </w:r>
          </w:p>
        </w:tc>
        <w:tc>
          <w:tcPr>
            <w:tcW w:w="7019" w:type="dxa"/>
            <w:shd w:val="clear" w:color="auto" w:fill="F0F0F0"/>
          </w:tcPr>
          <w:p w14:paraId="68450958" w14:textId="77777777" w:rsidR="00537B7D" w:rsidRDefault="00E93BEA">
            <w:pPr>
              <w:pStyle w:val="TableParagraph"/>
              <w:spacing w:before="86"/>
              <w:ind w:left="40"/>
              <w:rPr>
                <w:rFonts w:ascii="Arial"/>
                <w:sz w:val="18"/>
              </w:rPr>
            </w:pPr>
            <w:r>
              <w:rPr>
                <w:rFonts w:ascii="Arial"/>
                <w:color w:val="333566"/>
                <w:sz w:val="18"/>
              </w:rPr>
              <w:t>Developing Culturally Competent Mental Health Skills</w:t>
            </w:r>
          </w:p>
        </w:tc>
      </w:tr>
      <w:tr w:rsidR="00537B7D" w14:paraId="5F9E2B06" w14:textId="77777777">
        <w:trPr>
          <w:trHeight w:val="350"/>
        </w:trPr>
        <w:tc>
          <w:tcPr>
            <w:tcW w:w="3457" w:type="dxa"/>
          </w:tcPr>
          <w:p w14:paraId="5E8DE456" w14:textId="77777777" w:rsidR="00537B7D" w:rsidRDefault="00E93BEA">
            <w:pPr>
              <w:pStyle w:val="TableParagraph"/>
              <w:spacing w:before="86"/>
              <w:ind w:left="40"/>
              <w:rPr>
                <w:rFonts w:ascii="Arial"/>
                <w:b/>
                <w:sz w:val="18"/>
              </w:rPr>
            </w:pPr>
            <w:r>
              <w:rPr>
                <w:rFonts w:ascii="Arial"/>
                <w:b/>
                <w:color w:val="333566"/>
                <w:sz w:val="18"/>
              </w:rPr>
              <w:t>Short Title:</w:t>
            </w:r>
          </w:p>
        </w:tc>
        <w:tc>
          <w:tcPr>
            <w:tcW w:w="7019" w:type="dxa"/>
          </w:tcPr>
          <w:p w14:paraId="047D8D30" w14:textId="77777777" w:rsidR="00537B7D" w:rsidRDefault="00E93BEA">
            <w:pPr>
              <w:pStyle w:val="TableParagraph"/>
              <w:spacing w:before="86"/>
              <w:ind w:left="40"/>
              <w:rPr>
                <w:rFonts w:ascii="Arial"/>
                <w:sz w:val="18"/>
              </w:rPr>
            </w:pPr>
            <w:proofErr w:type="gramStart"/>
            <w:r>
              <w:rPr>
                <w:rFonts w:ascii="Arial"/>
                <w:color w:val="333566"/>
                <w:sz w:val="18"/>
              </w:rPr>
              <w:t>Cultural</w:t>
            </w:r>
            <w:proofErr w:type="gramEnd"/>
            <w:r>
              <w:rPr>
                <w:rFonts w:ascii="Arial"/>
                <w:color w:val="333566"/>
                <w:sz w:val="18"/>
              </w:rPr>
              <w:t xml:space="preserve"> Competent Health</w:t>
            </w:r>
          </w:p>
        </w:tc>
      </w:tr>
      <w:tr w:rsidR="00537B7D" w14:paraId="78A71A62" w14:textId="77777777">
        <w:trPr>
          <w:trHeight w:val="790"/>
        </w:trPr>
        <w:tc>
          <w:tcPr>
            <w:tcW w:w="3457" w:type="dxa"/>
            <w:shd w:val="clear" w:color="auto" w:fill="F0F0F0"/>
          </w:tcPr>
          <w:p w14:paraId="51E5750C" w14:textId="77777777" w:rsidR="00537B7D" w:rsidRDefault="00E93BEA">
            <w:pPr>
              <w:pStyle w:val="TableParagraph"/>
              <w:spacing w:before="86"/>
              <w:ind w:left="40"/>
              <w:rPr>
                <w:rFonts w:ascii="Arial"/>
                <w:b/>
                <w:sz w:val="18"/>
              </w:rPr>
            </w:pPr>
            <w:r>
              <w:rPr>
                <w:rFonts w:ascii="Arial"/>
                <w:b/>
                <w:color w:val="333566"/>
                <w:sz w:val="18"/>
              </w:rPr>
              <w:t>Corresponding Author:</w:t>
            </w:r>
          </w:p>
        </w:tc>
        <w:tc>
          <w:tcPr>
            <w:tcW w:w="7019" w:type="dxa"/>
            <w:shd w:val="clear" w:color="auto" w:fill="F0F0F0"/>
          </w:tcPr>
          <w:p w14:paraId="6AC82E77" w14:textId="77777777" w:rsidR="00537B7D" w:rsidRDefault="00E93BEA">
            <w:pPr>
              <w:pStyle w:val="TableParagraph"/>
              <w:spacing w:before="86" w:line="254" w:lineRule="auto"/>
              <w:ind w:left="40" w:right="5428"/>
              <w:rPr>
                <w:rFonts w:ascii="Arial"/>
                <w:sz w:val="18"/>
              </w:rPr>
            </w:pPr>
            <w:r>
              <w:rPr>
                <w:rFonts w:ascii="Arial"/>
                <w:color w:val="333566"/>
                <w:sz w:val="18"/>
              </w:rPr>
              <w:t>Nicky Hindmarch University of Derby</w:t>
            </w:r>
          </w:p>
          <w:p w14:paraId="1CAB74A8" w14:textId="77777777" w:rsidR="00537B7D" w:rsidRDefault="00E93BEA">
            <w:pPr>
              <w:pStyle w:val="TableParagraph"/>
              <w:spacing w:before="1"/>
              <w:ind w:left="40"/>
              <w:rPr>
                <w:rFonts w:ascii="Arial"/>
                <w:sz w:val="18"/>
              </w:rPr>
            </w:pPr>
            <w:r>
              <w:rPr>
                <w:rFonts w:ascii="Arial"/>
                <w:color w:val="333566"/>
                <w:sz w:val="18"/>
              </w:rPr>
              <w:t>Derby, UNITED KINGDOM</w:t>
            </w:r>
          </w:p>
        </w:tc>
      </w:tr>
      <w:tr w:rsidR="00537B7D" w14:paraId="3F2D1D17" w14:textId="77777777">
        <w:trPr>
          <w:trHeight w:val="350"/>
        </w:trPr>
        <w:tc>
          <w:tcPr>
            <w:tcW w:w="3457" w:type="dxa"/>
            <w:vMerge w:val="restart"/>
          </w:tcPr>
          <w:p w14:paraId="3DAC1B23" w14:textId="77777777" w:rsidR="00537B7D" w:rsidRDefault="00E93BEA">
            <w:pPr>
              <w:pStyle w:val="TableParagraph"/>
              <w:spacing w:before="86"/>
              <w:ind w:left="40"/>
              <w:rPr>
                <w:rFonts w:ascii="Arial"/>
                <w:b/>
                <w:sz w:val="18"/>
              </w:rPr>
            </w:pPr>
            <w:r>
              <w:rPr>
                <w:rFonts w:ascii="Arial"/>
                <w:b/>
                <w:color w:val="333566"/>
                <w:sz w:val="18"/>
              </w:rPr>
              <w:t>Other Authors:</w:t>
            </w:r>
          </w:p>
        </w:tc>
        <w:tc>
          <w:tcPr>
            <w:tcW w:w="7019" w:type="dxa"/>
          </w:tcPr>
          <w:p w14:paraId="0E99D92C" w14:textId="77777777" w:rsidR="00537B7D" w:rsidRDefault="00E93BEA">
            <w:pPr>
              <w:pStyle w:val="TableParagraph"/>
              <w:spacing w:before="86"/>
              <w:ind w:left="40"/>
              <w:rPr>
                <w:rFonts w:ascii="Arial"/>
                <w:sz w:val="18"/>
              </w:rPr>
            </w:pPr>
            <w:r>
              <w:rPr>
                <w:rFonts w:ascii="Arial"/>
                <w:color w:val="333566"/>
                <w:sz w:val="18"/>
              </w:rPr>
              <w:t>Elizabeth Collier</w:t>
            </w:r>
          </w:p>
        </w:tc>
      </w:tr>
      <w:tr w:rsidR="00537B7D" w14:paraId="0842F4C9" w14:textId="77777777">
        <w:trPr>
          <w:trHeight w:val="350"/>
        </w:trPr>
        <w:tc>
          <w:tcPr>
            <w:tcW w:w="3457" w:type="dxa"/>
            <w:vMerge/>
            <w:tcBorders>
              <w:top w:val="nil"/>
            </w:tcBorders>
          </w:tcPr>
          <w:p w14:paraId="40C1C65C" w14:textId="77777777" w:rsidR="00537B7D" w:rsidRDefault="00537B7D">
            <w:pPr>
              <w:rPr>
                <w:sz w:val="2"/>
                <w:szCs w:val="2"/>
              </w:rPr>
            </w:pPr>
          </w:p>
        </w:tc>
        <w:tc>
          <w:tcPr>
            <w:tcW w:w="7019" w:type="dxa"/>
          </w:tcPr>
          <w:p w14:paraId="64E38A71" w14:textId="77777777" w:rsidR="00537B7D" w:rsidRDefault="00E93BEA">
            <w:pPr>
              <w:pStyle w:val="TableParagraph"/>
              <w:spacing w:before="86"/>
              <w:ind w:left="40"/>
              <w:rPr>
                <w:rFonts w:ascii="Arial"/>
                <w:sz w:val="18"/>
              </w:rPr>
            </w:pPr>
            <w:r>
              <w:rPr>
                <w:rFonts w:ascii="Arial"/>
                <w:color w:val="333566"/>
                <w:sz w:val="18"/>
              </w:rPr>
              <w:t>Nikki Yates</w:t>
            </w:r>
          </w:p>
        </w:tc>
      </w:tr>
      <w:tr w:rsidR="00537B7D" w14:paraId="44434CD2" w14:textId="77777777">
        <w:trPr>
          <w:trHeight w:val="1450"/>
        </w:trPr>
        <w:tc>
          <w:tcPr>
            <w:tcW w:w="3457" w:type="dxa"/>
            <w:shd w:val="clear" w:color="auto" w:fill="F0F0F0"/>
          </w:tcPr>
          <w:p w14:paraId="0BB56D6F" w14:textId="77777777" w:rsidR="00537B7D" w:rsidRDefault="00E93BEA">
            <w:pPr>
              <w:pStyle w:val="TableParagraph"/>
              <w:spacing w:before="86"/>
              <w:ind w:left="40"/>
              <w:rPr>
                <w:rFonts w:ascii="Arial"/>
                <w:b/>
                <w:sz w:val="18"/>
              </w:rPr>
            </w:pPr>
            <w:r>
              <w:rPr>
                <w:rFonts w:ascii="Arial"/>
                <w:b/>
                <w:color w:val="333566"/>
                <w:sz w:val="18"/>
              </w:rPr>
              <w:t>Abstract:</w:t>
            </w:r>
          </w:p>
        </w:tc>
        <w:tc>
          <w:tcPr>
            <w:tcW w:w="7019" w:type="dxa"/>
            <w:shd w:val="clear" w:color="auto" w:fill="F0F0F0"/>
          </w:tcPr>
          <w:p w14:paraId="4A33E775" w14:textId="77777777" w:rsidR="00537B7D" w:rsidRDefault="00E93BEA">
            <w:pPr>
              <w:pStyle w:val="TableParagraph"/>
              <w:spacing w:before="86" w:line="254" w:lineRule="auto"/>
              <w:ind w:left="40"/>
              <w:rPr>
                <w:rFonts w:ascii="Arial"/>
                <w:sz w:val="18"/>
              </w:rPr>
            </w:pPr>
            <w:r>
              <w:rPr>
                <w:rFonts w:ascii="Arial"/>
                <w:color w:val="333566"/>
                <w:sz w:val="18"/>
              </w:rPr>
              <w:t xml:space="preserve">Adult nurses working in diverse environments will </w:t>
            </w:r>
            <w:proofErr w:type="gramStart"/>
            <w:r>
              <w:rPr>
                <w:rFonts w:ascii="Arial"/>
                <w:color w:val="333566"/>
                <w:sz w:val="18"/>
              </w:rPr>
              <w:t>come into contact with</w:t>
            </w:r>
            <w:proofErr w:type="gramEnd"/>
            <w:r>
              <w:rPr>
                <w:rFonts w:ascii="Arial"/>
                <w:color w:val="333566"/>
                <w:sz w:val="18"/>
              </w:rPr>
              <w:t xml:space="preserve"> people who happen to have a mental illness diagnosis. A lack of opportunity to develop specific skills, or a lack of confidence in approaching people who may behave in unfamiliar or challenging ways can result in adverse care experiences for patients. Person critical reflection, confidence </w:t>
            </w:r>
            <w:proofErr w:type="gramStart"/>
            <w:r>
              <w:rPr>
                <w:rFonts w:ascii="Arial"/>
                <w:color w:val="333566"/>
                <w:sz w:val="18"/>
              </w:rPr>
              <w:t>building</w:t>
            </w:r>
            <w:proofErr w:type="gramEnd"/>
            <w:r>
              <w:rPr>
                <w:rFonts w:ascii="Arial"/>
                <w:color w:val="333566"/>
                <w:sz w:val="18"/>
              </w:rPr>
              <w:t xml:space="preserve"> and specific knowledge can assist adult nurses in meeting this need.</w:t>
            </w:r>
          </w:p>
        </w:tc>
      </w:tr>
      <w:tr w:rsidR="00537B7D" w14:paraId="085C4CE7" w14:textId="77777777">
        <w:trPr>
          <w:trHeight w:val="350"/>
        </w:trPr>
        <w:tc>
          <w:tcPr>
            <w:tcW w:w="3457" w:type="dxa"/>
          </w:tcPr>
          <w:p w14:paraId="64E6DB8B" w14:textId="77777777" w:rsidR="00537B7D" w:rsidRDefault="00E93BEA">
            <w:pPr>
              <w:pStyle w:val="TableParagraph"/>
              <w:spacing w:before="86"/>
              <w:ind w:left="40"/>
              <w:rPr>
                <w:rFonts w:ascii="Arial"/>
                <w:b/>
                <w:sz w:val="18"/>
              </w:rPr>
            </w:pPr>
            <w:r>
              <w:rPr>
                <w:rFonts w:ascii="Arial"/>
                <w:b/>
                <w:color w:val="333566"/>
                <w:sz w:val="18"/>
              </w:rPr>
              <w:t>Keywords:</w:t>
            </w:r>
          </w:p>
        </w:tc>
        <w:tc>
          <w:tcPr>
            <w:tcW w:w="7019" w:type="dxa"/>
          </w:tcPr>
          <w:p w14:paraId="078159BD" w14:textId="77777777" w:rsidR="00537B7D" w:rsidRDefault="00E93BEA">
            <w:pPr>
              <w:pStyle w:val="TableParagraph"/>
              <w:spacing w:before="86"/>
              <w:ind w:left="40"/>
              <w:rPr>
                <w:rFonts w:ascii="Arial"/>
                <w:sz w:val="18"/>
              </w:rPr>
            </w:pPr>
            <w:r>
              <w:rPr>
                <w:rFonts w:ascii="Arial"/>
                <w:color w:val="333566"/>
                <w:sz w:val="18"/>
              </w:rPr>
              <w:t>Mental illness, adult nursing, cultural competence</w:t>
            </w:r>
          </w:p>
        </w:tc>
      </w:tr>
      <w:tr w:rsidR="00537B7D" w14:paraId="7663D4C1" w14:textId="77777777">
        <w:trPr>
          <w:trHeight w:val="350"/>
        </w:trPr>
        <w:tc>
          <w:tcPr>
            <w:tcW w:w="3457" w:type="dxa"/>
            <w:shd w:val="clear" w:color="auto" w:fill="F0F0F0"/>
          </w:tcPr>
          <w:p w14:paraId="57FEF7F5" w14:textId="77777777" w:rsidR="00537B7D" w:rsidRDefault="00E93BEA">
            <w:pPr>
              <w:pStyle w:val="TableParagraph"/>
              <w:spacing w:before="86"/>
              <w:ind w:left="40"/>
              <w:rPr>
                <w:rFonts w:ascii="Arial"/>
                <w:b/>
                <w:sz w:val="18"/>
              </w:rPr>
            </w:pPr>
            <w:r>
              <w:rPr>
                <w:rFonts w:ascii="Arial"/>
                <w:b/>
                <w:color w:val="333566"/>
                <w:sz w:val="18"/>
              </w:rPr>
              <w:t>Additional Information:</w:t>
            </w:r>
          </w:p>
        </w:tc>
        <w:tc>
          <w:tcPr>
            <w:tcW w:w="7019" w:type="dxa"/>
            <w:shd w:val="clear" w:color="auto" w:fill="F0F0F0"/>
          </w:tcPr>
          <w:p w14:paraId="6B7B5B20" w14:textId="77777777" w:rsidR="00537B7D" w:rsidRDefault="00537B7D">
            <w:pPr>
              <w:pStyle w:val="TableParagraph"/>
              <w:ind w:left="0"/>
              <w:rPr>
                <w:rFonts w:ascii="Times New Roman"/>
                <w:sz w:val="18"/>
              </w:rPr>
            </w:pPr>
          </w:p>
        </w:tc>
      </w:tr>
      <w:tr w:rsidR="00537B7D" w14:paraId="473C750B" w14:textId="77777777">
        <w:trPr>
          <w:trHeight w:val="350"/>
        </w:trPr>
        <w:tc>
          <w:tcPr>
            <w:tcW w:w="3457" w:type="dxa"/>
          </w:tcPr>
          <w:p w14:paraId="6EE5F34F" w14:textId="77777777" w:rsidR="00537B7D" w:rsidRDefault="00E93BEA">
            <w:pPr>
              <w:pStyle w:val="TableParagraph"/>
              <w:spacing w:before="86"/>
              <w:ind w:left="40"/>
              <w:rPr>
                <w:rFonts w:ascii="Arial"/>
                <w:b/>
                <w:sz w:val="18"/>
              </w:rPr>
            </w:pPr>
            <w:r>
              <w:rPr>
                <w:rFonts w:ascii="Arial"/>
                <w:b/>
                <w:color w:val="333566"/>
                <w:sz w:val="18"/>
              </w:rPr>
              <w:t>Question</w:t>
            </w:r>
          </w:p>
        </w:tc>
        <w:tc>
          <w:tcPr>
            <w:tcW w:w="7019" w:type="dxa"/>
          </w:tcPr>
          <w:p w14:paraId="06B42001" w14:textId="77777777" w:rsidR="00537B7D" w:rsidRDefault="00E93BEA">
            <w:pPr>
              <w:pStyle w:val="TableParagraph"/>
              <w:spacing w:before="86"/>
              <w:ind w:left="40"/>
              <w:rPr>
                <w:rFonts w:ascii="Arial"/>
                <w:b/>
                <w:sz w:val="18"/>
              </w:rPr>
            </w:pPr>
            <w:r>
              <w:rPr>
                <w:rFonts w:ascii="Arial"/>
                <w:b/>
                <w:color w:val="333566"/>
                <w:sz w:val="18"/>
              </w:rPr>
              <w:t>Response</w:t>
            </w:r>
          </w:p>
        </w:tc>
      </w:tr>
      <w:tr w:rsidR="00537B7D" w14:paraId="26AC87E6" w14:textId="77777777">
        <w:trPr>
          <w:trHeight w:val="940"/>
        </w:trPr>
        <w:tc>
          <w:tcPr>
            <w:tcW w:w="3457" w:type="dxa"/>
            <w:shd w:val="clear" w:color="auto" w:fill="F0F0F0"/>
          </w:tcPr>
          <w:p w14:paraId="7563070D" w14:textId="77777777" w:rsidR="00537B7D" w:rsidRDefault="00E93BEA">
            <w:pPr>
              <w:pStyle w:val="TableParagraph"/>
              <w:spacing w:before="73" w:line="270" w:lineRule="atLeast"/>
              <w:ind w:left="40"/>
              <w:rPr>
                <w:rFonts w:ascii="Arial"/>
                <w:sz w:val="18"/>
              </w:rPr>
            </w:pPr>
            <w:r>
              <w:rPr>
                <w:rFonts w:ascii="Arial"/>
                <w:sz w:val="18"/>
              </w:rPr>
              <w:t>Have all named authors contributed to the article and reviewed and approved its content before submission?</w:t>
            </w:r>
          </w:p>
        </w:tc>
        <w:tc>
          <w:tcPr>
            <w:tcW w:w="7019" w:type="dxa"/>
            <w:shd w:val="clear" w:color="auto" w:fill="F0F0F0"/>
          </w:tcPr>
          <w:p w14:paraId="731278AD" w14:textId="77777777" w:rsidR="00537B7D" w:rsidRDefault="00E93BEA">
            <w:pPr>
              <w:pStyle w:val="TableParagraph"/>
              <w:spacing w:before="136"/>
              <w:ind w:left="40"/>
              <w:rPr>
                <w:rFonts w:ascii="Arial"/>
                <w:sz w:val="18"/>
              </w:rPr>
            </w:pPr>
            <w:r>
              <w:rPr>
                <w:rFonts w:ascii="Arial"/>
                <w:sz w:val="18"/>
              </w:rPr>
              <w:t>Yes</w:t>
            </w:r>
          </w:p>
        </w:tc>
      </w:tr>
      <w:tr w:rsidR="00537B7D" w14:paraId="7C01719B" w14:textId="77777777">
        <w:trPr>
          <w:trHeight w:val="1450"/>
        </w:trPr>
        <w:tc>
          <w:tcPr>
            <w:tcW w:w="3457" w:type="dxa"/>
            <w:shd w:val="clear" w:color="auto" w:fill="F0F0F0"/>
          </w:tcPr>
          <w:p w14:paraId="43E6508E" w14:textId="77777777" w:rsidR="00537B7D" w:rsidRDefault="00E93BEA">
            <w:pPr>
              <w:pStyle w:val="TableParagraph"/>
              <w:spacing w:before="86" w:line="254" w:lineRule="auto"/>
              <w:ind w:left="40" w:right="26"/>
              <w:rPr>
                <w:rFonts w:ascii="Arial"/>
                <w:sz w:val="18"/>
              </w:rPr>
            </w:pPr>
            <w:r>
              <w:rPr>
                <w:rFonts w:ascii="Arial"/>
                <w:color w:val="333566"/>
                <w:sz w:val="18"/>
              </w:rPr>
              <w:t xml:space="preserve">Please confirm that you have read and agree to our Publisher's Agreement that is available &lt;a </w:t>
            </w:r>
            <w:hyperlink r:id="rId5">
              <w:proofErr w:type="spellStart"/>
              <w:r>
                <w:rPr>
                  <w:rFonts w:ascii="Arial"/>
                  <w:color w:val="333566"/>
                  <w:sz w:val="18"/>
                </w:rPr>
                <w:t>href</w:t>
              </w:r>
              <w:proofErr w:type="spellEnd"/>
              <w:r>
                <w:rPr>
                  <w:rFonts w:ascii="Arial"/>
                  <w:color w:val="333566"/>
                  <w:sz w:val="18"/>
                </w:rPr>
                <w:t>="http://rcnpublishing.com/</w:t>
              </w:r>
              <w:proofErr w:type="spellStart"/>
              <w:r>
                <w:rPr>
                  <w:rFonts w:ascii="Arial"/>
                  <w:color w:val="333566"/>
                  <w:sz w:val="18"/>
                </w:rPr>
                <w:t>userimages</w:t>
              </w:r>
              <w:proofErr w:type="spellEnd"/>
            </w:hyperlink>
          </w:p>
          <w:p w14:paraId="75AD34CB" w14:textId="77777777" w:rsidR="00537B7D" w:rsidRDefault="00E93BEA">
            <w:pPr>
              <w:pStyle w:val="TableParagraph"/>
              <w:spacing w:before="2" w:line="254" w:lineRule="auto"/>
              <w:ind w:left="40"/>
              <w:rPr>
                <w:rFonts w:ascii="Arial"/>
                <w:sz w:val="18"/>
              </w:rPr>
            </w:pPr>
            <w:r>
              <w:rPr>
                <w:rFonts w:ascii="Arial"/>
                <w:color w:val="333566"/>
                <w:sz w:val="18"/>
              </w:rPr>
              <w:t>/</w:t>
            </w:r>
            <w:proofErr w:type="spellStart"/>
            <w:r>
              <w:rPr>
                <w:rFonts w:ascii="Arial"/>
                <w:color w:val="333566"/>
                <w:sz w:val="18"/>
              </w:rPr>
              <w:t>ContentEditor</w:t>
            </w:r>
            <w:proofErr w:type="spellEnd"/>
            <w:r>
              <w:rPr>
                <w:rFonts w:ascii="Arial"/>
                <w:color w:val="333566"/>
                <w:sz w:val="18"/>
              </w:rPr>
              <w:t>/1375795144242/NS%20P ublisher's%20Agreement.pdf"&gt;here&lt;/&gt;</w:t>
            </w:r>
          </w:p>
        </w:tc>
        <w:tc>
          <w:tcPr>
            <w:tcW w:w="7019" w:type="dxa"/>
            <w:shd w:val="clear" w:color="auto" w:fill="F0F0F0"/>
          </w:tcPr>
          <w:p w14:paraId="10CF4E74" w14:textId="77777777" w:rsidR="00537B7D" w:rsidRDefault="00E93BEA">
            <w:pPr>
              <w:pStyle w:val="TableParagraph"/>
              <w:spacing w:before="136"/>
              <w:ind w:left="40"/>
              <w:rPr>
                <w:rFonts w:ascii="Arial"/>
                <w:sz w:val="18"/>
              </w:rPr>
            </w:pPr>
            <w:r>
              <w:rPr>
                <w:rFonts w:ascii="Arial"/>
                <w:sz w:val="18"/>
              </w:rPr>
              <w:t>Yes</w:t>
            </w:r>
          </w:p>
        </w:tc>
      </w:tr>
      <w:tr w:rsidR="00537B7D" w14:paraId="016095A7" w14:textId="77777777">
        <w:trPr>
          <w:trHeight w:val="670"/>
        </w:trPr>
        <w:tc>
          <w:tcPr>
            <w:tcW w:w="3457" w:type="dxa"/>
            <w:shd w:val="clear" w:color="auto" w:fill="F0F0F0"/>
          </w:tcPr>
          <w:p w14:paraId="5E7053B9" w14:textId="77777777" w:rsidR="00537B7D" w:rsidRDefault="00E93BEA">
            <w:pPr>
              <w:pStyle w:val="TableParagraph"/>
              <w:spacing w:before="73" w:line="270" w:lineRule="atLeast"/>
              <w:ind w:left="40" w:right="75"/>
              <w:rPr>
                <w:rFonts w:ascii="Arial"/>
                <w:sz w:val="18"/>
              </w:rPr>
            </w:pPr>
            <w:r>
              <w:rPr>
                <w:rFonts w:ascii="Arial"/>
                <w:sz w:val="18"/>
              </w:rPr>
              <w:t xml:space="preserve">Have you been asked by </w:t>
            </w:r>
            <w:proofErr w:type="spellStart"/>
            <w:r>
              <w:rPr>
                <w:rFonts w:ascii="Arial"/>
                <w:sz w:val="18"/>
              </w:rPr>
              <w:t>RCNi</w:t>
            </w:r>
            <w:proofErr w:type="spellEnd"/>
            <w:r>
              <w:rPr>
                <w:rFonts w:ascii="Arial"/>
                <w:sz w:val="18"/>
              </w:rPr>
              <w:t xml:space="preserve"> to write this article?</w:t>
            </w:r>
          </w:p>
        </w:tc>
        <w:tc>
          <w:tcPr>
            <w:tcW w:w="7019" w:type="dxa"/>
            <w:shd w:val="clear" w:color="auto" w:fill="F0F0F0"/>
          </w:tcPr>
          <w:p w14:paraId="1648C956" w14:textId="77777777" w:rsidR="00537B7D" w:rsidRDefault="00E93BEA">
            <w:pPr>
              <w:pStyle w:val="TableParagraph"/>
              <w:spacing w:before="136"/>
              <w:ind w:left="40"/>
              <w:rPr>
                <w:rFonts w:ascii="Arial"/>
                <w:sz w:val="18"/>
              </w:rPr>
            </w:pPr>
            <w:r>
              <w:rPr>
                <w:rFonts w:ascii="Arial"/>
                <w:sz w:val="18"/>
              </w:rPr>
              <w:t>Yes</w:t>
            </w:r>
          </w:p>
        </w:tc>
      </w:tr>
      <w:tr w:rsidR="00537B7D" w14:paraId="443AB14F" w14:textId="77777777">
        <w:trPr>
          <w:trHeight w:val="1480"/>
        </w:trPr>
        <w:tc>
          <w:tcPr>
            <w:tcW w:w="3457" w:type="dxa"/>
            <w:shd w:val="clear" w:color="auto" w:fill="F0F0F0"/>
          </w:tcPr>
          <w:p w14:paraId="7159DDFD" w14:textId="77777777" w:rsidR="00537B7D" w:rsidRDefault="00E93BEA">
            <w:pPr>
              <w:pStyle w:val="TableParagraph"/>
              <w:spacing w:before="73" w:line="270" w:lineRule="atLeast"/>
              <w:ind w:left="40" w:right="75"/>
              <w:rPr>
                <w:rFonts w:ascii="Arial"/>
                <w:sz w:val="18"/>
              </w:rPr>
            </w:pPr>
            <w:r>
              <w:rPr>
                <w:rFonts w:ascii="Arial"/>
                <w:sz w:val="18"/>
              </w:rPr>
              <w:t xml:space="preserve">Do you have copyright for all the images, graphics and figures included with your submission? Please supply the pictures as </w:t>
            </w:r>
            <w:proofErr w:type="gramStart"/>
            <w:r>
              <w:rPr>
                <w:rFonts w:ascii="Arial"/>
                <w:sz w:val="18"/>
              </w:rPr>
              <w:t>high resolution</w:t>
            </w:r>
            <w:proofErr w:type="gramEnd"/>
            <w:r>
              <w:rPr>
                <w:rFonts w:ascii="Arial"/>
                <w:sz w:val="18"/>
              </w:rPr>
              <w:t xml:space="preserve"> JPEG files (the file size should usually be at least 3 Megabytes).</w:t>
            </w:r>
          </w:p>
        </w:tc>
        <w:tc>
          <w:tcPr>
            <w:tcW w:w="7019" w:type="dxa"/>
            <w:shd w:val="clear" w:color="auto" w:fill="F0F0F0"/>
          </w:tcPr>
          <w:p w14:paraId="1FA62734" w14:textId="77777777" w:rsidR="00537B7D" w:rsidRDefault="00E93BEA">
            <w:pPr>
              <w:pStyle w:val="TableParagraph"/>
              <w:spacing w:before="136"/>
              <w:ind w:left="40"/>
              <w:rPr>
                <w:rFonts w:ascii="Arial"/>
                <w:sz w:val="18"/>
              </w:rPr>
            </w:pPr>
            <w:r>
              <w:rPr>
                <w:rFonts w:ascii="Arial"/>
                <w:sz w:val="18"/>
              </w:rPr>
              <w:t>Yes</w:t>
            </w:r>
          </w:p>
        </w:tc>
      </w:tr>
      <w:tr w:rsidR="00537B7D" w14:paraId="5DB72FEE" w14:textId="77777777">
        <w:trPr>
          <w:trHeight w:val="670"/>
        </w:trPr>
        <w:tc>
          <w:tcPr>
            <w:tcW w:w="3457" w:type="dxa"/>
            <w:shd w:val="clear" w:color="auto" w:fill="F0F0F0"/>
          </w:tcPr>
          <w:p w14:paraId="1AB0FF1D" w14:textId="77777777" w:rsidR="00537B7D" w:rsidRDefault="00E93BEA">
            <w:pPr>
              <w:pStyle w:val="TableParagraph"/>
              <w:spacing w:before="73" w:line="270" w:lineRule="atLeast"/>
              <w:ind w:left="40"/>
              <w:rPr>
                <w:rFonts w:ascii="Arial"/>
                <w:sz w:val="18"/>
              </w:rPr>
            </w:pPr>
            <w:r>
              <w:rPr>
                <w:rFonts w:ascii="Arial"/>
                <w:sz w:val="18"/>
              </w:rPr>
              <w:t>How do you expect payment for this work to be handled?</w:t>
            </w:r>
          </w:p>
        </w:tc>
        <w:tc>
          <w:tcPr>
            <w:tcW w:w="7019" w:type="dxa"/>
            <w:shd w:val="clear" w:color="auto" w:fill="F0F0F0"/>
          </w:tcPr>
          <w:p w14:paraId="1337C618" w14:textId="77777777" w:rsidR="00537B7D" w:rsidRDefault="00E93BEA">
            <w:pPr>
              <w:pStyle w:val="TableParagraph"/>
              <w:spacing w:before="73" w:line="270" w:lineRule="atLeast"/>
              <w:ind w:left="40"/>
              <w:rPr>
                <w:rFonts w:ascii="Arial"/>
                <w:sz w:val="18"/>
              </w:rPr>
            </w:pPr>
            <w:r>
              <w:rPr>
                <w:rFonts w:ascii="Arial"/>
                <w:sz w:val="18"/>
              </w:rPr>
              <w:t>I am/will be paid direct by RCNP - You are paid without having to submit an invoice in accordance with the terms agreed</w:t>
            </w:r>
          </w:p>
        </w:tc>
      </w:tr>
      <w:tr w:rsidR="00537B7D" w14:paraId="5B9782CC" w14:textId="77777777">
        <w:trPr>
          <w:trHeight w:val="940"/>
        </w:trPr>
        <w:tc>
          <w:tcPr>
            <w:tcW w:w="3457" w:type="dxa"/>
            <w:shd w:val="clear" w:color="auto" w:fill="F0F0F0"/>
          </w:tcPr>
          <w:p w14:paraId="57B6938D" w14:textId="77777777" w:rsidR="00537B7D" w:rsidRDefault="00E93BEA">
            <w:pPr>
              <w:pStyle w:val="TableParagraph"/>
              <w:spacing w:before="73" w:line="270" w:lineRule="atLeast"/>
              <w:ind w:left="40"/>
              <w:rPr>
                <w:rFonts w:ascii="Arial"/>
                <w:sz w:val="18"/>
              </w:rPr>
            </w:pPr>
            <w:r>
              <w:rPr>
                <w:rFonts w:ascii="Arial"/>
                <w:sz w:val="18"/>
              </w:rPr>
              <w:t>What is the word count of your article including the abstract, body text, boxes, tables and figures, and references?</w:t>
            </w:r>
          </w:p>
        </w:tc>
        <w:tc>
          <w:tcPr>
            <w:tcW w:w="7019" w:type="dxa"/>
            <w:shd w:val="clear" w:color="auto" w:fill="F0F0F0"/>
          </w:tcPr>
          <w:p w14:paraId="12477D1D" w14:textId="77777777" w:rsidR="00537B7D" w:rsidRDefault="00E93BEA">
            <w:pPr>
              <w:pStyle w:val="TableParagraph"/>
              <w:spacing w:before="136"/>
              <w:ind w:left="40"/>
              <w:rPr>
                <w:rFonts w:ascii="Arial"/>
                <w:sz w:val="18"/>
              </w:rPr>
            </w:pPr>
            <w:r>
              <w:rPr>
                <w:rFonts w:ascii="Arial"/>
                <w:sz w:val="18"/>
              </w:rPr>
              <w:t>3557</w:t>
            </w:r>
          </w:p>
        </w:tc>
      </w:tr>
      <w:tr w:rsidR="00537B7D" w14:paraId="0A3CFD82" w14:textId="77777777">
        <w:trPr>
          <w:trHeight w:val="1500"/>
        </w:trPr>
        <w:tc>
          <w:tcPr>
            <w:tcW w:w="3457" w:type="dxa"/>
          </w:tcPr>
          <w:p w14:paraId="5E81ADF7" w14:textId="77777777" w:rsidR="00537B7D" w:rsidRDefault="00E93BEA">
            <w:pPr>
              <w:pStyle w:val="TableParagraph"/>
              <w:spacing w:before="86"/>
              <w:ind w:left="40"/>
              <w:rPr>
                <w:rFonts w:ascii="Arial"/>
                <w:b/>
                <w:sz w:val="18"/>
              </w:rPr>
            </w:pPr>
            <w:r>
              <w:rPr>
                <w:rFonts w:ascii="Arial"/>
                <w:b/>
                <w:color w:val="333566"/>
                <w:sz w:val="18"/>
              </w:rPr>
              <w:t>Author Comments:</w:t>
            </w:r>
          </w:p>
        </w:tc>
        <w:tc>
          <w:tcPr>
            <w:tcW w:w="7019" w:type="dxa"/>
          </w:tcPr>
          <w:p w14:paraId="2FFBBF1D" w14:textId="77777777" w:rsidR="00537B7D" w:rsidRDefault="00E93BEA">
            <w:pPr>
              <w:pStyle w:val="TableParagraph"/>
              <w:spacing w:before="86"/>
              <w:ind w:left="40"/>
              <w:rPr>
                <w:rFonts w:ascii="Arial"/>
                <w:sz w:val="18"/>
              </w:rPr>
            </w:pPr>
            <w:r>
              <w:rPr>
                <w:rFonts w:ascii="Arial"/>
                <w:color w:val="333566"/>
                <w:sz w:val="18"/>
              </w:rPr>
              <w:t>Author Details</w:t>
            </w:r>
          </w:p>
          <w:p w14:paraId="67DF81F7" w14:textId="77777777" w:rsidR="00537B7D" w:rsidRDefault="00E93BEA">
            <w:pPr>
              <w:pStyle w:val="TableParagraph"/>
              <w:spacing w:before="13" w:line="254" w:lineRule="auto"/>
              <w:ind w:left="40" w:right="353"/>
              <w:rPr>
                <w:rFonts w:ascii="Arial"/>
                <w:sz w:val="18"/>
              </w:rPr>
            </w:pPr>
            <w:r>
              <w:rPr>
                <w:rFonts w:ascii="Arial"/>
                <w:color w:val="333566"/>
                <w:sz w:val="18"/>
              </w:rPr>
              <w:t>Nicky Hindmarch, Senior Lecturer in Mental Health,</w:t>
            </w:r>
            <w:hyperlink r:id="rId6">
              <w:r>
                <w:rPr>
                  <w:rFonts w:ascii="Arial"/>
                  <w:color w:val="333566"/>
                  <w:sz w:val="18"/>
                </w:rPr>
                <w:t xml:space="preserve"> n.hindmarch@derby.ac.uk</w:t>
              </w:r>
            </w:hyperlink>
            <w:r>
              <w:rPr>
                <w:rFonts w:ascii="Arial"/>
                <w:color w:val="333566"/>
                <w:sz w:val="18"/>
              </w:rPr>
              <w:t xml:space="preserve"> Nikki Yates, Lecturer in Mental Health, </w:t>
            </w:r>
            <w:hyperlink r:id="rId7">
              <w:r>
                <w:rPr>
                  <w:rFonts w:ascii="Arial"/>
                  <w:color w:val="333566"/>
                  <w:sz w:val="18"/>
                </w:rPr>
                <w:t>n.yates@derby.ac.uk</w:t>
              </w:r>
            </w:hyperlink>
          </w:p>
          <w:p w14:paraId="0489D70C" w14:textId="77777777" w:rsidR="00537B7D" w:rsidRDefault="00E93BEA">
            <w:pPr>
              <w:pStyle w:val="TableParagraph"/>
              <w:spacing w:before="1"/>
              <w:ind w:left="40"/>
              <w:rPr>
                <w:rFonts w:ascii="Arial"/>
                <w:sz w:val="18"/>
              </w:rPr>
            </w:pPr>
            <w:r>
              <w:rPr>
                <w:rFonts w:ascii="Arial"/>
                <w:color w:val="333566"/>
                <w:sz w:val="18"/>
              </w:rPr>
              <w:t>Elizabeth Collier, Senior Lecturer in Mental Health,</w:t>
            </w:r>
            <w:hyperlink r:id="rId8">
              <w:r>
                <w:rPr>
                  <w:rFonts w:ascii="Arial"/>
                  <w:color w:val="333566"/>
                  <w:sz w:val="18"/>
                </w:rPr>
                <w:t xml:space="preserve"> e.collier@derby.ac.uk</w:t>
              </w:r>
            </w:hyperlink>
          </w:p>
          <w:p w14:paraId="370B9391" w14:textId="77777777" w:rsidR="00537B7D" w:rsidRDefault="00537B7D">
            <w:pPr>
              <w:pStyle w:val="TableParagraph"/>
              <w:spacing w:before="3"/>
              <w:ind w:left="0"/>
              <w:rPr>
                <w:rFonts w:ascii="Arial"/>
                <w:sz w:val="20"/>
              </w:rPr>
            </w:pPr>
          </w:p>
          <w:p w14:paraId="522901F5" w14:textId="77777777" w:rsidR="00537B7D" w:rsidRDefault="00E93BEA">
            <w:pPr>
              <w:pStyle w:val="TableParagraph"/>
              <w:ind w:left="40"/>
              <w:rPr>
                <w:rFonts w:ascii="Arial"/>
                <w:sz w:val="18"/>
              </w:rPr>
            </w:pPr>
            <w:r>
              <w:rPr>
                <w:rFonts w:ascii="Arial"/>
                <w:color w:val="333566"/>
                <w:sz w:val="18"/>
              </w:rPr>
              <w:t>University of Derby</w:t>
            </w:r>
          </w:p>
        </w:tc>
      </w:tr>
    </w:tbl>
    <w:p w14:paraId="60D60E1C" w14:textId="77777777" w:rsidR="00537B7D" w:rsidRDefault="00E93BEA">
      <w:pPr>
        <w:spacing w:before="154"/>
        <w:ind w:left="1681" w:right="1681"/>
        <w:jc w:val="center"/>
        <w:rPr>
          <w:rFonts w:ascii="Verdana" w:hAnsi="Verdana"/>
          <w:i/>
          <w:sz w:val="16"/>
        </w:rPr>
      </w:pPr>
      <w:r>
        <w:rPr>
          <w:rFonts w:ascii="Verdana" w:hAnsi="Verdana"/>
          <w:i/>
          <w:color w:val="646464"/>
          <w:sz w:val="16"/>
        </w:rPr>
        <w:t xml:space="preserve">Powered by Editorial Manager® and </w:t>
      </w:r>
      <w:proofErr w:type="spellStart"/>
      <w:r>
        <w:rPr>
          <w:rFonts w:ascii="Verdana" w:hAnsi="Verdana"/>
          <w:i/>
          <w:color w:val="646464"/>
          <w:sz w:val="16"/>
        </w:rPr>
        <w:t>ProduXion</w:t>
      </w:r>
      <w:proofErr w:type="spellEnd"/>
      <w:r>
        <w:rPr>
          <w:rFonts w:ascii="Verdana" w:hAnsi="Verdana"/>
          <w:i/>
          <w:color w:val="646464"/>
          <w:sz w:val="16"/>
        </w:rPr>
        <w:t xml:space="preserve"> Manager® from Aries Systems Corporation</w:t>
      </w:r>
    </w:p>
    <w:p w14:paraId="0EE8369F" w14:textId="77777777" w:rsidR="00537B7D" w:rsidRDefault="00537B7D">
      <w:pPr>
        <w:jc w:val="center"/>
        <w:rPr>
          <w:rFonts w:ascii="Verdana" w:hAnsi="Verdana"/>
          <w:sz w:val="16"/>
        </w:rPr>
        <w:sectPr w:rsidR="00537B7D">
          <w:type w:val="continuous"/>
          <w:pgSz w:w="12240" w:h="15840"/>
          <w:pgMar w:top="620" w:right="760" w:bottom="0" w:left="760" w:header="720" w:footer="720" w:gutter="0"/>
          <w:cols w:space="720"/>
        </w:sectPr>
      </w:pPr>
    </w:p>
    <w:tbl>
      <w:tblPr>
        <w:tblW w:w="0" w:type="auto"/>
        <w:tblInd w:w="126" w:type="dxa"/>
        <w:tblBorders>
          <w:top w:val="single" w:sz="4" w:space="0" w:color="C7C7C7"/>
          <w:left w:val="single" w:sz="4" w:space="0" w:color="C7C7C7"/>
          <w:bottom w:val="single" w:sz="4" w:space="0" w:color="C7C7C7"/>
          <w:right w:val="single" w:sz="4" w:space="0" w:color="C7C7C7"/>
          <w:insideH w:val="single" w:sz="4" w:space="0" w:color="C7C7C7"/>
          <w:insideV w:val="single" w:sz="4" w:space="0" w:color="C7C7C7"/>
        </w:tblBorders>
        <w:tblLayout w:type="fixed"/>
        <w:tblCellMar>
          <w:left w:w="0" w:type="dxa"/>
          <w:right w:w="0" w:type="dxa"/>
        </w:tblCellMar>
        <w:tblLook w:val="01E0" w:firstRow="1" w:lastRow="1" w:firstColumn="1" w:lastColumn="1" w:noHBand="0" w:noVBand="0"/>
      </w:tblPr>
      <w:tblGrid>
        <w:gridCol w:w="3457"/>
        <w:gridCol w:w="7019"/>
      </w:tblGrid>
      <w:tr w:rsidR="00537B7D" w14:paraId="5A2EA29F" w14:textId="77777777">
        <w:trPr>
          <w:trHeight w:val="790"/>
        </w:trPr>
        <w:tc>
          <w:tcPr>
            <w:tcW w:w="3457" w:type="dxa"/>
          </w:tcPr>
          <w:p w14:paraId="7D841B32" w14:textId="77777777" w:rsidR="00537B7D" w:rsidRDefault="00537B7D">
            <w:pPr>
              <w:pStyle w:val="TableParagraph"/>
              <w:ind w:left="0"/>
              <w:rPr>
                <w:rFonts w:ascii="Times New Roman"/>
                <w:sz w:val="16"/>
              </w:rPr>
            </w:pPr>
          </w:p>
        </w:tc>
        <w:tc>
          <w:tcPr>
            <w:tcW w:w="7019" w:type="dxa"/>
          </w:tcPr>
          <w:p w14:paraId="50143829" w14:textId="77777777" w:rsidR="00537B7D" w:rsidRDefault="00E93BEA">
            <w:pPr>
              <w:pStyle w:val="TableParagraph"/>
              <w:spacing w:before="81" w:line="254" w:lineRule="auto"/>
              <w:ind w:left="40" w:right="5428"/>
              <w:rPr>
                <w:rFonts w:ascii="Arial"/>
                <w:sz w:val="18"/>
              </w:rPr>
            </w:pPr>
            <w:r>
              <w:rPr>
                <w:rFonts w:ascii="Arial"/>
                <w:color w:val="333566"/>
                <w:sz w:val="18"/>
              </w:rPr>
              <w:t>Kedleston Rd Derby</w:t>
            </w:r>
          </w:p>
          <w:p w14:paraId="32BB656C" w14:textId="77777777" w:rsidR="00537B7D" w:rsidRDefault="00E93BEA">
            <w:pPr>
              <w:pStyle w:val="TableParagraph"/>
              <w:spacing w:before="1"/>
              <w:ind w:left="40"/>
              <w:rPr>
                <w:rFonts w:ascii="Arial"/>
                <w:sz w:val="18"/>
              </w:rPr>
            </w:pPr>
            <w:r>
              <w:rPr>
                <w:rFonts w:ascii="Arial"/>
                <w:color w:val="333566"/>
                <w:sz w:val="18"/>
              </w:rPr>
              <w:t>DE22 1GB</w:t>
            </w:r>
          </w:p>
        </w:tc>
      </w:tr>
      <w:tr w:rsidR="00537B7D" w14:paraId="53D0A681" w14:textId="77777777">
        <w:trPr>
          <w:trHeight w:val="350"/>
        </w:trPr>
        <w:tc>
          <w:tcPr>
            <w:tcW w:w="3457" w:type="dxa"/>
            <w:shd w:val="clear" w:color="auto" w:fill="F0F0F0"/>
          </w:tcPr>
          <w:p w14:paraId="4A21850E" w14:textId="77777777" w:rsidR="00537B7D" w:rsidRDefault="00E93BEA">
            <w:pPr>
              <w:pStyle w:val="TableParagraph"/>
              <w:spacing w:before="81"/>
              <w:ind w:left="40"/>
              <w:rPr>
                <w:rFonts w:ascii="Arial"/>
                <w:b/>
                <w:sz w:val="18"/>
              </w:rPr>
            </w:pPr>
            <w:r>
              <w:rPr>
                <w:rFonts w:ascii="Arial"/>
                <w:b/>
                <w:color w:val="333566"/>
                <w:sz w:val="18"/>
              </w:rPr>
              <w:t>Manuscript Region of Origin:</w:t>
            </w:r>
          </w:p>
        </w:tc>
        <w:tc>
          <w:tcPr>
            <w:tcW w:w="7019" w:type="dxa"/>
            <w:shd w:val="clear" w:color="auto" w:fill="F0F0F0"/>
          </w:tcPr>
          <w:p w14:paraId="02FA3505" w14:textId="77777777" w:rsidR="00537B7D" w:rsidRDefault="00E93BEA">
            <w:pPr>
              <w:pStyle w:val="TableParagraph"/>
              <w:spacing w:before="81"/>
              <w:ind w:left="40"/>
              <w:rPr>
                <w:rFonts w:ascii="Arial"/>
                <w:sz w:val="18"/>
              </w:rPr>
            </w:pPr>
            <w:r>
              <w:rPr>
                <w:rFonts w:ascii="Arial"/>
                <w:color w:val="333566"/>
                <w:sz w:val="18"/>
              </w:rPr>
              <w:t>United Kingdom</w:t>
            </w:r>
          </w:p>
        </w:tc>
      </w:tr>
    </w:tbl>
    <w:p w14:paraId="06908AB8" w14:textId="77777777" w:rsidR="00537B7D" w:rsidRDefault="00537B7D">
      <w:pPr>
        <w:pStyle w:val="BodyText"/>
        <w:rPr>
          <w:rFonts w:ascii="Verdana"/>
          <w:i/>
        </w:rPr>
      </w:pPr>
    </w:p>
    <w:p w14:paraId="722675E1" w14:textId="77777777" w:rsidR="00537B7D" w:rsidRDefault="00537B7D">
      <w:pPr>
        <w:pStyle w:val="BodyText"/>
        <w:rPr>
          <w:rFonts w:ascii="Verdana"/>
          <w:i/>
        </w:rPr>
      </w:pPr>
    </w:p>
    <w:p w14:paraId="48852C0D" w14:textId="77777777" w:rsidR="00537B7D" w:rsidRDefault="00537B7D">
      <w:pPr>
        <w:pStyle w:val="BodyText"/>
        <w:rPr>
          <w:rFonts w:ascii="Verdana"/>
          <w:i/>
        </w:rPr>
      </w:pPr>
    </w:p>
    <w:p w14:paraId="37F7DD8B" w14:textId="77777777" w:rsidR="00537B7D" w:rsidRDefault="00537B7D">
      <w:pPr>
        <w:pStyle w:val="BodyText"/>
        <w:rPr>
          <w:rFonts w:ascii="Verdana"/>
          <w:i/>
        </w:rPr>
      </w:pPr>
    </w:p>
    <w:p w14:paraId="3AFAE9C6" w14:textId="77777777" w:rsidR="00537B7D" w:rsidRDefault="00537B7D">
      <w:pPr>
        <w:pStyle w:val="BodyText"/>
        <w:rPr>
          <w:rFonts w:ascii="Verdana"/>
          <w:i/>
        </w:rPr>
      </w:pPr>
    </w:p>
    <w:p w14:paraId="46E72752" w14:textId="77777777" w:rsidR="00537B7D" w:rsidRDefault="00537B7D">
      <w:pPr>
        <w:pStyle w:val="BodyText"/>
        <w:rPr>
          <w:rFonts w:ascii="Verdana"/>
          <w:i/>
        </w:rPr>
      </w:pPr>
    </w:p>
    <w:p w14:paraId="2CDC5F30" w14:textId="77777777" w:rsidR="00537B7D" w:rsidRDefault="00537B7D">
      <w:pPr>
        <w:pStyle w:val="BodyText"/>
        <w:rPr>
          <w:rFonts w:ascii="Verdana"/>
          <w:i/>
        </w:rPr>
      </w:pPr>
    </w:p>
    <w:p w14:paraId="1D3C8B95" w14:textId="77777777" w:rsidR="00537B7D" w:rsidRDefault="00537B7D">
      <w:pPr>
        <w:pStyle w:val="BodyText"/>
        <w:rPr>
          <w:rFonts w:ascii="Verdana"/>
          <w:i/>
        </w:rPr>
      </w:pPr>
    </w:p>
    <w:p w14:paraId="36C3901F" w14:textId="77777777" w:rsidR="00537B7D" w:rsidRDefault="00537B7D">
      <w:pPr>
        <w:pStyle w:val="BodyText"/>
        <w:rPr>
          <w:rFonts w:ascii="Verdana"/>
          <w:i/>
        </w:rPr>
      </w:pPr>
    </w:p>
    <w:p w14:paraId="077CC98F" w14:textId="77777777" w:rsidR="00537B7D" w:rsidRDefault="00537B7D">
      <w:pPr>
        <w:pStyle w:val="BodyText"/>
        <w:rPr>
          <w:rFonts w:ascii="Verdana"/>
          <w:i/>
        </w:rPr>
      </w:pPr>
    </w:p>
    <w:p w14:paraId="594D33B0" w14:textId="77777777" w:rsidR="00537B7D" w:rsidRDefault="00537B7D">
      <w:pPr>
        <w:pStyle w:val="BodyText"/>
        <w:rPr>
          <w:rFonts w:ascii="Verdana"/>
          <w:i/>
        </w:rPr>
      </w:pPr>
    </w:p>
    <w:p w14:paraId="01C4BE62" w14:textId="77777777" w:rsidR="00537B7D" w:rsidRDefault="00537B7D">
      <w:pPr>
        <w:pStyle w:val="BodyText"/>
        <w:rPr>
          <w:rFonts w:ascii="Verdana"/>
          <w:i/>
        </w:rPr>
      </w:pPr>
    </w:p>
    <w:p w14:paraId="73C8681A" w14:textId="77777777" w:rsidR="00537B7D" w:rsidRDefault="00537B7D">
      <w:pPr>
        <w:pStyle w:val="BodyText"/>
        <w:rPr>
          <w:rFonts w:ascii="Verdana"/>
          <w:i/>
        </w:rPr>
      </w:pPr>
    </w:p>
    <w:p w14:paraId="6A4E979E" w14:textId="77777777" w:rsidR="00537B7D" w:rsidRDefault="00537B7D">
      <w:pPr>
        <w:pStyle w:val="BodyText"/>
        <w:rPr>
          <w:rFonts w:ascii="Verdana"/>
          <w:i/>
        </w:rPr>
      </w:pPr>
    </w:p>
    <w:p w14:paraId="641B8800" w14:textId="77777777" w:rsidR="00537B7D" w:rsidRDefault="00537B7D">
      <w:pPr>
        <w:pStyle w:val="BodyText"/>
        <w:rPr>
          <w:rFonts w:ascii="Verdana"/>
          <w:i/>
        </w:rPr>
      </w:pPr>
    </w:p>
    <w:p w14:paraId="0F3D4EA8" w14:textId="77777777" w:rsidR="00537B7D" w:rsidRDefault="00537B7D">
      <w:pPr>
        <w:pStyle w:val="BodyText"/>
        <w:rPr>
          <w:rFonts w:ascii="Verdana"/>
          <w:i/>
        </w:rPr>
      </w:pPr>
    </w:p>
    <w:p w14:paraId="3DFF30AA" w14:textId="77777777" w:rsidR="00537B7D" w:rsidRDefault="00537B7D">
      <w:pPr>
        <w:pStyle w:val="BodyText"/>
        <w:rPr>
          <w:rFonts w:ascii="Verdana"/>
          <w:i/>
        </w:rPr>
      </w:pPr>
    </w:p>
    <w:p w14:paraId="01FAB4FD" w14:textId="77777777" w:rsidR="00537B7D" w:rsidRDefault="00537B7D">
      <w:pPr>
        <w:pStyle w:val="BodyText"/>
        <w:rPr>
          <w:rFonts w:ascii="Verdana"/>
          <w:i/>
        </w:rPr>
      </w:pPr>
    </w:p>
    <w:p w14:paraId="09FE0F7A" w14:textId="77777777" w:rsidR="00537B7D" w:rsidRDefault="00537B7D">
      <w:pPr>
        <w:pStyle w:val="BodyText"/>
        <w:rPr>
          <w:rFonts w:ascii="Verdana"/>
          <w:i/>
        </w:rPr>
      </w:pPr>
    </w:p>
    <w:p w14:paraId="72A46C53" w14:textId="77777777" w:rsidR="00537B7D" w:rsidRDefault="00537B7D">
      <w:pPr>
        <w:pStyle w:val="BodyText"/>
        <w:rPr>
          <w:rFonts w:ascii="Verdana"/>
          <w:i/>
        </w:rPr>
      </w:pPr>
    </w:p>
    <w:p w14:paraId="28DC950B" w14:textId="77777777" w:rsidR="00537B7D" w:rsidRDefault="00537B7D">
      <w:pPr>
        <w:pStyle w:val="BodyText"/>
        <w:rPr>
          <w:rFonts w:ascii="Verdana"/>
          <w:i/>
        </w:rPr>
      </w:pPr>
    </w:p>
    <w:p w14:paraId="314E9D17" w14:textId="77777777" w:rsidR="00537B7D" w:rsidRDefault="00537B7D">
      <w:pPr>
        <w:pStyle w:val="BodyText"/>
        <w:rPr>
          <w:rFonts w:ascii="Verdana"/>
          <w:i/>
        </w:rPr>
      </w:pPr>
    </w:p>
    <w:p w14:paraId="2FED49E2" w14:textId="77777777" w:rsidR="00537B7D" w:rsidRDefault="00537B7D">
      <w:pPr>
        <w:pStyle w:val="BodyText"/>
        <w:rPr>
          <w:rFonts w:ascii="Verdana"/>
          <w:i/>
        </w:rPr>
      </w:pPr>
    </w:p>
    <w:p w14:paraId="3D38245D" w14:textId="77777777" w:rsidR="00537B7D" w:rsidRDefault="00537B7D">
      <w:pPr>
        <w:pStyle w:val="BodyText"/>
        <w:rPr>
          <w:rFonts w:ascii="Verdana"/>
          <w:i/>
        </w:rPr>
      </w:pPr>
    </w:p>
    <w:p w14:paraId="2DD7E5A5" w14:textId="77777777" w:rsidR="00537B7D" w:rsidRDefault="00537B7D">
      <w:pPr>
        <w:pStyle w:val="BodyText"/>
        <w:rPr>
          <w:rFonts w:ascii="Verdana"/>
          <w:i/>
        </w:rPr>
      </w:pPr>
    </w:p>
    <w:p w14:paraId="4E91A6F5" w14:textId="77777777" w:rsidR="00537B7D" w:rsidRDefault="00537B7D">
      <w:pPr>
        <w:pStyle w:val="BodyText"/>
        <w:rPr>
          <w:rFonts w:ascii="Verdana"/>
          <w:i/>
        </w:rPr>
      </w:pPr>
    </w:p>
    <w:p w14:paraId="44BEF1CD" w14:textId="77777777" w:rsidR="00537B7D" w:rsidRDefault="00537B7D">
      <w:pPr>
        <w:pStyle w:val="BodyText"/>
        <w:rPr>
          <w:rFonts w:ascii="Verdana"/>
          <w:i/>
        </w:rPr>
      </w:pPr>
    </w:p>
    <w:p w14:paraId="6C4F156B" w14:textId="77777777" w:rsidR="00537B7D" w:rsidRDefault="00537B7D">
      <w:pPr>
        <w:pStyle w:val="BodyText"/>
        <w:rPr>
          <w:rFonts w:ascii="Verdana"/>
          <w:i/>
        </w:rPr>
      </w:pPr>
    </w:p>
    <w:p w14:paraId="30F5A2CE" w14:textId="77777777" w:rsidR="00537B7D" w:rsidRDefault="00537B7D">
      <w:pPr>
        <w:pStyle w:val="BodyText"/>
        <w:rPr>
          <w:rFonts w:ascii="Verdana"/>
          <w:i/>
        </w:rPr>
      </w:pPr>
    </w:p>
    <w:p w14:paraId="5A739944" w14:textId="77777777" w:rsidR="00537B7D" w:rsidRDefault="00537B7D">
      <w:pPr>
        <w:pStyle w:val="BodyText"/>
        <w:rPr>
          <w:rFonts w:ascii="Verdana"/>
          <w:i/>
        </w:rPr>
      </w:pPr>
    </w:p>
    <w:p w14:paraId="1FCBBD24" w14:textId="77777777" w:rsidR="00537B7D" w:rsidRDefault="00537B7D">
      <w:pPr>
        <w:pStyle w:val="BodyText"/>
        <w:rPr>
          <w:rFonts w:ascii="Verdana"/>
          <w:i/>
        </w:rPr>
      </w:pPr>
    </w:p>
    <w:p w14:paraId="6623D615" w14:textId="77777777" w:rsidR="00537B7D" w:rsidRDefault="00537B7D">
      <w:pPr>
        <w:pStyle w:val="BodyText"/>
        <w:rPr>
          <w:rFonts w:ascii="Verdana"/>
          <w:i/>
        </w:rPr>
      </w:pPr>
    </w:p>
    <w:p w14:paraId="07D8D2D4" w14:textId="77777777" w:rsidR="00537B7D" w:rsidRDefault="00537B7D">
      <w:pPr>
        <w:pStyle w:val="BodyText"/>
        <w:rPr>
          <w:rFonts w:ascii="Verdana"/>
          <w:i/>
        </w:rPr>
      </w:pPr>
    </w:p>
    <w:p w14:paraId="241CB169" w14:textId="77777777" w:rsidR="00537B7D" w:rsidRDefault="00537B7D">
      <w:pPr>
        <w:pStyle w:val="BodyText"/>
        <w:rPr>
          <w:rFonts w:ascii="Verdana"/>
          <w:i/>
        </w:rPr>
      </w:pPr>
    </w:p>
    <w:p w14:paraId="7BCECAEE" w14:textId="77777777" w:rsidR="00537B7D" w:rsidRDefault="00537B7D">
      <w:pPr>
        <w:pStyle w:val="BodyText"/>
        <w:rPr>
          <w:rFonts w:ascii="Verdana"/>
          <w:i/>
        </w:rPr>
      </w:pPr>
    </w:p>
    <w:p w14:paraId="474BF8BB" w14:textId="77777777" w:rsidR="00537B7D" w:rsidRDefault="00537B7D">
      <w:pPr>
        <w:pStyle w:val="BodyText"/>
        <w:rPr>
          <w:rFonts w:ascii="Verdana"/>
          <w:i/>
        </w:rPr>
      </w:pPr>
    </w:p>
    <w:p w14:paraId="489209E8" w14:textId="77777777" w:rsidR="00537B7D" w:rsidRDefault="00537B7D">
      <w:pPr>
        <w:pStyle w:val="BodyText"/>
        <w:rPr>
          <w:rFonts w:ascii="Verdana"/>
          <w:i/>
        </w:rPr>
      </w:pPr>
    </w:p>
    <w:p w14:paraId="2592D94E" w14:textId="77777777" w:rsidR="00537B7D" w:rsidRDefault="00537B7D">
      <w:pPr>
        <w:pStyle w:val="BodyText"/>
        <w:rPr>
          <w:rFonts w:ascii="Verdana"/>
          <w:i/>
        </w:rPr>
      </w:pPr>
    </w:p>
    <w:p w14:paraId="0DA75EE1" w14:textId="77777777" w:rsidR="00537B7D" w:rsidRDefault="00537B7D">
      <w:pPr>
        <w:pStyle w:val="BodyText"/>
        <w:rPr>
          <w:rFonts w:ascii="Verdana"/>
          <w:i/>
        </w:rPr>
      </w:pPr>
    </w:p>
    <w:p w14:paraId="68EF9389" w14:textId="77777777" w:rsidR="00537B7D" w:rsidRDefault="00537B7D">
      <w:pPr>
        <w:pStyle w:val="BodyText"/>
        <w:rPr>
          <w:rFonts w:ascii="Verdana"/>
          <w:i/>
        </w:rPr>
      </w:pPr>
    </w:p>
    <w:p w14:paraId="49FBD8A5" w14:textId="77777777" w:rsidR="00537B7D" w:rsidRDefault="00537B7D">
      <w:pPr>
        <w:pStyle w:val="BodyText"/>
        <w:rPr>
          <w:rFonts w:ascii="Verdana"/>
          <w:i/>
        </w:rPr>
      </w:pPr>
    </w:p>
    <w:p w14:paraId="5DB2FEAB" w14:textId="77777777" w:rsidR="00537B7D" w:rsidRDefault="00537B7D">
      <w:pPr>
        <w:pStyle w:val="BodyText"/>
        <w:rPr>
          <w:rFonts w:ascii="Verdana"/>
          <w:i/>
        </w:rPr>
      </w:pPr>
    </w:p>
    <w:p w14:paraId="36E0BFF6" w14:textId="77777777" w:rsidR="00537B7D" w:rsidRDefault="00537B7D">
      <w:pPr>
        <w:pStyle w:val="BodyText"/>
        <w:rPr>
          <w:rFonts w:ascii="Verdana"/>
          <w:i/>
        </w:rPr>
      </w:pPr>
    </w:p>
    <w:p w14:paraId="67311209" w14:textId="77777777" w:rsidR="00537B7D" w:rsidRDefault="00537B7D">
      <w:pPr>
        <w:pStyle w:val="BodyText"/>
        <w:rPr>
          <w:rFonts w:ascii="Verdana"/>
          <w:i/>
        </w:rPr>
      </w:pPr>
    </w:p>
    <w:p w14:paraId="608DE305" w14:textId="77777777" w:rsidR="00537B7D" w:rsidRDefault="00537B7D">
      <w:pPr>
        <w:pStyle w:val="BodyText"/>
        <w:rPr>
          <w:rFonts w:ascii="Verdana"/>
          <w:i/>
        </w:rPr>
      </w:pPr>
    </w:p>
    <w:p w14:paraId="3E4B2B68" w14:textId="77777777" w:rsidR="00537B7D" w:rsidRDefault="00537B7D">
      <w:pPr>
        <w:pStyle w:val="BodyText"/>
        <w:rPr>
          <w:rFonts w:ascii="Verdana"/>
          <w:i/>
        </w:rPr>
      </w:pPr>
    </w:p>
    <w:p w14:paraId="64CD0088" w14:textId="77777777" w:rsidR="00537B7D" w:rsidRDefault="00537B7D">
      <w:pPr>
        <w:pStyle w:val="BodyText"/>
        <w:rPr>
          <w:rFonts w:ascii="Verdana"/>
          <w:i/>
        </w:rPr>
      </w:pPr>
    </w:p>
    <w:p w14:paraId="279A53C0" w14:textId="77777777" w:rsidR="00537B7D" w:rsidRDefault="00537B7D">
      <w:pPr>
        <w:pStyle w:val="BodyText"/>
        <w:rPr>
          <w:rFonts w:ascii="Verdana"/>
          <w:i/>
        </w:rPr>
      </w:pPr>
    </w:p>
    <w:p w14:paraId="668BA744" w14:textId="77777777" w:rsidR="00537B7D" w:rsidRDefault="00537B7D">
      <w:pPr>
        <w:pStyle w:val="BodyText"/>
        <w:rPr>
          <w:rFonts w:ascii="Verdana"/>
          <w:i/>
        </w:rPr>
      </w:pPr>
    </w:p>
    <w:p w14:paraId="169CD697" w14:textId="77777777" w:rsidR="00537B7D" w:rsidRDefault="00537B7D">
      <w:pPr>
        <w:pStyle w:val="BodyText"/>
        <w:rPr>
          <w:rFonts w:ascii="Verdana"/>
          <w:i/>
        </w:rPr>
      </w:pPr>
    </w:p>
    <w:p w14:paraId="19E10E23" w14:textId="77777777" w:rsidR="00537B7D" w:rsidRDefault="00537B7D">
      <w:pPr>
        <w:pStyle w:val="BodyText"/>
        <w:rPr>
          <w:rFonts w:ascii="Verdana"/>
          <w:i/>
        </w:rPr>
      </w:pPr>
    </w:p>
    <w:p w14:paraId="69E81FCA" w14:textId="77777777" w:rsidR="00537B7D" w:rsidRDefault="00537B7D">
      <w:pPr>
        <w:pStyle w:val="BodyText"/>
        <w:rPr>
          <w:rFonts w:ascii="Verdana"/>
          <w:i/>
        </w:rPr>
      </w:pPr>
    </w:p>
    <w:p w14:paraId="091888BD" w14:textId="77777777" w:rsidR="00537B7D" w:rsidRDefault="00537B7D">
      <w:pPr>
        <w:pStyle w:val="BodyText"/>
        <w:rPr>
          <w:rFonts w:ascii="Verdana"/>
          <w:i/>
        </w:rPr>
      </w:pPr>
    </w:p>
    <w:p w14:paraId="0D4273E9" w14:textId="77777777" w:rsidR="00537B7D" w:rsidRDefault="00537B7D">
      <w:pPr>
        <w:pStyle w:val="BodyText"/>
        <w:rPr>
          <w:rFonts w:ascii="Verdana"/>
          <w:i/>
        </w:rPr>
      </w:pPr>
    </w:p>
    <w:p w14:paraId="49655C6E" w14:textId="77777777" w:rsidR="00537B7D" w:rsidRDefault="00537B7D">
      <w:pPr>
        <w:pStyle w:val="BodyText"/>
        <w:spacing w:before="8"/>
        <w:rPr>
          <w:rFonts w:ascii="Verdana"/>
          <w:i/>
          <w:sz w:val="21"/>
        </w:rPr>
      </w:pPr>
    </w:p>
    <w:p w14:paraId="5097B6EF" w14:textId="77777777" w:rsidR="00537B7D" w:rsidRDefault="00E93BEA">
      <w:pPr>
        <w:ind w:left="1681" w:right="1681"/>
        <w:jc w:val="center"/>
        <w:rPr>
          <w:rFonts w:ascii="Verdana" w:hAnsi="Verdana"/>
          <w:i/>
          <w:sz w:val="16"/>
        </w:rPr>
      </w:pPr>
      <w:r>
        <w:rPr>
          <w:rFonts w:ascii="Verdana" w:hAnsi="Verdana"/>
          <w:i/>
          <w:color w:val="646464"/>
          <w:sz w:val="16"/>
        </w:rPr>
        <w:t xml:space="preserve">Powered by Editorial Manager® and </w:t>
      </w:r>
      <w:proofErr w:type="spellStart"/>
      <w:r>
        <w:rPr>
          <w:rFonts w:ascii="Verdana" w:hAnsi="Verdana"/>
          <w:i/>
          <w:color w:val="646464"/>
          <w:sz w:val="16"/>
        </w:rPr>
        <w:t>ProduXion</w:t>
      </w:r>
      <w:proofErr w:type="spellEnd"/>
      <w:r>
        <w:rPr>
          <w:rFonts w:ascii="Verdana" w:hAnsi="Verdana"/>
          <w:i/>
          <w:color w:val="646464"/>
          <w:sz w:val="16"/>
        </w:rPr>
        <w:t xml:space="preserve"> Manager® from Aries Systems Corporation</w:t>
      </w:r>
    </w:p>
    <w:p w14:paraId="6751D9E5" w14:textId="77777777" w:rsidR="00537B7D" w:rsidRDefault="00537B7D">
      <w:pPr>
        <w:jc w:val="center"/>
        <w:rPr>
          <w:rFonts w:ascii="Verdana" w:hAnsi="Verdana"/>
          <w:sz w:val="16"/>
        </w:rPr>
        <w:sectPr w:rsidR="00537B7D">
          <w:pgSz w:w="12240" w:h="15840"/>
          <w:pgMar w:top="720" w:right="760" w:bottom="0" w:left="760" w:header="720" w:footer="720" w:gutter="0"/>
          <w:cols w:space="720"/>
        </w:sectPr>
      </w:pPr>
    </w:p>
    <w:p w14:paraId="4A2115AF" w14:textId="77777777" w:rsidR="00537B7D" w:rsidRDefault="00E93BEA">
      <w:pPr>
        <w:pStyle w:val="BodyText"/>
        <w:tabs>
          <w:tab w:val="left" w:pos="5953"/>
        </w:tabs>
        <w:spacing w:before="34" w:line="215" w:lineRule="exact"/>
        <w:ind w:left="100"/>
        <w:rPr>
          <w:rFonts w:ascii="Arial"/>
        </w:rPr>
      </w:pPr>
      <w:r>
        <w:rPr>
          <w:noProof/>
        </w:rPr>
        <w:lastRenderedPageBreak/>
        <w:drawing>
          <wp:anchor distT="0" distB="0" distL="0" distR="0" simplePos="0" relativeHeight="251658240" behindDoc="0" locked="0" layoutInCell="1" allowOverlap="1" wp14:anchorId="35C72E35" wp14:editId="3544788D">
            <wp:simplePos x="0" y="0"/>
            <wp:positionH relativeFrom="page">
              <wp:posOffset>7382764</wp:posOffset>
            </wp:positionH>
            <wp:positionV relativeFrom="paragraph">
              <wp:posOffset>64514</wp:posOffset>
            </wp:positionV>
            <wp:extent cx="68579" cy="762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8579" cy="76200"/>
                    </a:xfrm>
                    <a:prstGeom prst="rect">
                      <a:avLst/>
                    </a:prstGeom>
                  </pic:spPr>
                </pic:pic>
              </a:graphicData>
            </a:graphic>
          </wp:anchor>
        </w:drawing>
      </w:r>
      <w:r>
        <w:rPr>
          <w:rFonts w:ascii="Arial"/>
        </w:rPr>
        <w:t>Manuscript</w:t>
      </w:r>
      <w:r>
        <w:rPr>
          <w:rFonts w:ascii="Arial"/>
        </w:rPr>
        <w:tab/>
      </w:r>
      <w:hyperlink r:id="rId10">
        <w:r>
          <w:rPr>
            <w:rFonts w:ascii="Arial"/>
            <w:color w:val="003399"/>
          </w:rPr>
          <w:t>Click here to access/</w:t>
        </w:r>
        <w:proofErr w:type="spellStart"/>
        <w:r>
          <w:rPr>
            <w:rFonts w:ascii="Arial"/>
            <w:color w:val="003399"/>
          </w:rPr>
          <w:t>download;Manuscript;et</w:t>
        </w:r>
        <w:proofErr w:type="spellEnd"/>
        <w:r>
          <w:rPr>
            <w:rFonts w:ascii="Arial"/>
            <w:color w:val="003399"/>
          </w:rPr>
          <w:t xml:space="preserve"> al FINAL</w:t>
        </w:r>
        <w:r>
          <w:rPr>
            <w:rFonts w:ascii="Arial"/>
            <w:color w:val="003399"/>
            <w:spacing w:val="-26"/>
          </w:rPr>
          <w:t xml:space="preserve"> </w:t>
        </w:r>
        <w:r>
          <w:rPr>
            <w:rFonts w:ascii="Arial"/>
            <w:color w:val="003399"/>
          </w:rPr>
          <w:t>DRAFT</w:t>
        </w:r>
      </w:hyperlink>
    </w:p>
    <w:p w14:paraId="7249BF33" w14:textId="77777777" w:rsidR="00537B7D" w:rsidRDefault="00000000">
      <w:pPr>
        <w:pStyle w:val="BodyText"/>
        <w:spacing w:line="215" w:lineRule="exact"/>
        <w:ind w:left="5953"/>
        <w:rPr>
          <w:rFonts w:ascii="Arial"/>
        </w:rPr>
      </w:pPr>
      <w:hyperlink r:id="rId11">
        <w:r w:rsidR="00E93BEA">
          <w:rPr>
            <w:rFonts w:ascii="Arial"/>
            <w:color w:val="003399"/>
          </w:rPr>
          <w:t>7.10.22 (1).docx</w:t>
        </w:r>
      </w:hyperlink>
    </w:p>
    <w:p w14:paraId="1239058F" w14:textId="77777777" w:rsidR="00537B7D" w:rsidRDefault="00537B7D">
      <w:pPr>
        <w:pStyle w:val="BodyText"/>
        <w:rPr>
          <w:rFonts w:ascii="Arial"/>
        </w:rPr>
      </w:pPr>
    </w:p>
    <w:p w14:paraId="30970682" w14:textId="77777777" w:rsidR="00537B7D" w:rsidRDefault="00537B7D">
      <w:pPr>
        <w:pStyle w:val="BodyText"/>
        <w:rPr>
          <w:rFonts w:ascii="Arial"/>
        </w:rPr>
      </w:pPr>
    </w:p>
    <w:p w14:paraId="2CE16E9D" w14:textId="77777777" w:rsidR="00537B7D" w:rsidRDefault="00537B7D">
      <w:pPr>
        <w:pStyle w:val="BodyText"/>
        <w:rPr>
          <w:rFonts w:ascii="Arial"/>
        </w:rPr>
      </w:pPr>
    </w:p>
    <w:p w14:paraId="5F5D3827" w14:textId="77777777" w:rsidR="00537B7D" w:rsidRDefault="00537B7D">
      <w:pPr>
        <w:pStyle w:val="BodyText"/>
        <w:rPr>
          <w:rFonts w:ascii="Arial"/>
          <w:sz w:val="18"/>
        </w:rPr>
      </w:pPr>
    </w:p>
    <w:p w14:paraId="16401613" w14:textId="77777777" w:rsidR="00537B7D" w:rsidRDefault="00E93BEA" w:rsidP="00F13625">
      <w:r>
        <w:rPr>
          <w:u w:val="single"/>
        </w:rPr>
        <w:t>Developing Culturally Competent Mental Health Skills</w:t>
      </w:r>
    </w:p>
    <w:p w14:paraId="339B8B94" w14:textId="77777777" w:rsidR="00537B7D" w:rsidRDefault="00537B7D" w:rsidP="00F13625">
      <w:pPr>
        <w:rPr>
          <w:sz w:val="15"/>
        </w:rPr>
      </w:pPr>
    </w:p>
    <w:p w14:paraId="71467AD7" w14:textId="77777777" w:rsidR="00537B7D" w:rsidRDefault="00E93BEA" w:rsidP="00F13625">
      <w:r>
        <w:t>Abstract</w:t>
      </w:r>
    </w:p>
    <w:p w14:paraId="53331C40" w14:textId="77777777" w:rsidR="00F13625" w:rsidRPr="005E2C5E" w:rsidRDefault="00E93BEA" w:rsidP="00F13625">
      <w:pPr>
        <w:pStyle w:val="paragraph"/>
        <w:spacing w:before="0" w:beforeAutospacing="0" w:after="0" w:afterAutospacing="0"/>
        <w:textAlignment w:val="baseline"/>
        <w:rPr>
          <w:rFonts w:asciiTheme="minorHAnsi" w:hAnsiTheme="minorHAnsi" w:cstheme="minorHAnsi"/>
          <w:sz w:val="20"/>
          <w:szCs w:val="20"/>
        </w:rPr>
      </w:pPr>
      <w:r w:rsidRPr="005E2C5E">
        <w:t xml:space="preserve">Adult nurses working in diverse environments will </w:t>
      </w:r>
      <w:proofErr w:type="gramStart"/>
      <w:r w:rsidRPr="005E2C5E">
        <w:t>come into contact with</w:t>
      </w:r>
      <w:proofErr w:type="gramEnd"/>
      <w:r w:rsidRPr="005E2C5E">
        <w:t xml:space="preserve"> people who happen to have a mental illness diagnosis. A lack of opportunity to develop specific skills, or a lack of confidence in approaching people who may behave in unfamiliar or challenging ways can result in adverse care experiences for patients. Person critical reflection, confidence building and specific knowledge can assist adult nurses in meeting this need.</w:t>
      </w:r>
      <w:r w:rsidR="00F13625" w:rsidRPr="005E2C5E">
        <w:t xml:space="preserve"> </w:t>
      </w:r>
      <w:r w:rsidR="00F13625" w:rsidRPr="005E2C5E">
        <w:rPr>
          <w:rFonts w:asciiTheme="minorHAnsi" w:hAnsiTheme="minorHAnsi" w:cstheme="minorHAnsi"/>
          <w:sz w:val="20"/>
          <w:szCs w:val="20"/>
        </w:rPr>
        <w:t xml:space="preserve">The concept of cultural competence may provide useful principles on which to make this change. </w:t>
      </w:r>
    </w:p>
    <w:p w14:paraId="37E36E49" w14:textId="6ACF9F56" w:rsidR="00537B7D" w:rsidRPr="005E2C5E" w:rsidRDefault="00537B7D" w:rsidP="00F13625"/>
    <w:p w14:paraId="2B0ABAD1" w14:textId="77777777" w:rsidR="00537B7D" w:rsidRPr="005E2C5E" w:rsidRDefault="00537B7D" w:rsidP="00F13625"/>
    <w:p w14:paraId="55ADA4AA" w14:textId="77777777" w:rsidR="00537B7D" w:rsidRPr="005E2C5E" w:rsidRDefault="00537B7D" w:rsidP="00F13625"/>
    <w:p w14:paraId="0192E534" w14:textId="77777777" w:rsidR="00537B7D" w:rsidRPr="005E2C5E" w:rsidRDefault="00537B7D" w:rsidP="00F13625"/>
    <w:p w14:paraId="7B6FAE64" w14:textId="77777777" w:rsidR="00537B7D" w:rsidRPr="005E2C5E" w:rsidRDefault="00E93BEA" w:rsidP="00F13625">
      <w:r w:rsidRPr="005E2C5E">
        <w:t>Keywords</w:t>
      </w:r>
    </w:p>
    <w:p w14:paraId="06821C82" w14:textId="77777777" w:rsidR="00537B7D" w:rsidRPr="005E2C5E" w:rsidRDefault="00E93BEA" w:rsidP="00F13625">
      <w:r w:rsidRPr="005E2C5E">
        <w:t>Mental illness, adult nursing, cultural competence</w:t>
      </w:r>
    </w:p>
    <w:p w14:paraId="488C4EB7" w14:textId="77777777" w:rsidR="00537B7D" w:rsidRPr="005E2C5E" w:rsidRDefault="00537B7D" w:rsidP="00F13625">
      <w:pPr>
        <w:rPr>
          <w:sz w:val="19"/>
        </w:rPr>
      </w:pPr>
    </w:p>
    <w:p w14:paraId="49B491C1" w14:textId="77777777" w:rsidR="00537B7D" w:rsidRPr="005E2C5E" w:rsidRDefault="00E93BEA" w:rsidP="00F13625">
      <w:r w:rsidRPr="005E2C5E">
        <w:t>Key points</w:t>
      </w:r>
    </w:p>
    <w:p w14:paraId="2F4879B2" w14:textId="77777777" w:rsidR="00537B7D" w:rsidRPr="005E2C5E" w:rsidRDefault="00E93BEA" w:rsidP="00F13625">
      <w:pPr>
        <w:rPr>
          <w:sz w:val="20"/>
        </w:rPr>
      </w:pPr>
      <w:r w:rsidRPr="005E2C5E">
        <w:rPr>
          <w:sz w:val="20"/>
        </w:rPr>
        <w:t>Adult nurses may need reassurance that they have skills to help people who happen to have mental health</w:t>
      </w:r>
      <w:r w:rsidRPr="005E2C5E">
        <w:rPr>
          <w:spacing w:val="-1"/>
          <w:sz w:val="20"/>
        </w:rPr>
        <w:t xml:space="preserve"> </w:t>
      </w:r>
      <w:r w:rsidRPr="005E2C5E">
        <w:rPr>
          <w:sz w:val="20"/>
        </w:rPr>
        <w:t>problems</w:t>
      </w:r>
    </w:p>
    <w:p w14:paraId="0A7180AD" w14:textId="77777777" w:rsidR="00537B7D" w:rsidRPr="005E2C5E" w:rsidRDefault="00E93BEA" w:rsidP="00F13625">
      <w:pPr>
        <w:rPr>
          <w:sz w:val="20"/>
        </w:rPr>
      </w:pPr>
      <w:r w:rsidRPr="005E2C5E">
        <w:rPr>
          <w:sz w:val="20"/>
        </w:rPr>
        <w:t>There are many interventions and approaches that adult nurses can use in practice to ensure good quality experiences for people with mental health</w:t>
      </w:r>
      <w:r w:rsidRPr="005E2C5E">
        <w:rPr>
          <w:spacing w:val="-1"/>
          <w:sz w:val="20"/>
        </w:rPr>
        <w:t xml:space="preserve"> </w:t>
      </w:r>
      <w:r w:rsidRPr="005E2C5E">
        <w:rPr>
          <w:sz w:val="20"/>
        </w:rPr>
        <w:t>problems</w:t>
      </w:r>
    </w:p>
    <w:p w14:paraId="3F622C9D" w14:textId="77777777" w:rsidR="00537B7D" w:rsidRPr="005E2C5E" w:rsidRDefault="00E93BEA" w:rsidP="00F13625">
      <w:pPr>
        <w:rPr>
          <w:sz w:val="20"/>
        </w:rPr>
      </w:pPr>
      <w:r w:rsidRPr="005E2C5E">
        <w:rPr>
          <w:sz w:val="20"/>
        </w:rPr>
        <w:t>Adult nurses may need to open themselves up to critical reflection and acknowledge what they can change in their approaches to people with mental health problems to ensure good</w:t>
      </w:r>
      <w:r w:rsidRPr="005E2C5E">
        <w:rPr>
          <w:spacing w:val="-17"/>
          <w:sz w:val="20"/>
        </w:rPr>
        <w:t xml:space="preserve"> </w:t>
      </w:r>
      <w:r w:rsidRPr="005E2C5E">
        <w:rPr>
          <w:sz w:val="20"/>
        </w:rPr>
        <w:t>experiences.</w:t>
      </w:r>
    </w:p>
    <w:p w14:paraId="34564C9E" w14:textId="69069041" w:rsidR="00537B7D" w:rsidRPr="005E2C5E" w:rsidRDefault="00537B7D" w:rsidP="00F13625">
      <w:pPr>
        <w:rPr>
          <w:sz w:val="19"/>
        </w:rPr>
      </w:pPr>
    </w:p>
    <w:p w14:paraId="3BD8F2C4" w14:textId="0CE62B4A" w:rsidR="00A23255" w:rsidRPr="005E2C5E" w:rsidRDefault="00A23255" w:rsidP="00F13625">
      <w:pPr>
        <w:rPr>
          <w:sz w:val="19"/>
        </w:rPr>
      </w:pPr>
    </w:p>
    <w:p w14:paraId="6DC60B1C" w14:textId="77777777" w:rsidR="00537B7D" w:rsidRPr="005E2C5E" w:rsidRDefault="00E93BEA" w:rsidP="00F13625">
      <w:r w:rsidRPr="005E2C5E">
        <w:t>Introduction</w:t>
      </w:r>
    </w:p>
    <w:p w14:paraId="61A51679" w14:textId="77777777" w:rsidR="00537B7D" w:rsidRPr="005E2C5E" w:rsidRDefault="00537B7D" w:rsidP="00F13625">
      <w:pPr>
        <w:rPr>
          <w:b/>
        </w:rPr>
      </w:pPr>
    </w:p>
    <w:p w14:paraId="0C93FC75" w14:textId="77777777" w:rsidR="00F13625" w:rsidRPr="005E2C5E" w:rsidRDefault="00F13625" w:rsidP="00F13625">
      <w:pPr>
        <w:pStyle w:val="paragraph"/>
        <w:spacing w:before="0" w:beforeAutospacing="0" w:after="0" w:afterAutospacing="0"/>
        <w:textAlignment w:val="baseline"/>
        <w:rPr>
          <w:rStyle w:val="normaltextrun"/>
          <w:rFonts w:ascii="Calibri" w:hAnsi="Calibri" w:cs="Calibri"/>
          <w:sz w:val="20"/>
          <w:szCs w:val="20"/>
        </w:rPr>
      </w:pPr>
      <w:r w:rsidRPr="005E2C5E">
        <w:rPr>
          <w:rStyle w:val="normaltextrun"/>
          <w:rFonts w:ascii="Calibri" w:hAnsi="Calibri" w:cs="Calibri"/>
          <w:sz w:val="20"/>
          <w:szCs w:val="20"/>
        </w:rPr>
        <w:t>Have you ever looked at the clinical notes of a new admission and seen for example, ‘schizophrenia</w:t>
      </w:r>
      <w:bookmarkStart w:id="0" w:name="_Int_8X9kxZXv"/>
      <w:r w:rsidRPr="005E2C5E">
        <w:rPr>
          <w:rStyle w:val="normaltextrun"/>
          <w:rFonts w:ascii="Calibri" w:hAnsi="Calibri" w:cs="Calibri"/>
          <w:sz w:val="20"/>
          <w:szCs w:val="20"/>
        </w:rPr>
        <w:t>,’</w:t>
      </w:r>
      <w:bookmarkEnd w:id="0"/>
      <w:r w:rsidRPr="005E2C5E">
        <w:rPr>
          <w:rStyle w:val="normaltextrun"/>
          <w:rFonts w:ascii="Calibri" w:hAnsi="Calibri" w:cs="Calibri"/>
          <w:sz w:val="20"/>
          <w:szCs w:val="20"/>
        </w:rPr>
        <w:t xml:space="preserve"> ‘personality disorder’ or ‘bipolar disorder’ written there and felt your heart sink? Or felt fear or anxiety and thought, ‘I don’t know about this, I don’t know what to do’? If so, you are not on your own as in our experience this is </w:t>
      </w:r>
      <w:bookmarkStart w:id="1" w:name="_Int_Db6THOjN"/>
      <w:r w:rsidRPr="005E2C5E">
        <w:rPr>
          <w:rStyle w:val="normaltextrun"/>
          <w:rFonts w:ascii="Calibri" w:hAnsi="Calibri" w:cs="Calibri"/>
          <w:sz w:val="20"/>
          <w:szCs w:val="20"/>
        </w:rPr>
        <w:t>not uncommon</w:t>
      </w:r>
      <w:bookmarkEnd w:id="1"/>
      <w:r w:rsidRPr="005E2C5E">
        <w:rPr>
          <w:rStyle w:val="normaltextrun"/>
          <w:rFonts w:ascii="Calibri" w:hAnsi="Calibri" w:cs="Calibri"/>
          <w:sz w:val="20"/>
          <w:szCs w:val="20"/>
        </w:rPr>
        <w:t>.  This paper aims to address such feelings and engender confidence that your skills can be used effectively for people who need nursing care but who happen to have a mental illness diagnosis. This requires you to approach what you read in a reflective manner, to accept</w:t>
      </w:r>
      <w:r w:rsidRPr="005E2C5E">
        <w:rPr>
          <w:rStyle w:val="eop"/>
          <w:rFonts w:ascii="Calibri" w:hAnsi="Calibri" w:cs="Calibri"/>
          <w:sz w:val="20"/>
          <w:szCs w:val="20"/>
        </w:rPr>
        <w:t> </w:t>
      </w:r>
      <w:r w:rsidRPr="005E2C5E">
        <w:rPr>
          <w:rFonts w:ascii="Calibri" w:hAnsi="Calibri" w:cs="Calibri"/>
          <w:sz w:val="20"/>
          <w:szCs w:val="20"/>
        </w:rPr>
        <w:t>t</w:t>
      </w:r>
      <w:r w:rsidRPr="005E2C5E">
        <w:rPr>
          <w:rStyle w:val="normaltextrun"/>
          <w:rFonts w:ascii="Calibri" w:hAnsi="Calibri" w:cs="Calibri"/>
          <w:sz w:val="20"/>
          <w:szCs w:val="20"/>
        </w:rPr>
        <w:t>hat although there is evidence of good care, there is also evidence of poor care outcomes for people with mental illness (Royal College of Psychiatrists, 2014) and poor experience in health services (</w:t>
      </w:r>
      <w:proofErr w:type="spellStart"/>
      <w:r w:rsidRPr="005E2C5E">
        <w:rPr>
          <w:rStyle w:val="normaltextrun"/>
          <w:rFonts w:ascii="Calibri" w:hAnsi="Calibri" w:cs="Calibri"/>
          <w:sz w:val="20"/>
          <w:szCs w:val="20"/>
        </w:rPr>
        <w:t>Derblom</w:t>
      </w:r>
      <w:proofErr w:type="spellEnd"/>
      <w:r w:rsidRPr="005E2C5E">
        <w:rPr>
          <w:rStyle w:val="normaltextrun"/>
          <w:rFonts w:ascii="Calibri" w:hAnsi="Calibri" w:cs="Calibri"/>
          <w:sz w:val="20"/>
          <w:szCs w:val="20"/>
        </w:rPr>
        <w:t xml:space="preserve"> et al 2021; </w:t>
      </w:r>
      <w:r w:rsidRPr="005E2C5E">
        <w:rPr>
          <w:rStyle w:val="normaltextrun"/>
          <w:rFonts w:ascii="Calibri" w:eastAsia="Calibri" w:hAnsi="Calibri" w:cs="Calibri"/>
          <w:color w:val="000000" w:themeColor="text1"/>
          <w:sz w:val="20"/>
          <w:szCs w:val="20"/>
        </w:rPr>
        <w:t>Sharda et al 2021)</w:t>
      </w:r>
      <w:r w:rsidRPr="005E2C5E">
        <w:rPr>
          <w:rStyle w:val="normaltextrun"/>
          <w:rFonts w:ascii="Calibri" w:hAnsi="Calibri" w:cs="Calibri"/>
          <w:sz w:val="20"/>
          <w:szCs w:val="20"/>
        </w:rPr>
        <w:t xml:space="preserve">.  </w:t>
      </w:r>
      <w:r w:rsidRPr="005E2C5E">
        <w:rPr>
          <w:rFonts w:ascii="Calibri" w:hAnsi="Calibri" w:cs="Calibri"/>
          <w:color w:val="424242"/>
          <w:sz w:val="20"/>
          <w:szCs w:val="20"/>
          <w:shd w:val="clear" w:color="auto" w:fill="FFFFFF"/>
        </w:rPr>
        <w:t xml:space="preserve"> B</w:t>
      </w:r>
      <w:r w:rsidRPr="005E2C5E">
        <w:rPr>
          <w:rStyle w:val="normaltextrun"/>
          <w:rFonts w:ascii="Calibri" w:hAnsi="Calibri" w:cs="Calibri"/>
          <w:sz w:val="20"/>
          <w:szCs w:val="20"/>
        </w:rPr>
        <w:t xml:space="preserve">y making a commitment to developing your own cultural competence, not just in relation to ethnicity and race, but to broader issues of diversity and potential disadvantage such as mental illness, this can be overcome.  </w:t>
      </w:r>
    </w:p>
    <w:p w14:paraId="5F81389A" w14:textId="77777777" w:rsidR="00537B7D" w:rsidRPr="005E2C5E" w:rsidRDefault="00537B7D" w:rsidP="00F13625"/>
    <w:p w14:paraId="7B655777" w14:textId="77777777" w:rsidR="00537B7D" w:rsidRPr="005E2C5E" w:rsidRDefault="00E93BEA" w:rsidP="00F13625">
      <w:r w:rsidRPr="005E2C5E">
        <w:t>Establishing your fundamental skills</w:t>
      </w:r>
    </w:p>
    <w:p w14:paraId="79D9632B" w14:textId="77777777" w:rsidR="00537B7D" w:rsidRPr="005E2C5E" w:rsidRDefault="00537B7D" w:rsidP="00F13625">
      <w:pPr>
        <w:rPr>
          <w:b/>
          <w:sz w:val="19"/>
        </w:rPr>
      </w:pPr>
    </w:p>
    <w:p w14:paraId="7D857986" w14:textId="77777777" w:rsidR="00F13625" w:rsidRPr="005E2C5E" w:rsidRDefault="00F13625" w:rsidP="00F13625">
      <w:pPr>
        <w:ind w:left="360" w:hanging="360"/>
        <w:textAlignment w:val="baseline"/>
        <w:rPr>
          <w:rFonts w:cstheme="minorHAnsi"/>
          <w:color w:val="424242"/>
          <w:sz w:val="20"/>
          <w:szCs w:val="20"/>
          <w:shd w:val="clear" w:color="auto" w:fill="FFFFFF"/>
        </w:rPr>
      </w:pPr>
      <w:r w:rsidRPr="005E2C5E">
        <w:rPr>
          <w:rFonts w:cstheme="minorHAnsi"/>
          <w:color w:val="424242"/>
          <w:sz w:val="20"/>
          <w:szCs w:val="20"/>
          <w:shd w:val="clear" w:color="auto" w:fill="FFFFFF"/>
        </w:rPr>
        <w:t xml:space="preserve">The concept of cultural competence </w:t>
      </w:r>
      <w:proofErr w:type="gramStart"/>
      <w:r w:rsidRPr="005E2C5E">
        <w:rPr>
          <w:rFonts w:cstheme="minorHAnsi"/>
          <w:color w:val="424242"/>
          <w:sz w:val="20"/>
          <w:szCs w:val="20"/>
          <w:shd w:val="clear" w:color="auto" w:fill="FFFFFF"/>
        </w:rPr>
        <w:t>share</w:t>
      </w:r>
      <w:proofErr w:type="gramEnd"/>
      <w:r w:rsidRPr="005E2C5E">
        <w:rPr>
          <w:rFonts w:cstheme="minorHAnsi"/>
          <w:color w:val="424242"/>
          <w:sz w:val="20"/>
          <w:szCs w:val="20"/>
          <w:shd w:val="clear" w:color="auto" w:fill="FFFFFF"/>
        </w:rPr>
        <w:t xml:space="preserve"> two basic assumptions; it is a necessary condition for working</w:t>
      </w:r>
    </w:p>
    <w:p w14:paraId="049414D3" w14:textId="77777777" w:rsidR="00F13625" w:rsidRPr="005E2C5E" w:rsidRDefault="00F13625" w:rsidP="00F13625">
      <w:pPr>
        <w:ind w:left="360" w:hanging="360"/>
        <w:textAlignment w:val="baseline"/>
        <w:rPr>
          <w:rFonts w:cstheme="minorHAnsi"/>
          <w:color w:val="424242"/>
          <w:sz w:val="20"/>
          <w:szCs w:val="20"/>
          <w:shd w:val="clear" w:color="auto" w:fill="FFFFFF"/>
        </w:rPr>
      </w:pPr>
      <w:r w:rsidRPr="005E2C5E">
        <w:rPr>
          <w:rFonts w:cstheme="minorHAnsi"/>
          <w:color w:val="424242"/>
          <w:sz w:val="20"/>
          <w:szCs w:val="20"/>
          <w:shd w:val="clear" w:color="auto" w:fill="FFFFFF"/>
        </w:rPr>
        <w:t xml:space="preserve">effectively with differences, </w:t>
      </w:r>
      <w:proofErr w:type="gramStart"/>
      <w:r w:rsidRPr="005E2C5E">
        <w:rPr>
          <w:rFonts w:cstheme="minorHAnsi"/>
          <w:color w:val="424242"/>
          <w:sz w:val="20"/>
          <w:szCs w:val="20"/>
          <w:shd w:val="clear" w:color="auto" w:fill="FFFFFF"/>
        </w:rPr>
        <w:t>and,</w:t>
      </w:r>
      <w:proofErr w:type="gramEnd"/>
      <w:r w:rsidRPr="005E2C5E">
        <w:rPr>
          <w:rFonts w:cstheme="minorHAnsi"/>
          <w:color w:val="424242"/>
          <w:sz w:val="20"/>
          <w:szCs w:val="20"/>
          <w:shd w:val="clear" w:color="auto" w:fill="FFFFFF"/>
        </w:rPr>
        <w:t xml:space="preserve"> it can be taught, learned, trained, and achieved (</w:t>
      </w:r>
      <w:proofErr w:type="spellStart"/>
      <w:r w:rsidRPr="005E2C5E">
        <w:rPr>
          <w:rFonts w:cstheme="minorHAnsi"/>
          <w:color w:val="424242"/>
          <w:sz w:val="20"/>
          <w:szCs w:val="20"/>
          <w:shd w:val="clear" w:color="auto" w:fill="FFFFFF"/>
        </w:rPr>
        <w:t>Campinha</w:t>
      </w:r>
      <w:proofErr w:type="spellEnd"/>
      <w:r w:rsidRPr="005E2C5E">
        <w:rPr>
          <w:rFonts w:cstheme="minorHAnsi"/>
          <w:color w:val="424242"/>
          <w:sz w:val="20"/>
          <w:szCs w:val="20"/>
          <w:shd w:val="clear" w:color="auto" w:fill="FFFFFF"/>
        </w:rPr>
        <w:t>-Bacote,</w:t>
      </w:r>
    </w:p>
    <w:p w14:paraId="3FEFA1F8" w14:textId="77777777" w:rsidR="00F13625" w:rsidRPr="005E2C5E" w:rsidRDefault="00F13625" w:rsidP="00F13625">
      <w:pPr>
        <w:ind w:left="360" w:hanging="360"/>
        <w:textAlignment w:val="baseline"/>
        <w:rPr>
          <w:rStyle w:val="normaltextrun"/>
          <w:rFonts w:cstheme="minorHAnsi"/>
          <w:color w:val="000000" w:themeColor="text1"/>
          <w:sz w:val="20"/>
          <w:szCs w:val="20"/>
        </w:rPr>
      </w:pPr>
      <w:r w:rsidRPr="005E2C5E">
        <w:rPr>
          <w:rFonts w:cstheme="minorHAnsi"/>
          <w:color w:val="424242"/>
          <w:sz w:val="20"/>
          <w:szCs w:val="20"/>
          <w:shd w:val="clear" w:color="auto" w:fill="FFFFFF"/>
        </w:rPr>
        <w:t xml:space="preserve">2018).  It also </w:t>
      </w:r>
      <w:r w:rsidRPr="005E2C5E">
        <w:rPr>
          <w:rStyle w:val="normaltextrun"/>
          <w:rFonts w:cstheme="minorHAnsi"/>
          <w:color w:val="000000" w:themeColor="text1"/>
          <w:sz w:val="20"/>
          <w:szCs w:val="20"/>
        </w:rPr>
        <w:t xml:space="preserve">concerns a focus on improving interactions between individuals (Buchanan et al 2020). </w:t>
      </w:r>
    </w:p>
    <w:p w14:paraId="67256D39" w14:textId="77777777" w:rsidR="00F13625" w:rsidRPr="005E2C5E" w:rsidRDefault="00F13625" w:rsidP="00F13625">
      <w:pPr>
        <w:ind w:left="360" w:hanging="360"/>
        <w:textAlignment w:val="baseline"/>
        <w:rPr>
          <w:rStyle w:val="normaltextrun"/>
          <w:rFonts w:cstheme="minorHAnsi"/>
          <w:color w:val="000000" w:themeColor="text1"/>
          <w:sz w:val="20"/>
          <w:szCs w:val="20"/>
        </w:rPr>
      </w:pPr>
      <w:r w:rsidRPr="005E2C5E">
        <w:rPr>
          <w:rStyle w:val="normaltextrun"/>
          <w:rFonts w:cstheme="minorHAnsi"/>
          <w:color w:val="000000" w:themeColor="text1"/>
          <w:sz w:val="20"/>
          <w:szCs w:val="20"/>
        </w:rPr>
        <w:t>Although there may be people who dislike the term cultural competence, and recent literature argues that</w:t>
      </w:r>
    </w:p>
    <w:p w14:paraId="21DC2483" w14:textId="77777777" w:rsidR="00F13625" w:rsidRPr="005E2C5E" w:rsidRDefault="00F13625" w:rsidP="00F13625">
      <w:pPr>
        <w:ind w:left="360" w:hanging="360"/>
        <w:textAlignment w:val="baseline"/>
        <w:rPr>
          <w:rStyle w:val="normaltextrun"/>
          <w:rFonts w:cstheme="minorHAnsi"/>
          <w:color w:val="000000" w:themeColor="text1"/>
          <w:sz w:val="20"/>
          <w:szCs w:val="20"/>
        </w:rPr>
      </w:pPr>
      <w:r w:rsidRPr="005E2C5E">
        <w:rPr>
          <w:rStyle w:val="normaltextrun"/>
          <w:rFonts w:cstheme="minorHAnsi"/>
          <w:color w:val="000000" w:themeColor="text1"/>
          <w:sz w:val="20"/>
          <w:szCs w:val="20"/>
        </w:rPr>
        <w:t>intersectional analysis allows for a more complex focus on the simultaneous analysis of oppression and</w:t>
      </w:r>
    </w:p>
    <w:p w14:paraId="15717249" w14:textId="77777777" w:rsidR="00F13625" w:rsidRPr="005E2C5E" w:rsidRDefault="00F13625" w:rsidP="00F13625">
      <w:pPr>
        <w:ind w:left="360" w:hanging="360"/>
        <w:textAlignment w:val="baseline"/>
        <w:rPr>
          <w:rStyle w:val="normaltextrun"/>
          <w:rFonts w:cstheme="minorHAnsi"/>
          <w:color w:val="000000" w:themeColor="text1"/>
          <w:sz w:val="20"/>
          <w:szCs w:val="20"/>
        </w:rPr>
      </w:pPr>
      <w:r w:rsidRPr="005E2C5E">
        <w:rPr>
          <w:rStyle w:val="normaltextrun"/>
          <w:rFonts w:cstheme="minorHAnsi"/>
          <w:color w:val="000000" w:themeColor="text1"/>
          <w:sz w:val="20"/>
          <w:szCs w:val="20"/>
        </w:rPr>
        <w:t>privilege (Buchanan et al 2020), this paper with maintain a focus on cultural competence due to its more</w:t>
      </w:r>
    </w:p>
    <w:p w14:paraId="3C3A12F1" w14:textId="77777777" w:rsidR="00F13625" w:rsidRPr="005E2C5E" w:rsidRDefault="00F13625" w:rsidP="00F13625">
      <w:pPr>
        <w:ind w:left="360" w:hanging="360"/>
        <w:textAlignment w:val="baseline"/>
        <w:rPr>
          <w:rStyle w:val="normaltextrun"/>
          <w:rFonts w:cstheme="minorHAnsi"/>
          <w:color w:val="000000" w:themeColor="text1"/>
          <w:sz w:val="20"/>
          <w:szCs w:val="20"/>
        </w:rPr>
      </w:pPr>
      <w:r w:rsidRPr="005E2C5E">
        <w:rPr>
          <w:rStyle w:val="normaltextrun"/>
          <w:rFonts w:cstheme="minorHAnsi"/>
          <w:color w:val="000000" w:themeColor="text1"/>
          <w:sz w:val="20"/>
          <w:szCs w:val="20"/>
        </w:rPr>
        <w:t>practical focus which are congruent with the papers aims.  However, the concept of ‘cultural humility’ (Lee and</w:t>
      </w:r>
    </w:p>
    <w:p w14:paraId="1AF578C7" w14:textId="77777777" w:rsidR="00F13625" w:rsidRPr="005E2C5E" w:rsidRDefault="00F13625" w:rsidP="00F13625">
      <w:pPr>
        <w:ind w:left="360" w:hanging="360"/>
        <w:textAlignment w:val="baseline"/>
        <w:rPr>
          <w:rStyle w:val="normaltextrun"/>
          <w:rFonts w:cstheme="minorHAnsi"/>
          <w:color w:val="000000" w:themeColor="text1"/>
          <w:sz w:val="20"/>
          <w:szCs w:val="20"/>
        </w:rPr>
      </w:pPr>
      <w:r w:rsidRPr="005E2C5E">
        <w:rPr>
          <w:rStyle w:val="normaltextrun"/>
          <w:rFonts w:cstheme="minorHAnsi"/>
          <w:color w:val="000000" w:themeColor="text1"/>
          <w:sz w:val="20"/>
          <w:szCs w:val="20"/>
        </w:rPr>
        <w:t>Haskins, 2022) associated with a the more complex intersectionality, purports that we may never be fully</w:t>
      </w:r>
    </w:p>
    <w:p w14:paraId="562719DF" w14:textId="77777777" w:rsidR="00F13625" w:rsidRPr="005E2C5E" w:rsidRDefault="00F13625" w:rsidP="00F13625">
      <w:pPr>
        <w:ind w:left="360" w:hanging="360"/>
        <w:textAlignment w:val="baseline"/>
        <w:rPr>
          <w:rStyle w:val="normaltextrun"/>
          <w:color w:val="000000" w:themeColor="text1"/>
          <w:sz w:val="20"/>
          <w:szCs w:val="20"/>
        </w:rPr>
      </w:pPr>
      <w:r w:rsidRPr="005E2C5E">
        <w:rPr>
          <w:rStyle w:val="normaltextrun"/>
          <w:rFonts w:cstheme="minorHAnsi"/>
          <w:color w:val="000000" w:themeColor="text1"/>
          <w:sz w:val="20"/>
          <w:szCs w:val="20"/>
        </w:rPr>
        <w:t xml:space="preserve">Culturally competent but should seek to have </w:t>
      </w:r>
      <w:r w:rsidRPr="005E2C5E">
        <w:rPr>
          <w:rStyle w:val="normaltextrun"/>
          <w:color w:val="000000" w:themeColor="text1"/>
          <w:sz w:val="20"/>
          <w:szCs w:val="20"/>
        </w:rPr>
        <w:t>genuine conversations with a view to trying to understand</w:t>
      </w:r>
    </w:p>
    <w:p w14:paraId="351866F7" w14:textId="77777777" w:rsidR="00F13625" w:rsidRPr="005E2C5E" w:rsidRDefault="00F13625" w:rsidP="00F13625">
      <w:pPr>
        <w:ind w:left="360" w:hanging="360"/>
        <w:textAlignment w:val="baseline"/>
        <w:rPr>
          <w:rStyle w:val="normaltextrun"/>
          <w:color w:val="000000" w:themeColor="text1"/>
          <w:sz w:val="20"/>
          <w:szCs w:val="20"/>
        </w:rPr>
      </w:pPr>
      <w:r w:rsidRPr="005E2C5E">
        <w:rPr>
          <w:rStyle w:val="normaltextrun"/>
          <w:color w:val="000000" w:themeColor="text1"/>
          <w:sz w:val="20"/>
          <w:szCs w:val="20"/>
        </w:rPr>
        <w:lastRenderedPageBreak/>
        <w:t>someone’s</w:t>
      </w:r>
      <w:r w:rsidRPr="005E2C5E">
        <w:rPr>
          <w:rStyle w:val="normaltextrun"/>
          <w:rFonts w:cstheme="minorHAnsi"/>
          <w:color w:val="000000" w:themeColor="text1"/>
          <w:sz w:val="20"/>
          <w:szCs w:val="20"/>
        </w:rPr>
        <w:t xml:space="preserve"> </w:t>
      </w:r>
      <w:r w:rsidRPr="005E2C5E">
        <w:rPr>
          <w:rStyle w:val="normaltextrun"/>
          <w:color w:val="000000" w:themeColor="text1"/>
          <w:sz w:val="20"/>
          <w:szCs w:val="20"/>
        </w:rPr>
        <w:t>identity.  Whilst the idea of cultural competence is rapidly becoming more embedded in practice</w:t>
      </w:r>
    </w:p>
    <w:p w14:paraId="0432DB3D" w14:textId="77777777" w:rsidR="00F13625" w:rsidRPr="005E2C5E" w:rsidRDefault="00F13625" w:rsidP="00F13625">
      <w:pPr>
        <w:ind w:left="360" w:hanging="360"/>
        <w:textAlignment w:val="baseline"/>
        <w:rPr>
          <w:rStyle w:val="normaltextrun"/>
          <w:color w:val="000000" w:themeColor="text1"/>
          <w:sz w:val="20"/>
          <w:szCs w:val="20"/>
        </w:rPr>
      </w:pPr>
      <w:r w:rsidRPr="005E2C5E">
        <w:rPr>
          <w:rStyle w:val="normaltextrun"/>
          <w:color w:val="000000" w:themeColor="text1"/>
          <w:sz w:val="20"/>
          <w:szCs w:val="20"/>
        </w:rPr>
        <w:t>with regards</w:t>
      </w:r>
      <w:r w:rsidRPr="005E2C5E">
        <w:rPr>
          <w:rStyle w:val="normaltextrun"/>
          <w:rFonts w:cstheme="minorHAnsi"/>
          <w:color w:val="000000" w:themeColor="text1"/>
          <w:sz w:val="20"/>
          <w:szCs w:val="20"/>
        </w:rPr>
        <w:t xml:space="preserve"> </w:t>
      </w:r>
      <w:r w:rsidRPr="005E2C5E">
        <w:rPr>
          <w:rStyle w:val="normaltextrun"/>
          <w:color w:val="000000" w:themeColor="text1"/>
          <w:sz w:val="20"/>
          <w:szCs w:val="20"/>
        </w:rPr>
        <w:t xml:space="preserve">to issues such as race, </w:t>
      </w:r>
      <w:proofErr w:type="gramStart"/>
      <w:r w:rsidRPr="005E2C5E">
        <w:rPr>
          <w:rStyle w:val="normaltextrun"/>
          <w:color w:val="000000" w:themeColor="text1"/>
          <w:sz w:val="20"/>
          <w:szCs w:val="20"/>
        </w:rPr>
        <w:t>ethnicity</w:t>
      </w:r>
      <w:proofErr w:type="gramEnd"/>
      <w:r w:rsidRPr="005E2C5E">
        <w:rPr>
          <w:rStyle w:val="normaltextrun"/>
          <w:color w:val="000000" w:themeColor="text1"/>
          <w:sz w:val="20"/>
          <w:szCs w:val="20"/>
        </w:rPr>
        <w:t xml:space="preserve"> and sexual orientation for example, it is also important to</w:t>
      </w:r>
    </w:p>
    <w:p w14:paraId="2E116DE8" w14:textId="77777777" w:rsidR="00F13625" w:rsidRPr="005E2C5E" w:rsidRDefault="00F13625" w:rsidP="00F13625">
      <w:pPr>
        <w:ind w:left="360" w:hanging="360"/>
        <w:textAlignment w:val="baseline"/>
        <w:rPr>
          <w:rStyle w:val="normaltextrun"/>
          <w:color w:val="000000" w:themeColor="text1"/>
          <w:sz w:val="20"/>
          <w:szCs w:val="20"/>
        </w:rPr>
      </w:pPr>
      <w:r w:rsidRPr="005E2C5E">
        <w:rPr>
          <w:rStyle w:val="normaltextrun"/>
          <w:color w:val="000000" w:themeColor="text1"/>
          <w:sz w:val="20"/>
          <w:szCs w:val="20"/>
        </w:rPr>
        <w:t>consider how this</w:t>
      </w:r>
      <w:r w:rsidRPr="005E2C5E">
        <w:rPr>
          <w:rStyle w:val="normaltextrun"/>
          <w:rFonts w:cstheme="minorHAnsi"/>
          <w:color w:val="000000" w:themeColor="text1"/>
          <w:sz w:val="20"/>
          <w:szCs w:val="20"/>
        </w:rPr>
        <w:t xml:space="preserve"> </w:t>
      </w:r>
      <w:r w:rsidRPr="005E2C5E">
        <w:rPr>
          <w:rStyle w:val="normaltextrun"/>
          <w:color w:val="000000" w:themeColor="text1"/>
          <w:sz w:val="20"/>
          <w:szCs w:val="20"/>
        </w:rPr>
        <w:t>applies to other aspects of people’s identity such as being diagnosed with a mental illness,</w:t>
      </w:r>
    </w:p>
    <w:p w14:paraId="6DB22057" w14:textId="77777777" w:rsidR="00F13625" w:rsidRPr="005E2C5E" w:rsidRDefault="00F13625" w:rsidP="00F13625">
      <w:pPr>
        <w:ind w:left="360" w:hanging="360"/>
        <w:textAlignment w:val="baseline"/>
        <w:rPr>
          <w:rFonts w:cstheme="minorHAnsi"/>
          <w:color w:val="000000" w:themeColor="text1"/>
          <w:sz w:val="20"/>
          <w:szCs w:val="20"/>
        </w:rPr>
      </w:pPr>
      <w:r w:rsidRPr="005E2C5E">
        <w:rPr>
          <w:rStyle w:val="normaltextrun"/>
          <w:color w:val="000000" w:themeColor="text1"/>
          <w:sz w:val="20"/>
          <w:szCs w:val="20"/>
        </w:rPr>
        <w:t>which can be quite</w:t>
      </w:r>
      <w:r w:rsidRPr="005E2C5E">
        <w:rPr>
          <w:rStyle w:val="normaltextrun"/>
          <w:rFonts w:cstheme="minorHAnsi"/>
          <w:color w:val="000000" w:themeColor="text1"/>
          <w:sz w:val="20"/>
          <w:szCs w:val="20"/>
        </w:rPr>
        <w:t xml:space="preserve"> </w:t>
      </w:r>
      <w:r w:rsidRPr="005E2C5E">
        <w:rPr>
          <w:rStyle w:val="normaltextrun"/>
          <w:color w:val="000000" w:themeColor="text1"/>
          <w:sz w:val="20"/>
          <w:szCs w:val="20"/>
        </w:rPr>
        <w:t xml:space="preserve">disabling. </w:t>
      </w:r>
    </w:p>
    <w:p w14:paraId="241FE44E" w14:textId="77777777" w:rsidR="00537B7D" w:rsidRPr="005E2C5E" w:rsidRDefault="00537B7D" w:rsidP="00F13625">
      <w:pPr>
        <w:rPr>
          <w:sz w:val="20"/>
          <w:szCs w:val="20"/>
        </w:rPr>
      </w:pPr>
    </w:p>
    <w:p w14:paraId="49B1DB69" w14:textId="77777777" w:rsidR="00537B7D" w:rsidRPr="005E2C5E" w:rsidRDefault="00537B7D" w:rsidP="00F13625">
      <w:pPr>
        <w:rPr>
          <w:sz w:val="20"/>
          <w:szCs w:val="20"/>
        </w:rPr>
      </w:pPr>
    </w:p>
    <w:p w14:paraId="3F5508CB" w14:textId="77777777" w:rsidR="00A23255" w:rsidRPr="005E2C5E" w:rsidRDefault="00A23255" w:rsidP="00A23255">
      <w:pPr>
        <w:ind w:left="360" w:hanging="360"/>
        <w:textAlignment w:val="baseline"/>
        <w:rPr>
          <w:rStyle w:val="normaltextrun"/>
          <w:rFonts w:cstheme="minorHAnsi"/>
          <w:color w:val="000000" w:themeColor="text1"/>
        </w:rPr>
      </w:pPr>
      <w:r w:rsidRPr="005E2C5E">
        <w:rPr>
          <w:rStyle w:val="normaltextrun"/>
          <w:rFonts w:cstheme="minorHAnsi"/>
          <w:color w:val="000000" w:themeColor="text1"/>
          <w:sz w:val="20"/>
          <w:szCs w:val="20"/>
        </w:rPr>
        <w:t>In the context of disability, cultural competence will include thinking about how language evolves and changes</w:t>
      </w:r>
    </w:p>
    <w:p w14:paraId="3590A4D7" w14:textId="77777777" w:rsidR="00A23255" w:rsidRPr="005E2C5E" w:rsidRDefault="00A23255" w:rsidP="00A23255">
      <w:pPr>
        <w:ind w:left="360" w:hanging="360"/>
        <w:textAlignment w:val="baseline"/>
        <w:rPr>
          <w:rStyle w:val="normaltextrun"/>
          <w:rFonts w:cstheme="minorHAnsi"/>
          <w:color w:val="000000" w:themeColor="text1"/>
        </w:rPr>
      </w:pPr>
      <w:r w:rsidRPr="005E2C5E">
        <w:rPr>
          <w:rStyle w:val="normaltextrun"/>
          <w:rFonts w:cstheme="minorHAnsi"/>
          <w:color w:val="000000" w:themeColor="text1"/>
          <w:sz w:val="20"/>
          <w:szCs w:val="20"/>
        </w:rPr>
        <w:t>to construct inclusive environments. It</w:t>
      </w:r>
      <w:r w:rsidRPr="005E2C5E">
        <w:rPr>
          <w:rFonts w:cstheme="minorHAnsi"/>
          <w:color w:val="000000" w:themeColor="text1"/>
          <w:sz w:val="20"/>
          <w:szCs w:val="20"/>
        </w:rPr>
        <w:t xml:space="preserve"> </w:t>
      </w:r>
      <w:r w:rsidRPr="005E2C5E">
        <w:rPr>
          <w:rStyle w:val="normaltextrun"/>
          <w:rFonts w:cstheme="minorHAnsi"/>
          <w:color w:val="000000" w:themeColor="text1"/>
          <w:sz w:val="20"/>
          <w:szCs w:val="20"/>
        </w:rPr>
        <w:t>is vital to keep an open and reflective approach as we will all, at some</w:t>
      </w:r>
    </w:p>
    <w:p w14:paraId="189F88DB" w14:textId="77777777" w:rsidR="00A23255" w:rsidRPr="005E2C5E" w:rsidRDefault="00A23255" w:rsidP="00A23255">
      <w:pPr>
        <w:ind w:left="360" w:hanging="360"/>
        <w:textAlignment w:val="baseline"/>
        <w:rPr>
          <w:rFonts w:cstheme="minorHAnsi"/>
          <w:color w:val="000000" w:themeColor="text1"/>
        </w:rPr>
      </w:pPr>
      <w:r w:rsidRPr="005E2C5E">
        <w:rPr>
          <w:rStyle w:val="normaltextrun"/>
          <w:rFonts w:cstheme="minorHAnsi"/>
          <w:color w:val="000000" w:themeColor="text1"/>
          <w:sz w:val="20"/>
          <w:szCs w:val="20"/>
        </w:rPr>
        <w:t xml:space="preserve">point, say the wrong thing (Dunn </w:t>
      </w:r>
      <w:r w:rsidRPr="005E2C5E">
        <w:rPr>
          <w:rFonts w:cstheme="minorHAnsi"/>
          <w:color w:val="000000" w:themeColor="text1"/>
          <w:sz w:val="20"/>
          <w:szCs w:val="20"/>
        </w:rPr>
        <w:t>and Andrews, 2015; Botha, Hanlon, and Williams, 2021).  Showing we are</w:t>
      </w:r>
    </w:p>
    <w:p w14:paraId="721119B4" w14:textId="5F3F40A3" w:rsidR="00A23255" w:rsidRPr="005E2C5E" w:rsidRDefault="00A23255" w:rsidP="00A23255">
      <w:pPr>
        <w:ind w:left="360" w:hanging="360"/>
        <w:textAlignment w:val="baseline"/>
        <w:rPr>
          <w:rFonts w:cstheme="minorHAnsi"/>
          <w:color w:val="000000" w:themeColor="text1"/>
          <w:sz w:val="20"/>
          <w:szCs w:val="20"/>
        </w:rPr>
      </w:pPr>
      <w:proofErr w:type="gramStart"/>
      <w:r w:rsidRPr="005E2C5E">
        <w:rPr>
          <w:rFonts w:cstheme="minorHAnsi"/>
          <w:color w:val="000000" w:themeColor="text1"/>
          <w:sz w:val="20"/>
          <w:szCs w:val="20"/>
        </w:rPr>
        <w:t>making an effort</w:t>
      </w:r>
      <w:proofErr w:type="gramEnd"/>
      <w:r w:rsidRPr="005E2C5E">
        <w:rPr>
          <w:rFonts w:cstheme="minorHAnsi"/>
          <w:color w:val="000000" w:themeColor="text1"/>
          <w:sz w:val="20"/>
          <w:szCs w:val="20"/>
        </w:rPr>
        <w:t xml:space="preserve"> to be respectful may be most important. </w:t>
      </w:r>
    </w:p>
    <w:p w14:paraId="09185D0C" w14:textId="77777777" w:rsidR="00A23255" w:rsidRPr="005E2C5E" w:rsidRDefault="00A23255" w:rsidP="00F13625"/>
    <w:p w14:paraId="4686A254" w14:textId="77777777" w:rsidR="00F13625" w:rsidRPr="005E2C5E" w:rsidRDefault="00F13625" w:rsidP="00F13625">
      <w:pPr>
        <w:ind w:left="360" w:hanging="360"/>
        <w:textAlignment w:val="baseline"/>
        <w:rPr>
          <w:rStyle w:val="normaltextrun"/>
          <w:color w:val="000000" w:themeColor="text1"/>
          <w:sz w:val="20"/>
          <w:szCs w:val="20"/>
        </w:rPr>
      </w:pPr>
      <w:r w:rsidRPr="005E2C5E">
        <w:rPr>
          <w:rStyle w:val="normaltextrun"/>
          <w:color w:val="000000" w:themeColor="text1"/>
          <w:sz w:val="20"/>
          <w:szCs w:val="20"/>
        </w:rPr>
        <w:t>It is also necessary therefore to consider how we refer to things such as emotional distress.  When expressions</w:t>
      </w:r>
    </w:p>
    <w:p w14:paraId="360E4124" w14:textId="77777777" w:rsidR="00F13625" w:rsidRPr="005E2C5E" w:rsidRDefault="00F13625" w:rsidP="00F13625">
      <w:pPr>
        <w:ind w:left="360" w:hanging="360"/>
        <w:textAlignment w:val="baseline"/>
        <w:rPr>
          <w:rStyle w:val="normaltextrun"/>
          <w:color w:val="000000" w:themeColor="text1"/>
          <w:sz w:val="20"/>
          <w:szCs w:val="20"/>
        </w:rPr>
      </w:pPr>
      <w:r w:rsidRPr="005E2C5E">
        <w:rPr>
          <w:rStyle w:val="normaltextrun"/>
          <w:color w:val="000000" w:themeColor="text1"/>
          <w:sz w:val="20"/>
          <w:szCs w:val="20"/>
        </w:rPr>
        <w:t>of distress are labelled as</w:t>
      </w:r>
      <w:r w:rsidRPr="005E2C5E">
        <w:rPr>
          <w:color w:val="000000" w:themeColor="text1"/>
          <w:sz w:val="20"/>
          <w:szCs w:val="20"/>
        </w:rPr>
        <w:t xml:space="preserve"> </w:t>
      </w:r>
      <w:r w:rsidRPr="005E2C5E">
        <w:rPr>
          <w:rStyle w:val="normaltextrun"/>
          <w:color w:val="000000" w:themeColor="text1"/>
          <w:sz w:val="20"/>
          <w:szCs w:val="20"/>
        </w:rPr>
        <w:t>‘purely’ a mental illness we can forget the personal nature of that distress and what</w:t>
      </w:r>
    </w:p>
    <w:p w14:paraId="5BE5C6A3" w14:textId="77777777" w:rsidR="00F13625" w:rsidRPr="005E2C5E" w:rsidRDefault="00F13625" w:rsidP="00F13625">
      <w:pPr>
        <w:ind w:left="360" w:hanging="360"/>
        <w:textAlignment w:val="baseline"/>
        <w:rPr>
          <w:rStyle w:val="normaltextrun"/>
          <w:color w:val="000000" w:themeColor="text1"/>
          <w:sz w:val="20"/>
          <w:szCs w:val="20"/>
        </w:rPr>
      </w:pPr>
      <w:r w:rsidRPr="005E2C5E">
        <w:rPr>
          <w:rStyle w:val="normaltextrun"/>
          <w:color w:val="000000" w:themeColor="text1"/>
          <w:sz w:val="20"/>
          <w:szCs w:val="20"/>
        </w:rPr>
        <w:t>it is communicating.  Focusing on the diagnosis to the exclusion of this can be limiting when a genuine human</w:t>
      </w:r>
    </w:p>
    <w:p w14:paraId="19023CC6" w14:textId="77777777" w:rsidR="00F13625" w:rsidRPr="005E2C5E" w:rsidRDefault="00F13625" w:rsidP="00F13625">
      <w:pPr>
        <w:ind w:left="360" w:hanging="360"/>
        <w:textAlignment w:val="baseline"/>
        <w:rPr>
          <w:rStyle w:val="normaltextrun"/>
          <w:color w:val="000000" w:themeColor="text1"/>
          <w:sz w:val="20"/>
          <w:szCs w:val="20"/>
        </w:rPr>
      </w:pPr>
      <w:r w:rsidRPr="005E2C5E">
        <w:rPr>
          <w:rStyle w:val="normaltextrun"/>
          <w:color w:val="000000" w:themeColor="text1"/>
          <w:sz w:val="20"/>
          <w:szCs w:val="20"/>
        </w:rPr>
        <w:t xml:space="preserve">connection is required (Isobel </w:t>
      </w:r>
      <w:r w:rsidRPr="005E2C5E">
        <w:rPr>
          <w:i/>
          <w:iCs/>
          <w:color w:val="000000" w:themeColor="text1"/>
          <w:sz w:val="20"/>
          <w:szCs w:val="20"/>
        </w:rPr>
        <w:t>et al.</w:t>
      </w:r>
      <w:r w:rsidRPr="005E2C5E">
        <w:rPr>
          <w:color w:val="000000" w:themeColor="text1"/>
          <w:sz w:val="20"/>
          <w:szCs w:val="20"/>
        </w:rPr>
        <w:t>, 20</w:t>
      </w:r>
      <w:r w:rsidRPr="005E2C5E">
        <w:rPr>
          <w:sz w:val="20"/>
          <w:szCs w:val="20"/>
        </w:rPr>
        <w:t>21)</w:t>
      </w:r>
      <w:r w:rsidRPr="005E2C5E">
        <w:rPr>
          <w:rStyle w:val="normaltextrun"/>
          <w:sz w:val="20"/>
          <w:szCs w:val="20"/>
        </w:rPr>
        <w:t xml:space="preserve">.  Negative </w:t>
      </w:r>
      <w:r w:rsidRPr="005E2C5E">
        <w:rPr>
          <w:rStyle w:val="normaltextrun"/>
          <w:color w:val="000000" w:themeColor="text1"/>
          <w:sz w:val="20"/>
          <w:szCs w:val="20"/>
        </w:rPr>
        <w:t>reporting in the media is known to promote negative</w:t>
      </w:r>
    </w:p>
    <w:p w14:paraId="05E23E71" w14:textId="77777777" w:rsidR="00F13625" w:rsidRPr="005E2C5E" w:rsidRDefault="00F13625" w:rsidP="00F13625">
      <w:pPr>
        <w:ind w:left="360" w:hanging="360"/>
        <w:textAlignment w:val="baseline"/>
        <w:rPr>
          <w:rStyle w:val="normaltextrun"/>
          <w:color w:val="000000" w:themeColor="text1"/>
          <w:sz w:val="20"/>
          <w:szCs w:val="20"/>
        </w:rPr>
      </w:pPr>
      <w:r w:rsidRPr="005E2C5E">
        <w:rPr>
          <w:rStyle w:val="normaltextrun"/>
          <w:color w:val="000000" w:themeColor="text1"/>
          <w:sz w:val="20"/>
          <w:szCs w:val="20"/>
        </w:rPr>
        <w:t>attitudes in relation to people with mental health problems (Rose et al 2007), and nurses are exposed to this in</w:t>
      </w:r>
    </w:p>
    <w:p w14:paraId="5382259A" w14:textId="77777777" w:rsidR="00F13625" w:rsidRPr="005E2C5E" w:rsidRDefault="00F13625" w:rsidP="00F13625">
      <w:pPr>
        <w:ind w:left="360" w:hanging="360"/>
        <w:textAlignment w:val="baseline"/>
        <w:rPr>
          <w:rStyle w:val="normaltextrun"/>
          <w:color w:val="000000" w:themeColor="text1"/>
          <w:sz w:val="20"/>
          <w:szCs w:val="20"/>
        </w:rPr>
      </w:pPr>
      <w:r w:rsidRPr="005E2C5E">
        <w:rPr>
          <w:rStyle w:val="normaltextrun"/>
          <w:color w:val="000000" w:themeColor="text1"/>
          <w:sz w:val="20"/>
          <w:szCs w:val="20"/>
        </w:rPr>
        <w:t xml:space="preserve">the same say as others.  </w:t>
      </w:r>
      <w:proofErr w:type="gramStart"/>
      <w:r w:rsidRPr="005E2C5E">
        <w:rPr>
          <w:rStyle w:val="normaltextrun"/>
          <w:color w:val="000000" w:themeColor="text1"/>
          <w:sz w:val="20"/>
          <w:szCs w:val="20"/>
        </w:rPr>
        <w:t>As professionals, critical reflection</w:t>
      </w:r>
      <w:proofErr w:type="gramEnd"/>
      <w:r w:rsidRPr="005E2C5E">
        <w:rPr>
          <w:rStyle w:val="normaltextrun"/>
          <w:color w:val="000000" w:themeColor="text1"/>
          <w:sz w:val="20"/>
          <w:szCs w:val="20"/>
        </w:rPr>
        <w:t xml:space="preserve"> can often result in new </w:t>
      </w:r>
      <w:proofErr w:type="spellStart"/>
      <w:r w:rsidRPr="005E2C5E">
        <w:rPr>
          <w:rStyle w:val="normaltextrun"/>
          <w:color w:val="000000" w:themeColor="text1"/>
          <w:sz w:val="20"/>
          <w:szCs w:val="20"/>
        </w:rPr>
        <w:t>realisation</w:t>
      </w:r>
      <w:proofErr w:type="spellEnd"/>
      <w:r w:rsidRPr="005E2C5E">
        <w:rPr>
          <w:rStyle w:val="normaltextrun"/>
          <w:color w:val="000000" w:themeColor="text1"/>
          <w:sz w:val="20"/>
          <w:szCs w:val="20"/>
        </w:rPr>
        <w:t xml:space="preserve"> and awareness,</w:t>
      </w:r>
    </w:p>
    <w:p w14:paraId="42E979C2" w14:textId="77777777" w:rsidR="00F13625" w:rsidRPr="005E2C5E" w:rsidRDefault="00F13625" w:rsidP="00F13625">
      <w:pPr>
        <w:ind w:left="360" w:hanging="360"/>
        <w:textAlignment w:val="baseline"/>
        <w:rPr>
          <w:color w:val="000000" w:themeColor="text1"/>
          <w:sz w:val="20"/>
          <w:szCs w:val="20"/>
        </w:rPr>
      </w:pPr>
      <w:r w:rsidRPr="005E2C5E">
        <w:rPr>
          <w:rStyle w:val="normaltextrun"/>
          <w:color w:val="000000" w:themeColor="text1"/>
          <w:sz w:val="20"/>
          <w:szCs w:val="20"/>
        </w:rPr>
        <w:t>but this takes time.  Cultural competence is a long-term commitment.  </w:t>
      </w:r>
    </w:p>
    <w:p w14:paraId="0E329B90" w14:textId="77777777" w:rsidR="00F13625" w:rsidRPr="005E2C5E" w:rsidRDefault="00F13625" w:rsidP="00F13625"/>
    <w:p w14:paraId="53193D18" w14:textId="77777777" w:rsidR="00537B7D" w:rsidRPr="005E2C5E" w:rsidRDefault="00537B7D" w:rsidP="00F13625">
      <w:pPr>
        <w:rPr>
          <w:sz w:val="21"/>
        </w:rPr>
      </w:pPr>
    </w:p>
    <w:p w14:paraId="0A499C63" w14:textId="77777777" w:rsidR="00537B7D" w:rsidRPr="005E2C5E" w:rsidRDefault="00E93BEA" w:rsidP="00F13625">
      <w:r w:rsidRPr="005E2C5E">
        <w:t>Overcoming Your Challenges</w:t>
      </w:r>
    </w:p>
    <w:p w14:paraId="45012D33" w14:textId="77777777" w:rsidR="00537B7D" w:rsidRPr="005E2C5E" w:rsidRDefault="00537B7D" w:rsidP="00F13625">
      <w:pPr>
        <w:rPr>
          <w:b/>
        </w:rPr>
      </w:pPr>
    </w:p>
    <w:p w14:paraId="592FCFF2" w14:textId="77777777" w:rsidR="00537B7D" w:rsidRPr="005E2C5E" w:rsidRDefault="00E93BEA" w:rsidP="00F13625">
      <w:r w:rsidRPr="005E2C5E">
        <w:t xml:space="preserve">Health professionals may not </w:t>
      </w:r>
      <w:proofErr w:type="spellStart"/>
      <w:r w:rsidRPr="005E2C5E">
        <w:t>prioritise</w:t>
      </w:r>
      <w:proofErr w:type="spellEnd"/>
      <w:r w:rsidRPr="005E2C5E">
        <w:t xml:space="preserve"> mental health awareness in the time available for continuing professional development (Nutt &amp; </w:t>
      </w:r>
      <w:proofErr w:type="spellStart"/>
      <w:r w:rsidRPr="005E2C5E">
        <w:t>Keville</w:t>
      </w:r>
      <w:proofErr w:type="spellEnd"/>
      <w:r w:rsidRPr="005E2C5E">
        <w:t xml:space="preserve"> 2016). Understanding that contemporary efforts in mental health care aim to develop more democratic approaches may be useful, adopting an attitude that respects service user as experts in their own lives and needs, and any attempt to interpret their experience from our own perspective potentially problematic (McLaughlin, 2009). Patient expertise is also acknowledged in general hospital/community settings of course, but the stigma and history of disbelief regarding people with mental illness brings a multifaceted range of challenges (Horgan </w:t>
      </w:r>
      <w:r w:rsidRPr="005E2C5E">
        <w:rPr>
          <w:i/>
        </w:rPr>
        <w:t>et al.</w:t>
      </w:r>
      <w:r w:rsidRPr="005E2C5E">
        <w:t>, 2020).</w:t>
      </w:r>
    </w:p>
    <w:p w14:paraId="1A496FA0" w14:textId="77777777" w:rsidR="00537B7D" w:rsidRPr="005E2C5E" w:rsidRDefault="00537B7D" w:rsidP="00F13625">
      <w:pPr>
        <w:rPr>
          <w:sz w:val="19"/>
        </w:rPr>
      </w:pPr>
    </w:p>
    <w:p w14:paraId="0E4C1882" w14:textId="77777777" w:rsidR="00537B7D" w:rsidRPr="005E2C5E" w:rsidRDefault="00E93BEA" w:rsidP="00F13625">
      <w:r w:rsidRPr="005E2C5E">
        <w:t xml:space="preserve">There is a long history of disbelief, disempowerment, and </w:t>
      </w:r>
      <w:proofErr w:type="spellStart"/>
      <w:r w:rsidRPr="005E2C5E">
        <w:t>stigmatisation</w:t>
      </w:r>
      <w:proofErr w:type="spellEnd"/>
      <w:r w:rsidRPr="005E2C5E">
        <w:t xml:space="preserve"> that all too easily finds its way into practice through personal attitudes and how these are conveyed by professional staff, in language and action (Clarke </w:t>
      </w:r>
      <w:r w:rsidRPr="005E2C5E">
        <w:rPr>
          <w:i/>
        </w:rPr>
        <w:t>et al.</w:t>
      </w:r>
      <w:r w:rsidRPr="005E2C5E">
        <w:t xml:space="preserve">, 2014: </w:t>
      </w:r>
      <w:proofErr w:type="spellStart"/>
      <w:r w:rsidRPr="005E2C5E">
        <w:t>Mulhearne</w:t>
      </w:r>
      <w:proofErr w:type="spellEnd"/>
      <w:r w:rsidRPr="005E2C5E">
        <w:t xml:space="preserve">, P. </w:t>
      </w:r>
      <w:r w:rsidRPr="005E2C5E">
        <w:rPr>
          <w:i/>
        </w:rPr>
        <w:t>et al.</w:t>
      </w:r>
      <w:r w:rsidRPr="005E2C5E">
        <w:t>, 2021). So, perhaps it is beliefs and attitudes that require the most attention, to evaluate our own position, understand where our perspectives come from and attempt to challenge ourselves. This can be painful. We must be willing to listen, hear the feedback service users provide (whether face to face, in evaluations or reported in research) and to go through the uncomfortable process of accepting how far we have contributed to any poor experiences.</w:t>
      </w:r>
    </w:p>
    <w:p w14:paraId="1854DC5D" w14:textId="77777777" w:rsidR="00537B7D" w:rsidRPr="005E2C5E" w:rsidRDefault="00537B7D" w:rsidP="00F13625"/>
    <w:p w14:paraId="0A96AAEA" w14:textId="77777777" w:rsidR="00537B7D" w:rsidRPr="005E2C5E" w:rsidRDefault="00E93BEA" w:rsidP="00F13625">
      <w:r w:rsidRPr="005E2C5E">
        <w:t xml:space="preserve">Diagnostic labels are potentially influential in this. Sharda et al (2021) report one participant describing being treated well until the diagnosis of personality disorder was disclosed, when things changed. Consider what ‘personality disorder’ means to you. Perhaps if you reflect on that you might write, ‘unreliable,’ ‘manipulative’ or ‘dangerous.’ These are certainly powerful messages fed to us through media and news over time (Pass, 2017). But what if we understood that people who meet such psychiatric diagnostic thresholds in fact commonly report histories of abuse, violence and sexual exploitation as children, and that this has meant their emotional development was halted, that the structure of their developing brain was impacted, and that they now find it very difficult to develop constructive relationships, to have empathy or self-awareness to communicate effectively, to cope with everyday life (Asmundson and Afifi, 2020; Isobel </w:t>
      </w:r>
      <w:r w:rsidRPr="005E2C5E">
        <w:rPr>
          <w:i/>
        </w:rPr>
        <w:t>et al.</w:t>
      </w:r>
      <w:r w:rsidRPr="005E2C5E">
        <w:t>, 2021).</w:t>
      </w:r>
    </w:p>
    <w:p w14:paraId="51277F4A" w14:textId="77777777" w:rsidR="00537B7D" w:rsidRPr="005E2C5E" w:rsidRDefault="00537B7D" w:rsidP="00F13625"/>
    <w:p w14:paraId="734B2122" w14:textId="77777777" w:rsidR="00537B7D" w:rsidRPr="005E2C5E" w:rsidRDefault="00E93BEA" w:rsidP="00F13625">
      <w:r w:rsidRPr="005E2C5E">
        <w:t xml:space="preserve">If a busy nurse seems a little brusque, someone with a trauma history is easily taken back to destructive patterns in relationships that dismissed, undermined, and neglected their needs. Sharda </w:t>
      </w:r>
      <w:r w:rsidRPr="005E2C5E">
        <w:lastRenderedPageBreak/>
        <w:t xml:space="preserve">et al (2021) suggest that experiences of repeated patterns of communication mirror those that occurred in origins of trauma, and </w:t>
      </w:r>
      <w:proofErr w:type="spellStart"/>
      <w:r w:rsidRPr="005E2C5E">
        <w:t>Derblom</w:t>
      </w:r>
      <w:proofErr w:type="spellEnd"/>
      <w:r w:rsidRPr="005E2C5E">
        <w:t xml:space="preserve"> et al (2021) found feelings of neglect, dismissal, judgement, mistrust, all </w:t>
      </w:r>
      <w:proofErr w:type="spellStart"/>
      <w:r w:rsidRPr="005E2C5E">
        <w:t>recognisable</w:t>
      </w:r>
      <w:proofErr w:type="spellEnd"/>
      <w:r w:rsidRPr="005E2C5E">
        <w:t xml:space="preserve"> within such patterns. Nurses may not be aware that simple act of turning away may be experienced as part of this pattern, as some people will be hypersensitive to such </w:t>
      </w:r>
      <w:proofErr w:type="spellStart"/>
      <w:r w:rsidRPr="005E2C5E">
        <w:t>behaviours</w:t>
      </w:r>
      <w:proofErr w:type="spellEnd"/>
      <w:r w:rsidRPr="005E2C5E">
        <w:t xml:space="preserve"> and may have specific interpretations that trigger the trauma of past neglect and abuse. This then may result in what may be seen as difficult </w:t>
      </w:r>
      <w:proofErr w:type="spellStart"/>
      <w:r w:rsidRPr="005E2C5E">
        <w:t>behaviour</w:t>
      </w:r>
      <w:proofErr w:type="spellEnd"/>
      <w:r w:rsidRPr="005E2C5E">
        <w:t xml:space="preserve"> such as screaming, or self-injury, as the only way of communicating distress (Sharda et al 2021). If that distress is responded to, rather than perceived as difficult </w:t>
      </w:r>
      <w:proofErr w:type="spellStart"/>
      <w:r w:rsidRPr="005E2C5E">
        <w:t>behaviour</w:t>
      </w:r>
      <w:proofErr w:type="spellEnd"/>
      <w:r w:rsidRPr="005E2C5E">
        <w:t xml:space="preserve"> (the implication here being because it is seen as </w:t>
      </w:r>
      <w:proofErr w:type="spellStart"/>
      <w:r w:rsidRPr="005E2C5E">
        <w:t>wilful</w:t>
      </w:r>
      <w:proofErr w:type="spellEnd"/>
      <w:r w:rsidRPr="005E2C5E">
        <w:t xml:space="preserve"> and deliberate) the outcome is likely to be different. A diagnostic label of mental illness may enable</w:t>
      </w:r>
      <w:r w:rsidRPr="005E2C5E">
        <w:rPr>
          <w:spacing w:val="-29"/>
        </w:rPr>
        <w:t xml:space="preserve"> </w:t>
      </w:r>
      <w:r w:rsidRPr="005E2C5E">
        <w:t>us</w:t>
      </w:r>
    </w:p>
    <w:p w14:paraId="2442FABB" w14:textId="77777777" w:rsidR="00537B7D" w:rsidRPr="005E2C5E" w:rsidRDefault="00E93BEA" w:rsidP="00F13625">
      <w:r w:rsidRPr="005E2C5E">
        <w:t xml:space="preserve">to dismiss their </w:t>
      </w:r>
      <w:proofErr w:type="spellStart"/>
      <w:r w:rsidRPr="005E2C5E">
        <w:t>behaviour</w:t>
      </w:r>
      <w:proofErr w:type="spellEnd"/>
      <w:r w:rsidRPr="005E2C5E">
        <w:t xml:space="preserve"> as ‘their illness’ or to dismiss its meaning, whereas looking at this through an experiential lens can change both the experience and outcome.</w:t>
      </w:r>
    </w:p>
    <w:p w14:paraId="3899A8A2" w14:textId="77777777" w:rsidR="00537B7D" w:rsidRPr="005E2C5E" w:rsidRDefault="00537B7D" w:rsidP="00F13625"/>
    <w:p w14:paraId="79E71A60" w14:textId="77777777" w:rsidR="00537B7D" w:rsidRPr="005E2C5E" w:rsidRDefault="00E93BEA" w:rsidP="00F13625">
      <w:r w:rsidRPr="005E2C5E">
        <w:t>Diagnostic labels tell us little about individual experience, but the weight they carry can be enormous. We think we know what they mean. Try the same exercise with ‘schizophrenia.’ Where does your notion come from? Psychosis is one cluster of symptoms in the diagnosis of schizophrenia, and this means experiencing frightening hallucinations, visual, auditory, tactile, olfactory, or oral, but they often have personal meaning or origin.</w:t>
      </w:r>
      <w:r w:rsidRPr="005E2C5E">
        <w:rPr>
          <w:spacing w:val="5"/>
        </w:rPr>
        <w:t xml:space="preserve"> </w:t>
      </w:r>
      <w:r w:rsidRPr="005E2C5E">
        <w:t>Delusions, a medical term for experiences that have no physical evidence and are not shared, are for an individual their reality. Asking questions of someone’s experience is validating, being curious is</w:t>
      </w:r>
      <w:r w:rsidRPr="005E2C5E">
        <w:rPr>
          <w:spacing w:val="-25"/>
        </w:rPr>
        <w:t xml:space="preserve"> </w:t>
      </w:r>
      <w:r w:rsidRPr="005E2C5E">
        <w:t>respectful.</w:t>
      </w:r>
    </w:p>
    <w:p w14:paraId="31EBD8AD" w14:textId="77777777" w:rsidR="00537B7D" w:rsidRPr="005E2C5E" w:rsidRDefault="00E93BEA" w:rsidP="00F13625">
      <w:r w:rsidRPr="005E2C5E">
        <w:t>Asking, ‘can you tell me more’ or explaining that you do not see things the same way is OK.  Being kind and nice and not turning away when someone is screaming or hurting themselves shows that someone cares and is willing to try and</w:t>
      </w:r>
      <w:r w:rsidRPr="005E2C5E">
        <w:rPr>
          <w:spacing w:val="-2"/>
        </w:rPr>
        <w:t xml:space="preserve"> </w:t>
      </w:r>
      <w:r w:rsidRPr="005E2C5E">
        <w:t>help.</w:t>
      </w:r>
    </w:p>
    <w:p w14:paraId="3FE42BCE" w14:textId="77777777" w:rsidR="00537B7D" w:rsidRPr="005E2C5E" w:rsidRDefault="00537B7D" w:rsidP="00F13625">
      <w:pPr>
        <w:sectPr w:rsidR="00537B7D" w:rsidRPr="005E2C5E" w:rsidSect="00F13625">
          <w:pgSz w:w="11910" w:h="16840"/>
          <w:pgMar w:top="1440" w:right="1440" w:bottom="1440" w:left="1440" w:header="720" w:footer="720" w:gutter="0"/>
          <w:cols w:space="720"/>
          <w:docGrid w:linePitch="299"/>
        </w:sectPr>
      </w:pPr>
    </w:p>
    <w:p w14:paraId="2F715833" w14:textId="77777777" w:rsidR="00537B7D" w:rsidRPr="005E2C5E" w:rsidRDefault="00E93BEA" w:rsidP="00F13625">
      <w:r w:rsidRPr="005E2C5E">
        <w:lastRenderedPageBreak/>
        <w:t>What We Can Do</w:t>
      </w:r>
    </w:p>
    <w:p w14:paraId="2A51789E" w14:textId="45F53BC0" w:rsidR="00537B7D" w:rsidRPr="005E2C5E" w:rsidRDefault="00537B7D" w:rsidP="00F13625">
      <w:pPr>
        <w:rPr>
          <w:b/>
          <w:sz w:val="19"/>
        </w:rPr>
      </w:pPr>
    </w:p>
    <w:p w14:paraId="2341C7B2" w14:textId="77777777" w:rsidR="00F13625" w:rsidRPr="005E2C5E" w:rsidRDefault="00F13625" w:rsidP="00F13625">
      <w:pPr>
        <w:pStyle w:val="paragraph"/>
        <w:spacing w:before="0" w:beforeAutospacing="0" w:after="0" w:afterAutospacing="0"/>
        <w:ind w:left="360" w:hanging="360"/>
        <w:textAlignment w:val="baseline"/>
        <w:rPr>
          <w:rFonts w:asciiTheme="minorHAnsi" w:hAnsiTheme="minorHAnsi" w:cstheme="minorHAnsi"/>
          <w:color w:val="424242"/>
          <w:sz w:val="22"/>
          <w:szCs w:val="22"/>
          <w:shd w:val="clear" w:color="auto" w:fill="FFFFFF"/>
        </w:rPr>
      </w:pPr>
      <w:r w:rsidRPr="005E2C5E">
        <w:rPr>
          <w:rFonts w:asciiTheme="minorHAnsi" w:hAnsiTheme="minorHAnsi" w:cstheme="minorHAnsi"/>
          <w:color w:val="424242"/>
          <w:sz w:val="22"/>
          <w:szCs w:val="22"/>
          <w:shd w:val="clear" w:color="auto" w:fill="FFFFFF"/>
        </w:rPr>
        <w:t>Nurses and other health professionals, irrespective of their specialism, will have personal</w:t>
      </w:r>
    </w:p>
    <w:p w14:paraId="2D96CCDC" w14:textId="77777777" w:rsidR="00F13625" w:rsidRPr="005E2C5E" w:rsidRDefault="00F13625" w:rsidP="00F13625">
      <w:pPr>
        <w:pStyle w:val="paragraph"/>
        <w:spacing w:before="0" w:beforeAutospacing="0" w:after="0" w:afterAutospacing="0"/>
        <w:ind w:left="360" w:hanging="360"/>
        <w:textAlignment w:val="baseline"/>
        <w:rPr>
          <w:rFonts w:asciiTheme="minorHAnsi" w:hAnsiTheme="minorHAnsi" w:cstheme="minorHAnsi"/>
          <w:color w:val="424242"/>
          <w:sz w:val="22"/>
          <w:szCs w:val="22"/>
          <w:shd w:val="clear" w:color="auto" w:fill="FFFFFF"/>
        </w:rPr>
      </w:pPr>
      <w:r w:rsidRPr="005E2C5E">
        <w:rPr>
          <w:rFonts w:asciiTheme="minorHAnsi" w:hAnsiTheme="minorHAnsi" w:cstheme="minorHAnsi"/>
          <w:color w:val="424242"/>
          <w:sz w:val="22"/>
          <w:szCs w:val="22"/>
          <w:shd w:val="clear" w:color="auto" w:fill="FFFFFF"/>
        </w:rPr>
        <w:t>experience of episodes of poor mental health and may have encountered and</w:t>
      </w:r>
    </w:p>
    <w:p w14:paraId="0D3DDB8F" w14:textId="77777777" w:rsidR="00F13625" w:rsidRPr="005E2C5E" w:rsidRDefault="00F13625" w:rsidP="00F13625">
      <w:pPr>
        <w:pStyle w:val="paragraph"/>
        <w:spacing w:before="0" w:beforeAutospacing="0" w:after="0" w:afterAutospacing="0"/>
        <w:ind w:left="360" w:hanging="360"/>
        <w:textAlignment w:val="baseline"/>
        <w:rPr>
          <w:rFonts w:asciiTheme="minorHAnsi" w:hAnsiTheme="minorHAnsi" w:cstheme="minorHAnsi"/>
          <w:color w:val="424242"/>
          <w:sz w:val="22"/>
          <w:szCs w:val="22"/>
          <w:shd w:val="clear" w:color="auto" w:fill="FFFFFF"/>
        </w:rPr>
      </w:pPr>
      <w:r w:rsidRPr="005E2C5E">
        <w:rPr>
          <w:rFonts w:asciiTheme="minorHAnsi" w:hAnsiTheme="minorHAnsi" w:cstheme="minorHAnsi"/>
          <w:color w:val="424242"/>
          <w:sz w:val="22"/>
          <w:szCs w:val="22"/>
          <w:shd w:val="clear" w:color="auto" w:fill="FFFFFF"/>
        </w:rPr>
        <w:t>provided support in many situations where people face life-changing events related to</w:t>
      </w:r>
    </w:p>
    <w:p w14:paraId="191CA2F1" w14:textId="77777777" w:rsidR="00F13625" w:rsidRPr="005E2C5E" w:rsidRDefault="00F13625" w:rsidP="00F13625">
      <w:pPr>
        <w:pStyle w:val="paragraph"/>
        <w:spacing w:before="0" w:beforeAutospacing="0" w:after="0" w:afterAutospacing="0"/>
        <w:ind w:left="360" w:hanging="360"/>
        <w:textAlignment w:val="baseline"/>
        <w:rPr>
          <w:rStyle w:val="normaltextrun"/>
          <w:rFonts w:asciiTheme="minorHAnsi" w:hAnsiTheme="minorHAnsi" w:cstheme="minorHAnsi"/>
          <w:sz w:val="20"/>
          <w:szCs w:val="20"/>
        </w:rPr>
      </w:pPr>
      <w:r w:rsidRPr="005E2C5E">
        <w:rPr>
          <w:rFonts w:asciiTheme="minorHAnsi" w:hAnsiTheme="minorHAnsi" w:cstheme="minorHAnsi"/>
          <w:color w:val="424242"/>
          <w:sz w:val="22"/>
          <w:szCs w:val="22"/>
          <w:shd w:val="clear" w:color="auto" w:fill="FFFFFF"/>
        </w:rPr>
        <w:t>serious diagnoses, or losses and bereavements</w:t>
      </w:r>
      <w:r w:rsidRPr="005E2C5E">
        <w:rPr>
          <w:rStyle w:val="normaltextrun"/>
          <w:rFonts w:asciiTheme="minorHAnsi" w:hAnsiTheme="minorHAnsi" w:cstheme="minorHAnsi"/>
          <w:sz w:val="20"/>
          <w:szCs w:val="20"/>
        </w:rPr>
        <w:t>. This experience should underpin personal confidence. Be</w:t>
      </w:r>
    </w:p>
    <w:p w14:paraId="7AA3AE8B" w14:textId="77777777" w:rsidR="00F13625" w:rsidRPr="005E2C5E" w:rsidRDefault="00F13625" w:rsidP="00F13625">
      <w:pPr>
        <w:pStyle w:val="paragraph"/>
        <w:spacing w:before="0" w:beforeAutospacing="0" w:after="0" w:afterAutospacing="0"/>
        <w:ind w:left="360" w:hanging="360"/>
        <w:textAlignment w:val="baseline"/>
        <w:rPr>
          <w:rStyle w:val="normaltextrun"/>
          <w:rFonts w:asciiTheme="minorHAnsi" w:hAnsiTheme="minorHAnsi" w:cstheme="minorHAnsi"/>
          <w:sz w:val="20"/>
          <w:szCs w:val="20"/>
        </w:rPr>
      </w:pPr>
      <w:r w:rsidRPr="005E2C5E">
        <w:rPr>
          <w:rStyle w:val="normaltextrun"/>
          <w:rFonts w:asciiTheme="minorHAnsi" w:hAnsiTheme="minorHAnsi" w:cstheme="minorHAnsi"/>
          <w:sz w:val="20"/>
          <w:szCs w:val="20"/>
        </w:rPr>
        <w:t>confident in your own skills but remain reflective.  You have (or can learn) the skills and knowledge, but may</w:t>
      </w:r>
    </w:p>
    <w:p w14:paraId="746C1722" w14:textId="77777777" w:rsidR="00F13625" w:rsidRPr="005E2C5E" w:rsidRDefault="00F13625" w:rsidP="00F13625">
      <w:pPr>
        <w:pStyle w:val="paragraph"/>
        <w:spacing w:before="0" w:beforeAutospacing="0" w:after="0" w:afterAutospacing="0"/>
        <w:ind w:left="360" w:hanging="360"/>
        <w:textAlignment w:val="baseline"/>
        <w:rPr>
          <w:rStyle w:val="normaltextrun"/>
          <w:rFonts w:asciiTheme="minorHAnsi" w:hAnsiTheme="minorHAnsi" w:cstheme="minorHAnsi"/>
          <w:sz w:val="20"/>
          <w:szCs w:val="20"/>
        </w:rPr>
      </w:pPr>
      <w:r w:rsidRPr="005E2C5E">
        <w:rPr>
          <w:rStyle w:val="normaltextrun"/>
          <w:rFonts w:asciiTheme="minorHAnsi" w:hAnsiTheme="minorHAnsi" w:cstheme="minorHAnsi"/>
          <w:sz w:val="20"/>
          <w:szCs w:val="20"/>
        </w:rPr>
        <w:t>feel limited in</w:t>
      </w:r>
      <w:r w:rsidRPr="005E2C5E">
        <w:rPr>
          <w:rStyle w:val="eop"/>
          <w:rFonts w:asciiTheme="minorHAnsi" w:hAnsiTheme="minorHAnsi" w:cstheme="minorHAnsi"/>
          <w:sz w:val="20"/>
          <w:szCs w:val="20"/>
        </w:rPr>
        <w:t> </w:t>
      </w:r>
      <w:r w:rsidRPr="005E2C5E">
        <w:rPr>
          <w:rStyle w:val="normaltextrun"/>
          <w:rFonts w:asciiTheme="minorHAnsi" w:hAnsiTheme="minorHAnsi" w:cstheme="minorHAnsi"/>
          <w:sz w:val="20"/>
          <w:szCs w:val="20"/>
        </w:rPr>
        <w:t xml:space="preserve">understanding how to respond (Barratt, 2013).  You need to be sensitive to the concepts of </w:t>
      </w:r>
    </w:p>
    <w:p w14:paraId="71C0714E" w14:textId="77777777" w:rsidR="00F13625" w:rsidRPr="005E2C5E" w:rsidRDefault="00F13625" w:rsidP="00F13625">
      <w:pPr>
        <w:pStyle w:val="paragraph"/>
        <w:spacing w:before="0" w:beforeAutospacing="0" w:after="0" w:afterAutospacing="0"/>
        <w:ind w:left="360" w:hanging="360"/>
        <w:textAlignment w:val="baseline"/>
        <w:rPr>
          <w:rStyle w:val="eop"/>
          <w:rFonts w:asciiTheme="minorHAnsi" w:hAnsiTheme="minorHAnsi" w:cstheme="minorHAnsi"/>
          <w:sz w:val="20"/>
          <w:szCs w:val="20"/>
        </w:rPr>
      </w:pPr>
      <w:r w:rsidRPr="005E2C5E">
        <w:rPr>
          <w:rStyle w:val="normaltextrun"/>
          <w:rFonts w:asciiTheme="minorHAnsi" w:hAnsiTheme="minorHAnsi" w:cstheme="minorHAnsi"/>
          <w:sz w:val="20"/>
          <w:szCs w:val="20"/>
        </w:rPr>
        <w:t>social justice, equality of access, social inclusion and be willing to tackle exclusion (</w:t>
      </w:r>
      <w:proofErr w:type="spellStart"/>
      <w:r w:rsidRPr="005E2C5E">
        <w:rPr>
          <w:rStyle w:val="normaltextrun"/>
          <w:rFonts w:asciiTheme="minorHAnsi" w:hAnsiTheme="minorHAnsi" w:cstheme="minorHAnsi"/>
          <w:sz w:val="20"/>
          <w:szCs w:val="20"/>
        </w:rPr>
        <w:t>Trenoweth</w:t>
      </w:r>
      <w:proofErr w:type="spellEnd"/>
      <w:r w:rsidRPr="005E2C5E">
        <w:rPr>
          <w:rStyle w:val="normaltextrun"/>
          <w:rFonts w:asciiTheme="minorHAnsi" w:hAnsiTheme="minorHAnsi" w:cstheme="minorHAnsi"/>
          <w:sz w:val="20"/>
          <w:szCs w:val="20"/>
        </w:rPr>
        <w:t>, 2022).</w:t>
      </w:r>
    </w:p>
    <w:p w14:paraId="6C01FC87" w14:textId="77777777" w:rsidR="00F13625" w:rsidRPr="005E2C5E" w:rsidRDefault="00F13625" w:rsidP="00F13625">
      <w:pPr>
        <w:rPr>
          <w:b/>
          <w:sz w:val="19"/>
        </w:rPr>
      </w:pPr>
    </w:p>
    <w:p w14:paraId="24149DC4" w14:textId="77777777" w:rsidR="00F13625" w:rsidRPr="005E2C5E" w:rsidRDefault="00F13625" w:rsidP="00F13625">
      <w:pPr>
        <w:rPr>
          <w:b/>
          <w:sz w:val="19"/>
        </w:rPr>
      </w:pPr>
    </w:p>
    <w:p w14:paraId="28A96185" w14:textId="1FDA1482" w:rsidR="00537B7D" w:rsidRPr="005E2C5E" w:rsidRDefault="00E93BEA" w:rsidP="00F13625">
      <w:r w:rsidRPr="005E2C5E">
        <w:t>A patient who is in crisis will be in ‘fight, flight or freeze’ mode which is likely to result in the inability to think clearly, and to act emotionally and impulsively. Think about the environment, on a physical health ward or in a busy A&amp;E department, for example, and how this can impact on the person’s existing emotional state.  The first step when approaching such patients is to help them feel safe, both emotionally and physically. This can be achieved with small practical steps, by making some minor changes to their environment, and through your interaction and your communication with</w:t>
      </w:r>
      <w:r w:rsidRPr="005E2C5E">
        <w:rPr>
          <w:spacing w:val="-1"/>
        </w:rPr>
        <w:t xml:space="preserve"> </w:t>
      </w:r>
      <w:r w:rsidRPr="005E2C5E">
        <w:t>them.</w:t>
      </w:r>
    </w:p>
    <w:p w14:paraId="0C51886F" w14:textId="77777777" w:rsidR="00F13625" w:rsidRPr="005E2C5E" w:rsidRDefault="00F13625" w:rsidP="00F13625"/>
    <w:p w14:paraId="050F0084" w14:textId="77777777" w:rsidR="00537B7D" w:rsidRPr="005E2C5E" w:rsidRDefault="00E93BEA" w:rsidP="00F13625">
      <w:r w:rsidRPr="005E2C5E">
        <w:t xml:space="preserve">Thinking about the five senses can act as a guide to help you to find ways to alleviate distress. Overstimulation is likely to escalate their negative emotions and </w:t>
      </w:r>
      <w:proofErr w:type="spellStart"/>
      <w:r w:rsidRPr="005E2C5E">
        <w:t>behavioural</w:t>
      </w:r>
      <w:proofErr w:type="spellEnd"/>
      <w:r w:rsidRPr="005E2C5E">
        <w:t xml:space="preserve"> responses (Isbell </w:t>
      </w:r>
      <w:r w:rsidRPr="005E2C5E">
        <w:rPr>
          <w:i/>
        </w:rPr>
        <w:t>et al.</w:t>
      </w:r>
      <w:r w:rsidRPr="005E2C5E">
        <w:t>, 2020). Ask yourself, what is the person seeing and hearing? As healthcare professionals, we can perhaps become de-</w:t>
      </w:r>
      <w:proofErr w:type="spellStart"/>
      <w:r w:rsidRPr="005E2C5E">
        <w:t>sensitised</w:t>
      </w:r>
      <w:proofErr w:type="spellEnd"/>
      <w:r w:rsidRPr="005E2C5E">
        <w:t xml:space="preserve"> to the pain and suffering that surrounds us at work (Clarke </w:t>
      </w:r>
      <w:r w:rsidRPr="005E2C5E">
        <w:rPr>
          <w:i/>
        </w:rPr>
        <w:t>et al.</w:t>
      </w:r>
      <w:r w:rsidRPr="005E2C5E">
        <w:t>, 2014) and may not be affected by it in the same way as a new patient entering that ward or department can. It can therefore help to identify a quiet room, or a quiet area, for that person to sit in. Can the brightness of the lighting in this area be reduced? Some</w:t>
      </w:r>
      <w:r w:rsidRPr="005E2C5E">
        <w:rPr>
          <w:spacing w:val="-31"/>
        </w:rPr>
        <w:t xml:space="preserve"> </w:t>
      </w:r>
      <w:r w:rsidRPr="005E2C5E">
        <w:t>quiet</w:t>
      </w:r>
    </w:p>
    <w:p w14:paraId="2B936939" w14:textId="2EEBCF8F" w:rsidR="00537B7D" w:rsidRPr="005E2C5E" w:rsidRDefault="00E93BEA" w:rsidP="00F13625">
      <w:r w:rsidRPr="005E2C5E">
        <w:t xml:space="preserve">rooms offer ‘sensory lighting’ that glow different </w:t>
      </w:r>
      <w:proofErr w:type="spellStart"/>
      <w:r w:rsidRPr="005E2C5E">
        <w:t>colours</w:t>
      </w:r>
      <w:proofErr w:type="spellEnd"/>
      <w:r w:rsidRPr="005E2C5E">
        <w:t xml:space="preserve"> or specific lighting equipment used for this purpose.</w:t>
      </w:r>
    </w:p>
    <w:p w14:paraId="2786747F" w14:textId="77777777" w:rsidR="00F13625" w:rsidRPr="005E2C5E" w:rsidRDefault="00F13625" w:rsidP="00F13625"/>
    <w:p w14:paraId="51387C0F" w14:textId="267505D2" w:rsidR="00537B7D" w:rsidRPr="005E2C5E" w:rsidRDefault="00E93BEA" w:rsidP="00F13625">
      <w:r w:rsidRPr="005E2C5E">
        <w:t xml:space="preserve">Acknowledge your own feelings as well as theirs (Holland </w:t>
      </w:r>
      <w:r w:rsidRPr="005E2C5E">
        <w:rPr>
          <w:i/>
        </w:rPr>
        <w:t>et al.</w:t>
      </w:r>
      <w:r w:rsidRPr="005E2C5E">
        <w:t xml:space="preserve">, 2020). Expression of emotion is communication, and it is important to identify what your own feelings are telling you. For example, do you have the urge to withdraw, run away, avoid? These feelings are associated with the same anxiety or fear of the situation that patients might be feeling. For nurses these feelings might be due to worrying about saying ‘the wrong thing’ (Clarke </w:t>
      </w:r>
      <w:r w:rsidRPr="005E2C5E">
        <w:rPr>
          <w:i/>
        </w:rPr>
        <w:t>et al.</w:t>
      </w:r>
      <w:r w:rsidRPr="005E2C5E">
        <w:t xml:space="preserve">, 2014). Acknowledge these feelings and approach the </w:t>
      </w:r>
      <w:proofErr w:type="gramStart"/>
      <w:r w:rsidRPr="005E2C5E">
        <w:t>situation</w:t>
      </w:r>
      <w:proofErr w:type="gramEnd"/>
      <w:r w:rsidRPr="005E2C5E">
        <w:t xml:space="preserve"> anyway, resisting the temptation to avoid.</w:t>
      </w:r>
    </w:p>
    <w:p w14:paraId="726D22FA" w14:textId="77777777" w:rsidR="00F13625" w:rsidRPr="005E2C5E" w:rsidRDefault="00F13625" w:rsidP="00F13625"/>
    <w:p w14:paraId="7EFC28CE" w14:textId="6C2FF3EA" w:rsidR="00537B7D" w:rsidRPr="005E2C5E" w:rsidRDefault="00E93BEA" w:rsidP="00F13625">
      <w:r w:rsidRPr="005E2C5E">
        <w:t>Your communication style, both verbal and non-verbal, is essential in helping the person to feel safe. Ask them initially what would help them to feel safe, and if you are able to, do it. There is a vast array of literature that has been published to help healthcare professionals improve their confidence and ability to communicate effectively with patients who are in distress. We have included some of the important elements of communication that will help you to establish, build and maintain a therapeutic relationship in adult nursing environments referred to in the documents referenced (see table 1).</w:t>
      </w:r>
    </w:p>
    <w:p w14:paraId="06AD58AA" w14:textId="432F2097" w:rsidR="00F13625" w:rsidRPr="005E2C5E" w:rsidRDefault="00F13625" w:rsidP="00F13625"/>
    <w:p w14:paraId="0202087E" w14:textId="230C6FC4" w:rsidR="00F13625" w:rsidRPr="005E2C5E" w:rsidRDefault="00F13625" w:rsidP="00F13625"/>
    <w:p w14:paraId="2F286934" w14:textId="3C58C6CF" w:rsidR="00F13625" w:rsidRPr="005E2C5E" w:rsidRDefault="00F13625" w:rsidP="00F13625"/>
    <w:p w14:paraId="34CFC1A6" w14:textId="2144DDF7" w:rsidR="00F13625" w:rsidRPr="005E2C5E" w:rsidRDefault="00F13625" w:rsidP="00F13625"/>
    <w:p w14:paraId="6A040C58" w14:textId="385A6DFA" w:rsidR="00F13625" w:rsidRPr="005E2C5E" w:rsidRDefault="00F13625" w:rsidP="00F13625"/>
    <w:p w14:paraId="0039D9C7" w14:textId="4664657C" w:rsidR="00F13625" w:rsidRPr="005E2C5E" w:rsidRDefault="00F13625" w:rsidP="00F13625"/>
    <w:p w14:paraId="149616C0" w14:textId="5CF3774D" w:rsidR="00F13625" w:rsidRPr="005E2C5E" w:rsidRDefault="00F13625" w:rsidP="00F13625"/>
    <w:p w14:paraId="03349D9E" w14:textId="148F654E" w:rsidR="00F13625" w:rsidRPr="005E2C5E" w:rsidRDefault="00F13625" w:rsidP="00F13625"/>
    <w:p w14:paraId="5C2E2FF0" w14:textId="72F1E96B" w:rsidR="00F13625" w:rsidRPr="005E2C5E" w:rsidRDefault="00F13625" w:rsidP="00F13625"/>
    <w:p w14:paraId="4594A8E7" w14:textId="77777777" w:rsidR="00F13625" w:rsidRPr="005E2C5E" w:rsidRDefault="00F13625" w:rsidP="00F13625"/>
    <w:p w14:paraId="3478E6EA" w14:textId="3F6A1C46" w:rsidR="00537B7D" w:rsidRPr="005E2C5E" w:rsidRDefault="00E93BEA" w:rsidP="00F13625">
      <w:pPr>
        <w:rPr>
          <w:sz w:val="14"/>
        </w:rPr>
      </w:pPr>
      <w:r w:rsidRPr="005E2C5E">
        <w:rPr>
          <w:b/>
        </w:rPr>
        <w:t xml:space="preserve">Table 1 </w:t>
      </w:r>
      <w:r w:rsidRPr="005E2C5E">
        <w:t>Suggestions to help people in distress</w:t>
      </w:r>
    </w:p>
    <w:tbl>
      <w:tblPr>
        <w:tblpPr w:leftFromText="180" w:rightFromText="180" w:horzAnchor="margin" w:tblpY="288"/>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92"/>
        <w:gridCol w:w="7324"/>
      </w:tblGrid>
      <w:tr w:rsidR="00537B7D" w:rsidRPr="005E2C5E" w14:paraId="67A0EB19" w14:textId="77777777" w:rsidTr="00F13625">
        <w:trPr>
          <w:trHeight w:val="793"/>
        </w:trPr>
        <w:tc>
          <w:tcPr>
            <w:tcW w:w="1692" w:type="dxa"/>
            <w:tcBorders>
              <w:bottom w:val="nil"/>
            </w:tcBorders>
          </w:tcPr>
          <w:p w14:paraId="1D3F5F73" w14:textId="77777777" w:rsidR="00537B7D" w:rsidRPr="005E2C5E" w:rsidRDefault="00E93BEA" w:rsidP="00F13625">
            <w:pPr>
              <w:rPr>
                <w:b/>
                <w:sz w:val="20"/>
              </w:rPr>
            </w:pPr>
            <w:r w:rsidRPr="005E2C5E">
              <w:rPr>
                <w:b/>
                <w:sz w:val="20"/>
              </w:rPr>
              <w:t>Documents that inform this information</w:t>
            </w:r>
          </w:p>
        </w:tc>
        <w:tc>
          <w:tcPr>
            <w:tcW w:w="7324" w:type="dxa"/>
            <w:tcBorders>
              <w:bottom w:val="nil"/>
            </w:tcBorders>
          </w:tcPr>
          <w:p w14:paraId="233D7A59" w14:textId="77777777" w:rsidR="00537B7D" w:rsidRPr="005E2C5E" w:rsidRDefault="00E93BEA" w:rsidP="00F13625">
            <w:pPr>
              <w:rPr>
                <w:sz w:val="20"/>
              </w:rPr>
            </w:pPr>
            <w:r w:rsidRPr="005E2C5E">
              <w:rPr>
                <w:sz w:val="20"/>
              </w:rPr>
              <w:t xml:space="preserve">-Star Wards &amp;Cambridge university hospitals NHS trust (2014) Brief encounters. </w:t>
            </w:r>
            <w:hyperlink r:id="rId12">
              <w:r w:rsidRPr="005E2C5E">
                <w:rPr>
                  <w:color w:val="0462C1"/>
                  <w:sz w:val="20"/>
                  <w:u w:val="single" w:color="0462C1"/>
                </w:rPr>
                <w:t>https://www.starwards.org.uk/brief-encounters-pub/</w:t>
              </w:r>
            </w:hyperlink>
          </w:p>
          <w:p w14:paraId="088B6B52" w14:textId="77777777" w:rsidR="00537B7D" w:rsidRPr="005E2C5E" w:rsidRDefault="00E93BEA" w:rsidP="00F13625">
            <w:pPr>
              <w:rPr>
                <w:sz w:val="20"/>
              </w:rPr>
            </w:pPr>
            <w:r w:rsidRPr="005E2C5E">
              <w:rPr>
                <w:sz w:val="20"/>
              </w:rPr>
              <w:t>-Star Wards (2010). Talk Well. Encouraging the art of conversation on mental health</w:t>
            </w:r>
          </w:p>
        </w:tc>
      </w:tr>
      <w:tr w:rsidR="00537B7D" w:rsidRPr="005E2C5E" w14:paraId="5178B113" w14:textId="77777777" w:rsidTr="00F13625">
        <w:trPr>
          <w:trHeight w:val="261"/>
        </w:trPr>
        <w:tc>
          <w:tcPr>
            <w:tcW w:w="1692" w:type="dxa"/>
            <w:tcBorders>
              <w:top w:val="nil"/>
              <w:bottom w:val="nil"/>
            </w:tcBorders>
          </w:tcPr>
          <w:p w14:paraId="236814C5" w14:textId="77777777" w:rsidR="00537B7D" w:rsidRPr="005E2C5E" w:rsidRDefault="00537B7D" w:rsidP="00F13625">
            <w:pPr>
              <w:rPr>
                <w:rFonts w:ascii="Times New Roman"/>
                <w:sz w:val="18"/>
              </w:rPr>
            </w:pPr>
          </w:p>
        </w:tc>
        <w:tc>
          <w:tcPr>
            <w:tcW w:w="7324" w:type="dxa"/>
            <w:tcBorders>
              <w:top w:val="nil"/>
              <w:bottom w:val="nil"/>
            </w:tcBorders>
          </w:tcPr>
          <w:p w14:paraId="6AF1989D" w14:textId="77777777" w:rsidR="00537B7D" w:rsidRPr="005E2C5E" w:rsidRDefault="00E93BEA" w:rsidP="00F13625">
            <w:pPr>
              <w:rPr>
                <w:sz w:val="20"/>
              </w:rPr>
            </w:pPr>
            <w:r w:rsidRPr="005E2C5E">
              <w:rPr>
                <w:sz w:val="20"/>
              </w:rPr>
              <w:t xml:space="preserve">wards. </w:t>
            </w:r>
            <w:hyperlink r:id="rId13">
              <w:r w:rsidRPr="005E2C5E">
                <w:rPr>
                  <w:color w:val="0462C1"/>
                  <w:sz w:val="20"/>
                  <w:u w:val="single" w:color="0462C1"/>
                </w:rPr>
                <w:t>https://www.starwards.org.uk/wp-</w:t>
              </w:r>
            </w:hyperlink>
          </w:p>
        </w:tc>
      </w:tr>
      <w:tr w:rsidR="00537B7D" w:rsidRPr="005E2C5E" w14:paraId="2B6D3D40" w14:textId="77777777" w:rsidTr="00F13625">
        <w:trPr>
          <w:trHeight w:val="261"/>
        </w:trPr>
        <w:tc>
          <w:tcPr>
            <w:tcW w:w="1692" w:type="dxa"/>
            <w:tcBorders>
              <w:top w:val="nil"/>
              <w:bottom w:val="nil"/>
            </w:tcBorders>
          </w:tcPr>
          <w:p w14:paraId="1E2E116D" w14:textId="77777777" w:rsidR="00537B7D" w:rsidRPr="005E2C5E" w:rsidRDefault="00537B7D" w:rsidP="00F13625">
            <w:pPr>
              <w:rPr>
                <w:rFonts w:ascii="Times New Roman"/>
                <w:sz w:val="18"/>
              </w:rPr>
            </w:pPr>
          </w:p>
        </w:tc>
        <w:tc>
          <w:tcPr>
            <w:tcW w:w="7324" w:type="dxa"/>
            <w:tcBorders>
              <w:top w:val="nil"/>
              <w:bottom w:val="nil"/>
            </w:tcBorders>
          </w:tcPr>
          <w:p w14:paraId="685F4F2C" w14:textId="77777777" w:rsidR="00537B7D" w:rsidRPr="005E2C5E" w:rsidRDefault="00000000" w:rsidP="00F13625">
            <w:pPr>
              <w:rPr>
                <w:sz w:val="20"/>
              </w:rPr>
            </w:pPr>
            <w:hyperlink r:id="rId14">
              <w:r w:rsidR="00E93BEA" w:rsidRPr="005E2C5E">
                <w:rPr>
                  <w:color w:val="0462C1"/>
                  <w:sz w:val="20"/>
                  <w:u w:val="single" w:color="0462C1"/>
                </w:rPr>
                <w:t>content/uploads/2019/02/TalkWell_2nd_Edition_4.1mb.pdf</w:t>
              </w:r>
            </w:hyperlink>
          </w:p>
        </w:tc>
      </w:tr>
      <w:tr w:rsidR="00537B7D" w:rsidRPr="005E2C5E" w14:paraId="652AEDD2" w14:textId="77777777" w:rsidTr="00F13625">
        <w:trPr>
          <w:trHeight w:val="261"/>
        </w:trPr>
        <w:tc>
          <w:tcPr>
            <w:tcW w:w="1692" w:type="dxa"/>
            <w:tcBorders>
              <w:top w:val="nil"/>
              <w:bottom w:val="nil"/>
            </w:tcBorders>
          </w:tcPr>
          <w:p w14:paraId="18D39A2B" w14:textId="77777777" w:rsidR="00537B7D" w:rsidRPr="005E2C5E" w:rsidRDefault="00537B7D" w:rsidP="00F13625">
            <w:pPr>
              <w:rPr>
                <w:rFonts w:ascii="Times New Roman"/>
                <w:sz w:val="18"/>
              </w:rPr>
            </w:pPr>
          </w:p>
        </w:tc>
        <w:tc>
          <w:tcPr>
            <w:tcW w:w="7324" w:type="dxa"/>
            <w:tcBorders>
              <w:top w:val="nil"/>
              <w:bottom w:val="nil"/>
            </w:tcBorders>
          </w:tcPr>
          <w:p w14:paraId="08CE15E7" w14:textId="77777777" w:rsidR="00537B7D" w:rsidRPr="005E2C5E" w:rsidRDefault="00E93BEA" w:rsidP="00F13625">
            <w:pPr>
              <w:rPr>
                <w:sz w:val="20"/>
              </w:rPr>
            </w:pPr>
            <w:r w:rsidRPr="005E2C5E">
              <w:rPr>
                <w:sz w:val="20"/>
              </w:rPr>
              <w:t>-Talking with acutely psychotic people. Communication skills for nurses and others</w:t>
            </w:r>
          </w:p>
        </w:tc>
      </w:tr>
      <w:tr w:rsidR="00537B7D" w:rsidRPr="005E2C5E" w14:paraId="62B784A5" w14:textId="77777777" w:rsidTr="00F13625">
        <w:trPr>
          <w:trHeight w:val="520"/>
        </w:trPr>
        <w:tc>
          <w:tcPr>
            <w:tcW w:w="1692" w:type="dxa"/>
            <w:tcBorders>
              <w:top w:val="nil"/>
              <w:bottom w:val="nil"/>
            </w:tcBorders>
          </w:tcPr>
          <w:p w14:paraId="3AF28641" w14:textId="77777777" w:rsidR="00537B7D" w:rsidRPr="005E2C5E" w:rsidRDefault="00537B7D" w:rsidP="00F13625">
            <w:pPr>
              <w:rPr>
                <w:rFonts w:ascii="Times New Roman"/>
                <w:sz w:val="18"/>
              </w:rPr>
            </w:pPr>
          </w:p>
        </w:tc>
        <w:tc>
          <w:tcPr>
            <w:tcW w:w="7324" w:type="dxa"/>
            <w:tcBorders>
              <w:top w:val="nil"/>
              <w:bottom w:val="nil"/>
            </w:tcBorders>
          </w:tcPr>
          <w:p w14:paraId="051533D9" w14:textId="77777777" w:rsidR="00537B7D" w:rsidRPr="005E2C5E" w:rsidRDefault="00E93BEA" w:rsidP="00F13625">
            <w:pPr>
              <w:rPr>
                <w:sz w:val="20"/>
              </w:rPr>
            </w:pPr>
            <w:r w:rsidRPr="005E2C5E">
              <w:rPr>
                <w:sz w:val="20"/>
              </w:rPr>
              <w:t>spending time with people who are very mentally ill.</w:t>
            </w:r>
          </w:p>
          <w:p w14:paraId="1972C335" w14:textId="77777777" w:rsidR="00537B7D" w:rsidRPr="005E2C5E" w:rsidRDefault="00000000" w:rsidP="00F13625">
            <w:pPr>
              <w:rPr>
                <w:sz w:val="20"/>
              </w:rPr>
            </w:pPr>
            <w:hyperlink r:id="rId15">
              <w:r w:rsidR="00E93BEA" w:rsidRPr="005E2C5E">
                <w:rPr>
                  <w:color w:val="0462C1"/>
                  <w:sz w:val="20"/>
                  <w:u w:val="single" w:color="0462C1"/>
                </w:rPr>
                <w:t>https://www.researchgate.net/publication/257230982_Talking_with_Acutely_Psychoti</w:t>
              </w:r>
            </w:hyperlink>
          </w:p>
        </w:tc>
      </w:tr>
      <w:tr w:rsidR="00537B7D" w:rsidRPr="005E2C5E" w14:paraId="64070661" w14:textId="77777777" w:rsidTr="00F13625">
        <w:trPr>
          <w:trHeight w:val="261"/>
        </w:trPr>
        <w:tc>
          <w:tcPr>
            <w:tcW w:w="1692" w:type="dxa"/>
            <w:tcBorders>
              <w:top w:val="nil"/>
              <w:bottom w:val="nil"/>
            </w:tcBorders>
          </w:tcPr>
          <w:p w14:paraId="35689737" w14:textId="77777777" w:rsidR="00537B7D" w:rsidRPr="005E2C5E" w:rsidRDefault="00537B7D" w:rsidP="00F13625">
            <w:pPr>
              <w:rPr>
                <w:rFonts w:ascii="Times New Roman"/>
                <w:sz w:val="18"/>
              </w:rPr>
            </w:pPr>
          </w:p>
        </w:tc>
        <w:tc>
          <w:tcPr>
            <w:tcW w:w="7324" w:type="dxa"/>
            <w:tcBorders>
              <w:top w:val="nil"/>
              <w:bottom w:val="nil"/>
            </w:tcBorders>
          </w:tcPr>
          <w:p w14:paraId="087DFAB1" w14:textId="77777777" w:rsidR="00537B7D" w:rsidRPr="005E2C5E" w:rsidRDefault="00000000" w:rsidP="00F13625">
            <w:pPr>
              <w:rPr>
                <w:sz w:val="20"/>
              </w:rPr>
            </w:pPr>
            <w:hyperlink r:id="rId16">
              <w:r w:rsidR="00E93BEA" w:rsidRPr="005E2C5E">
                <w:rPr>
                  <w:color w:val="0462C1"/>
                  <w:sz w:val="20"/>
                  <w:u w:val="single" w:color="0462C1"/>
                </w:rPr>
                <w:t>c_People_Communication_Skills_for_Nurses_and_Others_Spending_Time_with_Peopl</w:t>
              </w:r>
            </w:hyperlink>
          </w:p>
        </w:tc>
      </w:tr>
      <w:tr w:rsidR="00537B7D" w:rsidRPr="005E2C5E" w14:paraId="67125FF6" w14:textId="77777777" w:rsidTr="00F13625">
        <w:trPr>
          <w:trHeight w:val="252"/>
        </w:trPr>
        <w:tc>
          <w:tcPr>
            <w:tcW w:w="1692" w:type="dxa"/>
            <w:tcBorders>
              <w:top w:val="nil"/>
            </w:tcBorders>
          </w:tcPr>
          <w:p w14:paraId="7C8CAC46" w14:textId="77777777" w:rsidR="00537B7D" w:rsidRPr="005E2C5E" w:rsidRDefault="00537B7D" w:rsidP="00F13625">
            <w:pPr>
              <w:rPr>
                <w:rFonts w:ascii="Times New Roman"/>
                <w:sz w:val="18"/>
              </w:rPr>
            </w:pPr>
          </w:p>
        </w:tc>
        <w:tc>
          <w:tcPr>
            <w:tcW w:w="7324" w:type="dxa"/>
            <w:tcBorders>
              <w:top w:val="nil"/>
            </w:tcBorders>
          </w:tcPr>
          <w:p w14:paraId="3BB9EEFE" w14:textId="77777777" w:rsidR="00537B7D" w:rsidRPr="005E2C5E" w:rsidRDefault="00000000" w:rsidP="00F13625">
            <w:pPr>
              <w:rPr>
                <w:sz w:val="20"/>
              </w:rPr>
            </w:pPr>
            <w:hyperlink r:id="rId17">
              <w:proofErr w:type="spellStart"/>
              <w:r w:rsidR="00E93BEA" w:rsidRPr="005E2C5E">
                <w:rPr>
                  <w:color w:val="0462C1"/>
                  <w:sz w:val="20"/>
                  <w:u w:val="single" w:color="0462C1"/>
                </w:rPr>
                <w:t>e_Who_Are_Very_Mentally_Ill</w:t>
              </w:r>
              <w:proofErr w:type="spellEnd"/>
            </w:hyperlink>
          </w:p>
        </w:tc>
      </w:tr>
      <w:tr w:rsidR="00537B7D" w:rsidRPr="005E2C5E" w14:paraId="67DEC2A2" w14:textId="77777777" w:rsidTr="00F13625">
        <w:trPr>
          <w:trHeight w:val="488"/>
        </w:trPr>
        <w:tc>
          <w:tcPr>
            <w:tcW w:w="1692" w:type="dxa"/>
          </w:tcPr>
          <w:p w14:paraId="46F84A77" w14:textId="77777777" w:rsidR="00537B7D" w:rsidRPr="005E2C5E" w:rsidRDefault="00E93BEA" w:rsidP="00F13625">
            <w:pPr>
              <w:rPr>
                <w:b/>
                <w:sz w:val="20"/>
              </w:rPr>
            </w:pPr>
            <w:r w:rsidRPr="005E2C5E">
              <w:rPr>
                <w:b/>
                <w:sz w:val="20"/>
              </w:rPr>
              <w:t>Preparation</w:t>
            </w:r>
          </w:p>
        </w:tc>
        <w:tc>
          <w:tcPr>
            <w:tcW w:w="7324" w:type="dxa"/>
          </w:tcPr>
          <w:p w14:paraId="3E4D98DD" w14:textId="77777777" w:rsidR="00537B7D" w:rsidRPr="005E2C5E" w:rsidRDefault="00E93BEA" w:rsidP="00F13625">
            <w:pPr>
              <w:rPr>
                <w:sz w:val="20"/>
              </w:rPr>
            </w:pPr>
            <w:r w:rsidRPr="005E2C5E">
              <w:rPr>
                <w:sz w:val="20"/>
              </w:rPr>
              <w:t>Read the person’s case notes, have they presented before? Is there anything in the</w:t>
            </w:r>
          </w:p>
          <w:p w14:paraId="41EE23C3" w14:textId="77777777" w:rsidR="00537B7D" w:rsidRPr="005E2C5E" w:rsidRDefault="00E93BEA" w:rsidP="00F13625">
            <w:pPr>
              <w:rPr>
                <w:sz w:val="20"/>
              </w:rPr>
            </w:pPr>
            <w:r w:rsidRPr="005E2C5E">
              <w:rPr>
                <w:sz w:val="20"/>
              </w:rPr>
              <w:t>notes that might indicate what could help them?</w:t>
            </w:r>
          </w:p>
        </w:tc>
      </w:tr>
      <w:tr w:rsidR="00537B7D" w:rsidRPr="005E2C5E" w14:paraId="177BA8F1" w14:textId="77777777" w:rsidTr="00F13625">
        <w:trPr>
          <w:trHeight w:val="244"/>
        </w:trPr>
        <w:tc>
          <w:tcPr>
            <w:tcW w:w="1692" w:type="dxa"/>
          </w:tcPr>
          <w:p w14:paraId="67DDB60A" w14:textId="77777777" w:rsidR="00537B7D" w:rsidRPr="005E2C5E" w:rsidRDefault="00E93BEA" w:rsidP="00F13625">
            <w:pPr>
              <w:rPr>
                <w:b/>
                <w:sz w:val="20"/>
              </w:rPr>
            </w:pPr>
            <w:r w:rsidRPr="005E2C5E">
              <w:rPr>
                <w:b/>
                <w:sz w:val="20"/>
              </w:rPr>
              <w:t>Introduce self</w:t>
            </w:r>
          </w:p>
        </w:tc>
        <w:tc>
          <w:tcPr>
            <w:tcW w:w="7324" w:type="dxa"/>
          </w:tcPr>
          <w:p w14:paraId="3F9D7AC5" w14:textId="77777777" w:rsidR="00537B7D" w:rsidRPr="005E2C5E" w:rsidRDefault="00E93BEA" w:rsidP="00F13625">
            <w:pPr>
              <w:rPr>
                <w:sz w:val="20"/>
              </w:rPr>
            </w:pPr>
            <w:r w:rsidRPr="005E2C5E">
              <w:rPr>
                <w:sz w:val="20"/>
              </w:rPr>
              <w:t>Explain your role, and make yourself available and approachable</w:t>
            </w:r>
          </w:p>
        </w:tc>
      </w:tr>
      <w:tr w:rsidR="00537B7D" w:rsidRPr="005E2C5E" w14:paraId="78B409DB" w14:textId="77777777" w:rsidTr="00F13625">
        <w:trPr>
          <w:trHeight w:val="488"/>
        </w:trPr>
        <w:tc>
          <w:tcPr>
            <w:tcW w:w="1692" w:type="dxa"/>
          </w:tcPr>
          <w:p w14:paraId="7E0CE310" w14:textId="77777777" w:rsidR="00537B7D" w:rsidRPr="005E2C5E" w:rsidRDefault="00E93BEA" w:rsidP="00F13625">
            <w:pPr>
              <w:rPr>
                <w:b/>
                <w:sz w:val="20"/>
              </w:rPr>
            </w:pPr>
            <w:r w:rsidRPr="005E2C5E">
              <w:rPr>
                <w:b/>
                <w:sz w:val="20"/>
              </w:rPr>
              <w:t>Focus on the</w:t>
            </w:r>
          </w:p>
          <w:p w14:paraId="4F6FE1E2" w14:textId="77777777" w:rsidR="00537B7D" w:rsidRPr="005E2C5E" w:rsidRDefault="00E93BEA" w:rsidP="00F13625">
            <w:pPr>
              <w:rPr>
                <w:b/>
                <w:sz w:val="20"/>
              </w:rPr>
            </w:pPr>
            <w:r w:rsidRPr="005E2C5E">
              <w:rPr>
                <w:b/>
                <w:sz w:val="20"/>
              </w:rPr>
              <w:t>person</w:t>
            </w:r>
          </w:p>
        </w:tc>
        <w:tc>
          <w:tcPr>
            <w:tcW w:w="7324" w:type="dxa"/>
          </w:tcPr>
          <w:p w14:paraId="12398BB9" w14:textId="77777777" w:rsidR="00537B7D" w:rsidRPr="005E2C5E" w:rsidRDefault="00E93BEA" w:rsidP="00F13625">
            <w:pPr>
              <w:rPr>
                <w:sz w:val="20"/>
              </w:rPr>
            </w:pPr>
            <w:r w:rsidRPr="005E2C5E">
              <w:rPr>
                <w:sz w:val="20"/>
              </w:rPr>
              <w:t>Sit with them, establish eye contact, show as well as tell them you are here for them.</w:t>
            </w:r>
          </w:p>
          <w:p w14:paraId="44B1EBE8" w14:textId="77777777" w:rsidR="00537B7D" w:rsidRPr="005E2C5E" w:rsidRDefault="00E93BEA" w:rsidP="00F13625">
            <w:pPr>
              <w:rPr>
                <w:sz w:val="20"/>
              </w:rPr>
            </w:pPr>
            <w:r w:rsidRPr="005E2C5E">
              <w:rPr>
                <w:sz w:val="20"/>
              </w:rPr>
              <w:t>Try not to get distracted by other tasks.</w:t>
            </w:r>
          </w:p>
        </w:tc>
      </w:tr>
      <w:tr w:rsidR="00537B7D" w:rsidRPr="005E2C5E" w14:paraId="184C72BD" w14:textId="77777777" w:rsidTr="00F13625">
        <w:trPr>
          <w:trHeight w:val="488"/>
        </w:trPr>
        <w:tc>
          <w:tcPr>
            <w:tcW w:w="1692" w:type="dxa"/>
          </w:tcPr>
          <w:p w14:paraId="2DEB09F3" w14:textId="77777777" w:rsidR="00537B7D" w:rsidRPr="005E2C5E" w:rsidRDefault="00E93BEA" w:rsidP="00F13625">
            <w:pPr>
              <w:rPr>
                <w:b/>
                <w:sz w:val="20"/>
              </w:rPr>
            </w:pPr>
            <w:r w:rsidRPr="005E2C5E">
              <w:rPr>
                <w:b/>
                <w:sz w:val="20"/>
              </w:rPr>
              <w:t>Accept and listen</w:t>
            </w:r>
          </w:p>
        </w:tc>
        <w:tc>
          <w:tcPr>
            <w:tcW w:w="7324" w:type="dxa"/>
          </w:tcPr>
          <w:p w14:paraId="2CE97EA1" w14:textId="77777777" w:rsidR="00537B7D" w:rsidRPr="005E2C5E" w:rsidRDefault="00E93BEA" w:rsidP="00F13625">
            <w:pPr>
              <w:rPr>
                <w:sz w:val="20"/>
              </w:rPr>
            </w:pPr>
            <w:r w:rsidRPr="005E2C5E">
              <w:rPr>
                <w:sz w:val="20"/>
              </w:rPr>
              <w:t>Accept the person’s reality, ensure you listen to them and show understanding – for</w:t>
            </w:r>
          </w:p>
          <w:p w14:paraId="14ABA7AE" w14:textId="77777777" w:rsidR="00537B7D" w:rsidRPr="005E2C5E" w:rsidRDefault="00E93BEA" w:rsidP="00F13625">
            <w:pPr>
              <w:rPr>
                <w:sz w:val="20"/>
              </w:rPr>
            </w:pPr>
            <w:r w:rsidRPr="005E2C5E">
              <w:rPr>
                <w:sz w:val="20"/>
              </w:rPr>
              <w:t xml:space="preserve">example, repeat back to them </w:t>
            </w:r>
            <w:proofErr w:type="gramStart"/>
            <w:r w:rsidRPr="005E2C5E">
              <w:rPr>
                <w:sz w:val="20"/>
              </w:rPr>
              <w:t>what</w:t>
            </w:r>
            <w:proofErr w:type="gramEnd"/>
            <w:r w:rsidRPr="005E2C5E">
              <w:rPr>
                <w:sz w:val="20"/>
              </w:rPr>
              <w:t xml:space="preserve"> you have heard.</w:t>
            </w:r>
          </w:p>
        </w:tc>
      </w:tr>
    </w:tbl>
    <w:p w14:paraId="47DA7CCC" w14:textId="77777777" w:rsidR="00537B7D" w:rsidRPr="005E2C5E" w:rsidRDefault="00537B7D" w:rsidP="00F13625">
      <w:pPr>
        <w:rPr>
          <w:sz w:val="20"/>
        </w:rPr>
        <w:sectPr w:rsidR="00537B7D" w:rsidRPr="005E2C5E" w:rsidSect="00F13625">
          <w:pgSz w:w="11910" w:h="16840"/>
          <w:pgMar w:top="1440" w:right="1440" w:bottom="1440" w:left="1440" w:header="720" w:footer="720" w:gutter="0"/>
          <w:cols w:space="720"/>
          <w:docGrid w:linePitch="299"/>
        </w:sect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92"/>
        <w:gridCol w:w="7324"/>
      </w:tblGrid>
      <w:tr w:rsidR="00537B7D" w:rsidRPr="005E2C5E" w14:paraId="6AD61DA1" w14:textId="77777777" w:rsidTr="00F13625">
        <w:trPr>
          <w:trHeight w:val="734"/>
        </w:trPr>
        <w:tc>
          <w:tcPr>
            <w:tcW w:w="1692" w:type="dxa"/>
          </w:tcPr>
          <w:p w14:paraId="23F28A88" w14:textId="77777777" w:rsidR="00537B7D" w:rsidRPr="005E2C5E" w:rsidRDefault="00E93BEA" w:rsidP="00F13625">
            <w:pPr>
              <w:rPr>
                <w:b/>
                <w:sz w:val="20"/>
              </w:rPr>
            </w:pPr>
            <w:r w:rsidRPr="005E2C5E">
              <w:rPr>
                <w:b/>
                <w:sz w:val="20"/>
              </w:rPr>
              <w:lastRenderedPageBreak/>
              <w:t>Validate</w:t>
            </w:r>
            <w:r w:rsidRPr="005E2C5E">
              <w:rPr>
                <w:b/>
                <w:spacing w:val="-9"/>
                <w:sz w:val="20"/>
              </w:rPr>
              <w:t xml:space="preserve"> </w:t>
            </w:r>
            <w:r w:rsidRPr="005E2C5E">
              <w:rPr>
                <w:b/>
                <w:sz w:val="20"/>
              </w:rPr>
              <w:t>and</w:t>
            </w:r>
          </w:p>
          <w:p w14:paraId="2AB956E1" w14:textId="77777777" w:rsidR="00537B7D" w:rsidRPr="005E2C5E" w:rsidRDefault="00E93BEA" w:rsidP="00F13625">
            <w:pPr>
              <w:rPr>
                <w:b/>
                <w:sz w:val="20"/>
              </w:rPr>
            </w:pPr>
            <w:r w:rsidRPr="005E2C5E">
              <w:rPr>
                <w:b/>
                <w:sz w:val="20"/>
              </w:rPr>
              <w:t>offer empathy and</w:t>
            </w:r>
            <w:r w:rsidRPr="005E2C5E">
              <w:rPr>
                <w:b/>
                <w:spacing w:val="-1"/>
                <w:sz w:val="20"/>
              </w:rPr>
              <w:t xml:space="preserve"> </w:t>
            </w:r>
            <w:r w:rsidRPr="005E2C5E">
              <w:rPr>
                <w:b/>
                <w:sz w:val="20"/>
              </w:rPr>
              <w:t>concern</w:t>
            </w:r>
          </w:p>
        </w:tc>
        <w:tc>
          <w:tcPr>
            <w:tcW w:w="7324" w:type="dxa"/>
          </w:tcPr>
          <w:p w14:paraId="2346B68E" w14:textId="77777777" w:rsidR="00537B7D" w:rsidRPr="005E2C5E" w:rsidRDefault="00E93BEA" w:rsidP="00F13625">
            <w:pPr>
              <w:rPr>
                <w:sz w:val="20"/>
              </w:rPr>
            </w:pPr>
            <w:r w:rsidRPr="005E2C5E">
              <w:rPr>
                <w:sz w:val="20"/>
              </w:rPr>
              <w:t>Articulate things like, ‘I understand that must feel very upsetting’; ‘I’m not surprised that you find it difficult to talk about this’</w:t>
            </w:r>
          </w:p>
        </w:tc>
      </w:tr>
      <w:tr w:rsidR="00537B7D" w:rsidRPr="005E2C5E" w14:paraId="29CDF029" w14:textId="77777777" w:rsidTr="00F13625">
        <w:trPr>
          <w:trHeight w:val="486"/>
        </w:trPr>
        <w:tc>
          <w:tcPr>
            <w:tcW w:w="1692" w:type="dxa"/>
          </w:tcPr>
          <w:p w14:paraId="333BA499" w14:textId="77777777" w:rsidR="00537B7D" w:rsidRPr="005E2C5E" w:rsidRDefault="00E93BEA" w:rsidP="00F13625">
            <w:pPr>
              <w:rPr>
                <w:b/>
                <w:sz w:val="20"/>
              </w:rPr>
            </w:pPr>
            <w:r w:rsidRPr="005E2C5E">
              <w:rPr>
                <w:b/>
                <w:sz w:val="20"/>
              </w:rPr>
              <w:t>Stay calm</w:t>
            </w:r>
          </w:p>
        </w:tc>
        <w:tc>
          <w:tcPr>
            <w:tcW w:w="7324" w:type="dxa"/>
          </w:tcPr>
          <w:p w14:paraId="122645D8" w14:textId="77777777" w:rsidR="00537B7D" w:rsidRPr="005E2C5E" w:rsidRDefault="00E93BEA" w:rsidP="00F13625">
            <w:pPr>
              <w:rPr>
                <w:sz w:val="20"/>
              </w:rPr>
            </w:pPr>
            <w:r w:rsidRPr="005E2C5E">
              <w:rPr>
                <w:sz w:val="20"/>
              </w:rPr>
              <w:t>This can feel very difficult when you have somebody presenting to you in distress, but</w:t>
            </w:r>
          </w:p>
          <w:p w14:paraId="61523526" w14:textId="77777777" w:rsidR="00537B7D" w:rsidRPr="005E2C5E" w:rsidRDefault="00E93BEA" w:rsidP="00F13625">
            <w:pPr>
              <w:rPr>
                <w:sz w:val="20"/>
              </w:rPr>
            </w:pPr>
            <w:r w:rsidRPr="005E2C5E">
              <w:rPr>
                <w:sz w:val="20"/>
              </w:rPr>
              <w:t>if you appear calm to the person, this will help them to also feel calmer.</w:t>
            </w:r>
          </w:p>
        </w:tc>
      </w:tr>
      <w:tr w:rsidR="00537B7D" w:rsidRPr="005E2C5E" w14:paraId="339D894F" w14:textId="77777777" w:rsidTr="00F13625">
        <w:trPr>
          <w:trHeight w:val="1220"/>
        </w:trPr>
        <w:tc>
          <w:tcPr>
            <w:tcW w:w="1692" w:type="dxa"/>
          </w:tcPr>
          <w:p w14:paraId="5C832A50" w14:textId="77777777" w:rsidR="00537B7D" w:rsidRPr="005E2C5E" w:rsidRDefault="00E93BEA" w:rsidP="00F13625">
            <w:pPr>
              <w:rPr>
                <w:b/>
                <w:sz w:val="20"/>
              </w:rPr>
            </w:pPr>
            <w:r w:rsidRPr="005E2C5E">
              <w:rPr>
                <w:b/>
                <w:sz w:val="20"/>
              </w:rPr>
              <w:t>Body language</w:t>
            </w:r>
          </w:p>
        </w:tc>
        <w:tc>
          <w:tcPr>
            <w:tcW w:w="7324" w:type="dxa"/>
          </w:tcPr>
          <w:p w14:paraId="2EFB1B9A" w14:textId="77777777" w:rsidR="00537B7D" w:rsidRPr="005E2C5E" w:rsidRDefault="00E93BEA" w:rsidP="00F13625">
            <w:pPr>
              <w:rPr>
                <w:sz w:val="20"/>
              </w:rPr>
            </w:pPr>
            <w:r w:rsidRPr="005E2C5E">
              <w:rPr>
                <w:sz w:val="20"/>
              </w:rPr>
              <w:t>If possible, sit down next to the patient so you are on the same level. Try to sit still and have an open body posture; this shows you are interested in listening to them. Give the person an appropriate amount of eye contact – this can be difficult to gauge at times but try to match theirs. However, be careful not to misinterpret any lack of eye</w:t>
            </w:r>
          </w:p>
          <w:p w14:paraId="725EA2EE" w14:textId="77777777" w:rsidR="00537B7D" w:rsidRPr="005E2C5E" w:rsidRDefault="00E93BEA" w:rsidP="00F13625">
            <w:pPr>
              <w:rPr>
                <w:sz w:val="20"/>
              </w:rPr>
            </w:pPr>
            <w:r w:rsidRPr="005E2C5E">
              <w:rPr>
                <w:sz w:val="20"/>
              </w:rPr>
              <w:t>contact when culturally this may be a sign of respect.</w:t>
            </w:r>
          </w:p>
        </w:tc>
      </w:tr>
      <w:tr w:rsidR="00537B7D" w:rsidRPr="005E2C5E" w14:paraId="1CCE7C92" w14:textId="77777777" w:rsidTr="00F13625">
        <w:trPr>
          <w:trHeight w:val="733"/>
        </w:trPr>
        <w:tc>
          <w:tcPr>
            <w:tcW w:w="1692" w:type="dxa"/>
          </w:tcPr>
          <w:p w14:paraId="3DA9777D" w14:textId="77777777" w:rsidR="00537B7D" w:rsidRPr="005E2C5E" w:rsidRDefault="00E93BEA" w:rsidP="00F13625">
            <w:pPr>
              <w:rPr>
                <w:b/>
                <w:sz w:val="20"/>
              </w:rPr>
            </w:pPr>
            <w:r w:rsidRPr="005E2C5E">
              <w:rPr>
                <w:b/>
                <w:sz w:val="20"/>
              </w:rPr>
              <w:t>Speech</w:t>
            </w:r>
          </w:p>
        </w:tc>
        <w:tc>
          <w:tcPr>
            <w:tcW w:w="7324" w:type="dxa"/>
          </w:tcPr>
          <w:p w14:paraId="2959BD72" w14:textId="77777777" w:rsidR="00537B7D" w:rsidRPr="005E2C5E" w:rsidRDefault="00E93BEA" w:rsidP="00F13625">
            <w:pPr>
              <w:rPr>
                <w:sz w:val="20"/>
              </w:rPr>
            </w:pPr>
            <w:r w:rsidRPr="005E2C5E">
              <w:rPr>
                <w:sz w:val="20"/>
              </w:rPr>
              <w:t>Speak clearly and calmly, think about your tone and volume of your voice. It can be easy to speak fast and loudly when you are in a busy ward environment. If you find</w:t>
            </w:r>
          </w:p>
          <w:p w14:paraId="72C57961" w14:textId="77777777" w:rsidR="00537B7D" w:rsidRPr="005E2C5E" w:rsidRDefault="00E93BEA" w:rsidP="00F13625">
            <w:pPr>
              <w:rPr>
                <w:sz w:val="20"/>
              </w:rPr>
            </w:pPr>
            <w:r w:rsidRPr="005E2C5E">
              <w:rPr>
                <w:sz w:val="20"/>
              </w:rPr>
              <w:t>yourself doing this, try to correct yourself.</w:t>
            </w:r>
          </w:p>
        </w:tc>
      </w:tr>
      <w:tr w:rsidR="00537B7D" w:rsidRPr="005E2C5E" w14:paraId="394C9822" w14:textId="77777777" w:rsidTr="00F13625">
        <w:trPr>
          <w:trHeight w:val="976"/>
        </w:trPr>
        <w:tc>
          <w:tcPr>
            <w:tcW w:w="1692" w:type="dxa"/>
          </w:tcPr>
          <w:p w14:paraId="388DAA1B" w14:textId="77777777" w:rsidR="00537B7D" w:rsidRPr="005E2C5E" w:rsidRDefault="00E93BEA" w:rsidP="00F13625">
            <w:pPr>
              <w:rPr>
                <w:b/>
                <w:sz w:val="20"/>
              </w:rPr>
            </w:pPr>
            <w:r w:rsidRPr="005E2C5E">
              <w:rPr>
                <w:b/>
                <w:sz w:val="20"/>
              </w:rPr>
              <w:t>Time</w:t>
            </w:r>
          </w:p>
        </w:tc>
        <w:tc>
          <w:tcPr>
            <w:tcW w:w="7324" w:type="dxa"/>
          </w:tcPr>
          <w:p w14:paraId="2DC3A913" w14:textId="77777777" w:rsidR="00537B7D" w:rsidRPr="005E2C5E" w:rsidRDefault="00E93BEA" w:rsidP="00F13625">
            <w:pPr>
              <w:rPr>
                <w:sz w:val="20"/>
              </w:rPr>
            </w:pPr>
            <w:r w:rsidRPr="005E2C5E">
              <w:rPr>
                <w:sz w:val="20"/>
              </w:rPr>
              <w:t>Allow the person time to cry, or to be upset in your presence. This can be hard</w:t>
            </w:r>
            <w:r w:rsidRPr="005E2C5E">
              <w:rPr>
                <w:spacing w:val="-25"/>
                <w:sz w:val="20"/>
              </w:rPr>
              <w:t xml:space="preserve"> </w:t>
            </w:r>
            <w:r w:rsidRPr="005E2C5E">
              <w:rPr>
                <w:sz w:val="20"/>
              </w:rPr>
              <w:t>when you are working in a busy environment with endless tasks to complete, however this will be highly beneficial for that person and may prevent more complex issues</w:t>
            </w:r>
            <w:r w:rsidRPr="005E2C5E">
              <w:rPr>
                <w:spacing w:val="-26"/>
                <w:sz w:val="20"/>
              </w:rPr>
              <w:t xml:space="preserve"> </w:t>
            </w:r>
            <w:r w:rsidRPr="005E2C5E">
              <w:rPr>
                <w:sz w:val="20"/>
              </w:rPr>
              <w:t>arising</w:t>
            </w:r>
          </w:p>
          <w:p w14:paraId="4639FA85" w14:textId="77777777" w:rsidR="00537B7D" w:rsidRPr="005E2C5E" w:rsidRDefault="00E93BEA" w:rsidP="00F13625">
            <w:pPr>
              <w:rPr>
                <w:sz w:val="20"/>
              </w:rPr>
            </w:pPr>
            <w:r w:rsidRPr="005E2C5E">
              <w:rPr>
                <w:sz w:val="20"/>
              </w:rPr>
              <w:t>that need attention.</w:t>
            </w:r>
          </w:p>
        </w:tc>
      </w:tr>
    </w:tbl>
    <w:p w14:paraId="4A7525B2" w14:textId="77777777" w:rsidR="00537B7D" w:rsidRPr="005E2C5E" w:rsidRDefault="00537B7D" w:rsidP="00F13625">
      <w:pPr>
        <w:rPr>
          <w:sz w:val="15"/>
        </w:rPr>
      </w:pPr>
    </w:p>
    <w:p w14:paraId="2E1BE445" w14:textId="77777777" w:rsidR="00F13625" w:rsidRPr="005E2C5E" w:rsidRDefault="00F13625" w:rsidP="00F13625">
      <w:pPr>
        <w:pStyle w:val="paragraph"/>
        <w:spacing w:before="0" w:beforeAutospacing="0" w:after="0" w:afterAutospacing="0"/>
        <w:ind w:left="360" w:hanging="360"/>
        <w:textAlignment w:val="baseline"/>
        <w:rPr>
          <w:rStyle w:val="eop"/>
          <w:rFonts w:asciiTheme="minorHAnsi" w:hAnsiTheme="minorHAnsi" w:cstheme="minorBidi"/>
          <w:sz w:val="20"/>
          <w:szCs w:val="20"/>
        </w:rPr>
      </w:pPr>
      <w:r w:rsidRPr="005E2C5E">
        <w:rPr>
          <w:rStyle w:val="eop"/>
          <w:rFonts w:asciiTheme="minorHAnsi" w:hAnsiTheme="minorHAnsi" w:cstheme="minorBidi"/>
          <w:sz w:val="20"/>
          <w:szCs w:val="20"/>
        </w:rPr>
        <w:t>Some of the suggestions in table 1 will not necessarily be new to you.  However, consider them in the context</w:t>
      </w:r>
    </w:p>
    <w:p w14:paraId="7F10E894" w14:textId="77777777" w:rsidR="00F13625" w:rsidRPr="005E2C5E" w:rsidRDefault="00F13625" w:rsidP="00F13625">
      <w:pPr>
        <w:pStyle w:val="paragraph"/>
        <w:spacing w:before="0" w:beforeAutospacing="0" w:after="0" w:afterAutospacing="0"/>
        <w:ind w:left="360" w:hanging="360"/>
        <w:textAlignment w:val="baseline"/>
        <w:rPr>
          <w:rStyle w:val="eop"/>
          <w:rFonts w:asciiTheme="minorHAnsi" w:hAnsiTheme="minorHAnsi" w:cstheme="minorBidi"/>
          <w:sz w:val="20"/>
          <w:szCs w:val="20"/>
        </w:rPr>
      </w:pPr>
      <w:r w:rsidRPr="005E2C5E">
        <w:rPr>
          <w:rStyle w:val="eop"/>
          <w:rFonts w:asciiTheme="minorHAnsi" w:hAnsiTheme="minorHAnsi" w:cstheme="minorBidi"/>
          <w:sz w:val="20"/>
          <w:szCs w:val="20"/>
        </w:rPr>
        <w:t>of the discussion provided in this paper and how these can be applied.  You may also consider you’re the</w:t>
      </w:r>
    </w:p>
    <w:p w14:paraId="46B77AD7" w14:textId="77777777" w:rsidR="00F13625" w:rsidRPr="005E2C5E" w:rsidRDefault="00F13625" w:rsidP="00F13625">
      <w:pPr>
        <w:pStyle w:val="paragraph"/>
        <w:spacing w:before="0" w:beforeAutospacing="0" w:after="0" w:afterAutospacing="0"/>
        <w:ind w:left="360" w:hanging="360"/>
        <w:textAlignment w:val="baseline"/>
        <w:rPr>
          <w:rStyle w:val="eop"/>
          <w:rFonts w:asciiTheme="minorHAnsi" w:hAnsiTheme="minorHAnsi" w:cstheme="minorBidi"/>
          <w:sz w:val="20"/>
          <w:szCs w:val="20"/>
        </w:rPr>
      </w:pPr>
      <w:r w:rsidRPr="005E2C5E">
        <w:rPr>
          <w:rStyle w:val="eop"/>
          <w:rFonts w:asciiTheme="minorHAnsi" w:hAnsiTheme="minorHAnsi" w:cstheme="minorBidi"/>
          <w:sz w:val="20"/>
          <w:szCs w:val="20"/>
        </w:rPr>
        <w:t>professional rationale for all this.  Table 2 summarises a selection of national and international context for</w:t>
      </w:r>
    </w:p>
    <w:p w14:paraId="07F0545D" w14:textId="77777777" w:rsidR="00F13625" w:rsidRPr="005E2C5E" w:rsidRDefault="00F13625" w:rsidP="00F13625">
      <w:pPr>
        <w:pStyle w:val="paragraph"/>
        <w:spacing w:before="0" w:beforeAutospacing="0" w:after="0" w:afterAutospacing="0"/>
        <w:ind w:left="360" w:hanging="360"/>
        <w:textAlignment w:val="baseline"/>
        <w:rPr>
          <w:rStyle w:val="eop"/>
          <w:rFonts w:asciiTheme="minorHAnsi" w:hAnsiTheme="minorHAnsi" w:cstheme="minorHAnsi"/>
          <w:sz w:val="20"/>
          <w:szCs w:val="20"/>
        </w:rPr>
      </w:pPr>
      <w:r w:rsidRPr="005E2C5E">
        <w:rPr>
          <w:rStyle w:val="eop"/>
          <w:rFonts w:asciiTheme="minorHAnsi" w:hAnsiTheme="minorHAnsi" w:cstheme="minorBidi"/>
          <w:sz w:val="20"/>
          <w:szCs w:val="20"/>
        </w:rPr>
        <w:t xml:space="preserve">healthcare practice that underpins a </w:t>
      </w:r>
      <w:proofErr w:type="gramStart"/>
      <w:r w:rsidRPr="005E2C5E">
        <w:rPr>
          <w:rStyle w:val="eop"/>
          <w:rFonts w:asciiTheme="minorHAnsi" w:hAnsiTheme="minorHAnsi" w:cstheme="minorBidi"/>
          <w:sz w:val="20"/>
          <w:szCs w:val="20"/>
        </w:rPr>
        <w:t>nurses</w:t>
      </w:r>
      <w:proofErr w:type="gramEnd"/>
      <w:r w:rsidRPr="005E2C5E">
        <w:rPr>
          <w:rStyle w:val="eop"/>
          <w:rFonts w:asciiTheme="minorHAnsi" w:hAnsiTheme="minorHAnsi" w:cstheme="minorBidi"/>
          <w:sz w:val="20"/>
          <w:szCs w:val="20"/>
        </w:rPr>
        <w:t xml:space="preserve"> goals for effective and inclusive care. </w:t>
      </w:r>
      <w:r w:rsidRPr="005E2C5E">
        <w:rPr>
          <w:rStyle w:val="eop"/>
          <w:rFonts w:asciiTheme="minorHAnsi" w:hAnsiTheme="minorHAnsi" w:cstheme="minorHAnsi"/>
          <w:sz w:val="20"/>
          <w:szCs w:val="20"/>
        </w:rPr>
        <w:t xml:space="preserve"> Although these documents</w:t>
      </w:r>
    </w:p>
    <w:p w14:paraId="29E1277D" w14:textId="77777777" w:rsidR="00F13625" w:rsidRPr="005E2C5E" w:rsidRDefault="00F13625" w:rsidP="00F13625">
      <w:pPr>
        <w:pStyle w:val="paragraph"/>
        <w:spacing w:before="0" w:beforeAutospacing="0" w:after="0" w:afterAutospacing="0"/>
        <w:ind w:left="360" w:hanging="360"/>
        <w:textAlignment w:val="baseline"/>
        <w:rPr>
          <w:rStyle w:val="eop"/>
          <w:rFonts w:asciiTheme="minorHAnsi" w:hAnsiTheme="minorHAnsi" w:cstheme="minorHAnsi"/>
          <w:sz w:val="20"/>
          <w:szCs w:val="20"/>
        </w:rPr>
      </w:pPr>
      <w:r w:rsidRPr="005E2C5E">
        <w:rPr>
          <w:rStyle w:val="eop"/>
          <w:rFonts w:asciiTheme="minorHAnsi" w:hAnsiTheme="minorHAnsi" w:cstheme="minorHAnsi"/>
          <w:sz w:val="20"/>
          <w:szCs w:val="20"/>
        </w:rPr>
        <w:t>may appear to be aimed primarily at policy makers, they include their own useful resources for</w:t>
      </w:r>
    </w:p>
    <w:p w14:paraId="3DB4A6A0" w14:textId="77777777" w:rsidR="00F13625" w:rsidRPr="005E2C5E" w:rsidRDefault="00F13625" w:rsidP="00F13625">
      <w:pPr>
        <w:pStyle w:val="paragraph"/>
        <w:spacing w:before="0" w:beforeAutospacing="0" w:after="0" w:afterAutospacing="0"/>
        <w:ind w:left="360" w:hanging="360"/>
        <w:textAlignment w:val="baseline"/>
        <w:rPr>
          <w:rStyle w:val="eop"/>
          <w:rFonts w:asciiTheme="minorHAnsi" w:hAnsiTheme="minorHAnsi" w:cstheme="minorHAnsi"/>
          <w:sz w:val="20"/>
          <w:szCs w:val="20"/>
        </w:rPr>
      </w:pPr>
      <w:r w:rsidRPr="005E2C5E">
        <w:rPr>
          <w:rStyle w:val="eop"/>
          <w:rFonts w:asciiTheme="minorHAnsi" w:hAnsiTheme="minorHAnsi" w:cstheme="minorHAnsi"/>
          <w:sz w:val="20"/>
          <w:szCs w:val="20"/>
        </w:rPr>
        <w:t>helping</w:t>
      </w:r>
      <w:r w:rsidRPr="005E2C5E">
        <w:rPr>
          <w:rStyle w:val="eop"/>
          <w:rFonts w:asciiTheme="minorHAnsi" w:hAnsiTheme="minorHAnsi" w:cstheme="minorBidi"/>
          <w:sz w:val="20"/>
          <w:szCs w:val="20"/>
        </w:rPr>
        <w:t xml:space="preserve"> </w:t>
      </w:r>
      <w:r w:rsidRPr="005E2C5E">
        <w:rPr>
          <w:rStyle w:val="eop"/>
          <w:rFonts w:asciiTheme="minorHAnsi" w:hAnsiTheme="minorHAnsi" w:cstheme="minorHAnsi"/>
          <w:sz w:val="20"/>
          <w:szCs w:val="20"/>
        </w:rPr>
        <w:t xml:space="preserve">you put some of this into practice </w:t>
      </w:r>
      <w:r w:rsidRPr="005E2C5E">
        <w:rPr>
          <w:rStyle w:val="eop"/>
          <w:rFonts w:asciiTheme="minorHAnsi" w:hAnsiTheme="minorHAnsi" w:cstheme="minorBidi"/>
          <w:sz w:val="20"/>
          <w:szCs w:val="20"/>
        </w:rPr>
        <w:t xml:space="preserve">in a meaningful way. </w:t>
      </w:r>
    </w:p>
    <w:p w14:paraId="630708E8" w14:textId="77777777" w:rsidR="00537B7D" w:rsidRPr="005E2C5E" w:rsidRDefault="00537B7D" w:rsidP="00F13625">
      <w:pPr>
        <w:rPr>
          <w:sz w:val="19"/>
        </w:rPr>
      </w:pPr>
    </w:p>
    <w:p w14:paraId="1FED8A65" w14:textId="77777777" w:rsidR="00537B7D" w:rsidRPr="005E2C5E" w:rsidRDefault="00E93BEA" w:rsidP="00F13625">
      <w:r w:rsidRPr="005E2C5E">
        <w:t>Table 2 A selection of policy and practice guidance that underpins nursing care</w:t>
      </w:r>
    </w:p>
    <w:tbl>
      <w:tblPr>
        <w:tblpPr w:leftFromText="180" w:rightFromText="180" w:vertAnchor="text" w:horzAnchor="margin" w:tblpY="154"/>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16"/>
      </w:tblGrid>
      <w:tr w:rsidR="00F13625" w:rsidRPr="005E2C5E" w14:paraId="4D08C60A" w14:textId="77777777" w:rsidTr="00F13625">
        <w:trPr>
          <w:trHeight w:val="488"/>
        </w:trPr>
        <w:tc>
          <w:tcPr>
            <w:tcW w:w="9016" w:type="dxa"/>
          </w:tcPr>
          <w:p w14:paraId="41DDE251" w14:textId="77777777" w:rsidR="00F13625" w:rsidRPr="005E2C5E" w:rsidRDefault="00F13625" w:rsidP="00F13625">
            <w:pPr>
              <w:rPr>
                <w:b/>
                <w:sz w:val="20"/>
              </w:rPr>
            </w:pPr>
            <w:r w:rsidRPr="005E2C5E">
              <w:rPr>
                <w:b/>
                <w:sz w:val="20"/>
              </w:rPr>
              <w:t xml:space="preserve">Comprehensive World Mental Health Action Plan 2013-2030 (World Health </w:t>
            </w:r>
            <w:proofErr w:type="spellStart"/>
            <w:r w:rsidRPr="005E2C5E">
              <w:rPr>
                <w:b/>
                <w:sz w:val="20"/>
              </w:rPr>
              <w:t>Organisation</w:t>
            </w:r>
            <w:proofErr w:type="spellEnd"/>
            <w:r w:rsidRPr="005E2C5E">
              <w:rPr>
                <w:b/>
                <w:sz w:val="20"/>
              </w:rPr>
              <w:t>, WHO, 2022)</w:t>
            </w:r>
          </w:p>
          <w:p w14:paraId="7840123E" w14:textId="77777777" w:rsidR="00F13625" w:rsidRPr="005E2C5E" w:rsidRDefault="00000000" w:rsidP="00F13625">
            <w:pPr>
              <w:rPr>
                <w:b/>
                <w:sz w:val="20"/>
              </w:rPr>
            </w:pPr>
            <w:hyperlink r:id="rId18">
              <w:r w:rsidR="00F13625" w:rsidRPr="005E2C5E">
                <w:rPr>
                  <w:b/>
                  <w:color w:val="0462C1"/>
                  <w:sz w:val="20"/>
                  <w:u w:val="single" w:color="0462C1"/>
                </w:rPr>
                <w:t>https://www.who.int/publications/i/item/9789240031029</w:t>
              </w:r>
            </w:hyperlink>
          </w:p>
        </w:tc>
      </w:tr>
      <w:tr w:rsidR="00F13625" w:rsidRPr="005E2C5E" w14:paraId="32B1B562" w14:textId="77777777" w:rsidTr="00F13625">
        <w:trPr>
          <w:trHeight w:val="486"/>
        </w:trPr>
        <w:tc>
          <w:tcPr>
            <w:tcW w:w="9016" w:type="dxa"/>
          </w:tcPr>
          <w:p w14:paraId="64A24EAA" w14:textId="77777777" w:rsidR="00F13625" w:rsidRPr="005E2C5E" w:rsidRDefault="00F13625" w:rsidP="00F13625">
            <w:pPr>
              <w:rPr>
                <w:sz w:val="20"/>
              </w:rPr>
            </w:pPr>
            <w:r w:rsidRPr="005E2C5E">
              <w:rPr>
                <w:sz w:val="20"/>
              </w:rPr>
              <w:t>Presents objectives and actions to promote mental health and wellbeing for all, to prevent mental health</w:t>
            </w:r>
          </w:p>
          <w:p w14:paraId="41B0B237" w14:textId="77777777" w:rsidR="00F13625" w:rsidRPr="005E2C5E" w:rsidRDefault="00F13625" w:rsidP="00F13625">
            <w:pPr>
              <w:rPr>
                <w:sz w:val="20"/>
              </w:rPr>
            </w:pPr>
            <w:r w:rsidRPr="005E2C5E">
              <w:rPr>
                <w:sz w:val="20"/>
              </w:rPr>
              <w:t xml:space="preserve">conditions for those at-risk, and to achieve universal mental health coverage for </w:t>
            </w:r>
            <w:proofErr w:type="gramStart"/>
            <w:r w:rsidRPr="005E2C5E">
              <w:rPr>
                <w:sz w:val="20"/>
              </w:rPr>
              <w:t>all across</w:t>
            </w:r>
            <w:proofErr w:type="gramEnd"/>
            <w:r w:rsidRPr="005E2C5E">
              <w:rPr>
                <w:sz w:val="20"/>
              </w:rPr>
              <w:t xml:space="preserve"> the lifespan</w:t>
            </w:r>
          </w:p>
        </w:tc>
      </w:tr>
      <w:tr w:rsidR="00F13625" w:rsidRPr="005E2C5E" w14:paraId="27AC130B" w14:textId="77777777" w:rsidTr="00F13625">
        <w:trPr>
          <w:trHeight w:val="489"/>
        </w:trPr>
        <w:tc>
          <w:tcPr>
            <w:tcW w:w="9016" w:type="dxa"/>
          </w:tcPr>
          <w:p w14:paraId="66883C6D" w14:textId="77777777" w:rsidR="00F13625" w:rsidRPr="005E2C5E" w:rsidRDefault="00F13625" w:rsidP="00F13625">
            <w:pPr>
              <w:rPr>
                <w:b/>
                <w:sz w:val="20"/>
              </w:rPr>
            </w:pPr>
            <w:r w:rsidRPr="005E2C5E">
              <w:rPr>
                <w:b/>
                <w:sz w:val="20"/>
              </w:rPr>
              <w:t>World Mental Health Report: Transforming Mental Health for all (WHO, 2022)</w:t>
            </w:r>
          </w:p>
          <w:p w14:paraId="13831AE9" w14:textId="77777777" w:rsidR="00F13625" w:rsidRPr="005E2C5E" w:rsidRDefault="00000000" w:rsidP="00F13625">
            <w:pPr>
              <w:rPr>
                <w:b/>
                <w:sz w:val="20"/>
              </w:rPr>
            </w:pPr>
            <w:hyperlink r:id="rId19">
              <w:r w:rsidR="00F13625" w:rsidRPr="005E2C5E">
                <w:rPr>
                  <w:b/>
                  <w:color w:val="0462C1"/>
                  <w:sz w:val="20"/>
                  <w:u w:val="single" w:color="0462C1"/>
                </w:rPr>
                <w:t>https://www.who.int/publications/i/item/9789240049338</w:t>
              </w:r>
            </w:hyperlink>
          </w:p>
        </w:tc>
      </w:tr>
      <w:tr w:rsidR="00F13625" w:rsidRPr="005E2C5E" w14:paraId="474EFC1D" w14:textId="77777777" w:rsidTr="00F13625">
        <w:trPr>
          <w:trHeight w:val="488"/>
        </w:trPr>
        <w:tc>
          <w:tcPr>
            <w:tcW w:w="9016" w:type="dxa"/>
          </w:tcPr>
          <w:p w14:paraId="0F6361E5" w14:textId="77777777" w:rsidR="00F13625" w:rsidRPr="005E2C5E" w:rsidRDefault="00F13625" w:rsidP="00F13625">
            <w:pPr>
              <w:rPr>
                <w:sz w:val="20"/>
              </w:rPr>
            </w:pPr>
            <w:r w:rsidRPr="005E2C5E">
              <w:rPr>
                <w:sz w:val="20"/>
              </w:rPr>
              <w:t>Draws on the latest evidence available, showcases examples of good practice from around the world, and</w:t>
            </w:r>
          </w:p>
          <w:p w14:paraId="72AF39F2" w14:textId="77777777" w:rsidR="00F13625" w:rsidRPr="005E2C5E" w:rsidRDefault="00F13625" w:rsidP="00F13625">
            <w:pPr>
              <w:rPr>
                <w:sz w:val="20"/>
              </w:rPr>
            </w:pPr>
            <w:r w:rsidRPr="005E2C5E">
              <w:rPr>
                <w:sz w:val="20"/>
              </w:rPr>
              <w:t xml:space="preserve">includes people’s lived experience </w:t>
            </w:r>
            <w:proofErr w:type="gramStart"/>
            <w:r w:rsidRPr="005E2C5E">
              <w:rPr>
                <w:sz w:val="20"/>
              </w:rPr>
              <w:t>in order to</w:t>
            </w:r>
            <w:proofErr w:type="gramEnd"/>
            <w:r w:rsidRPr="005E2C5E">
              <w:rPr>
                <w:sz w:val="20"/>
              </w:rPr>
              <w:t xml:space="preserve"> promote better mental health care for all</w:t>
            </w:r>
          </w:p>
        </w:tc>
      </w:tr>
      <w:tr w:rsidR="00F13625" w:rsidRPr="005E2C5E" w14:paraId="1B447B31" w14:textId="77777777" w:rsidTr="00F13625">
        <w:trPr>
          <w:trHeight w:val="488"/>
        </w:trPr>
        <w:tc>
          <w:tcPr>
            <w:tcW w:w="9016" w:type="dxa"/>
          </w:tcPr>
          <w:p w14:paraId="3C2AC079" w14:textId="77777777" w:rsidR="00F13625" w:rsidRPr="005E2C5E" w:rsidRDefault="00F13625" w:rsidP="00F13625">
            <w:pPr>
              <w:rPr>
                <w:b/>
                <w:sz w:val="20"/>
              </w:rPr>
            </w:pPr>
            <w:r w:rsidRPr="005E2C5E">
              <w:rPr>
                <w:b/>
                <w:sz w:val="20"/>
              </w:rPr>
              <w:t>The Code, Nursing and Midwifery Council (NMC, 2018)</w:t>
            </w:r>
          </w:p>
          <w:p w14:paraId="4F26B6ED" w14:textId="77777777" w:rsidR="00F13625" w:rsidRPr="005E2C5E" w:rsidRDefault="00000000" w:rsidP="00F13625">
            <w:pPr>
              <w:rPr>
                <w:b/>
                <w:sz w:val="20"/>
              </w:rPr>
            </w:pPr>
            <w:hyperlink r:id="rId20">
              <w:r w:rsidR="00F13625" w:rsidRPr="005E2C5E">
                <w:rPr>
                  <w:b/>
                  <w:color w:val="0462C1"/>
                  <w:sz w:val="20"/>
                  <w:u w:val="single" w:color="0462C1"/>
                </w:rPr>
                <w:t>https://www.nmc.org.uk/globalassets/sitedocuments/nmc-publications/nmc-code.pdf</w:t>
              </w:r>
            </w:hyperlink>
          </w:p>
        </w:tc>
      </w:tr>
      <w:tr w:rsidR="00F13625" w:rsidRPr="005E2C5E" w14:paraId="252C0543" w14:textId="77777777" w:rsidTr="00F13625">
        <w:trPr>
          <w:trHeight w:val="731"/>
        </w:trPr>
        <w:tc>
          <w:tcPr>
            <w:tcW w:w="9016" w:type="dxa"/>
          </w:tcPr>
          <w:p w14:paraId="2D36B927" w14:textId="77777777" w:rsidR="00F13625" w:rsidRPr="005E2C5E" w:rsidRDefault="00F13625" w:rsidP="00F13625">
            <w:pPr>
              <w:rPr>
                <w:sz w:val="20"/>
              </w:rPr>
            </w:pPr>
            <w:proofErr w:type="spellStart"/>
            <w:r w:rsidRPr="005E2C5E">
              <w:rPr>
                <w:sz w:val="20"/>
              </w:rPr>
              <w:t>Prioritise</w:t>
            </w:r>
            <w:proofErr w:type="spellEnd"/>
            <w:r w:rsidRPr="005E2C5E">
              <w:rPr>
                <w:sz w:val="20"/>
              </w:rPr>
              <w:t xml:space="preserve"> People, </w:t>
            </w:r>
            <w:proofErr w:type="spellStart"/>
            <w:r w:rsidRPr="005E2C5E">
              <w:rPr>
                <w:sz w:val="20"/>
              </w:rPr>
              <w:t>Practise</w:t>
            </w:r>
            <w:proofErr w:type="spellEnd"/>
            <w:r w:rsidRPr="005E2C5E">
              <w:rPr>
                <w:sz w:val="20"/>
              </w:rPr>
              <w:t xml:space="preserve"> Effectively, Preserve Safety, Promote Professionalism and Trust</w:t>
            </w:r>
          </w:p>
          <w:p w14:paraId="2769E968" w14:textId="77777777" w:rsidR="00F13625" w:rsidRPr="005E2C5E" w:rsidRDefault="00F13625" w:rsidP="00F13625">
            <w:pPr>
              <w:rPr>
                <w:sz w:val="20"/>
              </w:rPr>
            </w:pPr>
            <w:r w:rsidRPr="005E2C5E">
              <w:rPr>
                <w:sz w:val="20"/>
              </w:rPr>
              <w:t xml:space="preserve">We are committed, as nurses, to uphold the standards of The Code and therefore we must </w:t>
            </w:r>
            <w:proofErr w:type="spellStart"/>
            <w:r w:rsidRPr="005E2C5E">
              <w:rPr>
                <w:sz w:val="20"/>
              </w:rPr>
              <w:t>prioritise</w:t>
            </w:r>
            <w:proofErr w:type="spellEnd"/>
            <w:r w:rsidRPr="005E2C5E">
              <w:rPr>
                <w:sz w:val="20"/>
              </w:rPr>
              <w:t xml:space="preserve"> our patients’ care and safety and ensure their needs and interests are treated holistically</w:t>
            </w:r>
          </w:p>
        </w:tc>
      </w:tr>
      <w:tr w:rsidR="00F13625" w:rsidRPr="005E2C5E" w14:paraId="4F16A123" w14:textId="77777777" w:rsidTr="00F13625">
        <w:trPr>
          <w:trHeight w:val="733"/>
        </w:trPr>
        <w:tc>
          <w:tcPr>
            <w:tcW w:w="9016" w:type="dxa"/>
          </w:tcPr>
          <w:p w14:paraId="24D2A3F3" w14:textId="77777777" w:rsidR="00F13625" w:rsidRPr="005E2C5E" w:rsidRDefault="00F13625" w:rsidP="00F13625">
            <w:pPr>
              <w:rPr>
                <w:b/>
                <w:sz w:val="20"/>
              </w:rPr>
            </w:pPr>
            <w:r w:rsidRPr="005E2C5E">
              <w:rPr>
                <w:b/>
                <w:sz w:val="20"/>
              </w:rPr>
              <w:t xml:space="preserve">No Health without Mental Health (Department of Health, DH, 2011) </w:t>
            </w:r>
            <w:hyperlink r:id="rId21">
              <w:r w:rsidRPr="005E2C5E">
                <w:rPr>
                  <w:b/>
                  <w:color w:val="0462C1"/>
                  <w:w w:val="95"/>
                  <w:sz w:val="20"/>
                  <w:u w:val="single" w:color="0462C1"/>
                </w:rPr>
                <w:t>https://www.gov.uk/government/publications/no-health-without-mental-health-a-cross-government-</w:t>
              </w:r>
            </w:hyperlink>
          </w:p>
          <w:p w14:paraId="3FE85521" w14:textId="77777777" w:rsidR="00F13625" w:rsidRPr="005E2C5E" w:rsidRDefault="00000000" w:rsidP="00F13625">
            <w:pPr>
              <w:rPr>
                <w:b/>
                <w:sz w:val="20"/>
              </w:rPr>
            </w:pPr>
            <w:hyperlink r:id="rId22">
              <w:r w:rsidR="00F13625" w:rsidRPr="005E2C5E">
                <w:rPr>
                  <w:b/>
                  <w:color w:val="0462C1"/>
                  <w:sz w:val="20"/>
                  <w:u w:val="single" w:color="0462C1"/>
                </w:rPr>
                <w:t>outcomes-strategy</w:t>
              </w:r>
            </w:hyperlink>
          </w:p>
        </w:tc>
      </w:tr>
      <w:tr w:rsidR="00F13625" w:rsidRPr="005E2C5E" w14:paraId="78DF5C1B" w14:textId="77777777" w:rsidTr="00F13625">
        <w:trPr>
          <w:trHeight w:val="731"/>
        </w:trPr>
        <w:tc>
          <w:tcPr>
            <w:tcW w:w="9016" w:type="dxa"/>
          </w:tcPr>
          <w:p w14:paraId="3230A6DD" w14:textId="77777777" w:rsidR="00F13625" w:rsidRPr="005E2C5E" w:rsidRDefault="00F13625" w:rsidP="00F13625">
            <w:pPr>
              <w:rPr>
                <w:sz w:val="20"/>
              </w:rPr>
            </w:pPr>
            <w:r w:rsidRPr="005E2C5E">
              <w:rPr>
                <w:sz w:val="20"/>
              </w:rPr>
              <w:t>Mental health is “everyone’s business”, we all must play our part in improving patients’ experience of care</w:t>
            </w:r>
          </w:p>
          <w:p w14:paraId="0F7E3C63" w14:textId="77777777" w:rsidR="00F13625" w:rsidRPr="005E2C5E" w:rsidRDefault="00F13625" w:rsidP="00F13625">
            <w:pPr>
              <w:rPr>
                <w:sz w:val="20"/>
              </w:rPr>
            </w:pPr>
            <w:r w:rsidRPr="005E2C5E">
              <w:rPr>
                <w:sz w:val="20"/>
              </w:rPr>
              <w:t>and support and to reduce the stigma and discrimination that people with mental health problems often face</w:t>
            </w:r>
          </w:p>
        </w:tc>
      </w:tr>
      <w:tr w:rsidR="00F13625" w:rsidRPr="005E2C5E" w14:paraId="0AF7F0BA" w14:textId="77777777" w:rsidTr="00F13625">
        <w:trPr>
          <w:trHeight w:val="489"/>
        </w:trPr>
        <w:tc>
          <w:tcPr>
            <w:tcW w:w="9016" w:type="dxa"/>
          </w:tcPr>
          <w:p w14:paraId="2BDD7637" w14:textId="77777777" w:rsidR="00F13625" w:rsidRPr="005E2C5E" w:rsidRDefault="00F13625" w:rsidP="00F13625">
            <w:pPr>
              <w:rPr>
                <w:b/>
                <w:sz w:val="20"/>
              </w:rPr>
            </w:pPr>
            <w:r w:rsidRPr="005E2C5E">
              <w:rPr>
                <w:b/>
                <w:sz w:val="20"/>
              </w:rPr>
              <w:t>The Five Year Forward View for Mental Health (Mental Health Taskforce Strategy, 2016)</w:t>
            </w:r>
          </w:p>
          <w:p w14:paraId="6A0CDFF0" w14:textId="77777777" w:rsidR="00F13625" w:rsidRPr="005E2C5E" w:rsidRDefault="00000000" w:rsidP="00F13625">
            <w:pPr>
              <w:rPr>
                <w:b/>
                <w:sz w:val="20"/>
              </w:rPr>
            </w:pPr>
            <w:hyperlink r:id="rId23">
              <w:r w:rsidR="00F13625" w:rsidRPr="005E2C5E">
                <w:rPr>
                  <w:b/>
                  <w:color w:val="0462C1"/>
                  <w:sz w:val="20"/>
                  <w:u w:val="single" w:color="0462C1"/>
                </w:rPr>
                <w:t>https://www.england.nhs.uk/wp-content/uploads/2016/02/Mental-Health-Taskforce-FYFV-final.pdf</w:t>
              </w:r>
            </w:hyperlink>
          </w:p>
        </w:tc>
      </w:tr>
      <w:tr w:rsidR="00F13625" w:rsidRPr="005E2C5E" w14:paraId="2F9AD566" w14:textId="77777777" w:rsidTr="00F13625">
        <w:trPr>
          <w:trHeight w:val="488"/>
        </w:trPr>
        <w:tc>
          <w:tcPr>
            <w:tcW w:w="9016" w:type="dxa"/>
          </w:tcPr>
          <w:p w14:paraId="64DAD0AE" w14:textId="77777777" w:rsidR="00F13625" w:rsidRPr="005E2C5E" w:rsidRDefault="00F13625" w:rsidP="00F13625">
            <w:pPr>
              <w:rPr>
                <w:sz w:val="20"/>
              </w:rPr>
            </w:pPr>
            <w:r w:rsidRPr="005E2C5E">
              <w:rPr>
                <w:sz w:val="20"/>
              </w:rPr>
              <w:t>A strategy that is built on the fundamental principle that mental health should be seen with equal</w:t>
            </w:r>
          </w:p>
          <w:p w14:paraId="39849D7F" w14:textId="77777777" w:rsidR="00F13625" w:rsidRPr="005E2C5E" w:rsidRDefault="00F13625" w:rsidP="00F13625">
            <w:pPr>
              <w:rPr>
                <w:sz w:val="20"/>
              </w:rPr>
            </w:pPr>
            <w:r w:rsidRPr="005E2C5E">
              <w:rPr>
                <w:sz w:val="20"/>
              </w:rPr>
              <w:t>importance to physical health, regardless of the NHS service the patient is receiving</w:t>
            </w:r>
          </w:p>
        </w:tc>
      </w:tr>
      <w:tr w:rsidR="00F13625" w:rsidRPr="005E2C5E" w14:paraId="79FAE815" w14:textId="77777777" w:rsidTr="00F13625">
        <w:trPr>
          <w:trHeight w:val="488"/>
        </w:trPr>
        <w:tc>
          <w:tcPr>
            <w:tcW w:w="9016" w:type="dxa"/>
          </w:tcPr>
          <w:p w14:paraId="61F96FBC" w14:textId="77777777" w:rsidR="00F13625" w:rsidRPr="005E2C5E" w:rsidRDefault="00F13625" w:rsidP="00F13625">
            <w:pPr>
              <w:rPr>
                <w:b/>
                <w:sz w:val="20"/>
              </w:rPr>
            </w:pPr>
            <w:r w:rsidRPr="005E2C5E">
              <w:rPr>
                <w:b/>
                <w:sz w:val="20"/>
              </w:rPr>
              <w:t>The National Confidential Enquiry into Patient Outcome and Death. Treat As One. (NCEPOD, 2017)</w:t>
            </w:r>
          </w:p>
          <w:p w14:paraId="39407CA7" w14:textId="77777777" w:rsidR="00F13625" w:rsidRPr="005E2C5E" w:rsidRDefault="00000000" w:rsidP="00F13625">
            <w:pPr>
              <w:rPr>
                <w:b/>
                <w:sz w:val="20"/>
              </w:rPr>
            </w:pPr>
            <w:hyperlink r:id="rId24">
              <w:r w:rsidR="00F13625" w:rsidRPr="005E2C5E">
                <w:rPr>
                  <w:b/>
                  <w:color w:val="0462C1"/>
                  <w:sz w:val="20"/>
                  <w:u w:val="single" w:color="0462C1"/>
                </w:rPr>
                <w:t>https://www.ncepod.org.uk/2022phmh.html</w:t>
              </w:r>
            </w:hyperlink>
          </w:p>
        </w:tc>
      </w:tr>
      <w:tr w:rsidR="00F13625" w:rsidRPr="005E2C5E" w14:paraId="13CC7A1A" w14:textId="77777777" w:rsidTr="00F13625">
        <w:trPr>
          <w:trHeight w:val="975"/>
        </w:trPr>
        <w:tc>
          <w:tcPr>
            <w:tcW w:w="9016" w:type="dxa"/>
          </w:tcPr>
          <w:p w14:paraId="29A67088" w14:textId="77777777" w:rsidR="00F13625" w:rsidRPr="005E2C5E" w:rsidRDefault="00F13625" w:rsidP="00F13625">
            <w:pPr>
              <w:rPr>
                <w:sz w:val="20"/>
              </w:rPr>
            </w:pPr>
            <w:r w:rsidRPr="005E2C5E">
              <w:rPr>
                <w:sz w:val="20"/>
              </w:rPr>
              <w:t>We need to bridge the gap between mental and physical healthcare in general hospitals, with ‘many more clinicians contributing to improve the patient journey at each step of the way’</w:t>
            </w:r>
          </w:p>
          <w:p w14:paraId="7137D178" w14:textId="77777777" w:rsidR="00F13625" w:rsidRPr="005E2C5E" w:rsidRDefault="00F13625" w:rsidP="00F13625">
            <w:pPr>
              <w:rPr>
                <w:sz w:val="20"/>
              </w:rPr>
            </w:pPr>
            <w:r w:rsidRPr="005E2C5E">
              <w:rPr>
                <w:sz w:val="20"/>
              </w:rPr>
              <w:t>The workforce needs to understand this mental-physical healthcare gap, and receive education and training</w:t>
            </w:r>
          </w:p>
          <w:p w14:paraId="056BCE0D" w14:textId="77777777" w:rsidR="00F13625" w:rsidRPr="005E2C5E" w:rsidRDefault="00F13625" w:rsidP="00F13625">
            <w:pPr>
              <w:rPr>
                <w:sz w:val="20"/>
              </w:rPr>
            </w:pPr>
            <w:proofErr w:type="gramStart"/>
            <w:r w:rsidRPr="005E2C5E">
              <w:rPr>
                <w:sz w:val="20"/>
              </w:rPr>
              <w:t>in order to</w:t>
            </w:r>
            <w:proofErr w:type="gramEnd"/>
            <w:r w:rsidRPr="005E2C5E">
              <w:rPr>
                <w:sz w:val="20"/>
              </w:rPr>
              <w:t xml:space="preserve"> develop the confidence and competence to bridge these gaps at every level of the service</w:t>
            </w:r>
          </w:p>
        </w:tc>
      </w:tr>
    </w:tbl>
    <w:p w14:paraId="76E2FD8F" w14:textId="77777777" w:rsidR="00537B7D" w:rsidRPr="005E2C5E" w:rsidRDefault="00537B7D" w:rsidP="00F13625">
      <w:pPr>
        <w:rPr>
          <w:b/>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16"/>
      </w:tblGrid>
      <w:tr w:rsidR="00537B7D" w:rsidRPr="005E2C5E" w14:paraId="7E516073" w14:textId="77777777" w:rsidTr="00F13625">
        <w:trPr>
          <w:trHeight w:val="489"/>
        </w:trPr>
        <w:tc>
          <w:tcPr>
            <w:tcW w:w="9016" w:type="dxa"/>
          </w:tcPr>
          <w:p w14:paraId="76403E47" w14:textId="77777777" w:rsidR="00537B7D" w:rsidRPr="005E2C5E" w:rsidRDefault="00E93BEA" w:rsidP="00F13625">
            <w:pPr>
              <w:rPr>
                <w:sz w:val="20"/>
              </w:rPr>
            </w:pPr>
            <w:r w:rsidRPr="005E2C5E">
              <w:rPr>
                <w:sz w:val="20"/>
              </w:rPr>
              <w:t>Mental illness is often integral to a patients’ physical health problems, and neither should be treated in</w:t>
            </w:r>
          </w:p>
          <w:p w14:paraId="19A2317E" w14:textId="77777777" w:rsidR="00537B7D" w:rsidRPr="005E2C5E" w:rsidRDefault="00E93BEA" w:rsidP="00F13625">
            <w:pPr>
              <w:rPr>
                <w:sz w:val="20"/>
              </w:rPr>
            </w:pPr>
            <w:r w:rsidRPr="005E2C5E">
              <w:rPr>
                <w:sz w:val="20"/>
              </w:rPr>
              <w:t>isolation</w:t>
            </w:r>
          </w:p>
        </w:tc>
      </w:tr>
      <w:tr w:rsidR="00537B7D" w:rsidRPr="005E2C5E" w14:paraId="0E2461BA" w14:textId="77777777" w:rsidTr="00F13625">
        <w:trPr>
          <w:trHeight w:val="731"/>
        </w:trPr>
        <w:tc>
          <w:tcPr>
            <w:tcW w:w="9016" w:type="dxa"/>
          </w:tcPr>
          <w:p w14:paraId="12EE0607" w14:textId="77777777" w:rsidR="00537B7D" w:rsidRPr="005E2C5E" w:rsidRDefault="00E93BEA" w:rsidP="00F13625">
            <w:pPr>
              <w:rPr>
                <w:b/>
                <w:sz w:val="20"/>
              </w:rPr>
            </w:pPr>
            <w:r w:rsidRPr="005E2C5E">
              <w:rPr>
                <w:b/>
                <w:sz w:val="20"/>
              </w:rPr>
              <w:t xml:space="preserve">Side by side: A UK-wide consensus statement on working together to help patients with mental health needs in acute hospitals. Royal college of psychiatrists (2020) </w:t>
            </w:r>
            <w:hyperlink r:id="rId25">
              <w:r w:rsidRPr="005E2C5E">
                <w:rPr>
                  <w:b/>
                  <w:color w:val="0462C1"/>
                  <w:sz w:val="20"/>
                  <w:u w:val="single" w:color="0462C1"/>
                </w:rPr>
                <w:t>https://www.rcpsych.ac.uk/docs/default-</w:t>
              </w:r>
            </w:hyperlink>
          </w:p>
          <w:p w14:paraId="506A03E6" w14:textId="77777777" w:rsidR="00537B7D" w:rsidRPr="005E2C5E" w:rsidRDefault="00000000" w:rsidP="00F13625">
            <w:pPr>
              <w:rPr>
                <w:b/>
                <w:sz w:val="20"/>
              </w:rPr>
            </w:pPr>
            <w:hyperlink r:id="rId26">
              <w:r w:rsidR="00E93BEA" w:rsidRPr="005E2C5E">
                <w:rPr>
                  <w:b/>
                  <w:color w:val="0462C1"/>
                  <w:sz w:val="20"/>
                  <w:u w:val="single" w:color="0462C1"/>
                </w:rPr>
                <w:t>source/members/faculties/liaison-psychiatry/liaison-sidebyside.pdf</w:t>
              </w:r>
            </w:hyperlink>
          </w:p>
        </w:tc>
      </w:tr>
      <w:tr w:rsidR="00537B7D" w:rsidRPr="005E2C5E" w14:paraId="30294B87" w14:textId="77777777" w:rsidTr="00F13625">
        <w:trPr>
          <w:trHeight w:val="733"/>
        </w:trPr>
        <w:tc>
          <w:tcPr>
            <w:tcW w:w="9016" w:type="dxa"/>
          </w:tcPr>
          <w:p w14:paraId="24C5E7E0" w14:textId="77777777" w:rsidR="00537B7D" w:rsidRPr="005E2C5E" w:rsidRDefault="00E93BEA" w:rsidP="00F13625">
            <w:pPr>
              <w:rPr>
                <w:sz w:val="20"/>
              </w:rPr>
            </w:pPr>
            <w:r w:rsidRPr="005E2C5E">
              <w:rPr>
                <w:sz w:val="20"/>
              </w:rPr>
              <w:t xml:space="preserve">Recommend three principles to enhance the collaboration and working together of mental health professionals and those working in acute medicine in order to meet the needs of patients: dignity and </w:t>
            </w:r>
            <w:proofErr w:type="gramStart"/>
            <w:r w:rsidRPr="005E2C5E">
              <w:rPr>
                <w:sz w:val="20"/>
              </w:rPr>
              <w:t>ease</w:t>
            </w:r>
            <w:proofErr w:type="gramEnd"/>
          </w:p>
          <w:p w14:paraId="575D44E8" w14:textId="77777777" w:rsidR="00537B7D" w:rsidRPr="005E2C5E" w:rsidRDefault="00E93BEA" w:rsidP="00F13625">
            <w:pPr>
              <w:rPr>
                <w:sz w:val="20"/>
              </w:rPr>
            </w:pPr>
            <w:r w:rsidRPr="005E2C5E">
              <w:rPr>
                <w:sz w:val="20"/>
              </w:rPr>
              <w:t>of access, working side by side and clarity of communication</w:t>
            </w:r>
          </w:p>
        </w:tc>
      </w:tr>
      <w:tr w:rsidR="00537B7D" w:rsidRPr="005E2C5E" w14:paraId="10757C5E" w14:textId="77777777" w:rsidTr="00F13625">
        <w:trPr>
          <w:trHeight w:val="488"/>
        </w:trPr>
        <w:tc>
          <w:tcPr>
            <w:tcW w:w="9016" w:type="dxa"/>
          </w:tcPr>
          <w:p w14:paraId="3B434C51" w14:textId="77777777" w:rsidR="00537B7D" w:rsidRPr="005E2C5E" w:rsidRDefault="00E93BEA" w:rsidP="00F13625">
            <w:pPr>
              <w:rPr>
                <w:b/>
                <w:sz w:val="20"/>
              </w:rPr>
            </w:pPr>
            <w:r w:rsidRPr="005E2C5E">
              <w:rPr>
                <w:b/>
                <w:sz w:val="20"/>
              </w:rPr>
              <w:t>NICE Guidelines: ‘Self Harm: assessment, management and preventing recurrence’, (National Institute for</w:t>
            </w:r>
          </w:p>
          <w:p w14:paraId="1FD383D6" w14:textId="77777777" w:rsidR="00537B7D" w:rsidRPr="005E2C5E" w:rsidRDefault="00E93BEA" w:rsidP="00F13625">
            <w:pPr>
              <w:rPr>
                <w:b/>
                <w:sz w:val="20"/>
              </w:rPr>
            </w:pPr>
            <w:r w:rsidRPr="005E2C5E">
              <w:rPr>
                <w:b/>
                <w:sz w:val="20"/>
              </w:rPr>
              <w:t xml:space="preserve">Health and Care Excellence, NICE, 2022) </w:t>
            </w:r>
            <w:hyperlink r:id="rId27">
              <w:r w:rsidRPr="005E2C5E">
                <w:rPr>
                  <w:b/>
                  <w:color w:val="0462C1"/>
                  <w:sz w:val="20"/>
                  <w:u w:val="single" w:color="0462C1"/>
                </w:rPr>
                <w:t>https://www.nice.org.uk/guidance/ng225</w:t>
              </w:r>
            </w:hyperlink>
          </w:p>
        </w:tc>
      </w:tr>
      <w:tr w:rsidR="00537B7D" w:rsidRPr="005E2C5E" w14:paraId="018E2FAF" w14:textId="77777777" w:rsidTr="00F13625">
        <w:trPr>
          <w:trHeight w:val="731"/>
        </w:trPr>
        <w:tc>
          <w:tcPr>
            <w:tcW w:w="9016" w:type="dxa"/>
          </w:tcPr>
          <w:p w14:paraId="0630CA8A" w14:textId="77777777" w:rsidR="00537B7D" w:rsidRPr="005E2C5E" w:rsidRDefault="00E93BEA" w:rsidP="00F13625">
            <w:pPr>
              <w:rPr>
                <w:sz w:val="20"/>
              </w:rPr>
            </w:pPr>
            <w:r w:rsidRPr="005E2C5E">
              <w:rPr>
                <w:sz w:val="20"/>
              </w:rPr>
              <w:t>Supporting patients’ mental health needs who present with self-harm will not only be the responsibility of mental health professionals. NICE is making it “everyone’s business” – all health and social care</w:t>
            </w:r>
          </w:p>
          <w:p w14:paraId="18D6BFF1" w14:textId="77777777" w:rsidR="00537B7D" w:rsidRPr="005E2C5E" w:rsidRDefault="00E93BEA" w:rsidP="00F13625">
            <w:pPr>
              <w:rPr>
                <w:sz w:val="20"/>
              </w:rPr>
            </w:pPr>
            <w:r w:rsidRPr="005E2C5E">
              <w:rPr>
                <w:sz w:val="20"/>
              </w:rPr>
              <w:t>professionals will have a part to play</w:t>
            </w:r>
          </w:p>
        </w:tc>
      </w:tr>
    </w:tbl>
    <w:p w14:paraId="46C809B7" w14:textId="77777777" w:rsidR="00537B7D" w:rsidRPr="005E2C5E" w:rsidRDefault="00537B7D" w:rsidP="00F13625">
      <w:pPr>
        <w:rPr>
          <w:b/>
        </w:rPr>
      </w:pPr>
    </w:p>
    <w:p w14:paraId="032993B7" w14:textId="77777777" w:rsidR="00537B7D" w:rsidRPr="005E2C5E" w:rsidRDefault="00537B7D" w:rsidP="00F13625">
      <w:pPr>
        <w:rPr>
          <w:b/>
          <w:sz w:val="19"/>
        </w:rPr>
      </w:pPr>
    </w:p>
    <w:p w14:paraId="6D149770" w14:textId="77777777" w:rsidR="00537B7D" w:rsidRPr="005E2C5E" w:rsidRDefault="00E93BEA" w:rsidP="00F13625">
      <w:pPr>
        <w:rPr>
          <w:b/>
        </w:rPr>
      </w:pPr>
      <w:r w:rsidRPr="005E2C5E">
        <w:rPr>
          <w:b/>
        </w:rPr>
        <w:t>Conclusion</w:t>
      </w:r>
    </w:p>
    <w:p w14:paraId="4A029A3A" w14:textId="77777777" w:rsidR="00537B7D" w:rsidRPr="005E2C5E" w:rsidRDefault="00537B7D" w:rsidP="00F13625">
      <w:pPr>
        <w:rPr>
          <w:b/>
        </w:rPr>
      </w:pPr>
    </w:p>
    <w:p w14:paraId="60E37B42" w14:textId="77777777" w:rsidR="00537B7D" w:rsidRPr="005E2C5E" w:rsidRDefault="00E93BEA" w:rsidP="00F13625">
      <w:r w:rsidRPr="005E2C5E">
        <w:t>There is a regulatory obligation to commit to lifelong learning for nurses, and to practicing according to ethical codes. A cultural competence approach to putting such codes into practice may help make such goals meaningful and achievable over time when faced with highly stressful work environments. The skills required to ensure that people who happen to have a mental illness diagnosis experience good nursing care are available to adult health nurses if a commitment is made to personal reflection and change. Critically reflecting on the fundamental knowledge and attitudes explored in this paper will provide meaningful way of engaging in this lifelong</w:t>
      </w:r>
      <w:r w:rsidRPr="005E2C5E">
        <w:rPr>
          <w:spacing w:val="-19"/>
        </w:rPr>
        <w:t xml:space="preserve"> </w:t>
      </w:r>
      <w:r w:rsidRPr="005E2C5E">
        <w:t>development.</w:t>
      </w:r>
    </w:p>
    <w:p w14:paraId="11FC8B2A" w14:textId="77777777" w:rsidR="00537B7D" w:rsidRPr="005E2C5E" w:rsidRDefault="00537B7D" w:rsidP="00F13625"/>
    <w:p w14:paraId="20738B39" w14:textId="77777777" w:rsidR="00537B7D" w:rsidRPr="005E2C5E" w:rsidRDefault="00537B7D" w:rsidP="00F13625"/>
    <w:p w14:paraId="0BB0CFB2" w14:textId="77777777" w:rsidR="00537B7D" w:rsidRPr="005E2C5E" w:rsidRDefault="00E93BEA" w:rsidP="00F13625">
      <w:r w:rsidRPr="005E2C5E">
        <w:t>References</w:t>
      </w:r>
    </w:p>
    <w:p w14:paraId="191C85CE" w14:textId="77777777" w:rsidR="00537B7D" w:rsidRPr="005E2C5E" w:rsidRDefault="00537B7D" w:rsidP="00F13625">
      <w:pPr>
        <w:rPr>
          <w:b/>
          <w:sz w:val="19"/>
        </w:rPr>
      </w:pPr>
    </w:p>
    <w:p w14:paraId="7645F4C4" w14:textId="77777777" w:rsidR="00537B7D" w:rsidRPr="005E2C5E" w:rsidRDefault="00E93BEA" w:rsidP="00F13625">
      <w:pPr>
        <w:rPr>
          <w:sz w:val="20"/>
        </w:rPr>
      </w:pPr>
      <w:r w:rsidRPr="005E2C5E">
        <w:rPr>
          <w:sz w:val="20"/>
        </w:rPr>
        <w:t xml:space="preserve">Asmundson, G.J.G. and Afifi, T.O. (eds) (2020) </w:t>
      </w:r>
      <w:r w:rsidRPr="005E2C5E">
        <w:rPr>
          <w:i/>
          <w:sz w:val="20"/>
        </w:rPr>
        <w:t>Adverse childhood experiences: using evidence to advance research, practice, policy, and prevention</w:t>
      </w:r>
      <w:r w:rsidRPr="005E2C5E">
        <w:rPr>
          <w:sz w:val="20"/>
        </w:rPr>
        <w:t>. London, United Kingdom; San Diego, CA: Elsevier/Academic Press.</w:t>
      </w:r>
    </w:p>
    <w:p w14:paraId="74CC0799" w14:textId="77777777" w:rsidR="00537B7D" w:rsidRPr="005E2C5E" w:rsidRDefault="00537B7D" w:rsidP="00F13625">
      <w:pPr>
        <w:rPr>
          <w:sz w:val="19"/>
        </w:rPr>
      </w:pPr>
    </w:p>
    <w:p w14:paraId="524C7749" w14:textId="77777777" w:rsidR="00537B7D" w:rsidRPr="005E2C5E" w:rsidRDefault="00E93BEA" w:rsidP="00F13625">
      <w:r w:rsidRPr="005E2C5E">
        <w:t xml:space="preserve">Barrett, P. (2013) Swimming without the water. A critical perspective on mental health experience for adult nursing students. </w:t>
      </w:r>
      <w:r w:rsidRPr="005E2C5E">
        <w:rPr>
          <w:i/>
        </w:rPr>
        <w:t xml:space="preserve">Nursing in Practice </w:t>
      </w:r>
      <w:r w:rsidRPr="005E2C5E">
        <w:t>13:487-91</w:t>
      </w:r>
    </w:p>
    <w:p w14:paraId="5A890B5A" w14:textId="77777777" w:rsidR="00537B7D" w:rsidRPr="005E2C5E" w:rsidRDefault="00537B7D" w:rsidP="00F13625">
      <w:pPr>
        <w:rPr>
          <w:sz w:val="19"/>
        </w:rPr>
      </w:pPr>
    </w:p>
    <w:p w14:paraId="568561BF" w14:textId="77777777" w:rsidR="00537B7D" w:rsidRPr="005E2C5E" w:rsidRDefault="00E93BEA" w:rsidP="00F13625">
      <w:r w:rsidRPr="005E2C5E">
        <w:t xml:space="preserve">Botha, M., Hanlon, </w:t>
      </w:r>
      <w:proofErr w:type="gramStart"/>
      <w:r w:rsidRPr="005E2C5E">
        <w:t>J.</w:t>
      </w:r>
      <w:proofErr w:type="gramEnd"/>
      <w:r w:rsidRPr="005E2C5E">
        <w:t xml:space="preserve"> and Williams, G.L. (2021) ‘Does Language Matter? Identity-First Versus Person-First Language Use in Autism Research: A Response to </w:t>
      </w:r>
      <w:proofErr w:type="spellStart"/>
      <w:r w:rsidRPr="005E2C5E">
        <w:t>Vivanti</w:t>
      </w:r>
      <w:proofErr w:type="spellEnd"/>
      <w:r w:rsidRPr="005E2C5E">
        <w:t xml:space="preserve">,’ </w:t>
      </w:r>
      <w:r w:rsidRPr="005E2C5E">
        <w:rPr>
          <w:i/>
        </w:rPr>
        <w:t xml:space="preserve">Journal of Autism and Developmental Disorders </w:t>
      </w:r>
      <w:r w:rsidRPr="005E2C5E">
        <w:t>[Preprint]. Available at: https://doi.org/10.1007/s10803-020-04858-w.</w:t>
      </w:r>
    </w:p>
    <w:p w14:paraId="5603C55C" w14:textId="622C6DA9" w:rsidR="00537B7D" w:rsidRPr="005E2C5E" w:rsidRDefault="00537B7D" w:rsidP="00F13625"/>
    <w:p w14:paraId="58CE6884" w14:textId="77777777" w:rsidR="00F13625" w:rsidRPr="005E2C5E" w:rsidRDefault="00F13625" w:rsidP="00F13625">
      <w:r w:rsidRPr="005E2C5E">
        <w:t xml:space="preserve">Buchanan, N.T., Rios, D., Case, K.A (2020) Intersectional Cultural Humility: Aligning Critical Inquiry with Critical Praxis in Psychology, </w:t>
      </w:r>
      <w:r w:rsidRPr="005E2C5E">
        <w:rPr>
          <w:i/>
          <w:iCs/>
        </w:rPr>
        <w:t>Women &amp; Therapy</w:t>
      </w:r>
      <w:r w:rsidRPr="005E2C5E">
        <w:t xml:space="preserve">, 43:3-4, 235-243 </w:t>
      </w:r>
      <w:hyperlink r:id="rId28" w:history="1">
        <w:r w:rsidRPr="005E2C5E">
          <w:rPr>
            <w:rStyle w:val="Hyperlink"/>
          </w:rPr>
          <w:t>https://doi.org/10.1080/02703149.2020.1729469</w:t>
        </w:r>
      </w:hyperlink>
    </w:p>
    <w:p w14:paraId="018C8046" w14:textId="77777777" w:rsidR="00F13625" w:rsidRPr="005E2C5E" w:rsidRDefault="00F13625" w:rsidP="00F13625">
      <w:pPr>
        <w:rPr>
          <w:rFonts w:eastAsia="Times New Roman" w:cstheme="minorHAnsi"/>
          <w:sz w:val="20"/>
          <w:szCs w:val="20"/>
          <w:lang w:eastAsia="en-GB"/>
        </w:rPr>
      </w:pPr>
    </w:p>
    <w:p w14:paraId="0621BBA0" w14:textId="77777777" w:rsidR="00F13625" w:rsidRPr="005E2C5E" w:rsidRDefault="00F13625" w:rsidP="00F13625">
      <w:pPr>
        <w:rPr>
          <w:rFonts w:ascii="Segoe UI" w:hAnsi="Segoe UI" w:cs="Segoe UI"/>
          <w:color w:val="424242"/>
          <w:shd w:val="clear" w:color="auto" w:fill="FFFFFF"/>
        </w:rPr>
      </w:pPr>
      <w:proofErr w:type="spellStart"/>
      <w:r w:rsidRPr="005E2C5E">
        <w:t>Campinha</w:t>
      </w:r>
      <w:proofErr w:type="spellEnd"/>
      <w:r w:rsidRPr="005E2C5E">
        <w:t xml:space="preserve">-Bacote, J., (December 4, 2018) "Cultural </w:t>
      </w:r>
      <w:proofErr w:type="spellStart"/>
      <w:r w:rsidRPr="005E2C5E">
        <w:t>Competemility</w:t>
      </w:r>
      <w:proofErr w:type="spellEnd"/>
      <w:r w:rsidRPr="005E2C5E">
        <w:t xml:space="preserve">: A Paradigm Shift in the Cultural Competence versus Cultural Humility Debate – Part I" </w:t>
      </w:r>
      <w:r w:rsidRPr="005E2C5E">
        <w:rPr>
          <w:rStyle w:val="Emphasis"/>
        </w:rPr>
        <w:t>OJIN: The Online Journal of Issues in Nursing</w:t>
      </w:r>
      <w:r w:rsidRPr="005E2C5E">
        <w:t xml:space="preserve"> Vol. 24, No. 1. </w:t>
      </w:r>
      <w:hyperlink r:id="rId29" w:history="1">
        <w:r w:rsidRPr="005E2C5E">
          <w:rPr>
            <w:rStyle w:val="Hyperlink"/>
            <w:rFonts w:ascii="Segoe UI" w:hAnsi="Segoe UI" w:cs="Segoe UI"/>
            <w:bdr w:val="none" w:sz="0" w:space="0" w:color="auto" w:frame="1"/>
            <w:shd w:val="clear" w:color="auto" w:fill="FFFFFF"/>
          </w:rPr>
          <w:t>https://doi.org/10.3912/OJIN.Vol24No01PPT20</w:t>
        </w:r>
      </w:hyperlink>
      <w:r w:rsidRPr="005E2C5E">
        <w:rPr>
          <w:rFonts w:ascii="Segoe UI" w:hAnsi="Segoe UI" w:cs="Segoe UI"/>
          <w:color w:val="424242"/>
          <w:shd w:val="clear" w:color="auto" w:fill="FFFFFF"/>
        </w:rPr>
        <w:t> </w:t>
      </w:r>
    </w:p>
    <w:p w14:paraId="6BA2DE06" w14:textId="77777777" w:rsidR="00F13625" w:rsidRPr="005E2C5E" w:rsidRDefault="00F13625" w:rsidP="00F13625"/>
    <w:p w14:paraId="69B7469E" w14:textId="77777777" w:rsidR="00537B7D" w:rsidRPr="005E2C5E" w:rsidRDefault="00E93BEA" w:rsidP="00F13625">
      <w:r w:rsidRPr="005E2C5E">
        <w:t xml:space="preserve">Clarke, D. </w:t>
      </w:r>
      <w:r w:rsidRPr="005E2C5E">
        <w:rPr>
          <w:i/>
        </w:rPr>
        <w:t xml:space="preserve">et al. </w:t>
      </w:r>
      <w:r w:rsidRPr="005E2C5E">
        <w:t xml:space="preserve">(2014) ‘Emergency department staff attitudes towards mental health consumers: A literature review and thematic content analysis: Emergency attitudes towards mental illness’, </w:t>
      </w:r>
      <w:r w:rsidRPr="005E2C5E">
        <w:rPr>
          <w:i/>
        </w:rPr>
        <w:t>International Journal of Mental Health Nursing</w:t>
      </w:r>
      <w:r w:rsidRPr="005E2C5E">
        <w:t>, 23(3), pp. 273–284. Available at: https://doi.org/10.1111/inm.12040.</w:t>
      </w:r>
    </w:p>
    <w:p w14:paraId="371D0054" w14:textId="77777777" w:rsidR="00537B7D" w:rsidRPr="005E2C5E" w:rsidRDefault="00537B7D" w:rsidP="00F13625"/>
    <w:p w14:paraId="66D75A96" w14:textId="5C39F75C" w:rsidR="00537B7D" w:rsidRPr="005E2C5E" w:rsidRDefault="00E93BEA" w:rsidP="00F13625">
      <w:pPr>
        <w:rPr>
          <w:sz w:val="20"/>
        </w:rPr>
      </w:pPr>
      <w:proofErr w:type="spellStart"/>
      <w:r w:rsidRPr="005E2C5E">
        <w:t>Derblom</w:t>
      </w:r>
      <w:proofErr w:type="spellEnd"/>
      <w:r w:rsidRPr="005E2C5E">
        <w:t xml:space="preserve">, K., Molin, J., </w:t>
      </w:r>
      <w:proofErr w:type="spellStart"/>
      <w:r w:rsidRPr="005E2C5E">
        <w:t>Gabrielsson</w:t>
      </w:r>
      <w:proofErr w:type="spellEnd"/>
      <w:r w:rsidRPr="005E2C5E">
        <w:t xml:space="preserve">, S., Lindgren B (2021) Acknowledge me ad a capable person’ how </w:t>
      </w:r>
      <w:r w:rsidRPr="005E2C5E">
        <w:lastRenderedPageBreak/>
        <w:t>people with metal ill health describe their experiences with emergency care staff – a qualitative interview study.</w:t>
      </w:r>
      <w:r w:rsidR="00F13625" w:rsidRPr="005E2C5E">
        <w:t xml:space="preserve"> </w:t>
      </w:r>
      <w:r w:rsidRPr="005E2C5E">
        <w:rPr>
          <w:i/>
          <w:sz w:val="20"/>
        </w:rPr>
        <w:t>International Journal of Mental Health Nursing</w:t>
      </w:r>
      <w:r w:rsidRPr="005E2C5E">
        <w:rPr>
          <w:sz w:val="20"/>
        </w:rPr>
        <w:t>. 30: 1539-1549</w:t>
      </w:r>
    </w:p>
    <w:p w14:paraId="4F3EB7ED" w14:textId="77777777" w:rsidR="00F13625" w:rsidRPr="005E2C5E" w:rsidRDefault="00F13625" w:rsidP="00F13625"/>
    <w:p w14:paraId="6EBB0BE0" w14:textId="76F279FC" w:rsidR="00537B7D" w:rsidRPr="005E2C5E" w:rsidRDefault="00E93BEA" w:rsidP="00F13625">
      <w:r w:rsidRPr="005E2C5E">
        <w:t xml:space="preserve">Dunn, D.S., Andrews, E.E. (2015) ‘Person-first and identity-first language: Developing psychologists’ cultural competence using disability language.’, </w:t>
      </w:r>
      <w:r w:rsidRPr="005E2C5E">
        <w:rPr>
          <w:i/>
        </w:rPr>
        <w:t>American Psychologist</w:t>
      </w:r>
      <w:r w:rsidRPr="005E2C5E">
        <w:t>, 70(3): 255–264. doi.org/10.1037/a0038636.</w:t>
      </w:r>
    </w:p>
    <w:p w14:paraId="18C372FC" w14:textId="77777777" w:rsidR="00537B7D" w:rsidRPr="005E2C5E" w:rsidRDefault="00537B7D" w:rsidP="00F13625"/>
    <w:p w14:paraId="0B6441FB" w14:textId="77777777" w:rsidR="00537B7D" w:rsidRPr="005E2C5E" w:rsidRDefault="00E93BEA" w:rsidP="00F13625">
      <w:r w:rsidRPr="005E2C5E">
        <w:t xml:space="preserve">Holland, J. </w:t>
      </w:r>
      <w:r w:rsidRPr="005E2C5E">
        <w:rPr>
          <w:i/>
        </w:rPr>
        <w:t xml:space="preserve">et al. </w:t>
      </w:r>
      <w:r w:rsidRPr="005E2C5E">
        <w:t xml:space="preserve">(2020) ‘What do young people who self‐harm find helpful? A comparative study of young people with and without experience of being looked after in care’, </w:t>
      </w:r>
      <w:r w:rsidRPr="005E2C5E">
        <w:rPr>
          <w:i/>
        </w:rPr>
        <w:t>Child &amp; Adolescent Mental Health</w:t>
      </w:r>
      <w:r w:rsidRPr="005E2C5E">
        <w:t>, 25(3), pp. 157–164. Available at: https://doi.org/10.1111/camh.12384.</w:t>
      </w:r>
    </w:p>
    <w:p w14:paraId="2043E9B1" w14:textId="77777777" w:rsidR="00537B7D" w:rsidRPr="005E2C5E" w:rsidRDefault="00537B7D" w:rsidP="00F13625"/>
    <w:p w14:paraId="1B22FF5D" w14:textId="28D646E2" w:rsidR="00537B7D" w:rsidRPr="005E2C5E" w:rsidRDefault="00E93BEA" w:rsidP="00F13625">
      <w:pPr>
        <w:rPr>
          <w:sz w:val="20"/>
        </w:rPr>
      </w:pPr>
      <w:r w:rsidRPr="005E2C5E">
        <w:t xml:space="preserve">Horgan, A. </w:t>
      </w:r>
      <w:r w:rsidRPr="005E2C5E">
        <w:rPr>
          <w:i/>
        </w:rPr>
        <w:t xml:space="preserve">et al. </w:t>
      </w:r>
      <w:r w:rsidRPr="005E2C5E">
        <w:t>(2020) ‘Expert by experience involvement in mental health nursing education: The co‐</w:t>
      </w:r>
      <w:r w:rsidRPr="005E2C5E">
        <w:rPr>
          <w:sz w:val="20"/>
        </w:rPr>
        <w:t xml:space="preserve">production of standards between Experts by Experience and academics in mental health nursing’, </w:t>
      </w:r>
      <w:r w:rsidRPr="005E2C5E">
        <w:rPr>
          <w:i/>
          <w:sz w:val="20"/>
        </w:rPr>
        <w:t>Journal of Psychiatric and Mental Health Nursing</w:t>
      </w:r>
      <w:r w:rsidRPr="005E2C5E">
        <w:rPr>
          <w:sz w:val="20"/>
        </w:rPr>
        <w:t>, 27(5</w:t>
      </w:r>
      <w:proofErr w:type="gramStart"/>
      <w:r w:rsidRPr="005E2C5E">
        <w:rPr>
          <w:sz w:val="20"/>
        </w:rPr>
        <w:t>):.</w:t>
      </w:r>
      <w:proofErr w:type="gramEnd"/>
      <w:r w:rsidRPr="005E2C5E">
        <w:rPr>
          <w:sz w:val="20"/>
        </w:rPr>
        <w:t xml:space="preserve"> 553–562. </w:t>
      </w:r>
      <w:hyperlink r:id="rId30">
        <w:r w:rsidRPr="005E2C5E">
          <w:rPr>
            <w:color w:val="0462C1"/>
            <w:sz w:val="20"/>
            <w:u w:val="single" w:color="0462C1"/>
          </w:rPr>
          <w:t>doi.org/10.1111/jpm.12605</w:t>
        </w:r>
        <w:r w:rsidRPr="005E2C5E">
          <w:rPr>
            <w:sz w:val="20"/>
          </w:rPr>
          <w:t>.</w:t>
        </w:r>
      </w:hyperlink>
    </w:p>
    <w:p w14:paraId="28AB4D28" w14:textId="77777777" w:rsidR="00537B7D" w:rsidRPr="005E2C5E" w:rsidRDefault="00537B7D" w:rsidP="00F13625">
      <w:pPr>
        <w:rPr>
          <w:sz w:val="15"/>
        </w:rPr>
      </w:pPr>
    </w:p>
    <w:p w14:paraId="4EBBBE1D" w14:textId="60453466" w:rsidR="00537B7D" w:rsidRPr="005E2C5E" w:rsidRDefault="00E93BEA" w:rsidP="00F13625">
      <w:r w:rsidRPr="005E2C5E">
        <w:t xml:space="preserve">Isbell, L.M. </w:t>
      </w:r>
      <w:r w:rsidRPr="005E2C5E">
        <w:rPr>
          <w:i/>
        </w:rPr>
        <w:t xml:space="preserve">et al. </w:t>
      </w:r>
      <w:r w:rsidRPr="005E2C5E">
        <w:t xml:space="preserve">(2020) ‘Emotionally evocative patients in the emergency department: a mixed methods investigation of providers’ reported emotions and implications for patient safety’, </w:t>
      </w:r>
      <w:r w:rsidRPr="005E2C5E">
        <w:rPr>
          <w:i/>
        </w:rPr>
        <w:t>BMJ Quality &amp; Safety</w:t>
      </w:r>
      <w:r w:rsidRPr="005E2C5E">
        <w:t xml:space="preserve">, 29(10), p. 1.3-2. Available at: </w:t>
      </w:r>
      <w:hyperlink r:id="rId31" w:history="1">
        <w:r w:rsidRPr="005E2C5E">
          <w:rPr>
            <w:rStyle w:val="Hyperlink"/>
          </w:rPr>
          <w:t>https://doi.org/10.1136/bmjqs-2019-010110</w:t>
        </w:r>
      </w:hyperlink>
      <w:r w:rsidRPr="005E2C5E">
        <w:t>.</w:t>
      </w:r>
    </w:p>
    <w:p w14:paraId="5FA29495" w14:textId="77777777" w:rsidR="00E93BEA" w:rsidRPr="005E2C5E" w:rsidRDefault="00E93BEA" w:rsidP="00F13625"/>
    <w:p w14:paraId="13793C6C" w14:textId="77777777" w:rsidR="00537B7D" w:rsidRPr="005E2C5E" w:rsidRDefault="00E93BEA" w:rsidP="00F13625">
      <w:r w:rsidRPr="005E2C5E">
        <w:t xml:space="preserve">Isobel, S. </w:t>
      </w:r>
      <w:r w:rsidRPr="005E2C5E">
        <w:rPr>
          <w:i/>
        </w:rPr>
        <w:t xml:space="preserve">et al. </w:t>
      </w:r>
      <w:r w:rsidRPr="005E2C5E">
        <w:t xml:space="preserve">(2021) ‘A qualitative inquiry into psychiatrists’ perspectives on the relationship of psychological trauma to mental illness and treatment: implications for trauma-informed care’, </w:t>
      </w:r>
      <w:r w:rsidRPr="005E2C5E">
        <w:rPr>
          <w:i/>
        </w:rPr>
        <w:t>Journal of Mental Health</w:t>
      </w:r>
      <w:r w:rsidRPr="005E2C5E">
        <w:t>, 30(6), pp. 667–673. Available at: https://doi.org/10.1080/09638237.2020.1714012.</w:t>
      </w:r>
    </w:p>
    <w:p w14:paraId="2D0FC591" w14:textId="77777777" w:rsidR="00537B7D" w:rsidRPr="005E2C5E" w:rsidRDefault="00537B7D" w:rsidP="00F13625"/>
    <w:p w14:paraId="511B0658" w14:textId="77777777" w:rsidR="00537B7D" w:rsidRPr="005E2C5E" w:rsidRDefault="00E93BEA" w:rsidP="00F13625">
      <w:r w:rsidRPr="005E2C5E">
        <w:t xml:space="preserve">Lee, A.T. and Haskins, N.H. (2022) ‘Toward a culturally humble practice: Critical consciousness as an antecedent’, </w:t>
      </w:r>
      <w:r w:rsidRPr="005E2C5E">
        <w:rPr>
          <w:i/>
        </w:rPr>
        <w:t>Journal of Counselling &amp; Development</w:t>
      </w:r>
      <w:r w:rsidRPr="005E2C5E">
        <w:t xml:space="preserve">, 100(1): 104–112. </w:t>
      </w:r>
      <w:hyperlink r:id="rId32">
        <w:r w:rsidRPr="005E2C5E">
          <w:rPr>
            <w:color w:val="0462C1"/>
            <w:u w:val="single" w:color="0462C1"/>
          </w:rPr>
          <w:t>doi.org/10.1002/jcad.12403</w:t>
        </w:r>
      </w:hyperlink>
    </w:p>
    <w:p w14:paraId="14CF406D" w14:textId="77777777" w:rsidR="00537B7D" w:rsidRPr="005E2C5E" w:rsidRDefault="00537B7D" w:rsidP="00F13625">
      <w:pPr>
        <w:rPr>
          <w:sz w:val="15"/>
        </w:rPr>
      </w:pPr>
    </w:p>
    <w:p w14:paraId="6DE762FF" w14:textId="77777777" w:rsidR="00537B7D" w:rsidRPr="005E2C5E" w:rsidRDefault="00E93BEA" w:rsidP="00F13625">
      <w:r w:rsidRPr="005E2C5E">
        <w:t xml:space="preserve">McLaughlin, H. (2009) ‘What’s in a Name: “Client”, “Patient”, “Customer”, “Consumer”, “Expert by Experience”, ’Service User’--What’s Next?’, </w:t>
      </w:r>
      <w:r w:rsidRPr="005E2C5E">
        <w:rPr>
          <w:i/>
        </w:rPr>
        <w:t>British Journal of Social Work</w:t>
      </w:r>
      <w:r w:rsidRPr="005E2C5E">
        <w:t>, 39(6): 1101–1117. doi.org/10.1093/</w:t>
      </w:r>
      <w:proofErr w:type="spellStart"/>
      <w:r w:rsidRPr="005E2C5E">
        <w:t>bjsw</w:t>
      </w:r>
      <w:proofErr w:type="spellEnd"/>
      <w:r w:rsidRPr="005E2C5E">
        <w:t>/bcm155.</w:t>
      </w:r>
    </w:p>
    <w:p w14:paraId="60CDC2D3" w14:textId="77777777" w:rsidR="00537B7D" w:rsidRPr="005E2C5E" w:rsidRDefault="00537B7D" w:rsidP="00F13625"/>
    <w:p w14:paraId="50B811F6" w14:textId="77777777" w:rsidR="00537B7D" w:rsidRPr="005E2C5E" w:rsidRDefault="00E93BEA" w:rsidP="00F13625">
      <w:proofErr w:type="spellStart"/>
      <w:r w:rsidRPr="005E2C5E">
        <w:t>Mulhearne</w:t>
      </w:r>
      <w:proofErr w:type="spellEnd"/>
      <w:r w:rsidRPr="005E2C5E">
        <w:t>, P., Cotter, P., O’Shea, M., Leahy-Warren, P</w:t>
      </w:r>
      <w:r w:rsidRPr="005E2C5E">
        <w:rPr>
          <w:i/>
        </w:rPr>
        <w:t xml:space="preserve">. </w:t>
      </w:r>
      <w:r w:rsidRPr="005E2C5E">
        <w:t xml:space="preserve">(2021) ‘Experiences of registered general nurses who care for patients presenting with self-harm to the emergency department in Ireland’, </w:t>
      </w:r>
      <w:r w:rsidRPr="005E2C5E">
        <w:rPr>
          <w:i/>
        </w:rPr>
        <w:t>International Emergency Nursing</w:t>
      </w:r>
      <w:r w:rsidRPr="005E2C5E">
        <w:t xml:space="preserve">, 58, p. 101047. </w:t>
      </w:r>
      <w:hyperlink r:id="rId33">
        <w:r w:rsidRPr="005E2C5E">
          <w:rPr>
            <w:color w:val="0462C1"/>
            <w:u w:val="single" w:color="0462C1"/>
          </w:rPr>
          <w:t>doi.org/10.1016/j.ienj.2021.101047</w:t>
        </w:r>
        <w:r w:rsidRPr="005E2C5E">
          <w:t>.</w:t>
        </w:r>
      </w:hyperlink>
    </w:p>
    <w:p w14:paraId="4095E721" w14:textId="77777777" w:rsidR="00537B7D" w:rsidRPr="005E2C5E" w:rsidRDefault="00537B7D" w:rsidP="00F13625">
      <w:pPr>
        <w:rPr>
          <w:sz w:val="15"/>
        </w:rPr>
      </w:pPr>
    </w:p>
    <w:p w14:paraId="51D0B1E2" w14:textId="77777777" w:rsidR="00537B7D" w:rsidRPr="005E2C5E" w:rsidRDefault="00E93BEA" w:rsidP="00F13625">
      <w:r w:rsidRPr="005E2C5E">
        <w:t xml:space="preserve">Nutt, K., </w:t>
      </w:r>
      <w:proofErr w:type="spellStart"/>
      <w:r w:rsidRPr="005E2C5E">
        <w:t>Keville</w:t>
      </w:r>
      <w:proofErr w:type="spellEnd"/>
      <w:r w:rsidRPr="005E2C5E">
        <w:t xml:space="preserve">, S. (2016) </w:t>
      </w:r>
      <w:r w:rsidRPr="005E2C5E">
        <w:rPr>
          <w:color w:val="333333"/>
        </w:rPr>
        <w:t xml:space="preserve">‘… </w:t>
      </w:r>
      <w:proofErr w:type="gramStart"/>
      <w:r w:rsidRPr="005E2C5E">
        <w:rPr>
          <w:color w:val="333333"/>
        </w:rPr>
        <w:t>you</w:t>
      </w:r>
      <w:proofErr w:type="gramEnd"/>
      <w:r w:rsidRPr="005E2C5E">
        <w:rPr>
          <w:color w:val="333333"/>
        </w:rPr>
        <w:t xml:space="preserve"> kind of frantically go from one thing to the next and there isn’t any time for thinking any more’: a reflection on the impact of </w:t>
      </w:r>
      <w:proofErr w:type="spellStart"/>
      <w:r w:rsidRPr="005E2C5E">
        <w:rPr>
          <w:color w:val="333333"/>
        </w:rPr>
        <w:t>organisational</w:t>
      </w:r>
      <w:proofErr w:type="spellEnd"/>
      <w:r w:rsidRPr="005E2C5E">
        <w:rPr>
          <w:color w:val="333333"/>
        </w:rPr>
        <w:t xml:space="preserve"> change on relatedness in multidisciplinary teams. </w:t>
      </w:r>
      <w:r w:rsidRPr="005E2C5E">
        <w:rPr>
          <w:i/>
        </w:rPr>
        <w:t xml:space="preserve">Reflective practice </w:t>
      </w:r>
      <w:r w:rsidRPr="005E2C5E">
        <w:rPr>
          <w:color w:val="585858"/>
        </w:rPr>
        <w:t>17(2): 221-232.</w:t>
      </w:r>
    </w:p>
    <w:p w14:paraId="4E44FD39" w14:textId="77777777" w:rsidR="00537B7D" w:rsidRPr="005E2C5E" w:rsidRDefault="00537B7D" w:rsidP="00F13625">
      <w:pPr>
        <w:rPr>
          <w:sz w:val="19"/>
        </w:rPr>
      </w:pPr>
    </w:p>
    <w:p w14:paraId="6D2B4CE9" w14:textId="1F811C77" w:rsidR="00F13625" w:rsidRPr="005E2C5E" w:rsidRDefault="00F13625" w:rsidP="00F13625">
      <w:pPr>
        <w:pStyle w:val="paragraph"/>
        <w:textAlignment w:val="baseline"/>
        <w:rPr>
          <w:rStyle w:val="normaltextrun"/>
          <w:rFonts w:asciiTheme="minorHAnsi" w:hAnsiTheme="minorHAnsi" w:cstheme="minorHAnsi"/>
          <w:sz w:val="20"/>
          <w:szCs w:val="20"/>
        </w:rPr>
      </w:pPr>
      <w:r w:rsidRPr="005E2C5E">
        <w:rPr>
          <w:rFonts w:asciiTheme="minorHAnsi" w:hAnsiTheme="minorHAnsi" w:cstheme="minorHAnsi"/>
          <w:sz w:val="20"/>
          <w:szCs w:val="20"/>
        </w:rPr>
        <w:t xml:space="preserve">Rose, D., Thornicroft, G., Pinfold, V. </w:t>
      </w:r>
      <w:r w:rsidRPr="005E2C5E">
        <w:rPr>
          <w:rFonts w:asciiTheme="minorHAnsi" w:hAnsiTheme="minorHAnsi" w:cstheme="minorHAnsi"/>
          <w:i/>
          <w:iCs/>
          <w:sz w:val="20"/>
          <w:szCs w:val="20"/>
        </w:rPr>
        <w:t>et al.</w:t>
      </w:r>
      <w:r w:rsidRPr="005E2C5E">
        <w:rPr>
          <w:rFonts w:asciiTheme="minorHAnsi" w:hAnsiTheme="minorHAnsi" w:cstheme="minorHAnsi"/>
          <w:sz w:val="20"/>
          <w:szCs w:val="20"/>
        </w:rPr>
        <w:t xml:space="preserve"> (2007) 250 labels used to stigmatise people with mental illness. </w:t>
      </w:r>
      <w:r w:rsidRPr="005E2C5E">
        <w:rPr>
          <w:rFonts w:asciiTheme="minorHAnsi" w:hAnsiTheme="minorHAnsi" w:cstheme="minorHAnsi"/>
          <w:i/>
          <w:iCs/>
          <w:sz w:val="20"/>
          <w:szCs w:val="20"/>
        </w:rPr>
        <w:t xml:space="preserve">BMC Health </w:t>
      </w:r>
      <w:proofErr w:type="spellStart"/>
      <w:r w:rsidRPr="005E2C5E">
        <w:rPr>
          <w:rFonts w:asciiTheme="minorHAnsi" w:hAnsiTheme="minorHAnsi" w:cstheme="minorHAnsi"/>
          <w:i/>
          <w:iCs/>
          <w:sz w:val="20"/>
          <w:szCs w:val="20"/>
        </w:rPr>
        <w:t>Serv</w:t>
      </w:r>
      <w:proofErr w:type="spellEnd"/>
      <w:r w:rsidRPr="005E2C5E">
        <w:rPr>
          <w:rFonts w:asciiTheme="minorHAnsi" w:hAnsiTheme="minorHAnsi" w:cstheme="minorHAnsi"/>
          <w:i/>
          <w:iCs/>
          <w:sz w:val="20"/>
          <w:szCs w:val="20"/>
        </w:rPr>
        <w:t xml:space="preserve"> Res</w:t>
      </w:r>
      <w:r w:rsidRPr="005E2C5E">
        <w:rPr>
          <w:rFonts w:asciiTheme="minorHAnsi" w:hAnsiTheme="minorHAnsi" w:cstheme="minorHAnsi"/>
          <w:sz w:val="20"/>
          <w:szCs w:val="20"/>
        </w:rPr>
        <w:t xml:space="preserve"> 7 (97</w:t>
      </w:r>
      <w:proofErr w:type="gramStart"/>
      <w:r w:rsidRPr="005E2C5E">
        <w:rPr>
          <w:rFonts w:asciiTheme="minorHAnsi" w:hAnsiTheme="minorHAnsi" w:cstheme="minorHAnsi"/>
          <w:sz w:val="20"/>
          <w:szCs w:val="20"/>
        </w:rPr>
        <w:t>) .</w:t>
      </w:r>
      <w:proofErr w:type="gramEnd"/>
      <w:r w:rsidRPr="005E2C5E">
        <w:rPr>
          <w:rFonts w:asciiTheme="minorHAnsi" w:hAnsiTheme="minorHAnsi" w:cstheme="minorHAnsi"/>
          <w:sz w:val="20"/>
          <w:szCs w:val="20"/>
        </w:rPr>
        <w:t xml:space="preserve"> https://doi.org/10.1186/1472-6963-7-97</w:t>
      </w:r>
    </w:p>
    <w:p w14:paraId="0921DAF0" w14:textId="77777777" w:rsidR="00F13625" w:rsidRPr="005E2C5E" w:rsidRDefault="00F13625" w:rsidP="00F13625">
      <w:pPr>
        <w:pStyle w:val="paragraph"/>
        <w:spacing w:after="0"/>
        <w:textAlignment w:val="baseline"/>
        <w:rPr>
          <w:rStyle w:val="normaltextrun"/>
          <w:rFonts w:asciiTheme="minorHAnsi" w:hAnsiTheme="minorHAnsi" w:cstheme="minorHAnsi"/>
          <w:sz w:val="20"/>
          <w:szCs w:val="20"/>
        </w:rPr>
      </w:pPr>
      <w:r w:rsidRPr="005E2C5E">
        <w:rPr>
          <w:rFonts w:asciiTheme="minorHAnsi" w:hAnsiTheme="minorHAnsi" w:cstheme="minorHAnsi"/>
          <w:sz w:val="20"/>
          <w:szCs w:val="20"/>
        </w:rPr>
        <w:t>Royal College of Psychiatrists (2014).</w:t>
      </w:r>
      <w:r w:rsidRPr="005E2C5E">
        <w:rPr>
          <w:rFonts w:asciiTheme="minorHAnsi" w:hAnsiTheme="minorHAnsi" w:cstheme="minorHAnsi"/>
          <w:i/>
          <w:iCs/>
          <w:sz w:val="20"/>
          <w:szCs w:val="20"/>
        </w:rPr>
        <w:t xml:space="preserve"> Report of the Second Round of the National Audit of Schizophrenia (NAS) 2014</w:t>
      </w:r>
      <w:r w:rsidRPr="005E2C5E">
        <w:rPr>
          <w:rFonts w:asciiTheme="minorHAnsi" w:hAnsiTheme="minorHAnsi" w:cstheme="minorHAnsi"/>
          <w:sz w:val="20"/>
          <w:szCs w:val="20"/>
        </w:rPr>
        <w:t>. London: Healthcare Quality Improvement Partnership.</w:t>
      </w:r>
    </w:p>
    <w:p w14:paraId="7C7003DE" w14:textId="6F77758D" w:rsidR="00537B7D" w:rsidRPr="005E2C5E" w:rsidRDefault="00E93BEA" w:rsidP="00F13625">
      <w:r w:rsidRPr="005E2C5E">
        <w:t xml:space="preserve">Sharda, L., Baker, </w:t>
      </w:r>
      <w:proofErr w:type="gramStart"/>
      <w:r w:rsidRPr="005E2C5E">
        <w:t>S,,</w:t>
      </w:r>
      <w:proofErr w:type="gramEnd"/>
      <w:r w:rsidRPr="005E2C5E">
        <w:t xml:space="preserve"> Cahill, J. (2021) Mixed methods study of health care received by patients diagnosed with personality disorder in an acute hospital ward. </w:t>
      </w:r>
      <w:r w:rsidRPr="005E2C5E">
        <w:rPr>
          <w:i/>
        </w:rPr>
        <w:t xml:space="preserve">Journal of Advanced Nursing. </w:t>
      </w:r>
      <w:r w:rsidRPr="005E2C5E">
        <w:t>77:2002-2011</w:t>
      </w:r>
    </w:p>
    <w:p w14:paraId="7051613E" w14:textId="77777777" w:rsidR="00537B7D" w:rsidRPr="005E2C5E" w:rsidRDefault="00537B7D" w:rsidP="00F13625">
      <w:pPr>
        <w:rPr>
          <w:sz w:val="19"/>
        </w:rPr>
      </w:pPr>
    </w:p>
    <w:p w14:paraId="5FF42F4B" w14:textId="77777777" w:rsidR="00537B7D" w:rsidRDefault="00E93BEA" w:rsidP="00F13625">
      <w:pPr>
        <w:rPr>
          <w:sz w:val="20"/>
        </w:rPr>
      </w:pPr>
      <w:proofErr w:type="spellStart"/>
      <w:r w:rsidRPr="005E2C5E">
        <w:rPr>
          <w:sz w:val="20"/>
        </w:rPr>
        <w:t>Trenoweth</w:t>
      </w:r>
      <w:proofErr w:type="spellEnd"/>
      <w:r w:rsidRPr="005E2C5E">
        <w:rPr>
          <w:sz w:val="20"/>
        </w:rPr>
        <w:t xml:space="preserve">, S. (2022). (Ed) </w:t>
      </w:r>
      <w:r w:rsidRPr="005E2C5E">
        <w:rPr>
          <w:i/>
          <w:sz w:val="20"/>
        </w:rPr>
        <w:t>Understanding mental health practice for adult nursing students</w:t>
      </w:r>
      <w:r w:rsidRPr="005E2C5E">
        <w:rPr>
          <w:sz w:val="20"/>
        </w:rPr>
        <w:t>. London, Sage Ltd (UK)</w:t>
      </w:r>
    </w:p>
    <w:sectPr w:rsidR="00537B7D" w:rsidSect="00F13625">
      <w:pgSz w:w="1191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23C42"/>
    <w:multiLevelType w:val="hybridMultilevel"/>
    <w:tmpl w:val="EE4432FE"/>
    <w:lvl w:ilvl="0" w:tplc="A6E89B4A">
      <w:numFmt w:val="bullet"/>
      <w:lvlText w:val=""/>
      <w:lvlJc w:val="left"/>
      <w:pPr>
        <w:ind w:left="2160" w:hanging="360"/>
      </w:pPr>
      <w:rPr>
        <w:rFonts w:ascii="Symbol" w:eastAsia="Symbol" w:hAnsi="Symbol" w:cs="Symbol" w:hint="default"/>
        <w:w w:val="99"/>
        <w:sz w:val="20"/>
        <w:szCs w:val="20"/>
      </w:rPr>
    </w:lvl>
    <w:lvl w:ilvl="1" w:tplc="FFBED6F2">
      <w:numFmt w:val="bullet"/>
      <w:lvlText w:val="•"/>
      <w:lvlJc w:val="left"/>
      <w:pPr>
        <w:ind w:left="3128" w:hanging="360"/>
      </w:pPr>
      <w:rPr>
        <w:rFonts w:hint="default"/>
      </w:rPr>
    </w:lvl>
    <w:lvl w:ilvl="2" w:tplc="8F86A71A">
      <w:numFmt w:val="bullet"/>
      <w:lvlText w:val="•"/>
      <w:lvlJc w:val="left"/>
      <w:pPr>
        <w:ind w:left="4097" w:hanging="360"/>
      </w:pPr>
      <w:rPr>
        <w:rFonts w:hint="default"/>
      </w:rPr>
    </w:lvl>
    <w:lvl w:ilvl="3" w:tplc="0950C26C">
      <w:numFmt w:val="bullet"/>
      <w:lvlText w:val="•"/>
      <w:lvlJc w:val="left"/>
      <w:pPr>
        <w:ind w:left="5065" w:hanging="360"/>
      </w:pPr>
      <w:rPr>
        <w:rFonts w:hint="default"/>
      </w:rPr>
    </w:lvl>
    <w:lvl w:ilvl="4" w:tplc="3C44677E">
      <w:numFmt w:val="bullet"/>
      <w:lvlText w:val="•"/>
      <w:lvlJc w:val="left"/>
      <w:pPr>
        <w:ind w:left="6034" w:hanging="360"/>
      </w:pPr>
      <w:rPr>
        <w:rFonts w:hint="default"/>
      </w:rPr>
    </w:lvl>
    <w:lvl w:ilvl="5" w:tplc="D65C13A0">
      <w:numFmt w:val="bullet"/>
      <w:lvlText w:val="•"/>
      <w:lvlJc w:val="left"/>
      <w:pPr>
        <w:ind w:left="7003" w:hanging="360"/>
      </w:pPr>
      <w:rPr>
        <w:rFonts w:hint="default"/>
      </w:rPr>
    </w:lvl>
    <w:lvl w:ilvl="6" w:tplc="55BEF0F6">
      <w:numFmt w:val="bullet"/>
      <w:lvlText w:val="•"/>
      <w:lvlJc w:val="left"/>
      <w:pPr>
        <w:ind w:left="7971" w:hanging="360"/>
      </w:pPr>
      <w:rPr>
        <w:rFonts w:hint="default"/>
      </w:rPr>
    </w:lvl>
    <w:lvl w:ilvl="7" w:tplc="CB3E9D56">
      <w:numFmt w:val="bullet"/>
      <w:lvlText w:val="•"/>
      <w:lvlJc w:val="left"/>
      <w:pPr>
        <w:ind w:left="8940" w:hanging="360"/>
      </w:pPr>
      <w:rPr>
        <w:rFonts w:hint="default"/>
      </w:rPr>
    </w:lvl>
    <w:lvl w:ilvl="8" w:tplc="69E02166">
      <w:numFmt w:val="bullet"/>
      <w:lvlText w:val="•"/>
      <w:lvlJc w:val="left"/>
      <w:pPr>
        <w:ind w:left="9909" w:hanging="360"/>
      </w:pPr>
      <w:rPr>
        <w:rFonts w:hint="default"/>
      </w:rPr>
    </w:lvl>
  </w:abstractNum>
  <w:num w:numId="1" w16cid:durableId="2094349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7D"/>
    <w:rsid w:val="00537B7D"/>
    <w:rsid w:val="005E2C5E"/>
    <w:rsid w:val="00A23255"/>
    <w:rsid w:val="00E93BEA"/>
    <w:rsid w:val="00F13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9792E"/>
  <w15:docId w15:val="{6C296430-5881-4568-B8E7-C8A0B81A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40"/>
      <w:outlineLvl w:val="0"/>
    </w:pPr>
    <w:rPr>
      <w:b/>
      <w:bCs/>
    </w:rPr>
  </w:style>
  <w:style w:type="paragraph" w:styleId="Heading2">
    <w:name w:val="heading 2"/>
    <w:basedOn w:val="Normal"/>
    <w:uiPriority w:val="9"/>
    <w:unhideWhenUsed/>
    <w:qFormat/>
    <w:pPr>
      <w:ind w:left="144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160" w:right="1584" w:hanging="360"/>
    </w:pPr>
  </w:style>
  <w:style w:type="paragraph" w:customStyle="1" w:styleId="TableParagraph">
    <w:name w:val="Table Paragraph"/>
    <w:basedOn w:val="Normal"/>
    <w:uiPriority w:val="1"/>
    <w:qFormat/>
    <w:pPr>
      <w:ind w:left="107"/>
    </w:pPr>
  </w:style>
  <w:style w:type="paragraph" w:customStyle="1" w:styleId="paragraph">
    <w:name w:val="paragraph"/>
    <w:basedOn w:val="Normal"/>
    <w:rsid w:val="00F13625"/>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13625"/>
  </w:style>
  <w:style w:type="character" w:customStyle="1" w:styleId="eop">
    <w:name w:val="eop"/>
    <w:basedOn w:val="DefaultParagraphFont"/>
    <w:rsid w:val="00F13625"/>
  </w:style>
  <w:style w:type="character" w:styleId="Hyperlink">
    <w:name w:val="Hyperlink"/>
    <w:basedOn w:val="DefaultParagraphFont"/>
    <w:uiPriority w:val="99"/>
    <w:unhideWhenUsed/>
    <w:rsid w:val="00F13625"/>
    <w:rPr>
      <w:color w:val="0000FF" w:themeColor="hyperlink"/>
      <w:u w:val="single"/>
    </w:rPr>
  </w:style>
  <w:style w:type="character" w:styleId="Emphasis">
    <w:name w:val="Emphasis"/>
    <w:basedOn w:val="DefaultParagraphFont"/>
    <w:uiPriority w:val="20"/>
    <w:qFormat/>
    <w:rsid w:val="00F13625"/>
    <w:rPr>
      <w:i/>
      <w:iCs/>
    </w:rPr>
  </w:style>
  <w:style w:type="character" w:styleId="UnresolvedMention">
    <w:name w:val="Unresolved Mention"/>
    <w:basedOn w:val="DefaultParagraphFont"/>
    <w:uiPriority w:val="99"/>
    <w:semiHidden/>
    <w:unhideWhenUsed/>
    <w:rsid w:val="00E93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starwards.org.uk/wp-content/uploads/2019/02/TalkWell_2nd_Edition_4.1mb.pdf" TargetMode="External"/><Relationship Id="rId18" Type="http://schemas.openxmlformats.org/officeDocument/2006/relationships/hyperlink" Target="https://www.who.int/publications/i/item/9789240031029" TargetMode="External"/><Relationship Id="rId26" Type="http://schemas.openxmlformats.org/officeDocument/2006/relationships/hyperlink" Target="https://www.rcpsych.ac.uk/docs/default-source/members/faculties/liaison-psychiatry/liaison-sidebyside.pdf" TargetMode="External"/><Relationship Id="rId3" Type="http://schemas.openxmlformats.org/officeDocument/2006/relationships/settings" Target="settings.xml"/><Relationship Id="rId21" Type="http://schemas.openxmlformats.org/officeDocument/2006/relationships/hyperlink" Target="https://www.gov.uk/government/publications/no-health-without-mental-health-a-cross-government-outcomes-strategy" TargetMode="External"/><Relationship Id="rId34" Type="http://schemas.openxmlformats.org/officeDocument/2006/relationships/fontTable" Target="fontTable.xml"/><Relationship Id="rId7" Type="http://schemas.openxmlformats.org/officeDocument/2006/relationships/hyperlink" Target="mailto:n.yates@derby.ac.uk" TargetMode="External"/><Relationship Id="rId12" Type="http://schemas.openxmlformats.org/officeDocument/2006/relationships/hyperlink" Target="https://www.starwards.org.uk/brief-encounters-pub/" TargetMode="External"/><Relationship Id="rId17" Type="http://schemas.openxmlformats.org/officeDocument/2006/relationships/hyperlink" Target="https://www.researchgate.net/publication/257230982_Talking_with_Acutely_Psychotic_People_Communication_Skills_for_Nurses_and_Others_Spending_Time_with_People_Who_Are_Very_Mentally_Ill" TargetMode="External"/><Relationship Id="rId25" Type="http://schemas.openxmlformats.org/officeDocument/2006/relationships/hyperlink" Target="https://www.rcpsych.ac.uk/docs/default-source/members/faculties/liaison-psychiatry/liaison-sidebyside.pdf" TargetMode="External"/><Relationship Id="rId33" Type="http://schemas.openxmlformats.org/officeDocument/2006/relationships/hyperlink" Target="https://doi.org/10.1016/j.ienj.2021.101047" TargetMode="External"/><Relationship Id="rId2" Type="http://schemas.openxmlformats.org/officeDocument/2006/relationships/styles" Target="styles.xml"/><Relationship Id="rId16" Type="http://schemas.openxmlformats.org/officeDocument/2006/relationships/hyperlink" Target="https://www.researchgate.net/publication/257230982_Talking_with_Acutely_Psychotic_People_Communication_Skills_for_Nurses_and_Others_Spending_Time_with_People_Who_Are_Very_Mentally_Ill" TargetMode="External"/><Relationship Id="rId20" Type="http://schemas.openxmlformats.org/officeDocument/2006/relationships/hyperlink" Target="https://www.nmc.org.uk/globalassets/sitedocuments/nmc-publications/nmc-code.pdf" TargetMode="External"/><Relationship Id="rId29" Type="http://schemas.openxmlformats.org/officeDocument/2006/relationships/hyperlink" Target="https://doi.org/10.3912/OJIN.Vol24No01PPT20" TargetMode="External"/><Relationship Id="rId1" Type="http://schemas.openxmlformats.org/officeDocument/2006/relationships/numbering" Target="numbering.xml"/><Relationship Id="rId6" Type="http://schemas.openxmlformats.org/officeDocument/2006/relationships/hyperlink" Target="mailto:n.hindmarch@derby.ac.uk" TargetMode="External"/><Relationship Id="rId11" Type="http://schemas.openxmlformats.org/officeDocument/2006/relationships/hyperlink" Target="https://www.editorialmanager.com/rcnp-ns/download.aspx?id=26195&amp;guid=ab683e2e-bb4d-4386-bbfd-7c39b6b1b4ac&amp;scheme=1" TargetMode="External"/><Relationship Id="rId24" Type="http://schemas.openxmlformats.org/officeDocument/2006/relationships/hyperlink" Target="https://www.ncepod.org.uk/2022phmh.html" TargetMode="External"/><Relationship Id="rId32" Type="http://schemas.openxmlformats.org/officeDocument/2006/relationships/hyperlink" Target="https://doi.org/10.1002/jcad.12403" TargetMode="External"/><Relationship Id="rId5" Type="http://schemas.openxmlformats.org/officeDocument/2006/relationships/hyperlink" Target="http://rcnpublishing.com/userimages" TargetMode="External"/><Relationship Id="rId15" Type="http://schemas.openxmlformats.org/officeDocument/2006/relationships/hyperlink" Target="https://www.researchgate.net/publication/257230982_Talking_with_Acutely_Psychotic_People_Communication_Skills_for_Nurses_and_Others_Spending_Time_with_People_Who_Are_Very_Mentally_Ill" TargetMode="External"/><Relationship Id="rId23" Type="http://schemas.openxmlformats.org/officeDocument/2006/relationships/hyperlink" Target="https://www.england.nhs.uk/wp-content/uploads/2016/02/Mental-Health-Taskforce-FYFV-final.pdf" TargetMode="External"/><Relationship Id="rId28" Type="http://schemas.openxmlformats.org/officeDocument/2006/relationships/hyperlink" Target="https://doi.org/10.1080/02703149.2020.1729469" TargetMode="External"/><Relationship Id="rId10" Type="http://schemas.openxmlformats.org/officeDocument/2006/relationships/hyperlink" Target="https://www.editorialmanager.com/rcnp-ns/download.aspx?id=26195&amp;guid=ab683e2e-bb4d-4386-bbfd-7c39b6b1b4ac&amp;scheme=1" TargetMode="External"/><Relationship Id="rId19" Type="http://schemas.openxmlformats.org/officeDocument/2006/relationships/hyperlink" Target="https://www.who.int/publications/i/item/9789240049338" TargetMode="External"/><Relationship Id="rId31" Type="http://schemas.openxmlformats.org/officeDocument/2006/relationships/hyperlink" Target="https://doi.org/10.1136/bmjqs-2019-01011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starwards.org.uk/wp-content/uploads/2019/02/TalkWell_2nd_Edition_4.1mb.pdf" TargetMode="External"/><Relationship Id="rId22" Type="http://schemas.openxmlformats.org/officeDocument/2006/relationships/hyperlink" Target="https://www.gov.uk/government/publications/no-health-without-mental-health-a-cross-government-outcomes-strategy" TargetMode="External"/><Relationship Id="rId27" Type="http://schemas.openxmlformats.org/officeDocument/2006/relationships/hyperlink" Target="https://www.nice.org.uk/guidance/ng225" TargetMode="External"/><Relationship Id="rId30" Type="http://schemas.openxmlformats.org/officeDocument/2006/relationships/hyperlink" Target="https://doi.org/10.1111/jpm.12605" TargetMode="External"/><Relationship Id="rId35" Type="http://schemas.openxmlformats.org/officeDocument/2006/relationships/theme" Target="theme/theme1.xml"/><Relationship Id="rId8" Type="http://schemas.openxmlformats.org/officeDocument/2006/relationships/hyperlink" Target="mailto:e.collier@derb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4448</Words>
  <Characters>25355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dc:creator>
  <cp:lastModifiedBy>Elizabeth Collier</cp:lastModifiedBy>
  <cp:revision>2</cp:revision>
  <dcterms:created xsi:type="dcterms:W3CDTF">2023-06-07T11:05:00Z</dcterms:created>
  <dcterms:modified xsi:type="dcterms:W3CDTF">2023-06-07T11:05:00Z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2022-10-10T00:00:00Z</vt:filetime>
  </property>
  <property fmtid="{D5CDD505-2E9C-101B-9397-08002B2CF9AE}" pid="3" name="LastSaved">
    <vt:filetime>2022-11-17T00:00:00Z</vt:filetime>
  </property>
</Properties>
</file>